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C9B230" w14:textId="1EDEB1F4" w:rsidR="00634CDF" w:rsidRPr="00BC4682" w:rsidRDefault="00D27B65" w:rsidP="00BC4682">
      <w:pPr>
        <w:widowControl w:val="0"/>
        <w:pBdr>
          <w:top w:val="nil"/>
          <w:left w:val="nil"/>
          <w:bottom w:val="nil"/>
          <w:right w:val="nil"/>
          <w:between w:val="nil"/>
        </w:pBdr>
        <w:spacing w:line="276" w:lineRule="auto"/>
        <w:ind w:left="0" w:hanging="2"/>
      </w:pPr>
      <w:r>
        <w:rPr>
          <w:noProof/>
          <w:lang w:eastAsia="es-ES"/>
        </w:rPr>
        <mc:AlternateContent>
          <mc:Choice Requires="wps">
            <w:drawing>
              <wp:anchor distT="0" distB="0" distL="114300" distR="114300" simplePos="0" relativeHeight="251657728" behindDoc="0" locked="0" layoutInCell="1" allowOverlap="1" wp14:anchorId="7B0668A7" wp14:editId="148A7607">
                <wp:simplePos x="0" y="0"/>
                <wp:positionH relativeFrom="column">
                  <wp:posOffset>0</wp:posOffset>
                </wp:positionH>
                <wp:positionV relativeFrom="paragraph">
                  <wp:posOffset>0</wp:posOffset>
                </wp:positionV>
                <wp:extent cx="635000" cy="635000"/>
                <wp:effectExtent l="0" t="0" r="3175" b="3175"/>
                <wp:wrapNone/>
                <wp:docPr id="1" name="AutoShap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51BAEF8" id="AutoShape 26"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" filled="f" stroked="f">
                <o:lock v:ext="edit" aspectratio="t" selection="t"/>
              </v:rect>
            </w:pict>
          </mc:Fallback>
        </mc:AlternateContent>
      </w:r>
      <w:bookmarkStart w:id="0" w:name="_heading=h.gjdgxs" w:colFirst="0" w:colLast="0"/>
      <w:bookmarkEnd w:id="0"/>
    </w:p>
    <w:tbl>
      <w:tblPr>
        <w:tblStyle w:val="a"/>
        <w:tblW w:w="8910" w:type="dxa"/>
        <w:tblInd w:w="-5" w:type="dxa"/>
        <w:tblLayout w:type="fixed"/>
        <w:tblLook w:val="0000" w:firstRow="0" w:lastRow="0" w:firstColumn="0" w:lastColumn="0" w:noHBand="0" w:noVBand="0"/>
      </w:tblPr>
      <w:tblGrid>
        <w:gridCol w:w="8910"/>
      </w:tblGrid>
      <w:tr w:rsidR="00634CDF" w14:paraId="0253280D" w14:textId="77777777">
        <w:tc>
          <w:tcPr>
            <w:tcW w:w="8910" w:type="dxa"/>
            <w:tcBorders>
              <w:top w:val="single" w:sz="4" w:space="0" w:color="000000"/>
              <w:left w:val="single" w:sz="4" w:space="0" w:color="000000"/>
              <w:bottom w:val="single" w:sz="4" w:space="0" w:color="000000"/>
              <w:right w:val="single" w:sz="4" w:space="0" w:color="000000"/>
            </w:tcBorders>
            <w:shd w:val="clear" w:color="auto" w:fill="FFCC99"/>
          </w:tcPr>
          <w:p w14:paraId="35C5B727" w14:textId="77777777" w:rsidR="00634CDF" w:rsidRDefault="00634CDF">
            <w:pPr>
              <w:pBdr>
                <w:top w:val="nil"/>
                <w:left w:val="nil"/>
                <w:bottom w:val="nil"/>
                <w:right w:val="nil"/>
                <w:between w:val="nil"/>
              </w:pBdr>
              <w:spacing w:line="240" w:lineRule="auto"/>
              <w:ind w:left="2" w:hanging="4"/>
              <w:rPr>
                <w:rFonts w:ascii="Arial" w:eastAsia="Arial" w:hAnsi="Arial" w:cs="Arial"/>
                <w:color w:val="000000"/>
                <w:sz w:val="40"/>
                <w:szCs w:val="40"/>
                <w:vertAlign w:val="baseline"/>
              </w:rPr>
            </w:pPr>
          </w:p>
          <w:p w14:paraId="66ED449C" w14:textId="13864A87" w:rsidR="00A72032" w:rsidRDefault="00A72032" w:rsidP="00A72032">
            <w:pPr>
              <w:widowControl w:val="0"/>
              <w:ind w:left="0" w:hanging="2"/>
              <w:jc w:val="center"/>
            </w:pPr>
          </w:p>
          <w:p w14:paraId="7D10133A" w14:textId="04720DE6" w:rsidR="00634CDF" w:rsidRDefault="00A72032" w:rsidP="00A72032">
            <w:pPr>
              <w:pBdr>
                <w:top w:val="nil"/>
                <w:left w:val="nil"/>
                <w:bottom w:val="nil"/>
                <w:right w:val="nil"/>
                <w:between w:val="nil"/>
              </w:pBdr>
              <w:spacing w:line="240" w:lineRule="auto"/>
              <w:ind w:leftChars="0" w:left="0" w:firstLineChars="0" w:firstLine="0"/>
              <w:jc w:val="center"/>
              <w:rPr>
                <w:rFonts w:ascii="Arial" w:eastAsia="Arial" w:hAnsi="Arial" w:cs="Arial"/>
                <w:b/>
                <w:sz w:val="40"/>
                <w:szCs w:val="40"/>
                <w:vertAlign w:val="baseline"/>
              </w:rPr>
            </w:pPr>
            <w:r>
              <w:rPr>
                <w:rFonts w:ascii="Arial" w:eastAsia="Arial" w:hAnsi="Arial" w:cs="Arial"/>
                <w:b/>
                <w:sz w:val="40"/>
                <w:szCs w:val="40"/>
                <w:vertAlign w:val="baseline"/>
              </w:rPr>
              <w:t>I</w:t>
            </w:r>
            <w:r w:rsidR="00F0051D">
              <w:rPr>
                <w:rFonts w:ascii="Arial" w:eastAsia="Arial" w:hAnsi="Arial" w:cs="Arial"/>
                <w:b/>
                <w:sz w:val="40"/>
                <w:szCs w:val="40"/>
                <w:vertAlign w:val="baseline"/>
              </w:rPr>
              <w:t>nclisiran</w:t>
            </w:r>
            <w:r w:rsidR="00F0051D">
              <w:rPr>
                <w:rFonts w:ascii="Arial" w:eastAsia="Arial" w:hAnsi="Arial" w:cs="Arial"/>
                <w:b/>
                <w:color w:val="000000"/>
                <w:sz w:val="40"/>
                <w:szCs w:val="40"/>
                <w:vertAlign w:val="baseline"/>
              </w:rPr>
              <w:t xml:space="preserve"> en hipercolesterolemia primaria y dislipemia mi</w:t>
            </w:r>
            <w:r w:rsidR="00F0051D">
              <w:rPr>
                <w:rFonts w:ascii="Arial" w:eastAsia="Arial" w:hAnsi="Arial" w:cs="Arial"/>
                <w:b/>
                <w:sz w:val="40"/>
                <w:szCs w:val="40"/>
                <w:vertAlign w:val="baseline"/>
              </w:rPr>
              <w:t>xta</w:t>
            </w:r>
          </w:p>
          <w:p w14:paraId="557BC57C" w14:textId="55FC189F" w:rsidR="0086410D" w:rsidRPr="00A72032" w:rsidRDefault="00A72032" w:rsidP="00A72032">
            <w:pPr>
              <w:pStyle w:val="Textoindependiente"/>
              <w:widowControl w:val="0"/>
              <w:ind w:left="1" w:hanging="3"/>
              <w:jc w:val="center"/>
              <w:rPr>
                <w:sz w:val="32"/>
                <w:szCs w:val="32"/>
              </w:rPr>
            </w:pPr>
            <w:r w:rsidRPr="00A72032">
              <w:rPr>
                <w:rFonts w:ascii="Arial" w:hAnsi="Arial" w:cs="Arial"/>
                <w:b/>
                <w:bCs/>
                <w:sz w:val="32"/>
                <w:szCs w:val="32"/>
                <w:bdr w:val="none" w:sz="0" w:space="0" w:color="000000"/>
              </w:rPr>
              <w:t>Informe GENESIS-SEFH</w:t>
            </w:r>
          </w:p>
          <w:p w14:paraId="4CD32344" w14:textId="6C78947D" w:rsidR="0086410D" w:rsidRPr="00F50F8D" w:rsidRDefault="0086410D" w:rsidP="0086410D">
            <w:pPr>
              <w:pStyle w:val="WW-normal"/>
              <w:ind w:left="0" w:hanging="2"/>
              <w:rPr>
                <w:rFonts w:eastAsia="Arial"/>
                <w:sz w:val="22"/>
                <w:szCs w:val="22"/>
              </w:rPr>
            </w:pPr>
          </w:p>
          <w:p w14:paraId="416F3428" w14:textId="611CCCB4" w:rsidR="00B56B27" w:rsidRPr="00F50F8D" w:rsidRDefault="0086410D" w:rsidP="00CB6B28">
            <w:pPr>
              <w:suppressAutoHyphens/>
              <w:ind w:left="0" w:hanging="2"/>
              <w:jc w:val="center"/>
              <w:rPr>
                <w:rFonts w:ascii="Arial" w:eastAsia="Arial" w:hAnsi="Arial" w:cs="Arial"/>
                <w:sz w:val="22"/>
                <w:szCs w:val="22"/>
                <w:vertAlign w:val="baseline"/>
                <w:lang w:eastAsia="es-ES"/>
              </w:rPr>
            </w:pPr>
            <w:r w:rsidRPr="00F50F8D">
              <w:rPr>
                <w:rFonts w:ascii="Arial" w:eastAsia="Arial" w:hAnsi="Arial" w:cs="Arial"/>
                <w:sz w:val="22"/>
                <w:szCs w:val="22"/>
                <w:vertAlign w:val="baseline"/>
                <w:lang w:eastAsia="es-ES"/>
              </w:rPr>
              <w:t>Informe para el grupo GENESIS elaborado según el método y procedimientos de evaluación compartida establecidos por es</w:t>
            </w:r>
            <w:r w:rsidR="00CB6B28" w:rsidRPr="00F50F8D">
              <w:rPr>
                <w:rFonts w:ascii="Arial" w:eastAsia="Arial" w:hAnsi="Arial" w:cs="Arial"/>
                <w:sz w:val="22"/>
                <w:szCs w:val="22"/>
                <w:vertAlign w:val="baseline"/>
                <w:lang w:eastAsia="es-ES"/>
              </w:rPr>
              <w:t>te grupo de trabajo de la SEFH</w:t>
            </w:r>
          </w:p>
          <w:p w14:paraId="28E5FD9E" w14:textId="676594B2" w:rsidR="00CB6B28" w:rsidRDefault="00CB6B28" w:rsidP="00CB6B28">
            <w:pPr>
              <w:pStyle w:val="WW-normal"/>
              <w:ind w:left="0" w:hanging="2"/>
              <w:rPr>
                <w:rFonts w:eastAsia="Arial"/>
                <w:lang w:eastAsia="es-ES"/>
              </w:rPr>
            </w:pPr>
          </w:p>
          <w:p w14:paraId="3F065225" w14:textId="77777777" w:rsidR="00F50F8D" w:rsidRPr="00CB6B28" w:rsidRDefault="00F50F8D" w:rsidP="00CB6B28">
            <w:pPr>
              <w:pStyle w:val="WW-normal"/>
              <w:ind w:left="0" w:hanging="2"/>
              <w:rPr>
                <w:rFonts w:eastAsia="Arial"/>
                <w:lang w:eastAsia="es-ES"/>
              </w:rPr>
            </w:pPr>
          </w:p>
          <w:p w14:paraId="4FD2D100" w14:textId="23FEB097" w:rsidR="0086410D" w:rsidRPr="00EA0EE3" w:rsidRDefault="00A72032" w:rsidP="00A72032">
            <w:pPr>
              <w:spacing w:line="240" w:lineRule="auto"/>
              <w:ind w:leftChars="0" w:left="2" w:hanging="2"/>
              <w:jc w:val="center"/>
              <w:rPr>
                <w:rFonts w:ascii="Arial" w:eastAsia="Arial" w:hAnsi="Arial" w:cs="Arial"/>
                <w:sz w:val="20"/>
                <w:szCs w:val="20"/>
                <w:vertAlign w:val="baseline"/>
                <w:lang w:eastAsia="es-ES"/>
              </w:rPr>
            </w:pPr>
            <w:r w:rsidRPr="00EA0EE3">
              <w:rPr>
                <w:rFonts w:ascii="Arial" w:eastAsia="Arial" w:hAnsi="Arial" w:cs="Arial"/>
                <w:sz w:val="20"/>
                <w:szCs w:val="20"/>
                <w:vertAlign w:val="baseline"/>
                <w:lang w:eastAsia="es-ES"/>
              </w:rPr>
              <w:t>Fecha redacción:</w:t>
            </w:r>
            <w:r w:rsidR="0086410D" w:rsidRPr="00EA0EE3">
              <w:rPr>
                <w:rFonts w:ascii="Arial" w:eastAsia="Arial" w:hAnsi="Arial" w:cs="Arial"/>
                <w:sz w:val="20"/>
                <w:szCs w:val="20"/>
                <w:vertAlign w:val="baseline"/>
                <w:lang w:eastAsia="es-ES"/>
              </w:rPr>
              <w:t>31 de enero de 2022</w:t>
            </w:r>
          </w:p>
          <w:p w14:paraId="65A8BD19" w14:textId="298627CF" w:rsidR="0086410D" w:rsidRPr="00EA0EE3" w:rsidRDefault="0086410D" w:rsidP="00A72032">
            <w:pPr>
              <w:spacing w:line="240" w:lineRule="auto"/>
              <w:ind w:leftChars="0" w:left="2" w:hanging="2"/>
              <w:jc w:val="center"/>
              <w:rPr>
                <w:rFonts w:ascii="Arial" w:eastAsia="Arial" w:hAnsi="Arial" w:cs="Arial"/>
                <w:sz w:val="20"/>
                <w:szCs w:val="20"/>
                <w:vertAlign w:val="baseline"/>
                <w:lang w:eastAsia="es-ES"/>
              </w:rPr>
            </w:pPr>
            <w:r w:rsidRPr="00EA0EE3">
              <w:rPr>
                <w:rFonts w:ascii="Arial" w:eastAsia="Arial" w:hAnsi="Arial" w:cs="Arial"/>
                <w:sz w:val="20"/>
                <w:szCs w:val="20"/>
                <w:vertAlign w:val="baseline"/>
                <w:lang w:eastAsia="es-ES"/>
              </w:rPr>
              <w:t>Fecha fin alegaciones:</w:t>
            </w:r>
            <w:r w:rsidR="00A72032" w:rsidRPr="00EA0EE3">
              <w:rPr>
                <w:rFonts w:ascii="Arial" w:eastAsia="Arial" w:hAnsi="Arial" w:cs="Arial"/>
                <w:sz w:val="20"/>
                <w:szCs w:val="20"/>
                <w:vertAlign w:val="baseline"/>
                <w:lang w:eastAsia="es-ES"/>
              </w:rPr>
              <w:t xml:space="preserve"> 9 de junio de 2022</w:t>
            </w:r>
          </w:p>
          <w:p w14:paraId="156B4898" w14:textId="77777777" w:rsidR="0086410D" w:rsidRPr="0086410D" w:rsidRDefault="0086410D" w:rsidP="0086410D">
            <w:pPr>
              <w:ind w:left="1" w:hanging="3"/>
              <w:jc w:val="center"/>
              <w:rPr>
                <w:sz w:val="32"/>
                <w:szCs w:val="32"/>
              </w:rPr>
            </w:pPr>
          </w:p>
          <w:p w14:paraId="4FCCA0E5" w14:textId="77777777" w:rsidR="0086410D" w:rsidRPr="00262945" w:rsidRDefault="0086410D" w:rsidP="00F50F8D">
            <w:pPr>
              <w:spacing w:line="240" w:lineRule="auto"/>
              <w:ind w:leftChars="0" w:left="0" w:firstLineChars="0" w:firstLine="0"/>
              <w:rPr>
                <w:rFonts w:ascii="Arial" w:eastAsia="Arial" w:hAnsi="Arial" w:cs="Arial"/>
                <w:sz w:val="28"/>
                <w:szCs w:val="28"/>
              </w:rPr>
            </w:pPr>
            <w:r w:rsidRPr="00262945">
              <w:rPr>
                <w:rFonts w:ascii="Arial" w:eastAsia="Arial" w:hAnsi="Arial" w:cs="Arial"/>
                <w:sz w:val="28"/>
                <w:szCs w:val="28"/>
              </w:rPr>
              <w:t>ISBN:</w:t>
            </w:r>
          </w:p>
          <w:p w14:paraId="2CC7A6B5" w14:textId="6BD61D87" w:rsidR="00634CDF" w:rsidRDefault="0086410D" w:rsidP="00F50F8D">
            <w:pPr>
              <w:pStyle w:val="WW-normal"/>
              <w:spacing w:line="240" w:lineRule="auto"/>
              <w:ind w:left="1" w:hanging="3"/>
              <w:rPr>
                <w:rFonts w:eastAsia="Arial"/>
                <w:vertAlign w:val="baseline"/>
              </w:rPr>
            </w:pPr>
            <w:r w:rsidRPr="00262945">
              <w:rPr>
                <w:rFonts w:ascii="Arial" w:eastAsia="Arial" w:hAnsi="Arial" w:cs="Arial"/>
                <w:sz w:val="28"/>
                <w:szCs w:val="28"/>
              </w:rPr>
              <w:t>Depósito legal:</w:t>
            </w:r>
          </w:p>
        </w:tc>
      </w:tr>
    </w:tbl>
    <w:p w14:paraId="4B343A56" w14:textId="77777777" w:rsidR="00634CDF" w:rsidRDefault="00634CDF">
      <w:pPr>
        <w:pBdr>
          <w:top w:val="nil"/>
          <w:left w:val="nil"/>
          <w:bottom w:val="nil"/>
          <w:right w:val="nil"/>
          <w:between w:val="nil"/>
        </w:pBdr>
        <w:spacing w:line="240" w:lineRule="auto"/>
        <w:ind w:left="0" w:hanging="2"/>
        <w:rPr>
          <w:rFonts w:ascii="Arial" w:eastAsia="Arial" w:hAnsi="Arial" w:cs="Arial"/>
          <w:color w:val="0000FF"/>
          <w:u w:val="single"/>
          <w:vertAlign w:val="baseline"/>
        </w:rPr>
      </w:pPr>
    </w:p>
    <w:p w14:paraId="693D0A50" w14:textId="77777777" w:rsidR="001779CA" w:rsidRDefault="00F0051D" w:rsidP="001779CA">
      <w:pPr>
        <w:pStyle w:val="TDC1"/>
        <w:tabs>
          <w:tab w:val="right" w:leader="dot" w:pos="8494"/>
        </w:tabs>
        <w:ind w:left="0" w:hanging="2"/>
        <w:rPr>
          <w:rFonts w:ascii="Arial" w:eastAsia="Arial" w:hAnsi="Arial" w:cs="Arial"/>
          <w:b/>
          <w:color w:val="000000"/>
          <w:sz w:val="20"/>
          <w:szCs w:val="20"/>
          <w:vertAlign w:val="baseline"/>
        </w:rPr>
      </w:pPr>
      <w:r>
        <w:rPr>
          <w:rFonts w:ascii="Arial" w:eastAsia="Arial" w:hAnsi="Arial" w:cs="Arial"/>
          <w:b/>
          <w:color w:val="000000"/>
          <w:sz w:val="20"/>
          <w:szCs w:val="20"/>
          <w:vertAlign w:val="baseline"/>
        </w:rPr>
        <w:t>ÍNDICE</w:t>
      </w:r>
      <w:r w:rsidR="001779CA">
        <w:rPr>
          <w:rFonts w:ascii="Arial" w:eastAsia="Arial" w:hAnsi="Arial" w:cs="Arial"/>
          <w:b/>
          <w:color w:val="000000"/>
          <w:sz w:val="20"/>
          <w:szCs w:val="20"/>
          <w:vertAlign w:val="baseline"/>
        </w:rPr>
        <w:t xml:space="preserve">: </w:t>
      </w:r>
    </w:p>
    <w:p w14:paraId="4D3EE573" w14:textId="77777777" w:rsidR="001779CA" w:rsidRDefault="001779CA" w:rsidP="001779CA">
      <w:pPr>
        <w:pStyle w:val="TDC1"/>
        <w:tabs>
          <w:tab w:val="right" w:leader="dot" w:pos="8494"/>
        </w:tabs>
        <w:ind w:left="0" w:hanging="2"/>
        <w:rPr>
          <w:rFonts w:ascii="Arial" w:eastAsia="Arial" w:hAnsi="Arial" w:cs="Arial"/>
          <w:b/>
          <w:color w:val="000000"/>
          <w:sz w:val="20"/>
          <w:szCs w:val="20"/>
          <w:vertAlign w:val="baseline"/>
        </w:rPr>
      </w:pPr>
    </w:p>
    <w:p w14:paraId="66374F7B" w14:textId="1C7CC6B3" w:rsidR="001779CA" w:rsidRPr="00162E37" w:rsidRDefault="00782245" w:rsidP="00AD2EC6">
      <w:pPr>
        <w:pStyle w:val="TDC1"/>
        <w:tabs>
          <w:tab w:val="right" w:leader="dot" w:pos="8494"/>
        </w:tabs>
        <w:ind w:left="0" w:hanging="2"/>
        <w:rPr>
          <w:rFonts w:ascii="Arial" w:eastAsiaTheme="minorEastAsia" w:hAnsi="Arial" w:cs="Arial"/>
          <w:noProof/>
          <w:sz w:val="20"/>
          <w:szCs w:val="20"/>
          <w:vertAlign w:val="baseline"/>
          <w:lang w:eastAsia="es-ES"/>
        </w:rPr>
      </w:pPr>
      <w:hyperlink w:anchor="_Toc82802175" w:history="1">
        <w:r w:rsidR="001779CA" w:rsidRPr="00162E37">
          <w:rPr>
            <w:rStyle w:val="Hipervnculo"/>
            <w:rFonts w:ascii="Arial" w:hAnsi="Arial" w:cs="Arial"/>
            <w:noProof/>
            <w:color w:val="auto"/>
            <w:sz w:val="20"/>
            <w:szCs w:val="20"/>
            <w:u w:val="none"/>
            <w:lang w:val="es-ES_tradnl"/>
          </w:rPr>
          <w:t>1.- IDENTIFICACIÓN DEL FÁRMACO Y AUTORES DEL INFORME</w:t>
        </w:r>
        <w:r w:rsidR="001779CA" w:rsidRPr="00162E37">
          <w:rPr>
            <w:rFonts w:ascii="Arial" w:hAnsi="Arial" w:cs="Arial"/>
            <w:noProof/>
            <w:sz w:val="20"/>
            <w:szCs w:val="20"/>
            <w:vertAlign w:val="baseline"/>
          </w:rPr>
          <w:tab/>
          <w:t>3</w:t>
        </w:r>
      </w:hyperlink>
    </w:p>
    <w:p w14:paraId="72F10662" w14:textId="60474767" w:rsidR="001779CA" w:rsidRPr="00162E37" w:rsidRDefault="00782245" w:rsidP="00AD2EC6">
      <w:pPr>
        <w:pStyle w:val="TDC1"/>
        <w:tabs>
          <w:tab w:val="right" w:leader="dot" w:pos="8494"/>
        </w:tabs>
        <w:ind w:left="0" w:hanging="2"/>
        <w:rPr>
          <w:rFonts w:ascii="Arial" w:eastAsiaTheme="minorEastAsia" w:hAnsi="Arial" w:cs="Arial"/>
          <w:noProof/>
          <w:sz w:val="20"/>
          <w:szCs w:val="20"/>
          <w:vertAlign w:val="baseline"/>
          <w:lang w:eastAsia="es-ES"/>
        </w:rPr>
      </w:pPr>
      <w:hyperlink w:anchor="_Toc82802176" w:history="1">
        <w:r w:rsidR="001779CA" w:rsidRPr="00162E37">
          <w:rPr>
            <w:rStyle w:val="Hipervnculo"/>
            <w:rFonts w:ascii="Arial" w:hAnsi="Arial" w:cs="Arial"/>
            <w:noProof/>
            <w:color w:val="auto"/>
            <w:sz w:val="20"/>
            <w:szCs w:val="20"/>
            <w:u w:val="none"/>
            <w:lang w:val="es-ES_tradnl"/>
          </w:rPr>
          <w:t>2.- SOLICITUD Y DATOS DEL PROCESO DE EVALUACIÓN</w:t>
        </w:r>
        <w:r w:rsidR="001779CA" w:rsidRPr="00162E37">
          <w:rPr>
            <w:rFonts w:ascii="Arial" w:hAnsi="Arial" w:cs="Arial"/>
            <w:noProof/>
            <w:sz w:val="20"/>
            <w:szCs w:val="20"/>
            <w:vertAlign w:val="baseline"/>
          </w:rPr>
          <w:tab/>
        </w:r>
        <w:r w:rsidR="00162E37" w:rsidRPr="00162E37">
          <w:rPr>
            <w:rFonts w:ascii="Arial" w:hAnsi="Arial" w:cs="Arial"/>
            <w:noProof/>
            <w:sz w:val="20"/>
            <w:szCs w:val="20"/>
            <w:vertAlign w:val="baseline"/>
          </w:rPr>
          <w:t>4</w:t>
        </w:r>
      </w:hyperlink>
    </w:p>
    <w:p w14:paraId="238EE29A" w14:textId="5C942019" w:rsidR="001779CA" w:rsidRPr="00162E37" w:rsidRDefault="00782245" w:rsidP="00AD2EC6">
      <w:pPr>
        <w:pStyle w:val="TDC1"/>
        <w:tabs>
          <w:tab w:val="right" w:leader="dot" w:pos="8494"/>
        </w:tabs>
        <w:ind w:left="0" w:hanging="2"/>
        <w:rPr>
          <w:rFonts w:ascii="Arial" w:eastAsiaTheme="minorEastAsia" w:hAnsi="Arial" w:cs="Arial"/>
          <w:noProof/>
          <w:sz w:val="20"/>
          <w:szCs w:val="20"/>
          <w:vertAlign w:val="baseline"/>
          <w:lang w:eastAsia="es-ES"/>
        </w:rPr>
      </w:pPr>
      <w:hyperlink w:anchor="_Toc82802177" w:history="1">
        <w:r w:rsidR="001779CA" w:rsidRPr="00162E37">
          <w:rPr>
            <w:rStyle w:val="Hipervnculo"/>
            <w:rFonts w:ascii="Arial" w:hAnsi="Arial" w:cs="Arial"/>
            <w:noProof/>
            <w:color w:val="auto"/>
            <w:sz w:val="20"/>
            <w:szCs w:val="20"/>
            <w:u w:val="none"/>
            <w:lang w:val="es-ES_tradnl"/>
          </w:rPr>
          <w:t>3.- AREA DESCRIPTIVA DEL MEDICAMENTO Y DEL PROBLEMA DE SALUD</w:t>
        </w:r>
        <w:r w:rsidR="001779CA" w:rsidRPr="00162E37">
          <w:rPr>
            <w:rFonts w:ascii="Arial" w:hAnsi="Arial" w:cs="Arial"/>
            <w:noProof/>
            <w:sz w:val="20"/>
            <w:szCs w:val="20"/>
            <w:vertAlign w:val="baseline"/>
          </w:rPr>
          <w:tab/>
        </w:r>
        <w:r w:rsidR="00162E37" w:rsidRPr="00162E37">
          <w:rPr>
            <w:rFonts w:ascii="Arial" w:hAnsi="Arial" w:cs="Arial"/>
            <w:noProof/>
            <w:sz w:val="20"/>
            <w:szCs w:val="20"/>
            <w:vertAlign w:val="baseline"/>
          </w:rPr>
          <w:t>4</w:t>
        </w:r>
      </w:hyperlink>
    </w:p>
    <w:p w14:paraId="3B97F14E" w14:textId="53C59B1F"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78" w:history="1">
        <w:r w:rsidR="001779CA" w:rsidRPr="00162E37">
          <w:rPr>
            <w:rStyle w:val="Hipervnculo"/>
            <w:rFonts w:ascii="Arial" w:hAnsi="Arial" w:cs="Arial"/>
            <w:noProof/>
            <w:color w:val="auto"/>
            <w:sz w:val="20"/>
            <w:szCs w:val="20"/>
            <w:u w:val="none"/>
            <w:lang w:val="es-ES_tradnl"/>
          </w:rPr>
          <w:t>3.1 Área descriptiva del medicamento</w:t>
        </w:r>
        <w:r w:rsidR="001779CA" w:rsidRPr="00162E37">
          <w:rPr>
            <w:rFonts w:ascii="Arial" w:hAnsi="Arial" w:cs="Arial"/>
            <w:noProof/>
            <w:sz w:val="20"/>
            <w:szCs w:val="20"/>
            <w:vertAlign w:val="baseline"/>
          </w:rPr>
          <w:tab/>
        </w:r>
        <w:r w:rsidR="00162E37" w:rsidRPr="00162E37">
          <w:rPr>
            <w:rFonts w:ascii="Arial" w:hAnsi="Arial" w:cs="Arial"/>
            <w:noProof/>
            <w:sz w:val="20"/>
            <w:szCs w:val="20"/>
            <w:vertAlign w:val="baseline"/>
          </w:rPr>
          <w:t>4</w:t>
        </w:r>
      </w:hyperlink>
    </w:p>
    <w:p w14:paraId="4F11227D" w14:textId="7E39A467"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79" w:history="1">
        <w:r w:rsidR="001779CA" w:rsidRPr="00162E37">
          <w:rPr>
            <w:rStyle w:val="Hipervnculo"/>
            <w:rFonts w:ascii="Arial" w:hAnsi="Arial" w:cs="Arial"/>
            <w:noProof/>
            <w:color w:val="auto"/>
            <w:sz w:val="20"/>
            <w:szCs w:val="20"/>
            <w:u w:val="none"/>
            <w:lang w:val="es-ES_tradnl"/>
          </w:rPr>
          <w:t>3.2 Área descriptiva del problema de salud</w:t>
        </w:r>
        <w:r w:rsidR="001779CA" w:rsidRPr="00162E37">
          <w:rPr>
            <w:rFonts w:ascii="Arial" w:hAnsi="Arial" w:cs="Arial"/>
            <w:noProof/>
            <w:sz w:val="20"/>
            <w:szCs w:val="20"/>
            <w:vertAlign w:val="baseline"/>
          </w:rPr>
          <w:tab/>
          <w:t>4</w:t>
        </w:r>
      </w:hyperlink>
    </w:p>
    <w:p w14:paraId="5F64F77D" w14:textId="2F6BBD6A"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80" w:history="1">
        <w:r w:rsidR="001779CA" w:rsidRPr="00162E37">
          <w:rPr>
            <w:rStyle w:val="Hipervnculo"/>
            <w:rFonts w:ascii="Arial" w:hAnsi="Arial" w:cs="Arial"/>
            <w:noProof/>
            <w:color w:val="auto"/>
            <w:sz w:val="20"/>
            <w:szCs w:val="20"/>
            <w:u w:val="none"/>
            <w:lang w:val="es-ES_tradnl"/>
          </w:rPr>
          <w:t>3.2.a Descripción estructurada del problema de salud</w:t>
        </w:r>
        <w:r w:rsidR="001779CA" w:rsidRPr="00162E37">
          <w:rPr>
            <w:rFonts w:ascii="Arial" w:hAnsi="Arial" w:cs="Arial"/>
            <w:noProof/>
            <w:sz w:val="20"/>
            <w:szCs w:val="20"/>
            <w:vertAlign w:val="baseline"/>
          </w:rPr>
          <w:tab/>
          <w:t>4</w:t>
        </w:r>
      </w:hyperlink>
    </w:p>
    <w:p w14:paraId="3F776DB2" w14:textId="569C7B79"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81" w:history="1">
        <w:r w:rsidR="001779CA" w:rsidRPr="00162E37">
          <w:rPr>
            <w:rStyle w:val="Hipervnculo"/>
            <w:rFonts w:ascii="Arial" w:hAnsi="Arial" w:cs="Arial"/>
            <w:noProof/>
            <w:color w:val="auto"/>
            <w:sz w:val="20"/>
            <w:szCs w:val="20"/>
            <w:u w:val="none"/>
            <w:lang w:val="es-ES_tradnl"/>
          </w:rPr>
          <w:t>3.2.b Tratamiento actual de la enfermedad: evidencias</w:t>
        </w:r>
        <w:r w:rsidR="001779CA" w:rsidRPr="00162E37">
          <w:rPr>
            <w:rFonts w:ascii="Arial" w:hAnsi="Arial" w:cs="Arial"/>
            <w:noProof/>
            <w:sz w:val="20"/>
            <w:szCs w:val="20"/>
            <w:vertAlign w:val="baseline"/>
          </w:rPr>
          <w:tab/>
        </w:r>
        <w:r w:rsidR="00162E37" w:rsidRPr="00162E37">
          <w:rPr>
            <w:rFonts w:ascii="Arial" w:hAnsi="Arial" w:cs="Arial"/>
            <w:noProof/>
            <w:sz w:val="20"/>
            <w:szCs w:val="20"/>
            <w:vertAlign w:val="baseline"/>
          </w:rPr>
          <w:t>7</w:t>
        </w:r>
      </w:hyperlink>
    </w:p>
    <w:p w14:paraId="63B82618" w14:textId="3683573C"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82" w:history="1">
        <w:r w:rsidR="001779CA" w:rsidRPr="00162E37">
          <w:rPr>
            <w:rStyle w:val="Hipervnculo"/>
            <w:rFonts w:ascii="Arial" w:hAnsi="Arial" w:cs="Arial"/>
            <w:noProof/>
            <w:color w:val="auto"/>
            <w:sz w:val="20"/>
            <w:szCs w:val="20"/>
            <w:u w:val="none"/>
            <w:lang w:val="es-ES_tradnl"/>
          </w:rPr>
          <w:t>3.3 Características comparadas con otras alternativas similares</w:t>
        </w:r>
        <w:r w:rsidR="001779CA" w:rsidRPr="00162E37">
          <w:rPr>
            <w:rFonts w:ascii="Arial" w:hAnsi="Arial" w:cs="Arial"/>
            <w:noProof/>
            <w:sz w:val="20"/>
            <w:szCs w:val="20"/>
            <w:vertAlign w:val="baseline"/>
          </w:rPr>
          <w:tab/>
          <w:t>1</w:t>
        </w:r>
      </w:hyperlink>
      <w:r w:rsidR="00162E37" w:rsidRPr="00162E37">
        <w:rPr>
          <w:rFonts w:ascii="Arial" w:hAnsi="Arial" w:cs="Arial"/>
          <w:noProof/>
          <w:sz w:val="20"/>
          <w:szCs w:val="20"/>
          <w:vertAlign w:val="baseline"/>
        </w:rPr>
        <w:t>0</w:t>
      </w:r>
    </w:p>
    <w:p w14:paraId="2A9A5E28" w14:textId="5F082449" w:rsidR="001779CA" w:rsidRPr="00162E37" w:rsidRDefault="00782245" w:rsidP="00AD2EC6">
      <w:pPr>
        <w:pStyle w:val="TDC1"/>
        <w:tabs>
          <w:tab w:val="right" w:leader="dot" w:pos="8494"/>
        </w:tabs>
        <w:ind w:left="0" w:hanging="2"/>
        <w:rPr>
          <w:rFonts w:ascii="Arial" w:eastAsiaTheme="minorEastAsia" w:hAnsi="Arial" w:cs="Arial"/>
          <w:noProof/>
          <w:sz w:val="20"/>
          <w:szCs w:val="20"/>
          <w:vertAlign w:val="baseline"/>
          <w:lang w:eastAsia="es-ES"/>
        </w:rPr>
      </w:pPr>
      <w:hyperlink w:anchor="_Toc82802183" w:history="1">
        <w:r w:rsidR="001779CA" w:rsidRPr="00162E37">
          <w:rPr>
            <w:rStyle w:val="Hipervnculo"/>
            <w:rFonts w:ascii="Arial" w:hAnsi="Arial" w:cs="Arial"/>
            <w:noProof/>
            <w:color w:val="auto"/>
            <w:sz w:val="20"/>
            <w:szCs w:val="20"/>
            <w:u w:val="none"/>
            <w:lang w:val="es-ES_tradnl"/>
          </w:rPr>
          <w:t>4.- AREA DE ACCIÓN FARMACOLÓGICA.</w:t>
        </w:r>
        <w:r w:rsidR="001779CA" w:rsidRPr="00162E37">
          <w:rPr>
            <w:rFonts w:ascii="Arial" w:hAnsi="Arial" w:cs="Arial"/>
            <w:noProof/>
            <w:sz w:val="20"/>
            <w:szCs w:val="20"/>
            <w:vertAlign w:val="baseline"/>
          </w:rPr>
          <w:tab/>
          <w:t>12</w:t>
        </w:r>
      </w:hyperlink>
    </w:p>
    <w:p w14:paraId="7F1AEC89" w14:textId="2E55E08D"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84" w:history="1">
        <w:r w:rsidR="001779CA" w:rsidRPr="00162E37">
          <w:rPr>
            <w:rStyle w:val="Hipervnculo"/>
            <w:rFonts w:ascii="Arial" w:hAnsi="Arial" w:cs="Arial"/>
            <w:noProof/>
            <w:color w:val="auto"/>
            <w:sz w:val="20"/>
            <w:szCs w:val="20"/>
            <w:u w:val="none"/>
            <w:lang w:val="es-ES_tradnl"/>
          </w:rPr>
          <w:t>4.1 Mecanismo de acción.</w:t>
        </w:r>
        <w:r w:rsidR="001779CA" w:rsidRPr="00162E37">
          <w:rPr>
            <w:rFonts w:ascii="Arial" w:hAnsi="Arial" w:cs="Arial"/>
            <w:noProof/>
            <w:sz w:val="20"/>
            <w:szCs w:val="20"/>
            <w:vertAlign w:val="baseline"/>
          </w:rPr>
          <w:tab/>
          <w:t>12</w:t>
        </w:r>
      </w:hyperlink>
    </w:p>
    <w:p w14:paraId="46F132F7" w14:textId="4AECFFA2"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85" w:history="1">
        <w:r w:rsidR="001779CA" w:rsidRPr="00162E37">
          <w:rPr>
            <w:rStyle w:val="Hipervnculo"/>
            <w:rFonts w:ascii="Arial" w:hAnsi="Arial" w:cs="Arial"/>
            <w:noProof/>
            <w:color w:val="auto"/>
            <w:sz w:val="20"/>
            <w:szCs w:val="20"/>
            <w:u w:val="none"/>
            <w:lang w:val="es-ES_tradnl"/>
          </w:rPr>
          <w:t>4.2 Indicaciones clínicas formalmente aprobadas y fecha de aprobación.</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13</w:t>
        </w:r>
      </w:hyperlink>
    </w:p>
    <w:p w14:paraId="2E3CF67D" w14:textId="0FF00AF4"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86" w:history="1">
        <w:r w:rsidR="001779CA" w:rsidRPr="00162E37">
          <w:rPr>
            <w:rStyle w:val="Hipervnculo"/>
            <w:rFonts w:ascii="Arial" w:hAnsi="Arial" w:cs="Arial"/>
            <w:noProof/>
            <w:color w:val="auto"/>
            <w:sz w:val="20"/>
            <w:szCs w:val="20"/>
            <w:u w:val="none"/>
            <w:lang w:val="es-ES_tradnl"/>
          </w:rPr>
          <w:t>4.3 Posología, forma de preparación y administración.</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13</w:t>
        </w:r>
      </w:hyperlink>
    </w:p>
    <w:p w14:paraId="73C8DB32" w14:textId="4A9BF084"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87" w:history="1">
        <w:r w:rsidR="001779CA" w:rsidRPr="00162E37">
          <w:rPr>
            <w:rStyle w:val="Hipervnculo"/>
            <w:rFonts w:ascii="Arial" w:hAnsi="Arial" w:cs="Arial"/>
            <w:noProof/>
            <w:color w:val="auto"/>
            <w:sz w:val="20"/>
            <w:szCs w:val="20"/>
            <w:u w:val="none"/>
            <w:lang w:val="es-ES_tradnl"/>
          </w:rPr>
          <w:t>4.4 Utilización en poblaciones especiales.</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14</w:t>
        </w:r>
      </w:hyperlink>
    </w:p>
    <w:p w14:paraId="7B8DF96F" w14:textId="13A6BB8B"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88" w:history="1">
        <w:r w:rsidR="001779CA" w:rsidRPr="00162E37">
          <w:rPr>
            <w:rStyle w:val="Hipervnculo"/>
            <w:rFonts w:ascii="Arial" w:hAnsi="Arial" w:cs="Arial"/>
            <w:noProof/>
            <w:color w:val="auto"/>
            <w:sz w:val="20"/>
            <w:szCs w:val="20"/>
            <w:u w:val="none"/>
            <w:lang w:val="es-ES_tradnl"/>
          </w:rPr>
          <w:t>4.5 Farmacocinética.</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14</w:t>
        </w:r>
      </w:hyperlink>
    </w:p>
    <w:p w14:paraId="10A7034D" w14:textId="77777777" w:rsidR="001779CA" w:rsidRPr="00162E37" w:rsidRDefault="00782245" w:rsidP="00AD2EC6">
      <w:pPr>
        <w:pStyle w:val="TDC1"/>
        <w:tabs>
          <w:tab w:val="right" w:leader="dot" w:pos="8494"/>
        </w:tabs>
        <w:ind w:left="0" w:hanging="2"/>
        <w:rPr>
          <w:rFonts w:ascii="Arial" w:eastAsiaTheme="minorEastAsia" w:hAnsi="Arial" w:cs="Arial"/>
          <w:noProof/>
          <w:sz w:val="20"/>
          <w:szCs w:val="20"/>
          <w:vertAlign w:val="baseline"/>
          <w:lang w:eastAsia="es-ES"/>
        </w:rPr>
      </w:pPr>
      <w:hyperlink w:anchor="_Toc82802189" w:history="1">
        <w:r w:rsidR="001779CA" w:rsidRPr="00162E37">
          <w:rPr>
            <w:rStyle w:val="Hipervnculo"/>
            <w:rFonts w:ascii="Arial" w:hAnsi="Arial" w:cs="Arial"/>
            <w:noProof/>
            <w:color w:val="auto"/>
            <w:sz w:val="20"/>
            <w:szCs w:val="20"/>
            <w:u w:val="none"/>
            <w:lang w:val="es-ES_tradnl"/>
          </w:rPr>
          <w:t>5.- EVALUACIÓN DE LA EFICACIA.</w:t>
        </w:r>
        <w:r w:rsidR="001779CA" w:rsidRPr="00162E37">
          <w:rPr>
            <w:rFonts w:ascii="Arial" w:hAnsi="Arial" w:cs="Arial"/>
            <w:noProof/>
            <w:sz w:val="20"/>
            <w:szCs w:val="20"/>
            <w:vertAlign w:val="baseline"/>
          </w:rPr>
          <w:tab/>
        </w:r>
        <w:r w:rsidR="001779CA" w:rsidRPr="00162E37">
          <w:rPr>
            <w:rFonts w:ascii="Arial" w:hAnsi="Arial" w:cs="Arial"/>
            <w:noProof/>
            <w:sz w:val="20"/>
            <w:szCs w:val="20"/>
            <w:vertAlign w:val="baseline"/>
          </w:rPr>
          <w:fldChar w:fldCharType="begin"/>
        </w:r>
        <w:r w:rsidR="001779CA" w:rsidRPr="00162E37">
          <w:rPr>
            <w:rFonts w:ascii="Arial" w:hAnsi="Arial" w:cs="Arial"/>
            <w:noProof/>
            <w:sz w:val="20"/>
            <w:szCs w:val="20"/>
            <w:vertAlign w:val="baseline"/>
          </w:rPr>
          <w:instrText xml:space="preserve"> PAGEREF _Toc82802189 \h </w:instrText>
        </w:r>
        <w:r w:rsidR="001779CA" w:rsidRPr="00162E37">
          <w:rPr>
            <w:rFonts w:ascii="Arial" w:hAnsi="Arial" w:cs="Arial"/>
            <w:noProof/>
            <w:sz w:val="20"/>
            <w:szCs w:val="20"/>
            <w:vertAlign w:val="baseline"/>
          </w:rPr>
        </w:r>
        <w:r w:rsidR="001779CA" w:rsidRPr="00162E37">
          <w:rPr>
            <w:rFonts w:ascii="Arial" w:hAnsi="Arial" w:cs="Arial"/>
            <w:noProof/>
            <w:sz w:val="20"/>
            <w:szCs w:val="20"/>
            <w:vertAlign w:val="baseline"/>
          </w:rPr>
          <w:fldChar w:fldCharType="separate"/>
        </w:r>
        <w:r w:rsidR="001779CA" w:rsidRPr="00162E37">
          <w:rPr>
            <w:rFonts w:ascii="Arial" w:hAnsi="Arial" w:cs="Arial"/>
            <w:noProof/>
            <w:sz w:val="20"/>
            <w:szCs w:val="20"/>
            <w:vertAlign w:val="baseline"/>
          </w:rPr>
          <w:t>15</w:t>
        </w:r>
        <w:r w:rsidR="001779CA" w:rsidRPr="00162E37">
          <w:rPr>
            <w:rFonts w:ascii="Arial" w:hAnsi="Arial" w:cs="Arial"/>
            <w:noProof/>
            <w:sz w:val="20"/>
            <w:szCs w:val="20"/>
            <w:vertAlign w:val="baseline"/>
          </w:rPr>
          <w:fldChar w:fldCharType="end"/>
        </w:r>
      </w:hyperlink>
    </w:p>
    <w:p w14:paraId="72364AB4" w14:textId="77777777"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90" w:history="1">
        <w:r w:rsidR="001779CA" w:rsidRPr="00162E37">
          <w:rPr>
            <w:rStyle w:val="Hipervnculo"/>
            <w:rFonts w:ascii="Arial" w:hAnsi="Arial" w:cs="Arial"/>
            <w:noProof/>
            <w:color w:val="auto"/>
            <w:sz w:val="20"/>
            <w:szCs w:val="20"/>
            <w:u w:val="none"/>
            <w:lang w:val="es-ES_tradnl"/>
          </w:rPr>
          <w:t>5.1.a Ensayos clínicos disponibles para la indicación clínica evaluada</w:t>
        </w:r>
        <w:r w:rsidR="001779CA" w:rsidRPr="00162E37">
          <w:rPr>
            <w:rFonts w:ascii="Arial" w:hAnsi="Arial" w:cs="Arial"/>
            <w:noProof/>
            <w:sz w:val="20"/>
            <w:szCs w:val="20"/>
            <w:vertAlign w:val="baseline"/>
          </w:rPr>
          <w:tab/>
        </w:r>
        <w:r w:rsidR="001779CA" w:rsidRPr="00162E37">
          <w:rPr>
            <w:rFonts w:ascii="Arial" w:hAnsi="Arial" w:cs="Arial"/>
            <w:noProof/>
            <w:sz w:val="20"/>
            <w:szCs w:val="20"/>
            <w:vertAlign w:val="baseline"/>
          </w:rPr>
          <w:fldChar w:fldCharType="begin"/>
        </w:r>
        <w:r w:rsidR="001779CA" w:rsidRPr="00162E37">
          <w:rPr>
            <w:rFonts w:ascii="Arial" w:hAnsi="Arial" w:cs="Arial"/>
            <w:noProof/>
            <w:sz w:val="20"/>
            <w:szCs w:val="20"/>
            <w:vertAlign w:val="baseline"/>
          </w:rPr>
          <w:instrText xml:space="preserve"> PAGEREF _Toc82802190 \h </w:instrText>
        </w:r>
        <w:r w:rsidR="001779CA" w:rsidRPr="00162E37">
          <w:rPr>
            <w:rFonts w:ascii="Arial" w:hAnsi="Arial" w:cs="Arial"/>
            <w:noProof/>
            <w:sz w:val="20"/>
            <w:szCs w:val="20"/>
            <w:vertAlign w:val="baseline"/>
          </w:rPr>
        </w:r>
        <w:r w:rsidR="001779CA" w:rsidRPr="00162E37">
          <w:rPr>
            <w:rFonts w:ascii="Arial" w:hAnsi="Arial" w:cs="Arial"/>
            <w:noProof/>
            <w:sz w:val="20"/>
            <w:szCs w:val="20"/>
            <w:vertAlign w:val="baseline"/>
          </w:rPr>
          <w:fldChar w:fldCharType="separate"/>
        </w:r>
        <w:r w:rsidR="001779CA" w:rsidRPr="00162E37">
          <w:rPr>
            <w:rFonts w:ascii="Arial" w:hAnsi="Arial" w:cs="Arial"/>
            <w:noProof/>
            <w:sz w:val="20"/>
            <w:szCs w:val="20"/>
            <w:vertAlign w:val="baseline"/>
          </w:rPr>
          <w:t>15</w:t>
        </w:r>
        <w:r w:rsidR="001779CA" w:rsidRPr="00162E37">
          <w:rPr>
            <w:rFonts w:ascii="Arial" w:hAnsi="Arial" w:cs="Arial"/>
            <w:noProof/>
            <w:sz w:val="20"/>
            <w:szCs w:val="20"/>
            <w:vertAlign w:val="baseline"/>
          </w:rPr>
          <w:fldChar w:fldCharType="end"/>
        </w:r>
      </w:hyperlink>
    </w:p>
    <w:p w14:paraId="27DCE243" w14:textId="77777777"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91" w:history="1">
        <w:r w:rsidR="001779CA" w:rsidRPr="00162E37">
          <w:rPr>
            <w:rStyle w:val="Hipervnculo"/>
            <w:rFonts w:ascii="Arial" w:hAnsi="Arial" w:cs="Arial"/>
            <w:noProof/>
            <w:color w:val="auto"/>
            <w:sz w:val="20"/>
            <w:szCs w:val="20"/>
            <w:u w:val="none"/>
            <w:lang w:val="es-ES_tradnl"/>
          </w:rPr>
          <w:t>5.1.b Variables utilizadas en los ensayos</w:t>
        </w:r>
        <w:r w:rsidR="001779CA" w:rsidRPr="00162E37">
          <w:rPr>
            <w:rFonts w:ascii="Arial" w:hAnsi="Arial" w:cs="Arial"/>
            <w:noProof/>
            <w:sz w:val="20"/>
            <w:szCs w:val="20"/>
            <w:vertAlign w:val="baseline"/>
          </w:rPr>
          <w:tab/>
        </w:r>
        <w:r w:rsidR="001779CA" w:rsidRPr="00162E37">
          <w:rPr>
            <w:rFonts w:ascii="Arial" w:hAnsi="Arial" w:cs="Arial"/>
            <w:noProof/>
            <w:sz w:val="20"/>
            <w:szCs w:val="20"/>
            <w:vertAlign w:val="baseline"/>
          </w:rPr>
          <w:fldChar w:fldCharType="begin"/>
        </w:r>
        <w:r w:rsidR="001779CA" w:rsidRPr="00162E37">
          <w:rPr>
            <w:rFonts w:ascii="Arial" w:hAnsi="Arial" w:cs="Arial"/>
            <w:noProof/>
            <w:sz w:val="20"/>
            <w:szCs w:val="20"/>
            <w:vertAlign w:val="baseline"/>
          </w:rPr>
          <w:instrText xml:space="preserve"> PAGEREF _Toc82802191 \h </w:instrText>
        </w:r>
        <w:r w:rsidR="001779CA" w:rsidRPr="00162E37">
          <w:rPr>
            <w:rFonts w:ascii="Arial" w:hAnsi="Arial" w:cs="Arial"/>
            <w:noProof/>
            <w:sz w:val="20"/>
            <w:szCs w:val="20"/>
            <w:vertAlign w:val="baseline"/>
          </w:rPr>
        </w:r>
        <w:r w:rsidR="001779CA" w:rsidRPr="00162E37">
          <w:rPr>
            <w:rFonts w:ascii="Arial" w:hAnsi="Arial" w:cs="Arial"/>
            <w:noProof/>
            <w:sz w:val="20"/>
            <w:szCs w:val="20"/>
            <w:vertAlign w:val="baseline"/>
          </w:rPr>
          <w:fldChar w:fldCharType="separate"/>
        </w:r>
        <w:r w:rsidR="001779CA" w:rsidRPr="00162E37">
          <w:rPr>
            <w:rFonts w:ascii="Arial" w:hAnsi="Arial" w:cs="Arial"/>
            <w:noProof/>
            <w:sz w:val="20"/>
            <w:szCs w:val="20"/>
            <w:vertAlign w:val="baseline"/>
          </w:rPr>
          <w:t>15</w:t>
        </w:r>
        <w:r w:rsidR="001779CA" w:rsidRPr="00162E37">
          <w:rPr>
            <w:rFonts w:ascii="Arial" w:hAnsi="Arial" w:cs="Arial"/>
            <w:noProof/>
            <w:sz w:val="20"/>
            <w:szCs w:val="20"/>
            <w:vertAlign w:val="baseline"/>
          </w:rPr>
          <w:fldChar w:fldCharType="end"/>
        </w:r>
      </w:hyperlink>
    </w:p>
    <w:p w14:paraId="5FE0FC61" w14:textId="249B6AD2"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92" w:history="1">
        <w:r w:rsidR="001779CA" w:rsidRPr="00162E37">
          <w:rPr>
            <w:rStyle w:val="Hipervnculo"/>
            <w:rFonts w:ascii="Arial" w:hAnsi="Arial" w:cs="Arial"/>
            <w:noProof/>
            <w:color w:val="auto"/>
            <w:sz w:val="20"/>
            <w:szCs w:val="20"/>
            <w:u w:val="none"/>
            <w:lang w:val="es-ES_tradnl"/>
          </w:rPr>
          <w:t>5.2.a Resultados de los ensayos clínicos</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17</w:t>
        </w:r>
      </w:hyperlink>
    </w:p>
    <w:p w14:paraId="553EFF7C" w14:textId="45FAC940"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93" w:history="1">
        <w:r w:rsidR="001779CA" w:rsidRPr="00162E37">
          <w:rPr>
            <w:rStyle w:val="Hipervnculo"/>
            <w:rFonts w:ascii="Arial" w:hAnsi="Arial" w:cs="Arial"/>
            <w:noProof/>
            <w:color w:val="auto"/>
            <w:sz w:val="20"/>
            <w:szCs w:val="20"/>
            <w:u w:val="none"/>
            <w:lang w:val="es-ES_tradnl"/>
          </w:rPr>
          <w:t>5.2.b Evaluación de la validez y de la utilidad práctica de los resultados</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29</w:t>
        </w:r>
      </w:hyperlink>
    </w:p>
    <w:p w14:paraId="6CDC279D" w14:textId="0C76823D"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94" w:history="1">
        <w:r w:rsidR="001779CA" w:rsidRPr="00162E37">
          <w:rPr>
            <w:rStyle w:val="Hipervnculo"/>
            <w:rFonts w:ascii="Arial" w:hAnsi="Arial" w:cs="Arial"/>
            <w:noProof/>
            <w:color w:val="auto"/>
            <w:sz w:val="20"/>
            <w:szCs w:val="20"/>
            <w:u w:val="none"/>
            <w:lang w:val="es-ES_tradnl"/>
          </w:rPr>
          <w:t>5.3 Revisiones sistemáticas publicadas, comparaciones indirectas y sus conclusiones</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40</w:t>
        </w:r>
      </w:hyperlink>
    </w:p>
    <w:p w14:paraId="54E89DA2" w14:textId="695D2349"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95" w:history="1">
        <w:r w:rsidR="001779CA" w:rsidRPr="00162E37">
          <w:rPr>
            <w:rStyle w:val="Hipervnculo"/>
            <w:rFonts w:ascii="Arial" w:hAnsi="Arial" w:cs="Arial"/>
            <w:noProof/>
            <w:color w:val="auto"/>
            <w:sz w:val="20"/>
            <w:szCs w:val="20"/>
            <w:u w:val="none"/>
            <w:lang w:val="es-ES_tradnl"/>
          </w:rPr>
          <w:t>5.3.a Revisiones sistemáticas publicadas</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40</w:t>
        </w:r>
      </w:hyperlink>
    </w:p>
    <w:p w14:paraId="7AF42365" w14:textId="1378E727"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96" w:history="1">
        <w:r w:rsidR="001779CA" w:rsidRPr="00162E37">
          <w:rPr>
            <w:rStyle w:val="Hipervnculo"/>
            <w:rFonts w:ascii="Arial" w:hAnsi="Arial" w:cs="Arial"/>
            <w:noProof/>
            <w:color w:val="auto"/>
            <w:sz w:val="20"/>
            <w:szCs w:val="20"/>
            <w:u w:val="none"/>
            <w:lang w:val="es-ES_tradnl"/>
          </w:rPr>
          <w:t>5.3.b Comparaciones indirectas (CCII)</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43</w:t>
        </w:r>
      </w:hyperlink>
    </w:p>
    <w:p w14:paraId="02FEC7D7" w14:textId="3B708C0C"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97" w:history="1">
        <w:r w:rsidR="001779CA" w:rsidRPr="00162E37">
          <w:rPr>
            <w:rStyle w:val="Hipervnculo"/>
            <w:rFonts w:ascii="Arial" w:hAnsi="Arial" w:cs="Arial"/>
            <w:noProof/>
            <w:color w:val="auto"/>
            <w:sz w:val="20"/>
            <w:szCs w:val="20"/>
            <w:u w:val="none"/>
            <w:lang w:val="es-ES_tradnl"/>
          </w:rPr>
          <w:t>5.3.b.1 Comparaciones Indirectas publicadas</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43</w:t>
        </w:r>
      </w:hyperlink>
    </w:p>
    <w:p w14:paraId="0345372F" w14:textId="5E6A33B4"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98" w:history="1">
        <w:r w:rsidR="001779CA" w:rsidRPr="00162E37">
          <w:rPr>
            <w:rStyle w:val="Hipervnculo"/>
            <w:rFonts w:ascii="Arial" w:hAnsi="Arial" w:cs="Arial"/>
            <w:noProof/>
            <w:color w:val="auto"/>
            <w:sz w:val="20"/>
            <w:szCs w:val="20"/>
            <w:u w:val="none"/>
            <w:lang w:val="es-ES_tradnl"/>
          </w:rPr>
          <w:t>5.3.b.2 Comparaciones indirectas de elaboración propia</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43</w:t>
        </w:r>
      </w:hyperlink>
    </w:p>
    <w:p w14:paraId="1162C2C6" w14:textId="554EEC0E"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199" w:history="1">
        <w:r w:rsidR="001779CA" w:rsidRPr="00162E37">
          <w:rPr>
            <w:rStyle w:val="Hipervnculo"/>
            <w:rFonts w:ascii="Arial" w:hAnsi="Arial" w:cs="Arial"/>
            <w:noProof/>
            <w:color w:val="auto"/>
            <w:sz w:val="20"/>
            <w:szCs w:val="20"/>
            <w:u w:val="none"/>
            <w:lang w:val="es-ES_tradnl"/>
          </w:rPr>
          <w:t>5.4 Evaluación de fuentes secundarias</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43</w:t>
        </w:r>
      </w:hyperlink>
    </w:p>
    <w:p w14:paraId="14D6CEFD" w14:textId="7F786036"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200" w:history="1">
        <w:r w:rsidR="001779CA" w:rsidRPr="00162E37">
          <w:rPr>
            <w:rStyle w:val="Hipervnculo"/>
            <w:rFonts w:ascii="Arial" w:hAnsi="Arial" w:cs="Arial"/>
            <w:noProof/>
            <w:color w:val="auto"/>
            <w:sz w:val="20"/>
            <w:szCs w:val="20"/>
            <w:u w:val="none"/>
            <w:lang w:val="es-ES_tradnl"/>
          </w:rPr>
          <w:t>5.4.1 Guías de Práctica clínica</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43</w:t>
        </w:r>
      </w:hyperlink>
    </w:p>
    <w:p w14:paraId="0FCF8072" w14:textId="2EF88C81"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201" w:history="1">
        <w:r w:rsidR="001779CA" w:rsidRPr="00162E37">
          <w:rPr>
            <w:rStyle w:val="Hipervnculo"/>
            <w:rFonts w:ascii="Arial" w:hAnsi="Arial" w:cs="Arial"/>
            <w:noProof/>
            <w:color w:val="auto"/>
            <w:sz w:val="20"/>
            <w:szCs w:val="20"/>
            <w:u w:val="none"/>
            <w:lang w:val="es-ES_tradnl"/>
          </w:rPr>
          <w:t>5.4.2 Evaluaciones previas por organismos independientes</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44</w:t>
        </w:r>
      </w:hyperlink>
    </w:p>
    <w:p w14:paraId="267F501B" w14:textId="13F2FFCB"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202" w:history="1">
        <w:r w:rsidR="001779CA" w:rsidRPr="00162E37">
          <w:rPr>
            <w:rStyle w:val="Hipervnculo"/>
            <w:rFonts w:ascii="Arial" w:hAnsi="Arial" w:cs="Arial"/>
            <w:noProof/>
            <w:color w:val="auto"/>
            <w:sz w:val="20"/>
            <w:szCs w:val="20"/>
            <w:u w:val="none"/>
            <w:lang w:val="es-ES_tradnl"/>
          </w:rPr>
          <w:t>5.4.3 Opiniones de expertos</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45</w:t>
        </w:r>
      </w:hyperlink>
    </w:p>
    <w:p w14:paraId="7D30D00D" w14:textId="587959A3"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203" w:history="1">
        <w:r w:rsidR="001779CA" w:rsidRPr="00162E37">
          <w:rPr>
            <w:rStyle w:val="Hipervnculo"/>
            <w:rFonts w:ascii="Arial" w:hAnsi="Arial" w:cs="Arial"/>
            <w:noProof/>
            <w:color w:val="auto"/>
            <w:sz w:val="20"/>
            <w:szCs w:val="20"/>
            <w:u w:val="none"/>
            <w:lang w:val="es-ES_tradnl"/>
          </w:rPr>
          <w:t>5.4.4 Otras fuentes.</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45</w:t>
        </w:r>
      </w:hyperlink>
    </w:p>
    <w:p w14:paraId="54AA6BD9" w14:textId="20958943" w:rsidR="001779CA" w:rsidRPr="00162E37" w:rsidRDefault="00782245" w:rsidP="00AD2EC6">
      <w:pPr>
        <w:pStyle w:val="TDC1"/>
        <w:tabs>
          <w:tab w:val="right" w:leader="dot" w:pos="8494"/>
        </w:tabs>
        <w:ind w:left="0" w:hanging="2"/>
        <w:rPr>
          <w:rFonts w:ascii="Arial" w:eastAsiaTheme="minorEastAsia" w:hAnsi="Arial" w:cs="Arial"/>
          <w:noProof/>
          <w:sz w:val="20"/>
          <w:szCs w:val="20"/>
          <w:vertAlign w:val="baseline"/>
          <w:lang w:eastAsia="es-ES"/>
        </w:rPr>
      </w:pPr>
      <w:hyperlink w:anchor="_Toc82802204" w:history="1">
        <w:r w:rsidR="001779CA" w:rsidRPr="00162E37">
          <w:rPr>
            <w:rStyle w:val="Hipervnculo"/>
            <w:rFonts w:ascii="Arial" w:hAnsi="Arial" w:cs="Arial"/>
            <w:noProof/>
            <w:color w:val="auto"/>
            <w:sz w:val="20"/>
            <w:szCs w:val="20"/>
            <w:u w:val="none"/>
            <w:lang w:val="es-ES_tradnl"/>
          </w:rPr>
          <w:t>6. EVALUACIÓN DE LA SEGURIDAD.</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45</w:t>
        </w:r>
      </w:hyperlink>
    </w:p>
    <w:p w14:paraId="28F837AE" w14:textId="7D06E3AB"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205" w:history="1">
        <w:r w:rsidR="001779CA" w:rsidRPr="00162E37">
          <w:rPr>
            <w:rStyle w:val="Hipervnculo"/>
            <w:rFonts w:ascii="Arial" w:hAnsi="Arial" w:cs="Arial"/>
            <w:noProof/>
            <w:color w:val="auto"/>
            <w:sz w:val="20"/>
            <w:szCs w:val="20"/>
            <w:u w:val="none"/>
            <w:lang w:val="es-ES_tradnl"/>
          </w:rPr>
          <w:t>6.1.a Descripción de la búsqueda bibliográfica</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45</w:t>
        </w:r>
      </w:hyperlink>
    </w:p>
    <w:p w14:paraId="557CCB80" w14:textId="7966516E"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206" w:history="1">
        <w:r w:rsidR="001779CA" w:rsidRPr="00162E37">
          <w:rPr>
            <w:rStyle w:val="Hipervnculo"/>
            <w:rFonts w:ascii="Arial" w:hAnsi="Arial" w:cs="Arial"/>
            <w:noProof/>
            <w:color w:val="auto"/>
            <w:sz w:val="20"/>
            <w:szCs w:val="20"/>
            <w:u w:val="none"/>
            <w:lang w:val="es-ES_tradnl"/>
          </w:rPr>
          <w:t>6.1.b Descripción de los efectos adversos más significativos</w:t>
        </w:r>
        <w:r w:rsidR="001779CA" w:rsidRPr="00162E37">
          <w:rPr>
            <w:rFonts w:ascii="Arial" w:hAnsi="Arial" w:cs="Arial"/>
            <w:noProof/>
            <w:sz w:val="20"/>
            <w:szCs w:val="20"/>
            <w:vertAlign w:val="baseline"/>
          </w:rPr>
          <w:tab/>
        </w:r>
        <w:r w:rsidR="00214F3F" w:rsidRPr="00162E37">
          <w:rPr>
            <w:rFonts w:ascii="Arial" w:hAnsi="Arial" w:cs="Arial"/>
            <w:noProof/>
            <w:sz w:val="20"/>
            <w:szCs w:val="20"/>
            <w:vertAlign w:val="baseline"/>
          </w:rPr>
          <w:t>45</w:t>
        </w:r>
      </w:hyperlink>
    </w:p>
    <w:p w14:paraId="2F97DDAB" w14:textId="29923F70"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207" w:history="1">
        <w:r w:rsidR="001779CA" w:rsidRPr="00162E37">
          <w:rPr>
            <w:rStyle w:val="Hipervnculo"/>
            <w:rFonts w:ascii="Arial" w:hAnsi="Arial" w:cs="Arial"/>
            <w:noProof/>
            <w:color w:val="auto"/>
            <w:sz w:val="20"/>
            <w:szCs w:val="20"/>
            <w:u w:val="none"/>
            <w:lang w:val="es-ES_tradnl"/>
          </w:rPr>
          <w:t>6.2 Ensayos Clínicos comparativos.</w:t>
        </w:r>
        <w:r w:rsidR="001779CA" w:rsidRPr="00162E37">
          <w:rPr>
            <w:rFonts w:ascii="Arial" w:hAnsi="Arial" w:cs="Arial"/>
            <w:noProof/>
            <w:sz w:val="20"/>
            <w:szCs w:val="20"/>
            <w:vertAlign w:val="baseline"/>
          </w:rPr>
          <w:tab/>
        </w:r>
        <w:r w:rsidR="00FC0611" w:rsidRPr="00162E37">
          <w:rPr>
            <w:rFonts w:ascii="Arial" w:hAnsi="Arial" w:cs="Arial"/>
            <w:noProof/>
            <w:sz w:val="20"/>
            <w:szCs w:val="20"/>
            <w:vertAlign w:val="baseline"/>
          </w:rPr>
          <w:t>50</w:t>
        </w:r>
      </w:hyperlink>
    </w:p>
    <w:p w14:paraId="701FBFBC" w14:textId="2270C65A"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208" w:history="1">
        <w:r w:rsidR="001779CA" w:rsidRPr="00162E37">
          <w:rPr>
            <w:rStyle w:val="Hipervnculo"/>
            <w:rFonts w:ascii="Arial" w:hAnsi="Arial" w:cs="Arial"/>
            <w:noProof/>
            <w:color w:val="auto"/>
            <w:sz w:val="20"/>
            <w:szCs w:val="20"/>
            <w:u w:val="none"/>
            <w:lang w:val="es-ES_tradnl"/>
          </w:rPr>
          <w:t>6.3 Fuentes secundarias sobre seguridad</w:t>
        </w:r>
        <w:r w:rsidR="001779CA" w:rsidRPr="00162E37">
          <w:rPr>
            <w:rFonts w:ascii="Arial" w:hAnsi="Arial" w:cs="Arial"/>
            <w:noProof/>
            <w:sz w:val="20"/>
            <w:szCs w:val="20"/>
            <w:vertAlign w:val="baseline"/>
          </w:rPr>
          <w:tab/>
        </w:r>
        <w:r w:rsidR="00FC0611" w:rsidRPr="00162E37">
          <w:rPr>
            <w:rFonts w:ascii="Arial" w:hAnsi="Arial" w:cs="Arial"/>
            <w:noProof/>
            <w:sz w:val="20"/>
            <w:szCs w:val="20"/>
            <w:vertAlign w:val="baseline"/>
          </w:rPr>
          <w:t>51</w:t>
        </w:r>
      </w:hyperlink>
    </w:p>
    <w:p w14:paraId="0D0B8E9A" w14:textId="41B2B950" w:rsidR="001779CA" w:rsidRPr="00162E37" w:rsidRDefault="00782245" w:rsidP="00AD2EC6">
      <w:pPr>
        <w:pStyle w:val="TDC2"/>
        <w:tabs>
          <w:tab w:val="right" w:leader="dot" w:pos="8494"/>
        </w:tabs>
        <w:ind w:left="0" w:hanging="2"/>
        <w:rPr>
          <w:rFonts w:ascii="Arial" w:eastAsiaTheme="minorEastAsia" w:hAnsi="Arial" w:cs="Arial"/>
          <w:noProof/>
          <w:sz w:val="20"/>
          <w:szCs w:val="20"/>
          <w:vertAlign w:val="baseline"/>
          <w:lang w:eastAsia="es-ES"/>
        </w:rPr>
      </w:pPr>
      <w:hyperlink w:anchor="_Toc82802209" w:history="1">
        <w:r w:rsidR="001779CA" w:rsidRPr="00162E37">
          <w:rPr>
            <w:rStyle w:val="Hipervnculo"/>
            <w:rFonts w:ascii="Arial" w:hAnsi="Arial" w:cs="Arial"/>
            <w:noProof/>
            <w:color w:val="auto"/>
            <w:sz w:val="20"/>
            <w:szCs w:val="20"/>
            <w:u w:val="none"/>
            <w:lang w:val="es-ES_tradnl"/>
          </w:rPr>
          <w:t>6.4 Precauciones de empleo en casos especiales</w:t>
        </w:r>
        <w:r w:rsidR="001779CA" w:rsidRPr="00162E37">
          <w:rPr>
            <w:rFonts w:ascii="Arial" w:hAnsi="Arial" w:cs="Arial"/>
            <w:noProof/>
            <w:sz w:val="20"/>
            <w:szCs w:val="20"/>
            <w:vertAlign w:val="baseline"/>
          </w:rPr>
          <w:tab/>
        </w:r>
        <w:r w:rsidR="00FC0611" w:rsidRPr="00162E37">
          <w:rPr>
            <w:rFonts w:ascii="Arial" w:hAnsi="Arial" w:cs="Arial"/>
            <w:noProof/>
            <w:sz w:val="20"/>
            <w:szCs w:val="20"/>
            <w:vertAlign w:val="baseline"/>
          </w:rPr>
          <w:t>51</w:t>
        </w:r>
      </w:hyperlink>
    </w:p>
    <w:p w14:paraId="0F6A74CD" w14:textId="65893292" w:rsidR="001779CA" w:rsidRPr="00162E37" w:rsidRDefault="00782245" w:rsidP="00AD2EC6">
      <w:pPr>
        <w:pStyle w:val="TDC1"/>
        <w:tabs>
          <w:tab w:val="right" w:leader="dot" w:pos="8494"/>
        </w:tabs>
        <w:ind w:left="0" w:hanging="2"/>
        <w:rPr>
          <w:rFonts w:ascii="Arial" w:eastAsiaTheme="minorEastAsia" w:hAnsi="Arial" w:cs="Arial"/>
          <w:noProof/>
          <w:sz w:val="20"/>
          <w:szCs w:val="20"/>
          <w:vertAlign w:val="baseline"/>
          <w:lang w:eastAsia="es-ES"/>
        </w:rPr>
      </w:pPr>
      <w:hyperlink w:anchor="_Toc82802210" w:history="1">
        <w:r w:rsidR="001779CA" w:rsidRPr="00162E37">
          <w:rPr>
            <w:rStyle w:val="Hipervnculo"/>
            <w:rFonts w:ascii="Arial" w:hAnsi="Arial" w:cs="Arial"/>
            <w:noProof/>
            <w:color w:val="auto"/>
            <w:sz w:val="20"/>
            <w:szCs w:val="20"/>
            <w:u w:val="none"/>
            <w:lang w:val="es-ES_tradnl"/>
          </w:rPr>
          <w:t>7. AREA ECONÓMICA</w:t>
        </w:r>
        <w:r w:rsidR="001779CA" w:rsidRPr="00162E37">
          <w:rPr>
            <w:rFonts w:ascii="Arial" w:hAnsi="Arial" w:cs="Arial"/>
            <w:noProof/>
            <w:sz w:val="20"/>
            <w:szCs w:val="20"/>
            <w:vertAlign w:val="baseline"/>
          </w:rPr>
          <w:tab/>
        </w:r>
        <w:r w:rsidR="00FC0611" w:rsidRPr="00162E37">
          <w:rPr>
            <w:rFonts w:ascii="Arial" w:hAnsi="Arial" w:cs="Arial"/>
            <w:noProof/>
            <w:sz w:val="20"/>
            <w:szCs w:val="20"/>
            <w:vertAlign w:val="baseline"/>
          </w:rPr>
          <w:t>52</w:t>
        </w:r>
      </w:hyperlink>
    </w:p>
    <w:p w14:paraId="6F7350A7" w14:textId="35E9FB26" w:rsidR="00722B68" w:rsidRPr="00162E37" w:rsidRDefault="00782245" w:rsidP="00AD2EC6">
      <w:pPr>
        <w:pStyle w:val="TDC2"/>
        <w:tabs>
          <w:tab w:val="right" w:leader="dot" w:pos="8494"/>
        </w:tabs>
        <w:ind w:left="0" w:hanging="2"/>
        <w:rPr>
          <w:rFonts w:ascii="Arial" w:hAnsi="Arial" w:cs="Arial"/>
          <w:noProof/>
          <w:sz w:val="20"/>
          <w:szCs w:val="20"/>
          <w:vertAlign w:val="baseline"/>
        </w:rPr>
      </w:pPr>
      <w:hyperlink w:anchor="_Toc82802211" w:history="1">
        <w:r w:rsidR="001779CA" w:rsidRPr="00162E37">
          <w:rPr>
            <w:rStyle w:val="Hipervnculo"/>
            <w:rFonts w:ascii="Arial" w:hAnsi="Arial" w:cs="Arial"/>
            <w:noProof/>
            <w:color w:val="auto"/>
            <w:sz w:val="20"/>
            <w:szCs w:val="20"/>
            <w:u w:val="none"/>
            <w:lang w:val="es-ES_tradnl"/>
          </w:rPr>
          <w:t>7.1 Coste tratamiento. Coste incremental</w:t>
        </w:r>
        <w:r w:rsidR="001779CA" w:rsidRPr="00162E37">
          <w:rPr>
            <w:rFonts w:ascii="Arial" w:hAnsi="Arial" w:cs="Arial"/>
            <w:noProof/>
            <w:sz w:val="20"/>
            <w:szCs w:val="20"/>
            <w:vertAlign w:val="baseline"/>
          </w:rPr>
          <w:tab/>
        </w:r>
        <w:r w:rsidR="00FC0611" w:rsidRPr="00162E37">
          <w:rPr>
            <w:rFonts w:ascii="Arial" w:hAnsi="Arial" w:cs="Arial"/>
            <w:noProof/>
            <w:sz w:val="20"/>
            <w:szCs w:val="20"/>
            <w:vertAlign w:val="baseline"/>
          </w:rPr>
          <w:t>52</w:t>
        </w:r>
      </w:hyperlink>
    </w:p>
    <w:p w14:paraId="4542CE23" w14:textId="73184A8C" w:rsidR="00722B68" w:rsidRPr="00162E37" w:rsidRDefault="00782245" w:rsidP="00AD2EC6">
      <w:pPr>
        <w:pStyle w:val="TDC2"/>
        <w:tabs>
          <w:tab w:val="right" w:leader="dot" w:pos="8494"/>
        </w:tabs>
        <w:ind w:leftChars="0" w:left="2" w:firstLineChars="0" w:hanging="2"/>
        <w:rPr>
          <w:rFonts w:ascii="Arial" w:eastAsiaTheme="minorEastAsia" w:hAnsi="Arial" w:cs="Arial"/>
          <w:noProof/>
          <w:sz w:val="20"/>
          <w:szCs w:val="20"/>
          <w:vertAlign w:val="baseline"/>
          <w:lang w:eastAsia="es-ES"/>
        </w:rPr>
      </w:pPr>
      <w:hyperlink w:anchor="_Toc82802213" w:history="1">
        <w:r w:rsidR="00722B68" w:rsidRPr="00162E37">
          <w:rPr>
            <w:rStyle w:val="Hipervnculo"/>
            <w:rFonts w:ascii="Arial" w:hAnsi="Arial" w:cs="Arial"/>
            <w:noProof/>
            <w:color w:val="auto"/>
            <w:sz w:val="20"/>
            <w:szCs w:val="20"/>
            <w:u w:val="none"/>
            <w:lang w:val="es-ES_tradnl"/>
          </w:rPr>
          <w:t>7.2.Evaluaciones económicas publicadas</w:t>
        </w:r>
        <w:r w:rsidR="00722B68" w:rsidRPr="00162E37">
          <w:rPr>
            <w:rFonts w:ascii="Arial" w:hAnsi="Arial" w:cs="Arial"/>
            <w:noProof/>
            <w:sz w:val="20"/>
            <w:szCs w:val="20"/>
            <w:vertAlign w:val="baseline"/>
          </w:rPr>
          <w:tab/>
          <w:t>53</w:t>
        </w:r>
      </w:hyperlink>
    </w:p>
    <w:p w14:paraId="51432DF9" w14:textId="0C5B0377" w:rsidR="001779CA" w:rsidRPr="00162E37" w:rsidRDefault="00782245" w:rsidP="00AD2EC6">
      <w:pPr>
        <w:pStyle w:val="TDC2"/>
        <w:tabs>
          <w:tab w:val="right" w:leader="dot" w:pos="8494"/>
        </w:tabs>
        <w:ind w:leftChars="0" w:left="2" w:firstLineChars="0" w:hanging="2"/>
        <w:rPr>
          <w:rFonts w:ascii="Arial" w:eastAsiaTheme="minorEastAsia" w:hAnsi="Arial" w:cs="Arial"/>
          <w:noProof/>
          <w:sz w:val="20"/>
          <w:szCs w:val="20"/>
          <w:vertAlign w:val="baseline"/>
          <w:lang w:eastAsia="es-ES"/>
        </w:rPr>
      </w:pPr>
      <w:hyperlink w:anchor="_Toc82802213" w:history="1">
        <w:r w:rsidR="001779CA" w:rsidRPr="00162E37">
          <w:rPr>
            <w:rStyle w:val="Hipervnculo"/>
            <w:rFonts w:ascii="Arial" w:hAnsi="Arial" w:cs="Arial"/>
            <w:noProof/>
            <w:color w:val="auto"/>
            <w:sz w:val="20"/>
            <w:szCs w:val="20"/>
            <w:u w:val="none"/>
            <w:lang w:val="es-ES_tradnl"/>
          </w:rPr>
          <w:t xml:space="preserve">7.2.a </w:t>
        </w:r>
        <w:r w:rsidR="00722B68" w:rsidRPr="00162E37">
          <w:rPr>
            <w:rStyle w:val="Hipervnculo"/>
            <w:rFonts w:ascii="Arial" w:hAnsi="Arial" w:cs="Arial"/>
            <w:noProof/>
            <w:color w:val="auto"/>
            <w:sz w:val="20"/>
            <w:szCs w:val="20"/>
            <w:u w:val="none"/>
            <w:lang w:val="es-ES_tradnl"/>
          </w:rPr>
          <w:t>Búsqueda de evaluaciones económicas publicadas</w:t>
        </w:r>
        <w:r w:rsidR="001779CA" w:rsidRPr="00162E37">
          <w:rPr>
            <w:rFonts w:ascii="Arial" w:hAnsi="Arial" w:cs="Arial"/>
            <w:noProof/>
            <w:sz w:val="20"/>
            <w:szCs w:val="20"/>
            <w:vertAlign w:val="baseline"/>
          </w:rPr>
          <w:tab/>
        </w:r>
        <w:r w:rsidR="00FC0611" w:rsidRPr="00162E37">
          <w:rPr>
            <w:rFonts w:ascii="Arial" w:hAnsi="Arial" w:cs="Arial"/>
            <w:noProof/>
            <w:sz w:val="20"/>
            <w:szCs w:val="20"/>
            <w:vertAlign w:val="baseline"/>
          </w:rPr>
          <w:t>53</w:t>
        </w:r>
      </w:hyperlink>
    </w:p>
    <w:p w14:paraId="19479A01" w14:textId="67846A47" w:rsidR="001779CA" w:rsidRPr="00162E37" w:rsidRDefault="00782245" w:rsidP="00AD2EC6">
      <w:pPr>
        <w:pStyle w:val="TDC2"/>
        <w:tabs>
          <w:tab w:val="right" w:leader="dot" w:pos="8494"/>
        </w:tabs>
        <w:ind w:leftChars="0" w:left="2" w:firstLineChars="0" w:hanging="2"/>
        <w:rPr>
          <w:rFonts w:ascii="Arial" w:eastAsiaTheme="minorEastAsia" w:hAnsi="Arial" w:cs="Arial"/>
          <w:noProof/>
          <w:sz w:val="20"/>
          <w:szCs w:val="20"/>
          <w:vertAlign w:val="baseline"/>
          <w:lang w:eastAsia="es-ES"/>
        </w:rPr>
      </w:pPr>
      <w:hyperlink w:anchor="_Toc82802214" w:history="1">
        <w:r w:rsidR="001779CA" w:rsidRPr="00162E37">
          <w:rPr>
            <w:rStyle w:val="Hipervnculo"/>
            <w:rFonts w:ascii="Arial" w:hAnsi="Arial" w:cs="Arial"/>
            <w:noProof/>
            <w:color w:val="auto"/>
            <w:sz w:val="20"/>
            <w:szCs w:val="20"/>
            <w:u w:val="none"/>
            <w:lang w:val="es-ES_tradnl"/>
          </w:rPr>
          <w:t xml:space="preserve">7.2.b </w:t>
        </w:r>
        <w:r w:rsidR="00722B68" w:rsidRPr="00162E37">
          <w:rPr>
            <w:rFonts w:ascii="Arial" w:eastAsia="Arial" w:hAnsi="Arial" w:cs="Arial"/>
            <w:color w:val="000000"/>
            <w:sz w:val="20"/>
            <w:szCs w:val="20"/>
            <w:vertAlign w:val="baseline"/>
          </w:rPr>
          <w:t>Extracción de datos de las evaluaciones económicas publicadas</w:t>
        </w:r>
        <w:r w:rsidR="001779CA" w:rsidRPr="00162E37">
          <w:rPr>
            <w:rFonts w:ascii="Arial" w:hAnsi="Arial" w:cs="Arial"/>
            <w:noProof/>
            <w:sz w:val="20"/>
            <w:szCs w:val="20"/>
            <w:vertAlign w:val="baseline"/>
          </w:rPr>
          <w:tab/>
        </w:r>
        <w:r w:rsidR="00FC0611" w:rsidRPr="00162E37">
          <w:rPr>
            <w:rFonts w:ascii="Arial" w:hAnsi="Arial" w:cs="Arial"/>
            <w:noProof/>
            <w:sz w:val="20"/>
            <w:szCs w:val="20"/>
            <w:vertAlign w:val="baseline"/>
          </w:rPr>
          <w:t>53</w:t>
        </w:r>
      </w:hyperlink>
    </w:p>
    <w:p w14:paraId="734E2664" w14:textId="6D9D256D" w:rsidR="00722B68" w:rsidRPr="00162E37" w:rsidRDefault="00782245" w:rsidP="00AD2EC6">
      <w:pPr>
        <w:pStyle w:val="TDC2"/>
        <w:tabs>
          <w:tab w:val="right" w:leader="dot" w:pos="8494"/>
        </w:tabs>
        <w:ind w:leftChars="0" w:left="2" w:firstLineChars="0" w:hanging="2"/>
        <w:rPr>
          <w:rFonts w:ascii="Arial" w:hAnsi="Arial" w:cs="Arial"/>
          <w:noProof/>
          <w:sz w:val="20"/>
          <w:szCs w:val="20"/>
          <w:vertAlign w:val="baseline"/>
        </w:rPr>
      </w:pPr>
      <w:hyperlink w:anchor="_Toc82802215" w:history="1">
        <w:r w:rsidR="001779CA" w:rsidRPr="00162E37">
          <w:rPr>
            <w:rStyle w:val="Hipervnculo"/>
            <w:rFonts w:ascii="Arial" w:hAnsi="Arial" w:cs="Arial"/>
            <w:noProof/>
            <w:color w:val="auto"/>
            <w:sz w:val="20"/>
            <w:szCs w:val="20"/>
            <w:u w:val="none"/>
            <w:lang w:val="es-ES_tradnl"/>
          </w:rPr>
          <w:t>7.3 E</w:t>
        </w:r>
        <w:r w:rsidR="00722B68" w:rsidRPr="00162E37">
          <w:rPr>
            <w:rStyle w:val="Hipervnculo"/>
            <w:rFonts w:ascii="Arial" w:hAnsi="Arial" w:cs="Arial"/>
            <w:noProof/>
            <w:color w:val="auto"/>
            <w:sz w:val="20"/>
            <w:szCs w:val="20"/>
            <w:u w:val="none"/>
            <w:lang w:val="es-ES_tradnl"/>
          </w:rPr>
          <w:t>valuación económica propia</w:t>
        </w:r>
        <w:r w:rsidR="001779CA" w:rsidRPr="00162E37">
          <w:rPr>
            <w:rFonts w:ascii="Arial" w:hAnsi="Arial" w:cs="Arial"/>
            <w:noProof/>
            <w:sz w:val="20"/>
            <w:szCs w:val="20"/>
            <w:vertAlign w:val="baseline"/>
          </w:rPr>
          <w:tab/>
        </w:r>
        <w:r w:rsidR="00FC0611" w:rsidRPr="00162E37">
          <w:rPr>
            <w:rFonts w:ascii="Arial" w:hAnsi="Arial" w:cs="Arial"/>
            <w:noProof/>
            <w:sz w:val="20"/>
            <w:szCs w:val="20"/>
            <w:vertAlign w:val="baseline"/>
          </w:rPr>
          <w:t>6</w:t>
        </w:r>
        <w:r w:rsidR="0021315C" w:rsidRPr="00162E37">
          <w:rPr>
            <w:rFonts w:ascii="Arial" w:hAnsi="Arial" w:cs="Arial"/>
            <w:noProof/>
            <w:sz w:val="20"/>
            <w:szCs w:val="20"/>
            <w:vertAlign w:val="baseline"/>
          </w:rPr>
          <w:t>2</w:t>
        </w:r>
      </w:hyperlink>
    </w:p>
    <w:p w14:paraId="71F5146A" w14:textId="519C00DD" w:rsidR="001779CA" w:rsidRPr="00162E37" w:rsidRDefault="00782245" w:rsidP="00AD2EC6">
      <w:pPr>
        <w:pStyle w:val="TDC2"/>
        <w:tabs>
          <w:tab w:val="right" w:leader="dot" w:pos="8494"/>
        </w:tabs>
        <w:ind w:leftChars="0" w:left="2" w:firstLineChars="0" w:hanging="2"/>
        <w:rPr>
          <w:rFonts w:ascii="Arial" w:eastAsiaTheme="minorEastAsia" w:hAnsi="Arial" w:cs="Arial"/>
          <w:noProof/>
          <w:sz w:val="20"/>
          <w:szCs w:val="20"/>
          <w:vertAlign w:val="baseline"/>
          <w:lang w:eastAsia="es-ES"/>
        </w:rPr>
      </w:pPr>
      <w:hyperlink w:anchor="_Toc82802216" w:history="1">
        <w:r w:rsidR="001779CA" w:rsidRPr="00162E37">
          <w:rPr>
            <w:rStyle w:val="Hipervnculo"/>
            <w:rFonts w:ascii="Arial" w:hAnsi="Arial" w:cs="Arial"/>
            <w:noProof/>
            <w:color w:val="auto"/>
            <w:sz w:val="20"/>
            <w:szCs w:val="20"/>
            <w:u w:val="none"/>
            <w:lang w:val="es-ES_tradnl"/>
          </w:rPr>
          <w:t>7.</w:t>
        </w:r>
        <w:r w:rsidR="0021315C" w:rsidRPr="00162E37">
          <w:rPr>
            <w:rStyle w:val="Hipervnculo"/>
            <w:rFonts w:ascii="Arial" w:hAnsi="Arial" w:cs="Arial"/>
            <w:noProof/>
            <w:color w:val="auto"/>
            <w:sz w:val="20"/>
            <w:szCs w:val="20"/>
            <w:u w:val="none"/>
            <w:lang w:val="es-ES_tradnl"/>
          </w:rPr>
          <w:t>3.1. Análisis de minimización de costes. Estudios propios</w:t>
        </w:r>
        <w:r w:rsidR="001779CA" w:rsidRPr="00162E37">
          <w:rPr>
            <w:rFonts w:ascii="Arial" w:hAnsi="Arial" w:cs="Arial"/>
            <w:noProof/>
            <w:sz w:val="20"/>
            <w:szCs w:val="20"/>
            <w:vertAlign w:val="baseline"/>
          </w:rPr>
          <w:tab/>
        </w:r>
        <w:r w:rsidR="0021315C" w:rsidRPr="00162E37">
          <w:rPr>
            <w:rFonts w:ascii="Arial" w:hAnsi="Arial" w:cs="Arial"/>
            <w:noProof/>
            <w:sz w:val="20"/>
            <w:szCs w:val="20"/>
            <w:vertAlign w:val="baseline"/>
          </w:rPr>
          <w:t>63</w:t>
        </w:r>
      </w:hyperlink>
    </w:p>
    <w:p w14:paraId="621D1985" w14:textId="51E4B0F6" w:rsidR="001779CA" w:rsidRPr="00162E37" w:rsidRDefault="00782245" w:rsidP="00AD2EC6">
      <w:pPr>
        <w:pStyle w:val="TDC2"/>
        <w:tabs>
          <w:tab w:val="right" w:leader="dot" w:pos="8494"/>
        </w:tabs>
        <w:ind w:leftChars="0" w:left="2" w:firstLineChars="0" w:hanging="2"/>
        <w:rPr>
          <w:rFonts w:ascii="Arial" w:eastAsiaTheme="minorEastAsia" w:hAnsi="Arial" w:cs="Arial"/>
          <w:noProof/>
          <w:sz w:val="20"/>
          <w:szCs w:val="20"/>
          <w:vertAlign w:val="baseline"/>
          <w:lang w:eastAsia="es-ES"/>
        </w:rPr>
      </w:pPr>
      <w:hyperlink w:anchor="_Toc82802217" w:history="1">
        <w:r w:rsidR="001779CA" w:rsidRPr="00162E37">
          <w:rPr>
            <w:rStyle w:val="Hipervnculo"/>
            <w:rFonts w:ascii="Arial" w:hAnsi="Arial" w:cs="Arial"/>
            <w:noProof/>
            <w:color w:val="auto"/>
            <w:sz w:val="20"/>
            <w:szCs w:val="20"/>
            <w:u w:val="none"/>
            <w:lang w:val="es-ES_tradnl"/>
          </w:rPr>
          <w:t>7</w:t>
        </w:r>
        <w:r w:rsidR="0021315C" w:rsidRPr="00162E37">
          <w:rPr>
            <w:rStyle w:val="Hipervnculo"/>
            <w:rFonts w:ascii="Arial" w:hAnsi="Arial" w:cs="Arial"/>
            <w:noProof/>
            <w:color w:val="auto"/>
            <w:sz w:val="20"/>
            <w:szCs w:val="20"/>
            <w:u w:val="none"/>
            <w:lang w:val="es-ES_tradnl"/>
          </w:rPr>
          <w:t>.3.2.</w:t>
        </w:r>
        <w:r w:rsidR="001779CA" w:rsidRPr="00162E37">
          <w:rPr>
            <w:rStyle w:val="Hipervnculo"/>
            <w:rFonts w:ascii="Arial" w:hAnsi="Arial" w:cs="Arial"/>
            <w:noProof/>
            <w:color w:val="auto"/>
            <w:sz w:val="20"/>
            <w:szCs w:val="20"/>
            <w:u w:val="none"/>
            <w:lang w:val="es-ES_tradnl"/>
          </w:rPr>
          <w:t xml:space="preserve"> </w:t>
        </w:r>
        <w:r w:rsidR="0021315C" w:rsidRPr="00162E37">
          <w:rPr>
            <w:rStyle w:val="Hipervnculo"/>
            <w:rFonts w:ascii="Arial" w:hAnsi="Arial" w:cs="Arial"/>
            <w:noProof/>
            <w:color w:val="auto"/>
            <w:sz w:val="20"/>
            <w:szCs w:val="20"/>
            <w:u w:val="none"/>
            <w:lang w:val="es-ES_tradnl"/>
          </w:rPr>
          <w:t>Coste-efectividad. Estudios propios</w:t>
        </w:r>
        <w:r w:rsidR="001779CA" w:rsidRPr="00162E37">
          <w:rPr>
            <w:rFonts w:ascii="Arial" w:hAnsi="Arial" w:cs="Arial"/>
            <w:noProof/>
            <w:sz w:val="20"/>
            <w:szCs w:val="20"/>
            <w:vertAlign w:val="baseline"/>
          </w:rPr>
          <w:tab/>
        </w:r>
        <w:r w:rsidR="0021315C" w:rsidRPr="00162E37">
          <w:rPr>
            <w:rFonts w:ascii="Arial" w:hAnsi="Arial" w:cs="Arial"/>
            <w:noProof/>
            <w:sz w:val="20"/>
            <w:szCs w:val="20"/>
            <w:vertAlign w:val="baseline"/>
          </w:rPr>
          <w:t>63</w:t>
        </w:r>
      </w:hyperlink>
    </w:p>
    <w:p w14:paraId="1168FCA1" w14:textId="08CA33A2" w:rsidR="001779CA" w:rsidRPr="00162E37" w:rsidRDefault="00782245" w:rsidP="00AD2EC6">
      <w:pPr>
        <w:pStyle w:val="TDC1"/>
        <w:tabs>
          <w:tab w:val="right" w:leader="dot" w:pos="8494"/>
        </w:tabs>
        <w:ind w:leftChars="0" w:left="2" w:firstLineChars="0" w:hanging="2"/>
        <w:rPr>
          <w:rFonts w:ascii="Arial" w:eastAsiaTheme="minorEastAsia" w:hAnsi="Arial" w:cs="Arial"/>
          <w:noProof/>
          <w:sz w:val="20"/>
          <w:szCs w:val="20"/>
          <w:vertAlign w:val="baseline"/>
          <w:lang w:eastAsia="es-ES"/>
        </w:rPr>
      </w:pPr>
      <w:hyperlink w:anchor="_Toc82802218" w:history="1">
        <w:r w:rsidR="0021315C" w:rsidRPr="00162E37">
          <w:rPr>
            <w:rStyle w:val="Hipervnculo"/>
            <w:rFonts w:ascii="Arial" w:hAnsi="Arial" w:cs="Arial"/>
            <w:noProof/>
            <w:color w:val="auto"/>
            <w:sz w:val="20"/>
            <w:szCs w:val="20"/>
            <w:u w:val="none"/>
            <w:lang w:val="es-ES_tradnl"/>
          </w:rPr>
          <w:t>7.3.3. Coste-utilidad. Estudios propios.</w:t>
        </w:r>
        <w:r w:rsidR="001779CA" w:rsidRPr="00162E37">
          <w:rPr>
            <w:rFonts w:ascii="Arial" w:hAnsi="Arial" w:cs="Arial"/>
            <w:noProof/>
            <w:sz w:val="20"/>
            <w:szCs w:val="20"/>
            <w:vertAlign w:val="baseline"/>
          </w:rPr>
          <w:tab/>
        </w:r>
        <w:r w:rsidR="0021315C" w:rsidRPr="00162E37">
          <w:rPr>
            <w:rFonts w:ascii="Arial" w:hAnsi="Arial" w:cs="Arial"/>
            <w:noProof/>
            <w:sz w:val="20"/>
            <w:szCs w:val="20"/>
            <w:vertAlign w:val="baseline"/>
          </w:rPr>
          <w:t>64</w:t>
        </w:r>
      </w:hyperlink>
    </w:p>
    <w:p w14:paraId="03B062E4" w14:textId="65DB9682" w:rsidR="001779CA" w:rsidRPr="00162E37" w:rsidRDefault="00782245" w:rsidP="00AD2EC6">
      <w:pPr>
        <w:pStyle w:val="TDC2"/>
        <w:tabs>
          <w:tab w:val="right" w:leader="dot" w:pos="8494"/>
        </w:tabs>
        <w:ind w:leftChars="0" w:left="2" w:firstLineChars="0" w:hanging="2"/>
        <w:rPr>
          <w:rFonts w:ascii="Arial" w:eastAsiaTheme="minorEastAsia" w:hAnsi="Arial" w:cs="Arial"/>
          <w:noProof/>
          <w:sz w:val="20"/>
          <w:szCs w:val="20"/>
          <w:vertAlign w:val="baseline"/>
          <w:lang w:eastAsia="es-ES"/>
        </w:rPr>
      </w:pPr>
      <w:hyperlink w:anchor="_Toc82802219" w:history="1">
        <w:r w:rsidR="0021315C" w:rsidRPr="00162E37">
          <w:rPr>
            <w:rStyle w:val="Hipervnculo"/>
            <w:rFonts w:ascii="Arial" w:hAnsi="Arial" w:cs="Arial"/>
            <w:noProof/>
            <w:color w:val="auto"/>
            <w:sz w:val="20"/>
            <w:szCs w:val="20"/>
            <w:u w:val="none"/>
            <w:lang w:val="es-ES_tradnl"/>
          </w:rPr>
          <w:t>7.3.4</w:t>
        </w:r>
        <w:r w:rsidR="007E773F" w:rsidRPr="00162E37">
          <w:rPr>
            <w:rStyle w:val="Hipervnculo"/>
            <w:rFonts w:ascii="Arial" w:hAnsi="Arial" w:cs="Arial"/>
            <w:noProof/>
            <w:color w:val="auto"/>
            <w:sz w:val="20"/>
            <w:szCs w:val="20"/>
            <w:u w:val="none"/>
            <w:lang w:val="es-ES_tradnl"/>
          </w:rPr>
          <w:t>.</w:t>
        </w:r>
        <w:r w:rsidR="0021315C" w:rsidRPr="00162E37">
          <w:rPr>
            <w:rStyle w:val="Hipervnculo"/>
            <w:rFonts w:ascii="Arial" w:hAnsi="Arial" w:cs="Arial"/>
            <w:noProof/>
            <w:color w:val="auto"/>
            <w:sz w:val="20"/>
            <w:szCs w:val="20"/>
            <w:u w:val="none"/>
            <w:lang w:val="es-ES_tradnl"/>
          </w:rPr>
          <w:t xml:space="preserve"> Análisis de sensibilidad.</w:t>
        </w:r>
        <w:r w:rsidR="001779CA" w:rsidRPr="00162E37">
          <w:rPr>
            <w:rFonts w:ascii="Arial" w:hAnsi="Arial" w:cs="Arial"/>
            <w:noProof/>
            <w:sz w:val="20"/>
            <w:szCs w:val="20"/>
            <w:vertAlign w:val="baseline"/>
          </w:rPr>
          <w:tab/>
        </w:r>
        <w:r w:rsidR="0021315C" w:rsidRPr="00162E37">
          <w:rPr>
            <w:rFonts w:ascii="Arial" w:hAnsi="Arial" w:cs="Arial"/>
            <w:noProof/>
            <w:sz w:val="20"/>
            <w:szCs w:val="20"/>
            <w:vertAlign w:val="baseline"/>
          </w:rPr>
          <w:t>64</w:t>
        </w:r>
      </w:hyperlink>
    </w:p>
    <w:p w14:paraId="20CE735C" w14:textId="3429DF81" w:rsidR="001779CA" w:rsidRPr="00162E37" w:rsidRDefault="00782245" w:rsidP="00AD2EC6">
      <w:pPr>
        <w:pStyle w:val="TDC2"/>
        <w:tabs>
          <w:tab w:val="right" w:leader="dot" w:pos="8494"/>
        </w:tabs>
        <w:ind w:leftChars="0" w:left="2" w:firstLineChars="0" w:hanging="2"/>
        <w:rPr>
          <w:rFonts w:ascii="Arial" w:eastAsiaTheme="minorEastAsia" w:hAnsi="Arial" w:cs="Arial"/>
          <w:noProof/>
          <w:sz w:val="20"/>
          <w:szCs w:val="20"/>
          <w:vertAlign w:val="baseline"/>
          <w:lang w:eastAsia="es-ES"/>
        </w:rPr>
      </w:pPr>
      <w:hyperlink w:anchor="_Toc82802220" w:history="1">
        <w:r w:rsidR="0021315C" w:rsidRPr="00162E37">
          <w:rPr>
            <w:rStyle w:val="Hipervnculo"/>
            <w:rFonts w:ascii="Arial" w:hAnsi="Arial" w:cs="Arial"/>
            <w:noProof/>
            <w:color w:val="auto"/>
            <w:sz w:val="20"/>
            <w:szCs w:val="20"/>
            <w:u w:val="none"/>
            <w:lang w:val="es-ES_tradnl"/>
          </w:rPr>
          <w:t>7.4</w:t>
        </w:r>
        <w:r w:rsidR="007E773F" w:rsidRPr="00162E37">
          <w:rPr>
            <w:rStyle w:val="Hipervnculo"/>
            <w:rFonts w:ascii="Arial" w:hAnsi="Arial" w:cs="Arial"/>
            <w:noProof/>
            <w:color w:val="auto"/>
            <w:sz w:val="20"/>
            <w:szCs w:val="20"/>
            <w:u w:val="none"/>
            <w:lang w:val="es-ES_tradnl"/>
          </w:rPr>
          <w:t>.</w:t>
        </w:r>
        <w:r w:rsidR="0021315C" w:rsidRPr="00162E37">
          <w:rPr>
            <w:rStyle w:val="Hipervnculo"/>
            <w:rFonts w:ascii="Arial" w:hAnsi="Arial" w:cs="Arial"/>
            <w:noProof/>
            <w:color w:val="auto"/>
            <w:sz w:val="20"/>
            <w:szCs w:val="20"/>
            <w:u w:val="none"/>
            <w:lang w:val="es-ES_tradnl"/>
          </w:rPr>
          <w:t xml:space="preserve"> </w:t>
        </w:r>
        <w:r w:rsidR="0021315C" w:rsidRPr="00162E37">
          <w:rPr>
            <w:rFonts w:ascii="Arial" w:eastAsia="Arial" w:hAnsi="Arial" w:cs="Arial"/>
            <w:bCs/>
            <w:color w:val="000000"/>
            <w:sz w:val="20"/>
            <w:szCs w:val="20"/>
            <w:vertAlign w:val="baseline"/>
          </w:rPr>
          <w:t>Estimación del impacto presupuestario y de los beneficios esperados en salud</w:t>
        </w:r>
        <w:r w:rsidR="001779CA" w:rsidRPr="00162E37">
          <w:rPr>
            <w:rFonts w:ascii="Arial" w:hAnsi="Arial" w:cs="Arial"/>
            <w:noProof/>
            <w:sz w:val="20"/>
            <w:szCs w:val="20"/>
            <w:vertAlign w:val="baseline"/>
          </w:rPr>
          <w:tab/>
        </w:r>
        <w:r w:rsidR="00CD6C94" w:rsidRPr="00162E37">
          <w:rPr>
            <w:rFonts w:ascii="Arial" w:hAnsi="Arial" w:cs="Arial"/>
            <w:noProof/>
            <w:sz w:val="20"/>
            <w:szCs w:val="20"/>
            <w:vertAlign w:val="baseline"/>
          </w:rPr>
          <w:t>64</w:t>
        </w:r>
      </w:hyperlink>
    </w:p>
    <w:p w14:paraId="2B2C628B" w14:textId="6E62A497" w:rsidR="001779CA" w:rsidRPr="00162E37" w:rsidRDefault="00782245" w:rsidP="00AD2EC6">
      <w:pPr>
        <w:pStyle w:val="TDC1"/>
        <w:tabs>
          <w:tab w:val="right" w:leader="dot" w:pos="8494"/>
        </w:tabs>
        <w:ind w:leftChars="0" w:left="2" w:firstLineChars="0" w:hanging="2"/>
        <w:rPr>
          <w:rFonts w:ascii="Arial" w:eastAsiaTheme="minorEastAsia" w:hAnsi="Arial" w:cs="Arial"/>
          <w:noProof/>
          <w:sz w:val="20"/>
          <w:szCs w:val="20"/>
          <w:vertAlign w:val="baseline"/>
          <w:lang w:eastAsia="es-ES"/>
        </w:rPr>
      </w:pPr>
      <w:hyperlink w:anchor="_Toc82802221" w:history="1">
        <w:r w:rsidR="00CD6C94" w:rsidRPr="00162E37">
          <w:rPr>
            <w:rStyle w:val="Hipervnculo"/>
            <w:rFonts w:ascii="Arial" w:hAnsi="Arial" w:cs="Arial"/>
            <w:noProof/>
            <w:color w:val="auto"/>
            <w:sz w:val="20"/>
            <w:szCs w:val="20"/>
            <w:u w:val="none"/>
            <w:lang w:val="es-ES_tradnl"/>
          </w:rPr>
          <w:t>7.4.1</w:t>
        </w:r>
        <w:r w:rsidR="007E773F" w:rsidRPr="00162E37">
          <w:rPr>
            <w:rStyle w:val="Hipervnculo"/>
            <w:rFonts w:ascii="Arial" w:hAnsi="Arial" w:cs="Arial"/>
            <w:noProof/>
            <w:color w:val="auto"/>
            <w:sz w:val="20"/>
            <w:szCs w:val="20"/>
            <w:u w:val="none"/>
            <w:lang w:val="es-ES_tradnl"/>
          </w:rPr>
          <w:t xml:space="preserve">. </w:t>
        </w:r>
        <w:r w:rsidR="00CD6C94" w:rsidRPr="00162E37">
          <w:rPr>
            <w:rStyle w:val="Hipervnculo"/>
            <w:rFonts w:ascii="Arial" w:hAnsi="Arial" w:cs="Arial"/>
            <w:noProof/>
            <w:color w:val="auto"/>
            <w:sz w:val="20"/>
            <w:szCs w:val="20"/>
            <w:u w:val="none"/>
            <w:lang w:val="es-ES_tradnl"/>
          </w:rPr>
          <w:t>Estimación de la población diana</w:t>
        </w:r>
        <w:r w:rsidR="001779CA" w:rsidRPr="00162E37">
          <w:rPr>
            <w:rStyle w:val="Hipervnculo"/>
            <w:rFonts w:ascii="Arial" w:hAnsi="Arial" w:cs="Arial"/>
            <w:noProof/>
            <w:color w:val="auto"/>
            <w:sz w:val="20"/>
            <w:szCs w:val="20"/>
            <w:u w:val="none"/>
            <w:lang w:val="es-ES_tradnl"/>
          </w:rPr>
          <w:t>.</w:t>
        </w:r>
        <w:r w:rsidR="001779CA" w:rsidRPr="00162E37">
          <w:rPr>
            <w:rFonts w:ascii="Arial" w:hAnsi="Arial" w:cs="Arial"/>
            <w:noProof/>
            <w:sz w:val="20"/>
            <w:szCs w:val="20"/>
            <w:vertAlign w:val="baseline"/>
          </w:rPr>
          <w:tab/>
        </w:r>
        <w:r w:rsidR="00CD6C94" w:rsidRPr="00162E37">
          <w:rPr>
            <w:rFonts w:ascii="Arial" w:hAnsi="Arial" w:cs="Arial"/>
            <w:noProof/>
            <w:sz w:val="20"/>
            <w:szCs w:val="20"/>
            <w:vertAlign w:val="baseline"/>
          </w:rPr>
          <w:t>64</w:t>
        </w:r>
      </w:hyperlink>
    </w:p>
    <w:p w14:paraId="60CD4B55" w14:textId="19E1A0E1" w:rsidR="001779CA" w:rsidRPr="00162E37" w:rsidRDefault="00782245" w:rsidP="00AD2EC6">
      <w:pPr>
        <w:pStyle w:val="TDC2"/>
        <w:tabs>
          <w:tab w:val="right" w:leader="dot" w:pos="8494"/>
        </w:tabs>
        <w:ind w:leftChars="0" w:left="2" w:firstLineChars="0" w:hanging="2"/>
        <w:rPr>
          <w:rFonts w:ascii="Arial" w:eastAsiaTheme="minorEastAsia" w:hAnsi="Arial" w:cs="Arial"/>
          <w:noProof/>
          <w:sz w:val="20"/>
          <w:szCs w:val="20"/>
          <w:vertAlign w:val="baseline"/>
          <w:lang w:eastAsia="es-ES"/>
        </w:rPr>
      </w:pPr>
      <w:hyperlink w:anchor="_Toc82802222" w:history="1">
        <w:r w:rsidR="00CD6C94" w:rsidRPr="00162E37">
          <w:rPr>
            <w:rStyle w:val="Hipervnculo"/>
            <w:rFonts w:ascii="Arial" w:hAnsi="Arial" w:cs="Arial"/>
            <w:noProof/>
            <w:color w:val="auto"/>
            <w:sz w:val="20"/>
            <w:szCs w:val="20"/>
            <w:u w:val="none"/>
            <w:lang w:val="es-ES_tradnl"/>
          </w:rPr>
          <w:t>7.4.3.3. Estimación propia de impacto presupuestario y resultados en salud a nivel autonómico/estatal</w:t>
        </w:r>
        <w:r w:rsidR="001779CA" w:rsidRPr="00162E37">
          <w:rPr>
            <w:rFonts w:ascii="Arial" w:hAnsi="Arial" w:cs="Arial"/>
            <w:noProof/>
            <w:sz w:val="20"/>
            <w:szCs w:val="20"/>
            <w:vertAlign w:val="baseline"/>
          </w:rPr>
          <w:tab/>
        </w:r>
        <w:r w:rsidR="00CD6C94" w:rsidRPr="00162E37">
          <w:rPr>
            <w:rFonts w:ascii="Arial" w:hAnsi="Arial" w:cs="Arial"/>
            <w:noProof/>
            <w:sz w:val="20"/>
            <w:szCs w:val="20"/>
            <w:vertAlign w:val="baseline"/>
          </w:rPr>
          <w:t>66</w:t>
        </w:r>
      </w:hyperlink>
    </w:p>
    <w:p w14:paraId="3ECFD7BE" w14:textId="31EF5244" w:rsidR="001779CA" w:rsidRPr="00162E37" w:rsidRDefault="00782245" w:rsidP="00AD2EC6">
      <w:pPr>
        <w:pStyle w:val="TDC2"/>
        <w:tabs>
          <w:tab w:val="right" w:leader="dot" w:pos="8494"/>
        </w:tabs>
        <w:ind w:leftChars="0" w:left="2" w:firstLineChars="0" w:hanging="2"/>
        <w:rPr>
          <w:rFonts w:ascii="Arial" w:eastAsiaTheme="minorEastAsia" w:hAnsi="Arial" w:cs="Arial"/>
          <w:noProof/>
          <w:sz w:val="20"/>
          <w:szCs w:val="20"/>
          <w:vertAlign w:val="baseline"/>
          <w:lang w:eastAsia="es-ES"/>
        </w:rPr>
      </w:pPr>
      <w:hyperlink w:anchor="_Toc82802223" w:history="1">
        <w:r w:rsidR="00CD6C94" w:rsidRPr="00162E37">
          <w:rPr>
            <w:rStyle w:val="Hipervnculo"/>
            <w:rFonts w:ascii="Arial" w:hAnsi="Arial" w:cs="Arial"/>
            <w:noProof/>
            <w:color w:val="auto"/>
            <w:sz w:val="20"/>
            <w:szCs w:val="20"/>
            <w:u w:val="none"/>
            <w:lang w:val="es-ES_tradnl"/>
          </w:rPr>
          <w:t>7.5 Propuesta de posicionamiento</w:t>
        </w:r>
        <w:r w:rsidR="001779CA" w:rsidRPr="00162E37">
          <w:rPr>
            <w:rFonts w:ascii="Arial" w:hAnsi="Arial" w:cs="Arial"/>
            <w:noProof/>
            <w:sz w:val="20"/>
            <w:szCs w:val="20"/>
            <w:vertAlign w:val="baseline"/>
          </w:rPr>
          <w:tab/>
        </w:r>
        <w:r w:rsidR="00CD6C94" w:rsidRPr="00162E37">
          <w:rPr>
            <w:rFonts w:ascii="Arial" w:hAnsi="Arial" w:cs="Arial"/>
            <w:noProof/>
            <w:sz w:val="20"/>
            <w:szCs w:val="20"/>
            <w:vertAlign w:val="baseline"/>
          </w:rPr>
          <w:t>66</w:t>
        </w:r>
      </w:hyperlink>
    </w:p>
    <w:p w14:paraId="46946206" w14:textId="7C47CF7E" w:rsidR="001779CA" w:rsidRPr="00162E37" w:rsidRDefault="008F3E9C" w:rsidP="00AD2EC6">
      <w:pPr>
        <w:pStyle w:val="TDC2"/>
        <w:tabs>
          <w:tab w:val="right" w:leader="dot" w:pos="8494"/>
        </w:tabs>
        <w:ind w:leftChars="0" w:left="2" w:right="57" w:firstLineChars="0" w:hanging="2"/>
        <w:rPr>
          <w:rFonts w:ascii="Arial" w:eastAsiaTheme="minorEastAsia" w:hAnsi="Arial" w:cs="Arial"/>
          <w:noProof/>
          <w:sz w:val="20"/>
          <w:szCs w:val="20"/>
          <w:vertAlign w:val="baseline"/>
          <w:lang w:eastAsia="es-ES"/>
        </w:rPr>
      </w:pPr>
      <w:r w:rsidRPr="00162E37">
        <w:rPr>
          <w:rFonts w:ascii="Arial" w:hAnsi="Arial" w:cs="Arial"/>
          <w:sz w:val="20"/>
          <w:szCs w:val="20"/>
          <w:vertAlign w:val="baseline"/>
        </w:rPr>
        <w:t xml:space="preserve">7.5.1 </w:t>
      </w:r>
      <w:hyperlink w:anchor="_Toc82802224" w:history="1">
        <w:r w:rsidRPr="00162E37">
          <w:rPr>
            <w:rFonts w:ascii="Arial" w:hAnsi="Arial" w:cs="Arial"/>
            <w:sz w:val="20"/>
            <w:szCs w:val="20"/>
            <w:vertAlign w:val="baseline"/>
          </w:rPr>
          <w:t>Criterios de precio y financiación: Medicamento que presenta un valor terapéutico añadido respecto a la terapia de referencia.</w:t>
        </w:r>
        <w:r w:rsidR="001779CA" w:rsidRPr="00162E37">
          <w:rPr>
            <w:rFonts w:ascii="Arial" w:hAnsi="Arial" w:cs="Arial"/>
            <w:noProof/>
            <w:sz w:val="20"/>
            <w:szCs w:val="20"/>
            <w:vertAlign w:val="baseline"/>
          </w:rPr>
          <w:tab/>
        </w:r>
        <w:r w:rsidRPr="00162E37">
          <w:rPr>
            <w:rFonts w:ascii="Arial" w:hAnsi="Arial" w:cs="Arial"/>
            <w:noProof/>
            <w:sz w:val="20"/>
            <w:szCs w:val="20"/>
            <w:vertAlign w:val="baseline"/>
          </w:rPr>
          <w:t>66</w:t>
        </w:r>
      </w:hyperlink>
    </w:p>
    <w:p w14:paraId="45815D64" w14:textId="75E1C18E" w:rsidR="001779CA" w:rsidRPr="00162E37" w:rsidRDefault="008F3E9C" w:rsidP="00AD2EC6">
      <w:pPr>
        <w:pStyle w:val="TDC2"/>
        <w:tabs>
          <w:tab w:val="right" w:leader="dot" w:pos="8494"/>
        </w:tabs>
        <w:ind w:leftChars="0" w:left="2" w:right="1077" w:firstLineChars="0" w:hanging="2"/>
        <w:rPr>
          <w:rFonts w:ascii="Arial" w:hAnsi="Arial" w:cs="Arial"/>
          <w:sz w:val="20"/>
          <w:szCs w:val="20"/>
          <w:vertAlign w:val="baseline"/>
        </w:rPr>
      </w:pPr>
      <w:r w:rsidRPr="00162E37">
        <w:rPr>
          <w:rFonts w:ascii="Arial" w:hAnsi="Arial" w:cs="Arial"/>
          <w:sz w:val="20"/>
          <w:szCs w:val="20"/>
          <w:vertAlign w:val="baseline"/>
        </w:rPr>
        <w:t xml:space="preserve">7.5.2 </w:t>
      </w:r>
      <w:hyperlink w:anchor="_Toc82802225" w:history="1">
        <w:r w:rsidRPr="00162E37">
          <w:rPr>
            <w:rFonts w:ascii="Arial" w:hAnsi="Arial" w:cs="Arial"/>
            <w:sz w:val="20"/>
            <w:szCs w:val="20"/>
            <w:vertAlign w:val="baseline"/>
          </w:rPr>
          <w:t>Criterios de precio y financiación: Medicamento que presenta un valor terapéutico equivalente a la terapia de referencia.</w:t>
        </w:r>
        <w:r w:rsidR="001779CA" w:rsidRPr="00162E37">
          <w:rPr>
            <w:rFonts w:ascii="Arial" w:hAnsi="Arial" w:cs="Arial"/>
            <w:sz w:val="20"/>
            <w:szCs w:val="20"/>
            <w:vertAlign w:val="baseline"/>
          </w:rPr>
          <w:tab/>
        </w:r>
        <w:r w:rsidR="007E773F" w:rsidRPr="00162E37">
          <w:rPr>
            <w:rFonts w:ascii="Arial" w:hAnsi="Arial" w:cs="Arial"/>
            <w:sz w:val="20"/>
            <w:szCs w:val="20"/>
            <w:vertAlign w:val="baseline"/>
          </w:rPr>
          <w:t>………………………………………………</w:t>
        </w:r>
        <w:r w:rsidRPr="00162E37">
          <w:rPr>
            <w:rFonts w:ascii="Arial" w:hAnsi="Arial" w:cs="Arial"/>
            <w:sz w:val="20"/>
            <w:szCs w:val="20"/>
            <w:vertAlign w:val="baseline"/>
          </w:rPr>
          <w:t>66</w:t>
        </w:r>
      </w:hyperlink>
    </w:p>
    <w:p w14:paraId="1E8A7EFE" w14:textId="5BB57176" w:rsidR="00031C53" w:rsidRPr="00162E37" w:rsidRDefault="008F3E9C" w:rsidP="00031C53">
      <w:pPr>
        <w:pStyle w:val="WW-normal"/>
        <w:ind w:leftChars="0" w:left="2" w:firstLineChars="0" w:hanging="2"/>
        <w:rPr>
          <w:rFonts w:ascii="Arial" w:eastAsia="Arial" w:hAnsi="Arial" w:cs="Arial"/>
          <w:bCs/>
          <w:color w:val="000000"/>
          <w:sz w:val="20"/>
          <w:szCs w:val="20"/>
          <w:vertAlign w:val="baseline"/>
        </w:rPr>
      </w:pPr>
      <w:r w:rsidRPr="00031C53">
        <w:rPr>
          <w:rFonts w:ascii="Arial" w:hAnsi="Arial" w:cs="Arial"/>
          <w:sz w:val="20"/>
          <w:szCs w:val="20"/>
          <w:vertAlign w:val="baseline"/>
        </w:rPr>
        <w:t xml:space="preserve">7.5.3. Criterios de precio y financiación: Medicamento que presenta un valor terapéutico menor </w:t>
      </w:r>
      <w:r w:rsidR="00575EC5">
        <w:rPr>
          <w:rFonts w:ascii="Arial" w:hAnsi="Arial" w:cs="Arial"/>
          <w:sz w:val="20"/>
          <w:szCs w:val="20"/>
          <w:vertAlign w:val="baseline"/>
        </w:rPr>
        <w:t xml:space="preserve">que la terapia de </w:t>
      </w:r>
      <w:r w:rsidR="00031C53" w:rsidRPr="00575EC5">
        <w:rPr>
          <w:rStyle w:val="Hipervnculo"/>
          <w:rFonts w:ascii="Arial" w:hAnsi="Arial" w:cs="Arial"/>
          <w:noProof/>
          <w:color w:val="auto"/>
          <w:sz w:val="20"/>
          <w:u w:val="none"/>
          <w:lang w:val="es-ES_tradnl"/>
        </w:rPr>
        <w:t>referencia</w:t>
      </w:r>
      <w:r w:rsidRPr="00575EC5">
        <w:rPr>
          <w:rStyle w:val="Hipervnculo"/>
          <w:rFonts w:ascii="Arial" w:hAnsi="Arial" w:cs="Arial"/>
          <w:noProof/>
          <w:color w:val="auto"/>
          <w:sz w:val="20"/>
          <w:szCs w:val="20"/>
          <w:u w:val="none"/>
          <w:lang w:val="es-ES_tradnl"/>
        </w:rPr>
        <w:t>…………………………………………………………………………</w:t>
      </w:r>
      <w:r w:rsidR="00AD2EC6" w:rsidRPr="00575EC5">
        <w:rPr>
          <w:rStyle w:val="Hipervnculo"/>
          <w:rFonts w:ascii="Arial" w:hAnsi="Arial" w:cs="Arial"/>
          <w:noProof/>
          <w:color w:val="auto"/>
          <w:sz w:val="20"/>
          <w:szCs w:val="20"/>
          <w:u w:val="none"/>
          <w:lang w:val="es-ES_tradnl"/>
        </w:rPr>
        <w:t>………………...…</w:t>
      </w:r>
      <w:r w:rsidRPr="00575EC5">
        <w:rPr>
          <w:rStyle w:val="Hipervnculo"/>
          <w:rFonts w:ascii="Arial" w:hAnsi="Arial" w:cs="Arial"/>
          <w:noProof/>
          <w:color w:val="auto"/>
          <w:sz w:val="20"/>
          <w:szCs w:val="20"/>
          <w:u w:val="none"/>
          <w:lang w:val="es-ES_tradnl"/>
        </w:rPr>
        <w:t>….</w:t>
      </w:r>
      <w:r w:rsidR="00031C53" w:rsidRPr="00575EC5">
        <w:rPr>
          <w:rStyle w:val="Hipervnculo"/>
          <w:rFonts w:ascii="Arial" w:hAnsi="Arial" w:cs="Arial"/>
          <w:noProof/>
          <w:color w:val="auto"/>
          <w:sz w:val="20"/>
          <w:u w:val="none"/>
          <w:lang w:val="es-ES_tradnl"/>
        </w:rPr>
        <w:t>67</w:t>
      </w:r>
    </w:p>
    <w:p w14:paraId="66F70B8F" w14:textId="3CA2DC27" w:rsidR="008F3E9C" w:rsidRPr="007A1FF3" w:rsidRDefault="008F3E9C" w:rsidP="00AD2EC6">
      <w:pPr>
        <w:pStyle w:val="WW-normal"/>
        <w:ind w:leftChars="0" w:left="2" w:firstLineChars="0" w:hanging="2"/>
        <w:rPr>
          <w:rFonts w:ascii="Arial" w:hAnsi="Arial" w:cs="Arial"/>
          <w:sz w:val="20"/>
          <w:szCs w:val="20"/>
          <w:vertAlign w:val="baseline"/>
        </w:rPr>
      </w:pPr>
      <w:r w:rsidRPr="007A1FF3">
        <w:rPr>
          <w:rFonts w:ascii="Arial" w:hAnsi="Arial" w:cs="Arial"/>
          <w:sz w:val="20"/>
          <w:szCs w:val="20"/>
          <w:vertAlign w:val="baseline"/>
        </w:rPr>
        <w:t>8. EVALUACIÓN DE LA CONVENIENCIA</w:t>
      </w:r>
      <w:r w:rsidRPr="00575EC5">
        <w:rPr>
          <w:rFonts w:ascii="Arial" w:hAnsi="Arial" w:cs="Arial"/>
          <w:sz w:val="20"/>
          <w:szCs w:val="20"/>
          <w:vertAlign w:val="baseline"/>
        </w:rPr>
        <w:t>.………………………………………….……</w:t>
      </w:r>
      <w:r w:rsidR="007E773F" w:rsidRPr="00575EC5">
        <w:rPr>
          <w:rFonts w:ascii="Arial" w:hAnsi="Arial" w:cs="Arial"/>
          <w:sz w:val="20"/>
          <w:szCs w:val="20"/>
          <w:vertAlign w:val="baseline"/>
        </w:rPr>
        <w:t>…</w:t>
      </w:r>
      <w:r w:rsidRPr="00575EC5">
        <w:rPr>
          <w:rFonts w:ascii="Arial" w:hAnsi="Arial" w:cs="Arial"/>
          <w:sz w:val="20"/>
          <w:szCs w:val="20"/>
          <w:vertAlign w:val="baseline"/>
        </w:rPr>
        <w:t>……….67</w:t>
      </w:r>
    </w:p>
    <w:p w14:paraId="4AEBC05B" w14:textId="08CACEFF" w:rsidR="008F3E9C" w:rsidRPr="00575EC5" w:rsidRDefault="008F3E9C" w:rsidP="00AD2EC6">
      <w:pPr>
        <w:pStyle w:val="WW-normal"/>
        <w:ind w:leftChars="0" w:left="2" w:firstLineChars="0" w:hanging="2"/>
        <w:rPr>
          <w:rFonts w:ascii="Arial" w:hAnsi="Arial" w:cs="Arial"/>
          <w:sz w:val="20"/>
          <w:szCs w:val="20"/>
          <w:vertAlign w:val="baseline"/>
        </w:rPr>
      </w:pPr>
      <w:r w:rsidRPr="007A1FF3">
        <w:rPr>
          <w:rFonts w:ascii="Arial" w:hAnsi="Arial" w:cs="Arial"/>
          <w:sz w:val="20"/>
          <w:szCs w:val="20"/>
          <w:vertAlign w:val="baseline"/>
        </w:rPr>
        <w:t>8.1</w:t>
      </w:r>
      <w:r w:rsidR="00AD2EC6" w:rsidRPr="007A1FF3">
        <w:rPr>
          <w:rFonts w:ascii="Arial" w:hAnsi="Arial" w:cs="Arial"/>
          <w:sz w:val="20"/>
          <w:szCs w:val="20"/>
          <w:vertAlign w:val="baseline"/>
        </w:rPr>
        <w:t xml:space="preserve"> </w:t>
      </w:r>
      <w:r w:rsidRPr="007A1FF3">
        <w:rPr>
          <w:rFonts w:ascii="Arial" w:hAnsi="Arial" w:cs="Arial"/>
          <w:sz w:val="20"/>
          <w:szCs w:val="20"/>
          <w:vertAlign w:val="baseline"/>
        </w:rPr>
        <w:t>Descripción de la conveniencia</w:t>
      </w:r>
      <w:r w:rsidR="007E773F" w:rsidRPr="00575EC5">
        <w:rPr>
          <w:rFonts w:ascii="Arial" w:hAnsi="Arial" w:cs="Arial"/>
          <w:sz w:val="20"/>
          <w:szCs w:val="20"/>
          <w:vertAlign w:val="baseline"/>
        </w:rPr>
        <w:t>.…………….…………………………………….……………….67</w:t>
      </w:r>
    </w:p>
    <w:p w14:paraId="2EF8AEB8" w14:textId="5B679EF8" w:rsidR="007E773F" w:rsidRPr="007A1FF3" w:rsidRDefault="007E773F" w:rsidP="00AD2EC6">
      <w:pPr>
        <w:pStyle w:val="WW-normal"/>
        <w:ind w:leftChars="0" w:left="2" w:firstLineChars="0" w:hanging="2"/>
        <w:rPr>
          <w:rFonts w:ascii="Arial" w:hAnsi="Arial" w:cs="Arial"/>
          <w:sz w:val="20"/>
          <w:szCs w:val="20"/>
          <w:vertAlign w:val="baseline"/>
        </w:rPr>
      </w:pPr>
      <w:r w:rsidRPr="007A1FF3">
        <w:rPr>
          <w:rFonts w:ascii="Arial" w:hAnsi="Arial" w:cs="Arial"/>
          <w:sz w:val="20"/>
          <w:szCs w:val="20"/>
          <w:vertAlign w:val="baseline"/>
        </w:rPr>
        <w:t>8.2. Influencia de la conveniencia en la efectividad del tratamiento…………</w:t>
      </w:r>
      <w:r w:rsidR="00575EC5" w:rsidRPr="007A1FF3">
        <w:rPr>
          <w:rFonts w:ascii="Arial" w:hAnsi="Arial" w:cs="Arial"/>
          <w:sz w:val="20"/>
          <w:szCs w:val="20"/>
          <w:vertAlign w:val="baseline"/>
        </w:rPr>
        <w:t>…………..</w:t>
      </w:r>
      <w:r w:rsidRPr="007A1FF3">
        <w:rPr>
          <w:rFonts w:ascii="Arial" w:hAnsi="Arial" w:cs="Arial"/>
          <w:sz w:val="20"/>
          <w:szCs w:val="20"/>
          <w:vertAlign w:val="baseline"/>
        </w:rPr>
        <w:t>……</w:t>
      </w:r>
      <w:r w:rsidR="00575EC5" w:rsidRPr="007A1FF3">
        <w:rPr>
          <w:rFonts w:ascii="Arial" w:hAnsi="Arial" w:cs="Arial"/>
          <w:sz w:val="20"/>
          <w:szCs w:val="20"/>
          <w:vertAlign w:val="baseline"/>
        </w:rPr>
        <w:t>……</w:t>
      </w:r>
      <w:r w:rsidRPr="007A1FF3">
        <w:rPr>
          <w:rFonts w:ascii="Arial" w:hAnsi="Arial" w:cs="Arial"/>
          <w:sz w:val="20"/>
          <w:szCs w:val="20"/>
          <w:vertAlign w:val="baseline"/>
        </w:rPr>
        <w:t>67</w:t>
      </w:r>
    </w:p>
    <w:p w14:paraId="2E34C005" w14:textId="4DCDBD5F" w:rsidR="00AD2EC6" w:rsidRPr="007A1FF3" w:rsidRDefault="007E773F" w:rsidP="00AD2EC6">
      <w:pPr>
        <w:pStyle w:val="WW-normal"/>
        <w:ind w:leftChars="0" w:left="2" w:right="-6803" w:firstLineChars="0" w:hanging="2"/>
        <w:rPr>
          <w:rFonts w:ascii="Arial" w:hAnsi="Arial" w:cs="Arial"/>
          <w:sz w:val="20"/>
          <w:szCs w:val="20"/>
          <w:vertAlign w:val="baseline"/>
        </w:rPr>
      </w:pPr>
      <w:r w:rsidRPr="007A1FF3">
        <w:rPr>
          <w:rFonts w:ascii="Arial" w:hAnsi="Arial" w:cs="Arial"/>
          <w:sz w:val="20"/>
          <w:szCs w:val="20"/>
          <w:vertAlign w:val="baseline"/>
        </w:rPr>
        <w:t>9. AREA DE CONCLUSIONES.</w:t>
      </w:r>
      <w:r w:rsidR="00AD2EC6" w:rsidRPr="007A1FF3">
        <w:rPr>
          <w:rFonts w:ascii="Arial" w:hAnsi="Arial" w:cs="Arial"/>
          <w:sz w:val="20"/>
          <w:szCs w:val="20"/>
          <w:vertAlign w:val="baseline"/>
        </w:rPr>
        <w:t>..</w:t>
      </w:r>
      <w:r w:rsidR="00031C53" w:rsidRPr="007A1FF3">
        <w:rPr>
          <w:rFonts w:ascii="Arial" w:hAnsi="Arial" w:cs="Arial"/>
          <w:sz w:val="20"/>
          <w:szCs w:val="20"/>
          <w:vertAlign w:val="baseline"/>
        </w:rPr>
        <w:t>…………………………………………………</w:t>
      </w:r>
      <w:r w:rsidR="00575EC5" w:rsidRPr="007A1FF3">
        <w:rPr>
          <w:rFonts w:ascii="Arial" w:hAnsi="Arial" w:cs="Arial"/>
          <w:sz w:val="20"/>
          <w:szCs w:val="20"/>
          <w:vertAlign w:val="baseline"/>
        </w:rPr>
        <w:t>...….…..</w:t>
      </w:r>
      <w:r w:rsidR="00031C53" w:rsidRPr="007A1FF3">
        <w:rPr>
          <w:rFonts w:ascii="Arial" w:hAnsi="Arial" w:cs="Arial"/>
          <w:sz w:val="20"/>
          <w:szCs w:val="20"/>
          <w:vertAlign w:val="baseline"/>
        </w:rPr>
        <w:t xml:space="preserve">………… </w:t>
      </w:r>
      <w:r w:rsidRPr="007A1FF3">
        <w:rPr>
          <w:rFonts w:ascii="Arial" w:hAnsi="Arial" w:cs="Arial"/>
          <w:sz w:val="20"/>
          <w:szCs w:val="20"/>
          <w:vertAlign w:val="baseline"/>
        </w:rPr>
        <w:t>67</w:t>
      </w:r>
    </w:p>
    <w:p w14:paraId="3BDFDE32" w14:textId="409639DC" w:rsidR="007E773F" w:rsidRPr="007A1FF3" w:rsidRDefault="007E773F" w:rsidP="00AD2EC6">
      <w:pPr>
        <w:pStyle w:val="WW-normal"/>
        <w:ind w:leftChars="0" w:left="2" w:right="-6803" w:firstLineChars="0" w:hanging="2"/>
        <w:rPr>
          <w:rFonts w:ascii="Arial" w:hAnsi="Arial" w:cs="Arial"/>
          <w:sz w:val="20"/>
          <w:szCs w:val="20"/>
          <w:vertAlign w:val="baseline"/>
        </w:rPr>
      </w:pPr>
      <w:r w:rsidRPr="007A1FF3">
        <w:rPr>
          <w:rFonts w:ascii="Arial" w:hAnsi="Arial" w:cs="Arial"/>
          <w:sz w:val="20"/>
          <w:szCs w:val="20"/>
          <w:vertAlign w:val="baseline"/>
        </w:rPr>
        <w:t>9.1.</w:t>
      </w:r>
      <w:r w:rsidR="00031C53" w:rsidRPr="007A1FF3">
        <w:rPr>
          <w:rFonts w:ascii="Arial" w:hAnsi="Arial" w:cs="Arial"/>
          <w:sz w:val="20"/>
          <w:szCs w:val="20"/>
          <w:vertAlign w:val="baseline"/>
        </w:rPr>
        <w:t xml:space="preserve"> </w:t>
      </w:r>
      <w:r w:rsidRPr="007A1FF3">
        <w:rPr>
          <w:rFonts w:ascii="Arial" w:hAnsi="Arial" w:cs="Arial"/>
          <w:sz w:val="20"/>
          <w:szCs w:val="20"/>
          <w:vertAlign w:val="baseline"/>
        </w:rPr>
        <w:t>Resumen de los aspectos más significativos respecto a la alternativa y propuestas…</w:t>
      </w:r>
      <w:r w:rsidR="00031C53" w:rsidRPr="007A1FF3">
        <w:rPr>
          <w:rFonts w:ascii="Arial" w:hAnsi="Arial" w:cs="Arial"/>
          <w:sz w:val="20"/>
          <w:szCs w:val="20"/>
          <w:vertAlign w:val="baseline"/>
        </w:rPr>
        <w:t>….…</w:t>
      </w:r>
      <w:r w:rsidRPr="007A1FF3">
        <w:rPr>
          <w:rFonts w:ascii="Arial" w:hAnsi="Arial" w:cs="Arial"/>
          <w:sz w:val="20"/>
          <w:szCs w:val="20"/>
          <w:vertAlign w:val="baseline"/>
        </w:rPr>
        <w:t>67</w:t>
      </w:r>
    </w:p>
    <w:p w14:paraId="3B61BDFD" w14:textId="66D4C9C0" w:rsidR="007E773F" w:rsidRPr="007A1FF3" w:rsidRDefault="007E773F" w:rsidP="00AD2EC6">
      <w:pPr>
        <w:pStyle w:val="WW-normal"/>
        <w:ind w:leftChars="0" w:left="2" w:firstLineChars="0" w:hanging="2"/>
        <w:rPr>
          <w:rFonts w:ascii="Arial" w:hAnsi="Arial" w:cs="Arial"/>
          <w:sz w:val="20"/>
          <w:szCs w:val="20"/>
          <w:vertAlign w:val="baseline"/>
        </w:rPr>
      </w:pPr>
      <w:r w:rsidRPr="007A1FF3">
        <w:rPr>
          <w:rFonts w:ascii="Arial" w:hAnsi="Arial" w:cs="Arial"/>
          <w:sz w:val="20"/>
          <w:szCs w:val="20"/>
          <w:vertAlign w:val="baseline"/>
        </w:rPr>
        <w:t>9.2.</w:t>
      </w:r>
      <w:r w:rsidR="00031C53" w:rsidRPr="007A1FF3">
        <w:rPr>
          <w:rFonts w:ascii="Arial" w:hAnsi="Arial" w:cs="Arial"/>
          <w:sz w:val="20"/>
          <w:szCs w:val="20"/>
          <w:vertAlign w:val="baseline"/>
        </w:rPr>
        <w:t xml:space="preserve"> </w:t>
      </w:r>
      <w:r w:rsidRPr="007A1FF3">
        <w:rPr>
          <w:rFonts w:ascii="Arial" w:hAnsi="Arial" w:cs="Arial"/>
          <w:sz w:val="20"/>
          <w:szCs w:val="20"/>
          <w:vertAlign w:val="baseline"/>
        </w:rPr>
        <w:t>Decisión……………………………………………………………………………………</w:t>
      </w:r>
      <w:r w:rsidR="00575EC5" w:rsidRPr="007A1FF3">
        <w:rPr>
          <w:rFonts w:ascii="Arial" w:hAnsi="Arial" w:cs="Arial"/>
          <w:sz w:val="20"/>
          <w:szCs w:val="20"/>
          <w:vertAlign w:val="baseline"/>
        </w:rPr>
        <w:t>....</w:t>
      </w:r>
      <w:r w:rsidR="00031C53" w:rsidRPr="007A1FF3">
        <w:rPr>
          <w:rFonts w:ascii="Arial" w:hAnsi="Arial" w:cs="Arial"/>
          <w:sz w:val="20"/>
          <w:szCs w:val="20"/>
          <w:vertAlign w:val="baseline"/>
        </w:rPr>
        <w:t>…</w:t>
      </w:r>
      <w:r w:rsidR="00575EC5" w:rsidRPr="007A1FF3">
        <w:rPr>
          <w:rFonts w:ascii="Arial" w:hAnsi="Arial" w:cs="Arial"/>
          <w:sz w:val="20"/>
          <w:szCs w:val="20"/>
          <w:vertAlign w:val="baseline"/>
        </w:rPr>
        <w:t>...</w:t>
      </w:r>
      <w:r w:rsidR="00031C53" w:rsidRPr="007A1FF3">
        <w:rPr>
          <w:rFonts w:ascii="Arial" w:hAnsi="Arial" w:cs="Arial"/>
          <w:sz w:val="20"/>
          <w:szCs w:val="20"/>
          <w:vertAlign w:val="baseline"/>
        </w:rPr>
        <w:t>…</w:t>
      </w:r>
      <w:r w:rsidRPr="007A1FF3">
        <w:rPr>
          <w:rFonts w:ascii="Arial" w:hAnsi="Arial" w:cs="Arial"/>
          <w:sz w:val="20"/>
          <w:szCs w:val="20"/>
          <w:vertAlign w:val="baseline"/>
        </w:rPr>
        <w:t>68</w:t>
      </w:r>
    </w:p>
    <w:p w14:paraId="56858983" w14:textId="6580826C" w:rsidR="007E773F" w:rsidRPr="007A1FF3" w:rsidRDefault="007E773F" w:rsidP="00031C53">
      <w:pPr>
        <w:pStyle w:val="WW-normal"/>
        <w:ind w:leftChars="0" w:left="2" w:firstLineChars="0" w:hanging="2"/>
        <w:rPr>
          <w:rFonts w:ascii="Arial" w:hAnsi="Arial" w:cs="Arial"/>
          <w:sz w:val="20"/>
          <w:szCs w:val="20"/>
          <w:vertAlign w:val="baseline"/>
        </w:rPr>
      </w:pPr>
      <w:r w:rsidRPr="007A1FF3">
        <w:rPr>
          <w:rFonts w:ascii="Arial" w:hAnsi="Arial" w:cs="Arial"/>
          <w:sz w:val="20"/>
          <w:szCs w:val="20"/>
          <w:vertAlign w:val="baseline"/>
        </w:rPr>
        <w:t>9.4 Plan de seguimiento…………………………………………………………………………</w:t>
      </w:r>
      <w:r w:rsidR="00031C53" w:rsidRPr="007A1FF3">
        <w:rPr>
          <w:rFonts w:ascii="Arial" w:hAnsi="Arial" w:cs="Arial"/>
          <w:sz w:val="20"/>
          <w:szCs w:val="20"/>
          <w:vertAlign w:val="baseline"/>
        </w:rPr>
        <w:t>.…</w:t>
      </w:r>
      <w:r w:rsidR="00575EC5" w:rsidRPr="007A1FF3">
        <w:rPr>
          <w:rFonts w:ascii="Arial" w:hAnsi="Arial" w:cs="Arial"/>
          <w:sz w:val="20"/>
          <w:szCs w:val="20"/>
          <w:vertAlign w:val="baseline"/>
        </w:rPr>
        <w:t>……</w:t>
      </w:r>
      <w:r w:rsidRPr="007A1FF3">
        <w:rPr>
          <w:rFonts w:ascii="Arial" w:hAnsi="Arial" w:cs="Arial"/>
          <w:sz w:val="20"/>
          <w:szCs w:val="20"/>
          <w:vertAlign w:val="baseline"/>
        </w:rPr>
        <w:t>68</w:t>
      </w:r>
    </w:p>
    <w:p w14:paraId="23C7AFA1" w14:textId="701C762F" w:rsidR="007E773F" w:rsidRPr="007A1FF3" w:rsidRDefault="007E773F" w:rsidP="00AD2EC6">
      <w:pPr>
        <w:pStyle w:val="WW-normal"/>
        <w:ind w:leftChars="0" w:left="2" w:firstLineChars="0" w:hanging="2"/>
        <w:rPr>
          <w:rFonts w:ascii="Arial" w:hAnsi="Arial" w:cs="Arial"/>
          <w:sz w:val="20"/>
          <w:szCs w:val="20"/>
          <w:vertAlign w:val="baseline"/>
        </w:rPr>
      </w:pPr>
      <w:r w:rsidRPr="007A1FF3">
        <w:rPr>
          <w:rFonts w:ascii="Arial" w:hAnsi="Arial" w:cs="Arial"/>
          <w:sz w:val="20"/>
          <w:szCs w:val="20"/>
          <w:vertAlign w:val="baseline"/>
        </w:rPr>
        <w:t>10</w:t>
      </w:r>
      <w:r w:rsidR="00162E37" w:rsidRPr="007A1FF3">
        <w:rPr>
          <w:rFonts w:ascii="Arial" w:hAnsi="Arial" w:cs="Arial"/>
          <w:sz w:val="20"/>
          <w:szCs w:val="20"/>
          <w:vertAlign w:val="baseline"/>
        </w:rPr>
        <w:t>. Bibliografía………</w:t>
      </w:r>
      <w:r w:rsidR="00575EC5" w:rsidRPr="007A1FF3">
        <w:rPr>
          <w:rFonts w:ascii="Arial" w:hAnsi="Arial" w:cs="Arial"/>
          <w:sz w:val="20"/>
          <w:szCs w:val="20"/>
          <w:vertAlign w:val="baseline"/>
        </w:rPr>
        <w:t>…………………………………………………………………………………..</w:t>
      </w:r>
      <w:r w:rsidR="00AD2EC6" w:rsidRPr="007A1FF3">
        <w:rPr>
          <w:rFonts w:ascii="Arial" w:hAnsi="Arial" w:cs="Arial"/>
          <w:sz w:val="20"/>
          <w:szCs w:val="20"/>
          <w:vertAlign w:val="baseline"/>
        </w:rPr>
        <w:t>.</w:t>
      </w:r>
      <w:r w:rsidR="00031C53" w:rsidRPr="007A1FF3">
        <w:rPr>
          <w:rFonts w:ascii="Arial" w:hAnsi="Arial" w:cs="Arial"/>
          <w:sz w:val="20"/>
          <w:szCs w:val="20"/>
          <w:vertAlign w:val="baseline"/>
        </w:rPr>
        <w:t>.</w:t>
      </w:r>
      <w:r w:rsidR="00162E37" w:rsidRPr="007A1FF3">
        <w:rPr>
          <w:rFonts w:ascii="Arial" w:hAnsi="Arial" w:cs="Arial"/>
          <w:sz w:val="20"/>
          <w:szCs w:val="20"/>
          <w:vertAlign w:val="baseline"/>
        </w:rPr>
        <w:t>68</w:t>
      </w:r>
    </w:p>
    <w:p w14:paraId="1742A957" w14:textId="77777777" w:rsidR="007E773F" w:rsidRPr="00162E37" w:rsidRDefault="007E773F" w:rsidP="00162E37">
      <w:pPr>
        <w:pStyle w:val="WW-normal"/>
        <w:ind w:left="0" w:hanging="2"/>
        <w:rPr>
          <w:rFonts w:ascii="Arial" w:eastAsia="Arial" w:hAnsi="Arial" w:cs="Arial"/>
          <w:bCs/>
          <w:color w:val="000000"/>
          <w:sz w:val="20"/>
          <w:szCs w:val="20"/>
          <w:vertAlign w:val="baseline"/>
        </w:rPr>
      </w:pPr>
    </w:p>
    <w:p w14:paraId="4579300B" w14:textId="77777777" w:rsidR="007E773F" w:rsidRPr="00162E37" w:rsidRDefault="007E773F" w:rsidP="00162E37">
      <w:pPr>
        <w:pStyle w:val="WW-normal"/>
        <w:ind w:left="0" w:hanging="2"/>
        <w:rPr>
          <w:rFonts w:ascii="Arial" w:eastAsia="Arial" w:hAnsi="Arial" w:cs="Arial"/>
          <w:bCs/>
          <w:iCs/>
          <w:sz w:val="20"/>
          <w:szCs w:val="20"/>
          <w:vertAlign w:val="baseline"/>
        </w:rPr>
      </w:pPr>
    </w:p>
    <w:p w14:paraId="5921761F" w14:textId="77777777" w:rsidR="008F3E9C" w:rsidRPr="00162E37" w:rsidRDefault="008F3E9C" w:rsidP="00162E37">
      <w:pPr>
        <w:pStyle w:val="WW-normal"/>
        <w:ind w:left="0" w:hanging="2"/>
        <w:rPr>
          <w:rFonts w:ascii="Arial" w:eastAsiaTheme="minorEastAsia" w:hAnsi="Arial" w:cs="Arial"/>
          <w:sz w:val="20"/>
          <w:szCs w:val="20"/>
          <w:vertAlign w:val="baseline"/>
        </w:rPr>
      </w:pPr>
    </w:p>
    <w:p w14:paraId="1C9DD18C" w14:textId="43285DC0" w:rsidR="00634CDF" w:rsidRDefault="00634CDF" w:rsidP="00575EC5">
      <w:pPr>
        <w:pBdr>
          <w:top w:val="nil"/>
          <w:left w:val="nil"/>
          <w:bottom w:val="nil"/>
          <w:right w:val="nil"/>
          <w:between w:val="nil"/>
        </w:pBdr>
        <w:spacing w:line="240" w:lineRule="auto"/>
        <w:ind w:leftChars="0" w:left="0" w:firstLineChars="0" w:firstLine="0"/>
        <w:rPr>
          <w:rFonts w:ascii="Arial" w:eastAsia="Arial" w:hAnsi="Arial" w:cs="Arial"/>
          <w:b/>
          <w:sz w:val="20"/>
          <w:szCs w:val="20"/>
          <w:vertAlign w:val="baseline"/>
        </w:rPr>
      </w:pPr>
    </w:p>
    <w:p w14:paraId="6D7CB34F" w14:textId="77777777" w:rsidR="00634CDF" w:rsidRDefault="00F0051D">
      <w:pPr>
        <w:pBdr>
          <w:top w:val="single" w:sz="4" w:space="1" w:color="000000"/>
          <w:left w:val="single" w:sz="4" w:space="4" w:color="000000"/>
          <w:bottom w:val="single" w:sz="4" w:space="1" w:color="000000"/>
          <w:right w:val="single" w:sz="4" w:space="4" w:color="000000"/>
          <w:between w:val="nil"/>
        </w:pBdr>
        <w:spacing w:line="240" w:lineRule="auto"/>
        <w:ind w:left="0" w:hanging="2"/>
        <w:rPr>
          <w:color w:val="000000"/>
          <w:vertAlign w:val="baseline"/>
        </w:rPr>
      </w:pPr>
      <w:r>
        <w:rPr>
          <w:rFonts w:ascii="Arial" w:eastAsia="Arial" w:hAnsi="Arial" w:cs="Arial"/>
          <w:b/>
          <w:color w:val="000000"/>
          <w:sz w:val="20"/>
          <w:szCs w:val="20"/>
          <w:vertAlign w:val="baseline"/>
        </w:rPr>
        <w:t xml:space="preserve">Glosario: </w:t>
      </w:r>
    </w:p>
    <w:p w14:paraId="63F7DA87" w14:textId="77777777" w:rsidR="00634CDF" w:rsidRDefault="00F0051D"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20"/>
          <w:szCs w:val="20"/>
          <w:vertAlign w:val="baseline"/>
        </w:rPr>
      </w:pPr>
      <w:r>
        <w:rPr>
          <w:rFonts w:ascii="Arial" w:eastAsia="Arial" w:hAnsi="Arial" w:cs="Arial"/>
          <w:sz w:val="20"/>
          <w:szCs w:val="20"/>
          <w:vertAlign w:val="baseline"/>
        </w:rPr>
        <w:t>Apo B: Apolipoproteína B</w:t>
      </w:r>
    </w:p>
    <w:p w14:paraId="36875E8F" w14:textId="77777777" w:rsidR="00634CDF" w:rsidRDefault="00F0051D"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20"/>
          <w:szCs w:val="20"/>
          <w:vertAlign w:val="baseline"/>
        </w:rPr>
      </w:pPr>
      <w:r>
        <w:rPr>
          <w:rFonts w:ascii="Arial" w:eastAsia="Arial" w:hAnsi="Arial" w:cs="Arial"/>
          <w:sz w:val="20"/>
          <w:szCs w:val="20"/>
          <w:vertAlign w:val="baseline"/>
        </w:rPr>
        <w:t>ATV: Atorvastatina</w:t>
      </w:r>
    </w:p>
    <w:p w14:paraId="024374E9" w14:textId="77777777" w:rsidR="00634CDF" w:rsidRDefault="00F0051D"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20"/>
          <w:szCs w:val="20"/>
          <w:vertAlign w:val="baseline"/>
        </w:rPr>
      </w:pPr>
      <w:r>
        <w:rPr>
          <w:rFonts w:ascii="Arial" w:eastAsia="Arial" w:hAnsi="Arial" w:cs="Arial"/>
          <w:sz w:val="20"/>
          <w:szCs w:val="20"/>
          <w:vertAlign w:val="baseline"/>
        </w:rPr>
        <w:t>C-LDL: Lipoproteina de baja densidad</w:t>
      </w:r>
    </w:p>
    <w:p w14:paraId="70E8C3C4" w14:textId="77777777" w:rsidR="00634CDF" w:rsidRDefault="00F0051D"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20"/>
          <w:szCs w:val="20"/>
          <w:vertAlign w:val="baseline"/>
        </w:rPr>
      </w:pPr>
      <w:r>
        <w:rPr>
          <w:rFonts w:ascii="Arial" w:eastAsia="Arial" w:hAnsi="Arial" w:cs="Arial"/>
          <w:sz w:val="20"/>
          <w:szCs w:val="20"/>
          <w:vertAlign w:val="baseline"/>
        </w:rPr>
        <w:t>C-no-HDL: lipoproteínas de colesterol distintas de las de alta densidad</w:t>
      </w:r>
    </w:p>
    <w:p w14:paraId="2CAB2E18" w14:textId="77777777" w:rsidR="00634CDF" w:rsidRPr="001779CA" w:rsidRDefault="00F0051D"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20"/>
          <w:szCs w:val="20"/>
          <w:vertAlign w:val="baseline"/>
          <w:lang w:val="en-US"/>
        </w:rPr>
      </w:pPr>
      <w:r w:rsidRPr="001779CA">
        <w:rPr>
          <w:rFonts w:ascii="Arial" w:eastAsia="Arial" w:hAnsi="Arial" w:cs="Arial"/>
          <w:sz w:val="20"/>
          <w:szCs w:val="20"/>
          <w:vertAlign w:val="baseline"/>
          <w:lang w:val="en-US"/>
        </w:rPr>
        <w:t>CT: Colesterol Total</w:t>
      </w:r>
    </w:p>
    <w:p w14:paraId="3E140AE3" w14:textId="77777777" w:rsidR="00634CDF" w:rsidRPr="001779CA" w:rsidRDefault="00F0051D"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20"/>
          <w:szCs w:val="20"/>
          <w:vertAlign w:val="baseline"/>
          <w:lang w:val="en-US"/>
        </w:rPr>
      </w:pPr>
      <w:r w:rsidRPr="001779CA">
        <w:rPr>
          <w:rFonts w:ascii="Arial" w:eastAsia="Arial" w:hAnsi="Arial" w:cs="Arial"/>
          <w:sz w:val="20"/>
          <w:szCs w:val="20"/>
          <w:vertAlign w:val="baseline"/>
          <w:lang w:val="en-US"/>
        </w:rPr>
        <w:t>CTT: Cholesterol Treatment Trialists’ Collaboration</w:t>
      </w:r>
    </w:p>
    <w:p w14:paraId="21F27AD6" w14:textId="77777777" w:rsidR="00634CDF" w:rsidRDefault="00F0051D"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20"/>
          <w:szCs w:val="20"/>
          <w:vertAlign w:val="baseline"/>
        </w:rPr>
      </w:pPr>
      <w:r>
        <w:rPr>
          <w:rFonts w:ascii="Arial" w:eastAsia="Arial" w:hAnsi="Arial" w:cs="Arial"/>
          <w:sz w:val="20"/>
          <w:szCs w:val="20"/>
          <w:vertAlign w:val="baseline"/>
        </w:rPr>
        <w:t>DM: Diabetes Mellitus</w:t>
      </w:r>
    </w:p>
    <w:p w14:paraId="6E5F2B72" w14:textId="77777777" w:rsidR="00634CDF" w:rsidRDefault="00F0051D"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20"/>
          <w:szCs w:val="20"/>
          <w:vertAlign w:val="baseline"/>
        </w:rPr>
      </w:pPr>
      <w:r>
        <w:rPr>
          <w:rFonts w:ascii="Arial" w:eastAsia="Arial" w:hAnsi="Arial" w:cs="Arial"/>
          <w:sz w:val="20"/>
          <w:szCs w:val="20"/>
          <w:vertAlign w:val="baseline"/>
        </w:rPr>
        <w:t>ECV: Enfermedad Cardiovascular</w:t>
      </w:r>
    </w:p>
    <w:p w14:paraId="5412AE19" w14:textId="77777777" w:rsidR="00634CDF" w:rsidRDefault="00F0051D"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20"/>
          <w:szCs w:val="20"/>
          <w:vertAlign w:val="baseline"/>
        </w:rPr>
      </w:pPr>
      <w:r>
        <w:rPr>
          <w:rFonts w:ascii="Arial" w:eastAsia="Arial" w:hAnsi="Arial" w:cs="Arial"/>
          <w:sz w:val="20"/>
          <w:szCs w:val="20"/>
          <w:vertAlign w:val="baseline"/>
        </w:rPr>
        <w:t>EZT: Ezetimiba</w:t>
      </w:r>
    </w:p>
    <w:p w14:paraId="6BADCE52" w14:textId="77777777" w:rsidR="00634CDF" w:rsidRDefault="00F0051D"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20"/>
          <w:szCs w:val="20"/>
          <w:vertAlign w:val="baseline"/>
        </w:rPr>
      </w:pPr>
      <w:r>
        <w:rPr>
          <w:rFonts w:ascii="Arial" w:eastAsia="Arial" w:hAnsi="Arial" w:cs="Arial"/>
          <w:sz w:val="20"/>
          <w:szCs w:val="20"/>
          <w:vertAlign w:val="baseline"/>
        </w:rPr>
        <w:t>HFHe: Hipercolesterolemia Familiar Heterocigótica</w:t>
      </w:r>
    </w:p>
    <w:p w14:paraId="05D10672" w14:textId="77777777" w:rsidR="00634CDF" w:rsidRDefault="00F0051D"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20"/>
          <w:szCs w:val="20"/>
          <w:vertAlign w:val="baseline"/>
        </w:rPr>
      </w:pPr>
      <w:r>
        <w:rPr>
          <w:rFonts w:ascii="Arial" w:eastAsia="Arial" w:hAnsi="Arial" w:cs="Arial"/>
          <w:sz w:val="20"/>
          <w:szCs w:val="20"/>
          <w:vertAlign w:val="baseline"/>
        </w:rPr>
        <w:t>FRCV: Factores de Riesgo CardioVascular</w:t>
      </w:r>
    </w:p>
    <w:p w14:paraId="3EF0F132" w14:textId="77777777" w:rsidR="00634CDF" w:rsidRDefault="00F0051D"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20"/>
          <w:szCs w:val="20"/>
          <w:vertAlign w:val="baseline"/>
        </w:rPr>
      </w:pPr>
      <w:r>
        <w:rPr>
          <w:rFonts w:ascii="Arial" w:eastAsia="Arial" w:hAnsi="Arial" w:cs="Arial"/>
          <w:sz w:val="20"/>
          <w:szCs w:val="20"/>
          <w:vertAlign w:val="baseline"/>
        </w:rPr>
        <w:t>HDL: Lipoproteina de Alta densidad</w:t>
      </w:r>
    </w:p>
    <w:p w14:paraId="3C61E454" w14:textId="77777777" w:rsidR="00634CDF" w:rsidRDefault="00F0051D"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16"/>
          <w:szCs w:val="16"/>
          <w:vertAlign w:val="baseline"/>
        </w:rPr>
      </w:pPr>
      <w:r>
        <w:rPr>
          <w:rFonts w:ascii="Arial" w:eastAsia="Arial" w:hAnsi="Arial" w:cs="Arial"/>
          <w:sz w:val="20"/>
          <w:szCs w:val="20"/>
          <w:vertAlign w:val="baseline"/>
        </w:rPr>
        <w:t>MACE: Eventos adversos cardiovasculares mayores</w:t>
      </w:r>
      <w:r>
        <w:rPr>
          <w:rFonts w:ascii="Arial" w:eastAsia="Arial" w:hAnsi="Arial" w:cs="Arial"/>
          <w:sz w:val="16"/>
          <w:szCs w:val="16"/>
          <w:vertAlign w:val="baseline"/>
        </w:rPr>
        <w:t xml:space="preserve"> </w:t>
      </w:r>
    </w:p>
    <w:p w14:paraId="12814A34" w14:textId="1093195D" w:rsidR="00634CDF" w:rsidRDefault="00F0051D"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20"/>
          <w:szCs w:val="20"/>
          <w:vertAlign w:val="baseline"/>
        </w:rPr>
      </w:pPr>
      <w:r>
        <w:rPr>
          <w:rFonts w:ascii="Arial" w:eastAsia="Arial" w:hAnsi="Arial" w:cs="Arial"/>
          <w:sz w:val="20"/>
          <w:szCs w:val="20"/>
          <w:vertAlign w:val="baseline"/>
        </w:rPr>
        <w:t>PCSK9: Proproteína convertasa subtilisina/kexina tipo 9</w:t>
      </w:r>
    </w:p>
    <w:p w14:paraId="149C4633" w14:textId="77777777" w:rsidR="00AA6707" w:rsidRPr="00A72032" w:rsidRDefault="00AA6707"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20"/>
          <w:szCs w:val="20"/>
          <w:vertAlign w:val="baseline"/>
        </w:rPr>
      </w:pPr>
      <w:r w:rsidRPr="00A72032">
        <w:rPr>
          <w:rFonts w:ascii="Arial" w:eastAsia="Arial" w:hAnsi="Arial" w:cs="Arial"/>
          <w:sz w:val="20"/>
          <w:szCs w:val="20"/>
          <w:vertAlign w:val="baseline"/>
        </w:rPr>
        <w:t>RSV: Rosuvastatina</w:t>
      </w:r>
    </w:p>
    <w:p w14:paraId="4A3DCBEC" w14:textId="77777777" w:rsidR="00AA6707" w:rsidRPr="00A72032" w:rsidRDefault="00AA6707"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20"/>
          <w:szCs w:val="20"/>
          <w:vertAlign w:val="baseline"/>
        </w:rPr>
      </w:pPr>
      <w:r w:rsidRPr="00A72032">
        <w:rPr>
          <w:rFonts w:ascii="Arial" w:eastAsia="Arial" w:hAnsi="Arial" w:cs="Arial"/>
          <w:sz w:val="20"/>
          <w:szCs w:val="20"/>
          <w:vertAlign w:val="baseline"/>
        </w:rPr>
        <w:t>TG: Triglicéridos</w:t>
      </w:r>
    </w:p>
    <w:p w14:paraId="3FC4FBD2" w14:textId="77777777" w:rsidR="00AA6707" w:rsidRPr="00843381" w:rsidRDefault="00AA6707"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20"/>
          <w:szCs w:val="20"/>
          <w:vertAlign w:val="baseline"/>
        </w:rPr>
      </w:pPr>
      <w:r w:rsidRPr="00843381">
        <w:rPr>
          <w:rFonts w:ascii="Arial" w:eastAsia="Arial" w:hAnsi="Arial" w:cs="Arial"/>
          <w:sz w:val="20"/>
          <w:szCs w:val="20"/>
          <w:vertAlign w:val="baseline"/>
        </w:rPr>
        <w:t>SCA:Síndrome Coronario Agudo</w:t>
      </w:r>
    </w:p>
    <w:p w14:paraId="02FD6E07" w14:textId="77777777" w:rsidR="00AA6707" w:rsidRPr="00987270" w:rsidRDefault="00AA6707" w:rsidP="00575EC5">
      <w:pPr>
        <w:pBdr>
          <w:top w:val="single" w:sz="4" w:space="1" w:color="000000"/>
          <w:left w:val="single" w:sz="4" w:space="4" w:color="000000"/>
          <w:bottom w:val="single" w:sz="4" w:space="1" w:color="000000"/>
          <w:right w:val="single" w:sz="4" w:space="4" w:color="000000"/>
        </w:pBdr>
        <w:spacing w:line="240" w:lineRule="auto"/>
        <w:ind w:leftChars="0" w:left="2" w:hanging="2"/>
        <w:rPr>
          <w:rFonts w:ascii="Arial" w:eastAsia="Arial" w:hAnsi="Arial" w:cs="Arial"/>
          <w:sz w:val="20"/>
          <w:szCs w:val="20"/>
          <w:vertAlign w:val="baseline"/>
          <w:lang w:val="en-GB"/>
        </w:rPr>
      </w:pPr>
      <w:r w:rsidRPr="00987270">
        <w:rPr>
          <w:rFonts w:ascii="Arial" w:eastAsia="Arial" w:hAnsi="Arial" w:cs="Arial"/>
          <w:sz w:val="20"/>
          <w:szCs w:val="20"/>
          <w:vertAlign w:val="baseline"/>
          <w:lang w:val="en-GB"/>
        </w:rPr>
        <w:lastRenderedPageBreak/>
        <w:t>SCORE: Systematic Coronary Risk Evaluation.</w:t>
      </w:r>
    </w:p>
    <w:p w14:paraId="4F72A1A3" w14:textId="77777777" w:rsidR="00AA6707" w:rsidRPr="001779CA" w:rsidRDefault="00AA6707" w:rsidP="00575EC5">
      <w:pPr>
        <w:pBdr>
          <w:top w:val="single" w:sz="4" w:space="1" w:color="000000"/>
          <w:left w:val="single" w:sz="4" w:space="4" w:color="000000"/>
          <w:bottom w:val="single" w:sz="4" w:space="1" w:color="000000"/>
          <w:right w:val="single" w:sz="4" w:space="4" w:color="000000"/>
          <w:between w:val="nil"/>
        </w:pBdr>
        <w:spacing w:line="240" w:lineRule="auto"/>
        <w:ind w:leftChars="0" w:left="0" w:firstLineChars="0" w:firstLine="0"/>
        <w:rPr>
          <w:rFonts w:ascii="Arial" w:eastAsia="Arial" w:hAnsi="Arial" w:cs="Arial"/>
          <w:color w:val="000000"/>
          <w:sz w:val="20"/>
          <w:szCs w:val="20"/>
          <w:vertAlign w:val="baseline"/>
          <w:lang w:val="en-US"/>
        </w:rPr>
      </w:pPr>
    </w:p>
    <w:p w14:paraId="7640B03E" w14:textId="77777777" w:rsidR="00AA6707" w:rsidRPr="00987270" w:rsidRDefault="00AA6707" w:rsidP="00AA6707">
      <w:pPr>
        <w:pStyle w:val="WW-normal"/>
        <w:ind w:left="0" w:hanging="2"/>
        <w:rPr>
          <w:rFonts w:eastAsia="Arial"/>
          <w:lang w:val="en-GB"/>
        </w:rPr>
      </w:pPr>
    </w:p>
    <w:p w14:paraId="40C87DCE" w14:textId="03ED8B29" w:rsidR="00634CDF" w:rsidRPr="00987270" w:rsidRDefault="00634CDF" w:rsidP="00575EC5">
      <w:pPr>
        <w:pBdr>
          <w:top w:val="nil"/>
          <w:left w:val="nil"/>
          <w:bottom w:val="nil"/>
          <w:right w:val="nil"/>
          <w:between w:val="nil"/>
        </w:pBdr>
        <w:spacing w:line="240" w:lineRule="auto"/>
        <w:ind w:leftChars="0" w:left="0" w:firstLineChars="0" w:firstLine="0"/>
        <w:rPr>
          <w:rFonts w:ascii="Arial" w:eastAsia="Arial" w:hAnsi="Arial" w:cs="Arial"/>
          <w:color w:val="000000"/>
          <w:sz w:val="20"/>
          <w:szCs w:val="20"/>
          <w:vertAlign w:val="baseline"/>
          <w:lang w:val="en-GB"/>
        </w:rPr>
      </w:pPr>
    </w:p>
    <w:p w14:paraId="320786A2" w14:textId="34DD3E33" w:rsidR="007A1FF3" w:rsidRPr="007A1FF3" w:rsidRDefault="00F0051D" w:rsidP="007A1FF3">
      <w:pPr>
        <w:ind w:left="0" w:hanging="2"/>
        <w:jc w:val="both"/>
        <w:rPr>
          <w:rFonts w:ascii="Arial" w:eastAsia="Arial" w:hAnsi="Arial" w:cs="Arial"/>
          <w:color w:val="000000"/>
          <w:sz w:val="20"/>
          <w:szCs w:val="20"/>
          <w:vertAlign w:val="baseline"/>
        </w:rPr>
      </w:pPr>
      <w:r>
        <w:rPr>
          <w:rFonts w:ascii="Arial" w:eastAsia="Arial" w:hAnsi="Arial" w:cs="Arial"/>
          <w:b/>
          <w:color w:val="000000"/>
          <w:sz w:val="20"/>
          <w:szCs w:val="20"/>
          <w:vertAlign w:val="baseline"/>
        </w:rPr>
        <w:t xml:space="preserve">Citar este informe como: </w:t>
      </w:r>
      <w:r w:rsidR="000B43E3">
        <w:rPr>
          <w:rFonts w:ascii="Arial" w:eastAsia="Arial" w:hAnsi="Arial" w:cs="Arial"/>
          <w:b/>
          <w:color w:val="000000"/>
          <w:sz w:val="20"/>
          <w:szCs w:val="20"/>
          <w:vertAlign w:val="baseline"/>
        </w:rPr>
        <w:t xml:space="preserve"> </w:t>
      </w:r>
      <w:r w:rsidR="007A1FF3">
        <w:rPr>
          <w:rFonts w:ascii="Arial" w:eastAsia="Arial" w:hAnsi="Arial" w:cs="Arial"/>
          <w:color w:val="000000"/>
          <w:sz w:val="20"/>
          <w:szCs w:val="20"/>
          <w:vertAlign w:val="baseline"/>
        </w:rPr>
        <w:t>Ubago Pérez R, Martínez López de Castro N</w:t>
      </w:r>
      <w:r w:rsidR="002D328A">
        <w:rPr>
          <w:rFonts w:ascii="Arial" w:eastAsia="Arial" w:hAnsi="Arial" w:cs="Arial"/>
          <w:color w:val="000000"/>
          <w:sz w:val="20"/>
          <w:szCs w:val="20"/>
          <w:vertAlign w:val="baseline"/>
        </w:rPr>
        <w:t>,</w:t>
      </w:r>
      <w:r w:rsidR="002D328A" w:rsidRPr="002D328A">
        <w:rPr>
          <w:rFonts w:ascii="Arial" w:eastAsia="Arial" w:hAnsi="Arial" w:cs="Arial"/>
          <w:color w:val="000000"/>
          <w:sz w:val="20"/>
          <w:szCs w:val="20"/>
          <w:vertAlign w:val="baseline"/>
        </w:rPr>
        <w:t xml:space="preserve"> </w:t>
      </w:r>
      <w:r w:rsidR="002D328A">
        <w:rPr>
          <w:rFonts w:ascii="Arial" w:eastAsia="Arial" w:hAnsi="Arial" w:cs="Arial"/>
          <w:color w:val="000000"/>
          <w:sz w:val="20"/>
          <w:szCs w:val="20"/>
          <w:vertAlign w:val="baseline"/>
        </w:rPr>
        <w:t>Nieto-Gómez P</w:t>
      </w:r>
      <w:r w:rsidR="007A1FF3" w:rsidRPr="007A1FF3">
        <w:rPr>
          <w:rFonts w:ascii="Arial" w:eastAsia="Arial" w:hAnsi="Arial" w:cs="Arial"/>
          <w:color w:val="000000"/>
          <w:sz w:val="20"/>
          <w:szCs w:val="20"/>
          <w:vertAlign w:val="baseline"/>
        </w:rPr>
        <w:t xml:space="preserve">. </w:t>
      </w:r>
      <w:r w:rsidR="007A1FF3">
        <w:rPr>
          <w:rFonts w:ascii="Arial" w:eastAsia="Arial" w:hAnsi="Arial" w:cs="Arial"/>
          <w:color w:val="000000"/>
          <w:sz w:val="20"/>
          <w:szCs w:val="20"/>
          <w:vertAlign w:val="baseline"/>
        </w:rPr>
        <w:t>Inclisiran en hipercolesterolemia primaria y dislipemia mixta</w:t>
      </w:r>
      <w:r w:rsidR="007A1FF3" w:rsidRPr="007A1FF3">
        <w:rPr>
          <w:rFonts w:ascii="Arial" w:eastAsia="Arial" w:hAnsi="Arial" w:cs="Arial"/>
          <w:color w:val="000000"/>
          <w:sz w:val="20"/>
          <w:szCs w:val="20"/>
          <w:vertAlign w:val="baseline"/>
        </w:rPr>
        <w:t xml:space="preserve">.  Informe compartido del Grupo GENESIS-SEFH (revisor). Madrid: SEFH (ed.), septiembre 2022. ISBN. [Fecha de la consulta]. </w:t>
      </w:r>
    </w:p>
    <w:p w14:paraId="65C4C027" w14:textId="77777777" w:rsidR="007A1FF3" w:rsidRPr="007A1FF3" w:rsidRDefault="007A1FF3" w:rsidP="00574FA1">
      <w:pPr>
        <w:ind w:left="0" w:hanging="2"/>
        <w:jc w:val="both"/>
        <w:rPr>
          <w:rFonts w:ascii="Arial" w:eastAsia="Arial" w:hAnsi="Arial" w:cs="Arial"/>
          <w:color w:val="000000"/>
          <w:sz w:val="20"/>
          <w:szCs w:val="20"/>
          <w:vertAlign w:val="baseline"/>
        </w:rPr>
      </w:pPr>
      <w:r w:rsidRPr="007A1FF3">
        <w:rPr>
          <w:rFonts w:ascii="Arial" w:eastAsia="Arial" w:hAnsi="Arial" w:cs="Arial"/>
          <w:color w:val="000000"/>
          <w:sz w:val="20"/>
          <w:szCs w:val="20"/>
          <w:vertAlign w:val="baseline"/>
        </w:rPr>
        <w:t>Disponible en: http://gruposdetrabajo.sefh.es/genesis/genesis/Enlaces/InformesHosp_abc.htm</w:t>
      </w:r>
      <w:r w:rsidRPr="007A1FF3">
        <w:rPr>
          <w:rFonts w:ascii="Arial" w:eastAsia="Arial" w:hAnsi="Arial" w:cs="Arial"/>
          <w:color w:val="000000"/>
          <w:sz w:val="20"/>
          <w:szCs w:val="20"/>
          <w:vertAlign w:val="baseline"/>
        </w:rPr>
        <w:br/>
        <w:t xml:space="preserve">También en:  </w:t>
      </w:r>
      <w:hyperlink r:id="rId9" w:history="1">
        <w:r w:rsidRPr="00574FA1">
          <w:rPr>
            <w:rFonts w:ascii="Arial" w:eastAsia="Arial" w:hAnsi="Arial" w:cs="Arial"/>
            <w:color w:val="000000"/>
            <w:sz w:val="20"/>
            <w:szCs w:val="20"/>
            <w:vertAlign w:val="baseline"/>
          </w:rPr>
          <w:t>http://gruposdetrabajo.sefh.es/genesis/</w:t>
        </w:r>
      </w:hyperlink>
    </w:p>
    <w:p w14:paraId="5D7E1D37" w14:textId="1FA9A1AC" w:rsidR="00575EC5" w:rsidRPr="00575EC5" w:rsidRDefault="00575EC5" w:rsidP="004E4268">
      <w:pPr>
        <w:pBdr>
          <w:top w:val="nil"/>
          <w:left w:val="nil"/>
          <w:bottom w:val="nil"/>
          <w:right w:val="nil"/>
          <w:between w:val="nil"/>
        </w:pBdr>
        <w:spacing w:line="240" w:lineRule="auto"/>
        <w:ind w:left="0" w:hanging="2"/>
        <w:jc w:val="both"/>
        <w:rPr>
          <w:rFonts w:eastAsia="Arial"/>
        </w:rPr>
      </w:pPr>
    </w:p>
    <w:p w14:paraId="19EF53D6" w14:textId="77777777" w:rsidR="00634CDF" w:rsidRDefault="00634CDF">
      <w:pPr>
        <w:pBdr>
          <w:top w:val="nil"/>
          <w:left w:val="nil"/>
          <w:bottom w:val="nil"/>
          <w:right w:val="nil"/>
          <w:between w:val="nil"/>
        </w:pBdr>
        <w:spacing w:line="240" w:lineRule="auto"/>
        <w:ind w:left="0" w:hanging="2"/>
        <w:rPr>
          <w:rFonts w:ascii="Arial" w:eastAsia="Arial" w:hAnsi="Arial" w:cs="Arial"/>
          <w:color w:val="0000FF"/>
          <w:sz w:val="20"/>
          <w:szCs w:val="20"/>
          <w:u w:val="single"/>
          <w:vertAlign w:val="baseline"/>
        </w:rPr>
      </w:pPr>
    </w:p>
    <w:tbl>
      <w:tblPr>
        <w:tblStyle w:val="a0"/>
        <w:tblW w:w="8910" w:type="dxa"/>
        <w:tblInd w:w="-5" w:type="dxa"/>
        <w:tblLayout w:type="fixed"/>
        <w:tblLook w:val="0000" w:firstRow="0" w:lastRow="0" w:firstColumn="0" w:lastColumn="0" w:noHBand="0" w:noVBand="0"/>
      </w:tblPr>
      <w:tblGrid>
        <w:gridCol w:w="8910"/>
      </w:tblGrid>
      <w:tr w:rsidR="00634CDF" w14:paraId="1AD425DD" w14:textId="77777777">
        <w:trPr>
          <w:trHeight w:val="131"/>
        </w:trPr>
        <w:tc>
          <w:tcPr>
            <w:tcW w:w="8910" w:type="dxa"/>
            <w:tcBorders>
              <w:top w:val="single" w:sz="4" w:space="0" w:color="000000"/>
              <w:left w:val="single" w:sz="4" w:space="0" w:color="000000"/>
              <w:bottom w:val="single" w:sz="4" w:space="0" w:color="000000"/>
              <w:right w:val="single" w:sz="4" w:space="0" w:color="000000"/>
            </w:tcBorders>
            <w:shd w:val="clear" w:color="auto" w:fill="BFBFBF"/>
          </w:tcPr>
          <w:p w14:paraId="0D6FF344" w14:textId="77777777" w:rsidR="00634CDF" w:rsidRDefault="00F0051D">
            <w:pPr>
              <w:keepNext/>
              <w:pBdr>
                <w:top w:val="none" w:sz="0" w:space="0" w:color="000000"/>
                <w:left w:val="none" w:sz="0" w:space="0" w:color="000000"/>
                <w:bottom w:val="none" w:sz="0" w:space="0" w:color="000000"/>
                <w:right w:val="none" w:sz="0" w:space="0" w:color="000000"/>
                <w:between w:val="nil"/>
              </w:pBdr>
              <w:shd w:val="clear" w:color="auto" w:fill="A6A6A6"/>
              <w:spacing w:line="240" w:lineRule="auto"/>
              <w:ind w:left="0" w:hanging="2"/>
              <w:rPr>
                <w:color w:val="000000"/>
                <w:vertAlign w:val="baseline"/>
              </w:rPr>
            </w:pPr>
            <w:r>
              <w:rPr>
                <w:rFonts w:ascii="Arial" w:eastAsia="Arial" w:hAnsi="Arial" w:cs="Arial"/>
                <w:b/>
                <w:color w:val="000000"/>
                <w:sz w:val="20"/>
                <w:szCs w:val="20"/>
                <w:vertAlign w:val="baseline"/>
              </w:rPr>
              <w:t>1.- IDENTIFICACIÓN DEL FÁRMACO Y AUTORES DEL INFORME</w:t>
            </w:r>
          </w:p>
        </w:tc>
      </w:tr>
    </w:tbl>
    <w:p w14:paraId="57BD3E90"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2160BC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vertAlign w:val="baseline"/>
        </w:rPr>
        <w:t>Fármaco</w:t>
      </w:r>
      <w:r>
        <w:rPr>
          <w:rFonts w:ascii="Arial" w:eastAsia="Arial" w:hAnsi="Arial" w:cs="Arial"/>
          <w:color w:val="000000"/>
          <w:sz w:val="20"/>
          <w:szCs w:val="20"/>
          <w:vertAlign w:val="baseline"/>
        </w:rPr>
        <w:t>: Inclisiran.</w:t>
      </w:r>
    </w:p>
    <w:p w14:paraId="72CDC51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vertAlign w:val="baseline"/>
        </w:rPr>
        <w:t>Indicación clínica solicitada:</w:t>
      </w:r>
      <w:r>
        <w:rPr>
          <w:rFonts w:ascii="Arial" w:eastAsia="Arial" w:hAnsi="Arial" w:cs="Arial"/>
          <w:color w:val="000000"/>
          <w:sz w:val="20"/>
          <w:szCs w:val="20"/>
          <w:vertAlign w:val="baseline"/>
        </w:rPr>
        <w:t xml:space="preserve"> adultos con hipercolesterolemia primaria (heterocigótica familiar y no familiar) o dislipidemia mixta, como adyuvante de la dieta:</w:t>
      </w:r>
    </w:p>
    <w:p w14:paraId="5B0F560D" w14:textId="77777777" w:rsidR="00634CDF" w:rsidRDefault="00F0051D">
      <w:pPr>
        <w:spacing w:line="240" w:lineRule="auto"/>
        <w:ind w:left="0" w:hanging="2"/>
        <w:jc w:val="both"/>
        <w:rPr>
          <w:vertAlign w:val="baseline"/>
        </w:rPr>
      </w:pPr>
      <w:r>
        <w:rPr>
          <w:rFonts w:ascii="Arial" w:eastAsia="Arial" w:hAnsi="Arial" w:cs="Arial"/>
          <w:sz w:val="20"/>
          <w:szCs w:val="20"/>
          <w:vertAlign w:val="baseline"/>
        </w:rPr>
        <w:t>-en combinación con una estatina o una estatina y otros tratamientos hipolipemiantes en pacientes que no consiguen alcanzar los objetivos de C-LDL con la dosis máxima de una estatina o,</w:t>
      </w:r>
    </w:p>
    <w:p w14:paraId="7665283B" w14:textId="787F141C"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rFonts w:ascii="Arial" w:eastAsia="Arial" w:hAnsi="Arial" w:cs="Arial"/>
          <w:sz w:val="20"/>
          <w:szCs w:val="20"/>
          <w:vertAlign w:val="baseline"/>
        </w:rPr>
        <w:t>-</w:t>
      </w:r>
      <w:r>
        <w:rPr>
          <w:rFonts w:ascii="Arial" w:eastAsia="Arial" w:hAnsi="Arial" w:cs="Arial"/>
          <w:color w:val="000000"/>
          <w:sz w:val="20"/>
          <w:szCs w:val="20"/>
          <w:vertAlign w:val="baseline"/>
        </w:rPr>
        <w:t>sola o en combinación con otros tratamientos hipolipemiantes en pacientes que son intolerantes a las estatinas, o para aquellos para los que las estatinas están contraindicadas.</w:t>
      </w:r>
    </w:p>
    <w:p w14:paraId="3E337C4B" w14:textId="48CCDE23" w:rsidR="007A1FF3" w:rsidRDefault="007A1FF3" w:rsidP="007A1FF3">
      <w:pPr>
        <w:pStyle w:val="WW-normal"/>
        <w:ind w:left="0" w:hanging="2"/>
      </w:pPr>
    </w:p>
    <w:p w14:paraId="07601F09" w14:textId="595993D3" w:rsidR="007A1FF3" w:rsidRPr="007A1FF3" w:rsidRDefault="007A1FF3" w:rsidP="007A1FF3">
      <w:pPr>
        <w:ind w:left="0" w:hanging="2"/>
        <w:jc w:val="both"/>
        <w:rPr>
          <w:rFonts w:ascii="Arial" w:eastAsia="Arial" w:hAnsi="Arial" w:cs="Arial"/>
          <w:color w:val="000000"/>
          <w:sz w:val="20"/>
          <w:szCs w:val="20"/>
          <w:vertAlign w:val="baseline"/>
        </w:rPr>
      </w:pPr>
      <w:r w:rsidRPr="007A1FF3">
        <w:rPr>
          <w:rFonts w:ascii="Arial" w:eastAsia="Arial" w:hAnsi="Arial" w:cs="Arial"/>
          <w:b/>
          <w:color w:val="000000"/>
          <w:sz w:val="20"/>
          <w:szCs w:val="20"/>
          <w:vertAlign w:val="baseline"/>
        </w:rPr>
        <w:t>Autores / Revisores:</w:t>
      </w:r>
      <w:r w:rsidRPr="007A1FF3">
        <w:rPr>
          <w:rFonts w:ascii="Arial" w:eastAsia="Arial" w:hAnsi="Arial" w:cs="Arial"/>
          <w:color w:val="000000"/>
          <w:sz w:val="20"/>
          <w:szCs w:val="20"/>
          <w:vertAlign w:val="baseline"/>
        </w:rPr>
        <w:t xml:space="preserve"> </w:t>
      </w:r>
      <w:r>
        <w:rPr>
          <w:rFonts w:ascii="Arial" w:eastAsia="Arial" w:hAnsi="Arial" w:cs="Arial"/>
          <w:color w:val="000000"/>
          <w:sz w:val="20"/>
          <w:szCs w:val="20"/>
          <w:vertAlign w:val="baseline"/>
        </w:rPr>
        <w:t>Ubago Pérez R</w:t>
      </w:r>
      <w:r w:rsidRPr="007A1FF3">
        <w:rPr>
          <w:rFonts w:ascii="Arial" w:eastAsia="Arial" w:hAnsi="Arial" w:cs="Arial"/>
          <w:color w:val="000000"/>
          <w:sz w:val="20"/>
          <w:szCs w:val="20"/>
          <w:vertAlign w:val="baseline"/>
        </w:rPr>
        <w:t>*,</w:t>
      </w:r>
      <w:r w:rsidR="00CD49E1">
        <w:rPr>
          <w:rFonts w:ascii="Arial" w:eastAsia="Arial" w:hAnsi="Arial" w:cs="Arial"/>
          <w:color w:val="000000"/>
          <w:sz w:val="20"/>
          <w:szCs w:val="20"/>
          <w:vertAlign w:val="baseline"/>
        </w:rPr>
        <w:t xml:space="preserve"> </w:t>
      </w:r>
      <w:r>
        <w:rPr>
          <w:rFonts w:ascii="Arial" w:eastAsia="Arial" w:hAnsi="Arial" w:cs="Arial"/>
          <w:color w:val="000000"/>
          <w:sz w:val="20"/>
          <w:szCs w:val="20"/>
          <w:vertAlign w:val="baseline"/>
        </w:rPr>
        <w:t>Martínez López de Castro N</w:t>
      </w:r>
      <w:r w:rsidRPr="007A1FF3">
        <w:rPr>
          <w:rFonts w:ascii="Arial" w:eastAsia="Arial" w:hAnsi="Arial" w:cs="Arial"/>
          <w:color w:val="000000"/>
          <w:sz w:val="20"/>
          <w:szCs w:val="20"/>
          <w:vertAlign w:val="baseline"/>
        </w:rPr>
        <w:t>**</w:t>
      </w:r>
      <w:r w:rsidR="002D328A" w:rsidRPr="002D328A">
        <w:rPr>
          <w:rFonts w:ascii="Arial" w:eastAsia="Arial" w:hAnsi="Arial" w:cs="Arial"/>
          <w:color w:val="000000"/>
          <w:sz w:val="20"/>
          <w:szCs w:val="20"/>
          <w:vertAlign w:val="baseline"/>
        </w:rPr>
        <w:t xml:space="preserve"> </w:t>
      </w:r>
      <w:r w:rsidR="002D328A">
        <w:rPr>
          <w:rFonts w:ascii="Arial" w:eastAsia="Arial" w:hAnsi="Arial" w:cs="Arial"/>
          <w:color w:val="000000"/>
          <w:sz w:val="20"/>
          <w:szCs w:val="20"/>
          <w:vertAlign w:val="baseline"/>
        </w:rPr>
        <w:t>Nieto-Gómez P***,</w:t>
      </w:r>
    </w:p>
    <w:p w14:paraId="0D935BAA" w14:textId="77777777" w:rsidR="007A1FF3" w:rsidRPr="007A1FF3" w:rsidRDefault="007A1FF3" w:rsidP="007A1FF3">
      <w:pPr>
        <w:ind w:left="0" w:hanging="2"/>
        <w:jc w:val="both"/>
        <w:rPr>
          <w:rFonts w:ascii="Arial" w:eastAsia="Arial" w:hAnsi="Arial" w:cs="Arial"/>
          <w:color w:val="000000"/>
          <w:sz w:val="20"/>
          <w:szCs w:val="20"/>
          <w:vertAlign w:val="baseline"/>
        </w:rPr>
      </w:pPr>
    </w:p>
    <w:p w14:paraId="69302F7E" w14:textId="7E974C37" w:rsidR="007A1FF3" w:rsidRDefault="007A1FF3" w:rsidP="007A1FF3">
      <w:pPr>
        <w:ind w:left="0" w:hanging="2"/>
        <w:jc w:val="both"/>
        <w:rPr>
          <w:rFonts w:ascii="Arial" w:eastAsia="Arial" w:hAnsi="Arial" w:cs="Arial"/>
          <w:color w:val="000000"/>
          <w:sz w:val="20"/>
          <w:szCs w:val="20"/>
          <w:vertAlign w:val="baseline"/>
        </w:rPr>
      </w:pPr>
      <w:r w:rsidRPr="007A1FF3">
        <w:rPr>
          <w:rFonts w:ascii="Arial" w:eastAsia="Arial" w:hAnsi="Arial" w:cs="Arial"/>
          <w:color w:val="000000"/>
          <w:sz w:val="20"/>
          <w:szCs w:val="20"/>
          <w:vertAlign w:val="baseline"/>
        </w:rPr>
        <w:t xml:space="preserve">*Servicio de Farmacia. Hospital Universitario </w:t>
      </w:r>
      <w:r>
        <w:rPr>
          <w:rFonts w:ascii="Arial" w:eastAsia="Arial" w:hAnsi="Arial" w:cs="Arial"/>
          <w:color w:val="000000"/>
          <w:sz w:val="20"/>
          <w:szCs w:val="20"/>
          <w:vertAlign w:val="baseline"/>
        </w:rPr>
        <w:t>San Cecilio. Granada.</w:t>
      </w:r>
    </w:p>
    <w:p w14:paraId="789AF173" w14:textId="6C9455BA" w:rsidR="007A1FF3" w:rsidRPr="007A1FF3" w:rsidRDefault="007A1FF3" w:rsidP="007A1FF3">
      <w:pPr>
        <w:ind w:left="0" w:hanging="2"/>
        <w:jc w:val="both"/>
        <w:rPr>
          <w:rFonts w:ascii="Arial" w:eastAsia="Arial" w:hAnsi="Arial" w:cs="Arial"/>
          <w:color w:val="000000"/>
          <w:sz w:val="20"/>
          <w:szCs w:val="20"/>
          <w:vertAlign w:val="baseline"/>
        </w:rPr>
      </w:pPr>
      <w:r w:rsidRPr="007A1FF3">
        <w:rPr>
          <w:rFonts w:ascii="Arial" w:eastAsia="Arial" w:hAnsi="Arial" w:cs="Arial"/>
          <w:color w:val="000000"/>
          <w:sz w:val="20"/>
          <w:szCs w:val="20"/>
          <w:vertAlign w:val="baseline"/>
        </w:rPr>
        <w:t>**Servicio de Farmacia</w:t>
      </w:r>
      <w:r>
        <w:rPr>
          <w:rFonts w:ascii="Arial" w:eastAsia="Arial" w:hAnsi="Arial" w:cs="Arial"/>
          <w:color w:val="000000"/>
          <w:sz w:val="20"/>
          <w:szCs w:val="20"/>
          <w:vertAlign w:val="baseline"/>
        </w:rPr>
        <w:t xml:space="preserve"> Hospitalaria. Área Sanitaria de Vigo.</w:t>
      </w:r>
    </w:p>
    <w:p w14:paraId="5BA5394E" w14:textId="11A9AC18" w:rsidR="002D328A" w:rsidRPr="00843381" w:rsidRDefault="002D328A" w:rsidP="002D328A">
      <w:pPr>
        <w:pStyle w:val="WW-normal"/>
        <w:ind w:left="0" w:hanging="2"/>
        <w:rPr>
          <w:rFonts w:ascii="Arial" w:eastAsia="Arial" w:hAnsi="Arial" w:cs="Arial"/>
          <w:sz w:val="20"/>
          <w:szCs w:val="20"/>
          <w:vertAlign w:val="baseline"/>
        </w:rPr>
      </w:pPr>
      <w:r>
        <w:rPr>
          <w:rFonts w:ascii="Arial" w:eastAsia="Arial" w:hAnsi="Arial" w:cs="Arial"/>
          <w:sz w:val="20"/>
          <w:szCs w:val="20"/>
          <w:vertAlign w:val="baseline"/>
        </w:rPr>
        <w:t>***Servicio de Farmacia. Hospital Santa Bárbara. Puertollano. Ciudad Real.</w:t>
      </w:r>
    </w:p>
    <w:p w14:paraId="6B2DD291" w14:textId="77777777" w:rsidR="007A1FF3" w:rsidRPr="007A1FF3" w:rsidRDefault="007A1FF3" w:rsidP="007A1FF3">
      <w:pPr>
        <w:ind w:left="0" w:hanging="2"/>
        <w:jc w:val="both"/>
        <w:rPr>
          <w:rFonts w:ascii="Arial" w:eastAsia="Arial" w:hAnsi="Arial" w:cs="Arial"/>
          <w:color w:val="000000"/>
          <w:sz w:val="20"/>
          <w:szCs w:val="20"/>
          <w:vertAlign w:val="baseline"/>
        </w:rPr>
      </w:pPr>
    </w:p>
    <w:p w14:paraId="57F40660" w14:textId="77777777" w:rsidR="007A1FF3" w:rsidRPr="007A1FF3" w:rsidRDefault="007A1FF3" w:rsidP="007A1FF3">
      <w:pPr>
        <w:ind w:left="0" w:hanging="2"/>
        <w:jc w:val="both"/>
        <w:rPr>
          <w:rFonts w:ascii="Arial" w:eastAsia="Arial" w:hAnsi="Arial" w:cs="Arial"/>
          <w:b/>
          <w:color w:val="000000"/>
          <w:sz w:val="20"/>
          <w:szCs w:val="20"/>
          <w:vertAlign w:val="baseline"/>
        </w:rPr>
      </w:pPr>
      <w:r w:rsidRPr="007A1FF3">
        <w:rPr>
          <w:rFonts w:ascii="Arial" w:eastAsia="Arial" w:hAnsi="Arial" w:cs="Arial"/>
          <w:b/>
          <w:color w:val="000000"/>
          <w:sz w:val="20"/>
          <w:szCs w:val="20"/>
          <w:vertAlign w:val="baseline"/>
        </w:rPr>
        <w:t>Revisión por el grupo Coordinador del grupo GENESIS de la SEFH.</w:t>
      </w:r>
    </w:p>
    <w:p w14:paraId="47A57AE6" w14:textId="77777777" w:rsidR="007A1FF3" w:rsidRPr="007A1FF3" w:rsidRDefault="007A1FF3" w:rsidP="007A1FF3">
      <w:pPr>
        <w:ind w:left="0" w:hanging="2"/>
        <w:jc w:val="both"/>
        <w:rPr>
          <w:rFonts w:ascii="Arial" w:eastAsia="Arial" w:hAnsi="Arial" w:cs="Arial"/>
          <w:color w:val="000000"/>
          <w:sz w:val="20"/>
          <w:szCs w:val="20"/>
          <w:vertAlign w:val="baseline"/>
        </w:rPr>
      </w:pPr>
    </w:p>
    <w:p w14:paraId="3268A438" w14:textId="77777777" w:rsidR="007A1FF3" w:rsidRPr="007A1FF3" w:rsidRDefault="007A1FF3" w:rsidP="007A1FF3">
      <w:pPr>
        <w:ind w:left="0" w:hanging="2"/>
        <w:jc w:val="both"/>
        <w:rPr>
          <w:rFonts w:ascii="Arial" w:eastAsia="Arial" w:hAnsi="Arial" w:cs="Arial"/>
          <w:color w:val="000000"/>
          <w:sz w:val="20"/>
          <w:szCs w:val="20"/>
          <w:vertAlign w:val="baseline"/>
        </w:rPr>
      </w:pPr>
      <w:r w:rsidRPr="007A1FF3">
        <w:rPr>
          <w:rFonts w:ascii="Arial" w:eastAsia="Arial" w:hAnsi="Arial" w:cs="Arial"/>
          <w:color w:val="000000"/>
          <w:sz w:val="20"/>
          <w:szCs w:val="20"/>
          <w:vertAlign w:val="baseline"/>
        </w:rPr>
        <w:t>Alegaciones: un borrador de este informe fue presentado como borrador público en la Web del grupo GENESIS de la SEFH, con la posibilidad de presentar propuestas al mismo. Se recibieron alegaciones de:</w:t>
      </w:r>
    </w:p>
    <w:p w14:paraId="48FFF4F9" w14:textId="15EBA26F" w:rsidR="007A1FF3" w:rsidRPr="007A1FF3" w:rsidRDefault="007A1FF3" w:rsidP="007A1FF3">
      <w:pPr>
        <w:pStyle w:val="Prrafodelista"/>
        <w:numPr>
          <w:ilvl w:val="0"/>
          <w:numId w:val="20"/>
        </w:numPr>
        <w:shd w:val="clear" w:color="auto" w:fill="FFFFFF"/>
        <w:spacing w:line="240" w:lineRule="auto"/>
        <w:ind w:leftChars="0" w:left="0" w:firstLineChars="0" w:hanging="2"/>
        <w:textDirection w:val="lrTb"/>
        <w:textAlignment w:val="auto"/>
        <w:outlineLvl w:val="9"/>
        <w:rPr>
          <w:rFonts w:ascii="Arial" w:eastAsia="Arial" w:hAnsi="Arial" w:cs="Arial"/>
          <w:color w:val="000000"/>
          <w:sz w:val="20"/>
          <w:szCs w:val="20"/>
          <w:vertAlign w:val="baseline"/>
        </w:rPr>
      </w:pPr>
      <w:r>
        <w:rPr>
          <w:rFonts w:ascii="Arial" w:eastAsia="Arial" w:hAnsi="Arial" w:cs="Arial"/>
          <w:color w:val="000000"/>
          <w:sz w:val="20"/>
          <w:szCs w:val="20"/>
          <w:vertAlign w:val="baseline"/>
        </w:rPr>
        <w:t>Novartis</w:t>
      </w:r>
    </w:p>
    <w:p w14:paraId="1E65C6CE" w14:textId="77777777" w:rsidR="007A1FF3" w:rsidRPr="007A1FF3" w:rsidRDefault="007A1FF3" w:rsidP="007A1FF3">
      <w:pPr>
        <w:ind w:left="0" w:hanging="2"/>
        <w:jc w:val="both"/>
        <w:rPr>
          <w:rFonts w:ascii="Arial" w:eastAsia="Arial" w:hAnsi="Arial" w:cs="Arial"/>
          <w:color w:val="000000"/>
          <w:sz w:val="20"/>
          <w:szCs w:val="20"/>
          <w:vertAlign w:val="baseline"/>
        </w:rPr>
      </w:pPr>
    </w:p>
    <w:p w14:paraId="41889837" w14:textId="77777777" w:rsidR="007A1FF3" w:rsidRPr="007A1FF3" w:rsidRDefault="007A1FF3" w:rsidP="007A1FF3">
      <w:pPr>
        <w:ind w:left="0" w:hanging="2"/>
        <w:jc w:val="both"/>
        <w:rPr>
          <w:rFonts w:ascii="Arial" w:eastAsia="Arial" w:hAnsi="Arial" w:cs="Arial"/>
          <w:color w:val="000000"/>
          <w:sz w:val="20"/>
          <w:szCs w:val="20"/>
          <w:vertAlign w:val="baseline"/>
        </w:rPr>
      </w:pPr>
      <w:r w:rsidRPr="007A1FF3">
        <w:rPr>
          <w:rFonts w:ascii="Arial" w:eastAsia="Arial" w:hAnsi="Arial" w:cs="Arial"/>
          <w:b/>
          <w:color w:val="000000"/>
          <w:sz w:val="20"/>
          <w:szCs w:val="20"/>
          <w:vertAlign w:val="baseline"/>
        </w:rPr>
        <w:t>Tipo de informe:</w:t>
      </w:r>
      <w:r w:rsidRPr="007A1FF3">
        <w:rPr>
          <w:rFonts w:ascii="Arial" w:eastAsia="Arial" w:hAnsi="Arial" w:cs="Arial"/>
          <w:color w:val="000000"/>
          <w:sz w:val="20"/>
          <w:szCs w:val="20"/>
          <w:vertAlign w:val="baseline"/>
        </w:rPr>
        <w:t xml:space="preserve"> Original</w:t>
      </w:r>
    </w:p>
    <w:p w14:paraId="3044457B" w14:textId="77777777" w:rsidR="007A1FF3" w:rsidRPr="007A1FF3" w:rsidRDefault="007A1FF3" w:rsidP="007A1FF3">
      <w:pPr>
        <w:ind w:left="0" w:hanging="2"/>
        <w:jc w:val="both"/>
        <w:rPr>
          <w:rFonts w:ascii="Arial" w:eastAsia="Arial" w:hAnsi="Arial" w:cs="Arial"/>
          <w:color w:val="000000"/>
          <w:sz w:val="20"/>
          <w:szCs w:val="20"/>
          <w:vertAlign w:val="baseline"/>
        </w:rPr>
      </w:pPr>
    </w:p>
    <w:p w14:paraId="462A4ECF" w14:textId="77777777" w:rsidR="007A1FF3" w:rsidRPr="007A1FF3" w:rsidRDefault="007A1FF3" w:rsidP="007A1FF3">
      <w:pPr>
        <w:ind w:left="0" w:hanging="2"/>
        <w:jc w:val="both"/>
        <w:rPr>
          <w:rFonts w:ascii="Arial" w:eastAsia="Arial" w:hAnsi="Arial" w:cs="Arial"/>
          <w:color w:val="000000"/>
          <w:sz w:val="20"/>
          <w:szCs w:val="20"/>
          <w:vertAlign w:val="baseline"/>
        </w:rPr>
      </w:pPr>
      <w:r w:rsidRPr="00071A64">
        <w:rPr>
          <w:rFonts w:ascii="Arial" w:eastAsia="Arial" w:hAnsi="Arial" w:cs="Arial"/>
          <w:b/>
          <w:color w:val="000000"/>
          <w:sz w:val="20"/>
          <w:szCs w:val="20"/>
          <w:vertAlign w:val="baseline"/>
        </w:rPr>
        <w:t>Declaración de conflicto de Intereses de los autores</w:t>
      </w:r>
      <w:r w:rsidRPr="007A1FF3">
        <w:rPr>
          <w:rFonts w:ascii="Arial" w:eastAsia="Arial" w:hAnsi="Arial" w:cs="Arial"/>
          <w:color w:val="000000"/>
          <w:sz w:val="20"/>
          <w:szCs w:val="20"/>
          <w:vertAlign w:val="baseline"/>
        </w:rPr>
        <w:t>: Ver declaración en anexo al final del informe.</w:t>
      </w:r>
    </w:p>
    <w:p w14:paraId="601E2DD8" w14:textId="77777777" w:rsidR="007A1FF3" w:rsidRPr="007A1FF3" w:rsidRDefault="007A1FF3" w:rsidP="007A1FF3">
      <w:pPr>
        <w:tabs>
          <w:tab w:val="left" w:pos="3343"/>
        </w:tabs>
        <w:ind w:left="0" w:hanging="2"/>
        <w:jc w:val="both"/>
        <w:rPr>
          <w:rFonts w:ascii="Arial" w:eastAsia="Arial" w:hAnsi="Arial" w:cs="Arial"/>
          <w:color w:val="000000"/>
          <w:sz w:val="20"/>
          <w:szCs w:val="20"/>
          <w:vertAlign w:val="baseline"/>
        </w:rPr>
      </w:pPr>
    </w:p>
    <w:p w14:paraId="410DFD41" w14:textId="08B8B55D" w:rsidR="007A1FF3" w:rsidRPr="00071A64" w:rsidRDefault="007A1FF3" w:rsidP="00071A64">
      <w:pPr>
        <w:tabs>
          <w:tab w:val="left" w:pos="3343"/>
        </w:tabs>
        <w:ind w:left="0" w:hanging="2"/>
        <w:jc w:val="both"/>
        <w:rPr>
          <w:rFonts w:ascii="Arial" w:eastAsia="Arial" w:hAnsi="Arial" w:cs="Arial"/>
          <w:color w:val="000000"/>
          <w:sz w:val="20"/>
          <w:szCs w:val="20"/>
          <w:vertAlign w:val="baseline"/>
        </w:rPr>
      </w:pPr>
      <w:r w:rsidRPr="007A1FF3">
        <w:rPr>
          <w:rFonts w:ascii="Arial" w:eastAsia="Arial" w:hAnsi="Arial" w:cs="Arial"/>
          <w:color w:val="000000"/>
          <w:sz w:val="20"/>
          <w:szCs w:val="20"/>
          <w:vertAlign w:val="baseline"/>
        </w:rPr>
        <w:t>Para la elaboración del informe se ha utilizado el Programa MADRE versión 4.0</w:t>
      </w:r>
      <w:r w:rsidRPr="007A1FF3">
        <w:rPr>
          <w:rFonts w:eastAsia="Arial"/>
          <w:color w:val="000000"/>
          <w:vertAlign w:val="baseline"/>
        </w:rPr>
        <w:footnoteReference w:id="1"/>
      </w:r>
      <w:r w:rsidRPr="007A1FF3">
        <w:rPr>
          <w:rFonts w:ascii="Arial" w:eastAsia="Arial" w:hAnsi="Arial" w:cs="Arial"/>
          <w:color w:val="000000"/>
          <w:sz w:val="20"/>
          <w:szCs w:val="20"/>
          <w:vertAlign w:val="baseline"/>
        </w:rPr>
        <w:t xml:space="preserve"> y Guía EE e IP</w:t>
      </w:r>
      <w:r w:rsidRPr="007A1FF3">
        <w:rPr>
          <w:rFonts w:eastAsia="Arial"/>
          <w:color w:val="000000"/>
          <w:vertAlign w:val="baseline"/>
        </w:rPr>
        <w:footnoteReference w:id="2"/>
      </w:r>
    </w:p>
    <w:p w14:paraId="7966BB87" w14:textId="31A12A64" w:rsidR="007A1FF3" w:rsidRDefault="007A1FF3" w:rsidP="007A1FF3">
      <w:pPr>
        <w:pStyle w:val="WW-normal"/>
        <w:ind w:left="0" w:hanging="2"/>
      </w:pPr>
    </w:p>
    <w:p w14:paraId="0EE41207" w14:textId="1C50CAE8" w:rsidR="007A1FF3" w:rsidRDefault="007A1FF3" w:rsidP="007A1FF3">
      <w:pPr>
        <w:pStyle w:val="WW-normal"/>
        <w:ind w:left="0" w:hanging="2"/>
      </w:pPr>
    </w:p>
    <w:p w14:paraId="276BD82A" w14:textId="7E9E146B" w:rsidR="00634CDF" w:rsidRDefault="00F0051D" w:rsidP="00071A64">
      <w:pPr>
        <w:pBdr>
          <w:top w:val="nil"/>
          <w:left w:val="nil"/>
          <w:bottom w:val="nil"/>
          <w:right w:val="nil"/>
          <w:between w:val="nil"/>
        </w:pBdr>
        <w:spacing w:line="240" w:lineRule="auto"/>
        <w:ind w:leftChars="0" w:left="0" w:firstLineChars="0" w:firstLine="0"/>
        <w:jc w:val="both"/>
        <w:rPr>
          <w:color w:val="000000"/>
          <w:vertAlign w:val="baseline"/>
        </w:rPr>
      </w:pPr>
      <w:r>
        <w:rPr>
          <w:rFonts w:ascii="Arial" w:eastAsia="Arial" w:hAnsi="Arial" w:cs="Arial"/>
          <w:b/>
          <w:color w:val="000000"/>
          <w:sz w:val="20"/>
          <w:szCs w:val="20"/>
          <w:vertAlign w:val="baseline"/>
        </w:rPr>
        <w:t xml:space="preserve">Declaración de conflicto de Intereses de los autores: </w:t>
      </w:r>
      <w:r>
        <w:rPr>
          <w:rFonts w:ascii="Arial" w:eastAsia="Arial" w:hAnsi="Arial" w:cs="Arial"/>
          <w:color w:val="000000"/>
          <w:sz w:val="20"/>
          <w:szCs w:val="20"/>
          <w:vertAlign w:val="baseline"/>
        </w:rPr>
        <w:t>Ver declaración en anexo al final del informe.</w:t>
      </w:r>
    </w:p>
    <w:p w14:paraId="6F509BAC" w14:textId="77777777" w:rsidR="00634CDF" w:rsidRDefault="00634CDF">
      <w:pPr>
        <w:pBdr>
          <w:top w:val="nil"/>
          <w:left w:val="nil"/>
          <w:bottom w:val="nil"/>
          <w:right w:val="nil"/>
          <w:between w:val="nil"/>
        </w:pBdr>
        <w:tabs>
          <w:tab w:val="left" w:pos="3343"/>
        </w:tabs>
        <w:spacing w:line="240" w:lineRule="auto"/>
        <w:ind w:left="0" w:hanging="2"/>
        <w:jc w:val="both"/>
        <w:rPr>
          <w:rFonts w:ascii="Arial" w:eastAsia="Arial" w:hAnsi="Arial" w:cs="Arial"/>
          <w:color w:val="000000"/>
          <w:sz w:val="20"/>
          <w:szCs w:val="20"/>
          <w:vertAlign w:val="baseline"/>
        </w:rPr>
      </w:pPr>
      <w:bookmarkStart w:id="1" w:name="_heading=h.1fob9te" w:colFirst="0" w:colLast="0"/>
      <w:bookmarkEnd w:id="1"/>
    </w:p>
    <w:p w14:paraId="0270FC37" w14:textId="77777777" w:rsidR="00634CDF" w:rsidRDefault="00F0051D">
      <w:pPr>
        <w:pBdr>
          <w:top w:val="nil"/>
          <w:left w:val="nil"/>
          <w:bottom w:val="nil"/>
          <w:right w:val="nil"/>
          <w:between w:val="nil"/>
        </w:pBdr>
        <w:tabs>
          <w:tab w:val="left" w:pos="3343"/>
        </w:tabs>
        <w:spacing w:line="240" w:lineRule="auto"/>
        <w:ind w:left="0" w:hanging="2"/>
        <w:jc w:val="both"/>
        <w:rPr>
          <w:rFonts w:ascii="Arial" w:eastAsia="Arial" w:hAnsi="Arial" w:cs="Arial"/>
          <w:color w:val="0000FF"/>
          <w:sz w:val="20"/>
          <w:szCs w:val="20"/>
          <w:vertAlign w:val="baseline"/>
        </w:rPr>
      </w:pPr>
      <w:r>
        <w:rPr>
          <w:rFonts w:ascii="Arial" w:eastAsia="Arial" w:hAnsi="Arial" w:cs="Arial"/>
          <w:color w:val="000000"/>
          <w:sz w:val="20"/>
          <w:szCs w:val="20"/>
          <w:vertAlign w:val="baseline"/>
        </w:rPr>
        <w:lastRenderedPageBreak/>
        <w:t>Para la elaboración del informe se ha utilizado el Programa MADRE versión 4.0</w:t>
      </w:r>
      <w:r>
        <w:rPr>
          <w:rFonts w:ascii="Arial" w:eastAsia="Arial" w:hAnsi="Arial" w:cs="Arial"/>
          <w:color w:val="000000"/>
          <w:sz w:val="20"/>
          <w:szCs w:val="20"/>
          <w:vertAlign w:val="superscript"/>
        </w:rPr>
        <w:footnoteReference w:id="3"/>
      </w:r>
      <w:r>
        <w:rPr>
          <w:rFonts w:ascii="Arial" w:eastAsia="Arial" w:hAnsi="Arial" w:cs="Arial"/>
          <w:color w:val="000000"/>
          <w:sz w:val="20"/>
          <w:szCs w:val="20"/>
          <w:vertAlign w:val="baseline"/>
        </w:rPr>
        <w:t xml:space="preserve"> y Guía EE e IP</w:t>
      </w:r>
      <w:r>
        <w:rPr>
          <w:rFonts w:ascii="Arial" w:eastAsia="Arial" w:hAnsi="Arial" w:cs="Arial"/>
          <w:color w:val="000000"/>
          <w:sz w:val="20"/>
          <w:szCs w:val="20"/>
          <w:vertAlign w:val="superscript"/>
        </w:rPr>
        <w:footnoteReference w:id="4"/>
      </w:r>
    </w:p>
    <w:p w14:paraId="43887EA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FF"/>
          <w:sz w:val="20"/>
          <w:szCs w:val="20"/>
          <w:vertAlign w:val="baseline"/>
        </w:rPr>
      </w:pPr>
    </w:p>
    <w:tbl>
      <w:tblPr>
        <w:tblStyle w:val="a1"/>
        <w:tblW w:w="8910" w:type="dxa"/>
        <w:tblInd w:w="-5" w:type="dxa"/>
        <w:tblLayout w:type="fixed"/>
        <w:tblLook w:val="0000" w:firstRow="0" w:lastRow="0" w:firstColumn="0" w:lastColumn="0" w:noHBand="0" w:noVBand="0"/>
      </w:tblPr>
      <w:tblGrid>
        <w:gridCol w:w="8910"/>
      </w:tblGrid>
      <w:tr w:rsidR="00634CDF" w14:paraId="685023FD" w14:textId="77777777">
        <w:trPr>
          <w:trHeight w:val="90"/>
        </w:trPr>
        <w:tc>
          <w:tcPr>
            <w:tcW w:w="8910" w:type="dxa"/>
            <w:tcBorders>
              <w:top w:val="single" w:sz="4" w:space="0" w:color="000000"/>
              <w:left w:val="single" w:sz="4" w:space="0" w:color="000000"/>
              <w:bottom w:val="single" w:sz="4" w:space="0" w:color="000000"/>
              <w:right w:val="single" w:sz="4" w:space="0" w:color="000000"/>
            </w:tcBorders>
            <w:shd w:val="clear" w:color="auto" w:fill="B3B3B3"/>
          </w:tcPr>
          <w:p w14:paraId="666FC11B" w14:textId="77777777" w:rsidR="00634CDF" w:rsidRDefault="00F0051D">
            <w:pPr>
              <w:keepNext/>
              <w:pBdr>
                <w:top w:val="none" w:sz="0" w:space="0" w:color="000000"/>
                <w:left w:val="none" w:sz="0" w:space="0" w:color="000000"/>
                <w:bottom w:val="none" w:sz="0" w:space="0" w:color="000000"/>
                <w:right w:val="none" w:sz="0" w:space="0" w:color="000000"/>
                <w:between w:val="nil"/>
              </w:pBdr>
              <w:shd w:val="clear" w:color="auto" w:fill="A6A6A6"/>
              <w:spacing w:line="240" w:lineRule="auto"/>
              <w:ind w:left="0" w:hanging="2"/>
              <w:rPr>
                <w:color w:val="000000"/>
                <w:vertAlign w:val="baseline"/>
              </w:rPr>
            </w:pPr>
            <w:r>
              <w:rPr>
                <w:rFonts w:ascii="Arial" w:eastAsia="Arial" w:hAnsi="Arial" w:cs="Arial"/>
                <w:b/>
                <w:color w:val="000000"/>
                <w:sz w:val="20"/>
                <w:szCs w:val="20"/>
                <w:vertAlign w:val="baseline"/>
              </w:rPr>
              <w:t>2.- SOLICITUD Y DATOS DEL PROCESO DE EVALUACIÓN</w:t>
            </w:r>
          </w:p>
        </w:tc>
      </w:tr>
    </w:tbl>
    <w:p w14:paraId="6581926D" w14:textId="525BEE3B" w:rsidR="00634CDF" w:rsidRDefault="00634CDF" w:rsidP="007A1FF3">
      <w:pPr>
        <w:pBdr>
          <w:top w:val="nil"/>
          <w:left w:val="nil"/>
          <w:bottom w:val="nil"/>
          <w:right w:val="nil"/>
          <w:between w:val="nil"/>
        </w:pBdr>
        <w:spacing w:line="240" w:lineRule="auto"/>
        <w:ind w:leftChars="0" w:left="0" w:firstLineChars="0" w:firstLine="0"/>
        <w:jc w:val="both"/>
        <w:rPr>
          <w:rFonts w:ascii="Arial" w:eastAsia="Arial" w:hAnsi="Arial" w:cs="Arial"/>
          <w:color w:val="000000"/>
          <w:sz w:val="20"/>
          <w:szCs w:val="20"/>
          <w:vertAlign w:val="baseline"/>
        </w:rPr>
      </w:pPr>
    </w:p>
    <w:p w14:paraId="36DB408E" w14:textId="77777777" w:rsidR="00634CDF" w:rsidRDefault="00F0051D" w:rsidP="00694D71">
      <w:pPr>
        <w:spacing w:before="240" w:after="240"/>
        <w:ind w:left="-2" w:firstLineChars="0" w:firstLine="0"/>
        <w:jc w:val="both"/>
        <w:rPr>
          <w:rFonts w:ascii="Arial" w:eastAsia="Arial" w:hAnsi="Arial" w:cs="Arial"/>
          <w:color w:val="000000"/>
          <w:sz w:val="20"/>
          <w:szCs w:val="20"/>
          <w:vertAlign w:val="baseline"/>
        </w:rPr>
      </w:pPr>
      <w:r>
        <w:rPr>
          <w:rFonts w:ascii="Arial" w:eastAsia="Arial" w:hAnsi="Arial" w:cs="Arial"/>
          <w:b/>
          <w:sz w:val="20"/>
          <w:szCs w:val="20"/>
          <w:vertAlign w:val="baseline"/>
        </w:rPr>
        <w:t>Justificación de la solicitud:</w:t>
      </w:r>
      <w:r>
        <w:rPr>
          <w:rFonts w:ascii="Arial" w:eastAsia="Arial" w:hAnsi="Arial" w:cs="Arial"/>
          <w:sz w:val="20"/>
          <w:szCs w:val="20"/>
          <w:vertAlign w:val="baseline"/>
        </w:rPr>
        <w:t xml:space="preserve"> Revisión a demanda del grupo GENESIS por tratarse de un fármaco novedoso, cuyo lugar en terapéutica precisa de evaluación en el entorno hospitalario. </w:t>
      </w:r>
    </w:p>
    <w:tbl>
      <w:tblPr>
        <w:tblStyle w:val="a3"/>
        <w:tblW w:w="8879" w:type="dxa"/>
        <w:tblInd w:w="-5" w:type="dxa"/>
        <w:tblLayout w:type="fixed"/>
        <w:tblLook w:val="0000" w:firstRow="0" w:lastRow="0" w:firstColumn="0" w:lastColumn="0" w:noHBand="0" w:noVBand="0"/>
      </w:tblPr>
      <w:tblGrid>
        <w:gridCol w:w="8879"/>
      </w:tblGrid>
      <w:tr w:rsidR="00634CDF" w14:paraId="380DA16D" w14:textId="77777777">
        <w:tc>
          <w:tcPr>
            <w:tcW w:w="8879" w:type="dxa"/>
            <w:tcBorders>
              <w:top w:val="single" w:sz="4" w:space="0" w:color="000000"/>
              <w:left w:val="single" w:sz="4" w:space="0" w:color="000000"/>
              <w:bottom w:val="single" w:sz="4" w:space="0" w:color="000000"/>
              <w:right w:val="single" w:sz="4" w:space="0" w:color="000000"/>
            </w:tcBorders>
            <w:shd w:val="clear" w:color="auto" w:fill="B3B3B3"/>
          </w:tcPr>
          <w:p w14:paraId="14486314" w14:textId="77777777" w:rsidR="00634CDF" w:rsidRDefault="00F0051D">
            <w:pPr>
              <w:keepNext/>
              <w:pBdr>
                <w:top w:val="none" w:sz="0" w:space="0" w:color="000000"/>
                <w:left w:val="none" w:sz="0" w:space="0" w:color="000000"/>
                <w:bottom w:val="none" w:sz="0" w:space="0" w:color="000000"/>
                <w:right w:val="none" w:sz="0" w:space="0" w:color="000000"/>
                <w:between w:val="nil"/>
              </w:pBdr>
              <w:shd w:val="clear" w:color="auto" w:fill="A6A6A6"/>
              <w:spacing w:line="240" w:lineRule="auto"/>
              <w:ind w:left="0" w:hanging="2"/>
              <w:rPr>
                <w:color w:val="000000"/>
                <w:vertAlign w:val="baseline"/>
              </w:rPr>
            </w:pPr>
            <w:r>
              <w:rPr>
                <w:rFonts w:ascii="Arial" w:eastAsia="Arial" w:hAnsi="Arial" w:cs="Arial"/>
                <w:b/>
                <w:color w:val="000000"/>
                <w:sz w:val="20"/>
                <w:szCs w:val="20"/>
                <w:vertAlign w:val="baseline"/>
              </w:rPr>
              <w:t>3.- AREA DESCRIPTIVA DEL MEDICAMENTO Y DEL PROBLEMA DE SALUD</w:t>
            </w:r>
          </w:p>
        </w:tc>
      </w:tr>
    </w:tbl>
    <w:p w14:paraId="7DF69E0C"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bookmarkStart w:id="2" w:name="_heading=h.2et92p0" w:colFirst="0" w:colLast="0"/>
      <w:bookmarkEnd w:id="2"/>
    </w:p>
    <w:p w14:paraId="791A2F30" w14:textId="77777777" w:rsidR="00634CDF" w:rsidRDefault="00F0051D">
      <w:pPr>
        <w:keepNext/>
        <w:pBdr>
          <w:top w:val="single" w:sz="4" w:space="1" w:color="000000"/>
          <w:left w:val="single" w:sz="4" w:space="4" w:color="000000"/>
          <w:bottom w:val="single" w:sz="4" w:space="1" w:color="000000"/>
          <w:right w:val="single" w:sz="4" w:space="2"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3.1 Área descriptiva del medicamento</w:t>
      </w:r>
    </w:p>
    <w:p w14:paraId="7C9135F3"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69CFB2A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Nombre genérico</w:t>
      </w:r>
      <w:r>
        <w:rPr>
          <w:rFonts w:ascii="Arial" w:eastAsia="Arial" w:hAnsi="Arial" w:cs="Arial"/>
          <w:color w:val="000000"/>
          <w:sz w:val="20"/>
          <w:szCs w:val="20"/>
          <w:vertAlign w:val="baseline"/>
        </w:rPr>
        <w:t>: Inclisiran</w:t>
      </w:r>
    </w:p>
    <w:p w14:paraId="6006530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Nombre comercial</w:t>
      </w:r>
      <w:r>
        <w:rPr>
          <w:rFonts w:ascii="Arial" w:eastAsia="Arial" w:hAnsi="Arial" w:cs="Arial"/>
          <w:color w:val="000000"/>
          <w:sz w:val="20"/>
          <w:szCs w:val="20"/>
          <w:vertAlign w:val="baseline"/>
        </w:rPr>
        <w:t>: Leqvio</w:t>
      </w:r>
      <w:r>
        <w:rPr>
          <w:rFonts w:ascii="Calibri" w:eastAsia="Calibri" w:hAnsi="Calibri" w:cs="Calibri"/>
          <w:color w:val="000000"/>
          <w:sz w:val="20"/>
          <w:szCs w:val="20"/>
          <w:vertAlign w:val="baseline"/>
        </w:rPr>
        <w:t>®</w:t>
      </w:r>
    </w:p>
    <w:p w14:paraId="6DAB94D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Laboratorio</w:t>
      </w:r>
      <w:r>
        <w:rPr>
          <w:rFonts w:ascii="Arial" w:eastAsia="Arial" w:hAnsi="Arial" w:cs="Arial"/>
          <w:color w:val="000000"/>
          <w:sz w:val="20"/>
          <w:szCs w:val="20"/>
          <w:vertAlign w:val="baseline"/>
        </w:rPr>
        <w:t>: Novartis Farmacéutica, S.A.</w:t>
      </w:r>
    </w:p>
    <w:p w14:paraId="6A792A5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Grupo terapéutico</w:t>
      </w:r>
      <w:r>
        <w:rPr>
          <w:rFonts w:ascii="Arial" w:eastAsia="Arial" w:hAnsi="Arial" w:cs="Arial"/>
          <w:color w:val="000000"/>
          <w:sz w:val="20"/>
          <w:szCs w:val="20"/>
          <w:vertAlign w:val="baseline"/>
        </w:rPr>
        <w:t>. Otros agentes modificadores de los lípidos</w:t>
      </w:r>
    </w:p>
    <w:p w14:paraId="455ADED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 xml:space="preserve">Código ATC: </w:t>
      </w:r>
      <w:r>
        <w:rPr>
          <w:rFonts w:ascii="Arial" w:eastAsia="Arial" w:hAnsi="Arial" w:cs="Arial"/>
          <w:color w:val="000000"/>
          <w:sz w:val="21"/>
          <w:szCs w:val="21"/>
          <w:highlight w:val="white"/>
          <w:vertAlign w:val="baseline"/>
        </w:rPr>
        <w:t>C10AX16</w:t>
      </w:r>
    </w:p>
    <w:p w14:paraId="4A22D82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Vía de administración</w:t>
      </w:r>
      <w:r>
        <w:rPr>
          <w:rFonts w:ascii="Arial" w:eastAsia="Arial" w:hAnsi="Arial" w:cs="Arial"/>
          <w:color w:val="000000"/>
          <w:sz w:val="20"/>
          <w:szCs w:val="20"/>
          <w:vertAlign w:val="baseline"/>
        </w:rPr>
        <w:t>: subcutánea</w:t>
      </w:r>
    </w:p>
    <w:p w14:paraId="1A95CDE2" w14:textId="77777777" w:rsidR="00F44233" w:rsidRDefault="00F0051D" w:rsidP="00F44233">
      <w:pPr>
        <w:pBdr>
          <w:top w:val="nil"/>
          <w:left w:val="nil"/>
          <w:bottom w:val="nil"/>
          <w:right w:val="nil"/>
          <w:between w:val="nil"/>
        </w:pBdr>
        <w:spacing w:line="240" w:lineRule="auto"/>
        <w:ind w:left="0" w:hanging="2"/>
        <w:jc w:val="both"/>
        <w:rPr>
          <w:rFonts w:ascii="Arial" w:eastAsia="Arial" w:hAnsi="Arial" w:cs="Arial"/>
          <w:b/>
          <w:color w:val="000000"/>
          <w:sz w:val="20"/>
          <w:szCs w:val="20"/>
          <w:vertAlign w:val="baseline"/>
        </w:rPr>
      </w:pPr>
      <w:r>
        <w:rPr>
          <w:rFonts w:ascii="Arial" w:eastAsia="Arial" w:hAnsi="Arial" w:cs="Arial"/>
          <w:b/>
          <w:color w:val="000000"/>
          <w:sz w:val="20"/>
          <w:szCs w:val="20"/>
          <w:vertAlign w:val="baseline"/>
        </w:rPr>
        <w:t>Tipo de dispensación</w:t>
      </w:r>
      <w:r>
        <w:rPr>
          <w:rFonts w:ascii="Arial" w:eastAsia="Arial" w:hAnsi="Arial" w:cs="Arial"/>
          <w:color w:val="000000"/>
          <w:sz w:val="20"/>
          <w:szCs w:val="20"/>
          <w:vertAlign w:val="baseline"/>
        </w:rPr>
        <w:t xml:space="preserve">: </w:t>
      </w:r>
      <w:r w:rsidR="00F44233" w:rsidRPr="00F44233">
        <w:rPr>
          <w:rFonts w:ascii="Arial" w:eastAsia="Arial" w:hAnsi="Arial" w:cs="Arial"/>
          <w:color w:val="000000"/>
          <w:sz w:val="20"/>
          <w:szCs w:val="20"/>
          <w:vertAlign w:val="baseline"/>
        </w:rPr>
        <w:t>Medicamento sujeto a prescripción médica; con receta médica</w:t>
      </w:r>
      <w:r w:rsidR="00F44233">
        <w:rPr>
          <w:rFonts w:ascii="Arial" w:eastAsia="Arial" w:hAnsi="Arial" w:cs="Arial"/>
          <w:b/>
          <w:color w:val="000000"/>
          <w:sz w:val="20"/>
          <w:szCs w:val="20"/>
          <w:vertAlign w:val="baseline"/>
        </w:rPr>
        <w:t xml:space="preserve"> </w:t>
      </w:r>
    </w:p>
    <w:p w14:paraId="32A61C79" w14:textId="442A01D9" w:rsidR="00634CDF" w:rsidRDefault="00F0051D" w:rsidP="00F44233">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vertAlign w:val="baseline"/>
        </w:rPr>
        <w:t>Información de registro</w:t>
      </w:r>
      <w:r>
        <w:rPr>
          <w:rFonts w:ascii="Arial" w:eastAsia="Arial" w:hAnsi="Arial" w:cs="Arial"/>
          <w:color w:val="000000"/>
          <w:sz w:val="20"/>
          <w:szCs w:val="20"/>
          <w:vertAlign w:val="baseline"/>
        </w:rPr>
        <w:t>: Centralizado a nivel europeo por la EMA.</w:t>
      </w:r>
    </w:p>
    <w:tbl>
      <w:tblPr>
        <w:tblStyle w:val="a4"/>
        <w:tblW w:w="8982" w:type="dxa"/>
        <w:tblInd w:w="25" w:type="dxa"/>
        <w:tblLayout w:type="fixed"/>
        <w:tblLook w:val="0000" w:firstRow="0" w:lastRow="0" w:firstColumn="0" w:lastColumn="0" w:noHBand="0" w:noVBand="0"/>
      </w:tblPr>
      <w:tblGrid>
        <w:gridCol w:w="2564"/>
        <w:gridCol w:w="1238"/>
        <w:gridCol w:w="964"/>
        <w:gridCol w:w="2008"/>
        <w:gridCol w:w="2208"/>
      </w:tblGrid>
      <w:tr w:rsidR="00634CDF" w14:paraId="570EEE14" w14:textId="77777777">
        <w:tc>
          <w:tcPr>
            <w:tcW w:w="8982" w:type="dxa"/>
            <w:gridSpan w:val="5"/>
            <w:tcBorders>
              <w:top w:val="single" w:sz="4" w:space="0" w:color="000000"/>
              <w:left w:val="single" w:sz="4" w:space="0" w:color="000000"/>
              <w:bottom w:val="single" w:sz="4" w:space="0" w:color="000000"/>
              <w:right w:val="single" w:sz="4" w:space="0" w:color="000000"/>
            </w:tcBorders>
            <w:shd w:val="clear" w:color="auto" w:fill="CCFFCC"/>
          </w:tcPr>
          <w:p w14:paraId="299F15A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sz w:val="18"/>
                <w:szCs w:val="18"/>
                <w:vertAlign w:val="baseline"/>
              </w:rPr>
              <w:t xml:space="preserve">Tabla 1. </w:t>
            </w:r>
            <w:r>
              <w:rPr>
                <w:rFonts w:ascii="Arial" w:eastAsia="Arial" w:hAnsi="Arial" w:cs="Arial"/>
                <w:b/>
                <w:color w:val="000000"/>
                <w:sz w:val="18"/>
                <w:szCs w:val="18"/>
                <w:vertAlign w:val="baseline"/>
              </w:rPr>
              <w:t xml:space="preserve">Presentaciones y precio </w:t>
            </w:r>
            <w:r>
              <w:rPr>
                <w:rFonts w:ascii="Arial" w:eastAsia="Arial" w:hAnsi="Arial" w:cs="Arial"/>
                <w:color w:val="000000"/>
                <w:sz w:val="18"/>
                <w:szCs w:val="18"/>
                <w:vertAlign w:val="baseline"/>
              </w:rPr>
              <w:t xml:space="preserve"> </w:t>
            </w:r>
          </w:p>
        </w:tc>
      </w:tr>
      <w:tr w:rsidR="00634CDF" w14:paraId="050D8E29" w14:textId="77777777">
        <w:tc>
          <w:tcPr>
            <w:tcW w:w="2564" w:type="dxa"/>
            <w:tcBorders>
              <w:top w:val="single" w:sz="4" w:space="0" w:color="000000"/>
              <w:left w:val="single" w:sz="4" w:space="0" w:color="000000"/>
              <w:bottom w:val="single" w:sz="4" w:space="0" w:color="000000"/>
            </w:tcBorders>
          </w:tcPr>
          <w:p w14:paraId="72D04E8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Forma farmacéutica y dosis</w:t>
            </w:r>
          </w:p>
        </w:tc>
        <w:tc>
          <w:tcPr>
            <w:tcW w:w="1238" w:type="dxa"/>
            <w:tcBorders>
              <w:top w:val="single" w:sz="4" w:space="0" w:color="000000"/>
              <w:left w:val="single" w:sz="4" w:space="0" w:color="000000"/>
              <w:bottom w:val="single" w:sz="4" w:space="0" w:color="000000"/>
            </w:tcBorders>
          </w:tcPr>
          <w:p w14:paraId="3C60918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Nº de unidades por envase</w:t>
            </w:r>
          </w:p>
        </w:tc>
        <w:tc>
          <w:tcPr>
            <w:tcW w:w="964" w:type="dxa"/>
            <w:tcBorders>
              <w:top w:val="single" w:sz="4" w:space="0" w:color="000000"/>
              <w:left w:val="single" w:sz="4" w:space="0" w:color="000000"/>
              <w:bottom w:val="single" w:sz="4" w:space="0" w:color="000000"/>
            </w:tcBorders>
          </w:tcPr>
          <w:p w14:paraId="5FBB491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Código</w:t>
            </w:r>
          </w:p>
        </w:tc>
        <w:tc>
          <w:tcPr>
            <w:tcW w:w="2008" w:type="dxa"/>
            <w:tcBorders>
              <w:top w:val="single" w:sz="4" w:space="0" w:color="000000"/>
              <w:left w:val="single" w:sz="4" w:space="0" w:color="000000"/>
              <w:bottom w:val="single" w:sz="4" w:space="0" w:color="000000"/>
            </w:tcBorders>
          </w:tcPr>
          <w:p w14:paraId="2EF01D4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Coste por unidad PVP + IVA (1) </w:t>
            </w:r>
          </w:p>
        </w:tc>
        <w:tc>
          <w:tcPr>
            <w:tcW w:w="2208" w:type="dxa"/>
            <w:tcBorders>
              <w:top w:val="single" w:sz="4" w:space="0" w:color="000000"/>
              <w:left w:val="single" w:sz="4" w:space="0" w:color="000000"/>
              <w:bottom w:val="single" w:sz="4" w:space="0" w:color="000000"/>
              <w:right w:val="single" w:sz="4" w:space="0" w:color="000000"/>
            </w:tcBorders>
          </w:tcPr>
          <w:p w14:paraId="4C9ED99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Coste por unidad PVL + IVA (1) </w:t>
            </w:r>
          </w:p>
        </w:tc>
      </w:tr>
      <w:tr w:rsidR="00634CDF" w14:paraId="32AD4213" w14:textId="77777777">
        <w:tc>
          <w:tcPr>
            <w:tcW w:w="2564" w:type="dxa"/>
            <w:tcBorders>
              <w:top w:val="single" w:sz="4" w:space="0" w:color="000000"/>
              <w:left w:val="single" w:sz="4" w:space="0" w:color="000000"/>
              <w:bottom w:val="single" w:sz="4" w:space="0" w:color="000000"/>
            </w:tcBorders>
          </w:tcPr>
          <w:p w14:paraId="74135F6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Leqvio</w:t>
            </w:r>
            <w:r>
              <w:rPr>
                <w:rFonts w:ascii="Calibri" w:eastAsia="Calibri" w:hAnsi="Calibri" w:cs="Calibri"/>
                <w:color w:val="000000"/>
                <w:sz w:val="16"/>
                <w:szCs w:val="16"/>
                <w:vertAlign w:val="baseline"/>
              </w:rPr>
              <w:t>®</w:t>
            </w:r>
            <w:r>
              <w:rPr>
                <w:rFonts w:ascii="Arial" w:eastAsia="Arial" w:hAnsi="Arial" w:cs="Arial"/>
                <w:color w:val="000000"/>
                <w:sz w:val="16"/>
                <w:szCs w:val="16"/>
                <w:vertAlign w:val="baseline"/>
              </w:rPr>
              <w:t xml:space="preserve"> 284 mg solución inyectable en jeringa precargada</w:t>
            </w:r>
          </w:p>
        </w:tc>
        <w:tc>
          <w:tcPr>
            <w:tcW w:w="1238" w:type="dxa"/>
            <w:tcBorders>
              <w:top w:val="single" w:sz="4" w:space="0" w:color="000000"/>
              <w:left w:val="single" w:sz="4" w:space="0" w:color="000000"/>
              <w:bottom w:val="single" w:sz="4" w:space="0" w:color="000000"/>
            </w:tcBorders>
          </w:tcPr>
          <w:p w14:paraId="263F1E0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1</w:t>
            </w:r>
          </w:p>
        </w:tc>
        <w:tc>
          <w:tcPr>
            <w:tcW w:w="964" w:type="dxa"/>
            <w:tcBorders>
              <w:top w:val="single" w:sz="4" w:space="0" w:color="000000"/>
              <w:left w:val="single" w:sz="4" w:space="0" w:color="000000"/>
              <w:bottom w:val="single" w:sz="4" w:space="0" w:color="000000"/>
            </w:tcBorders>
          </w:tcPr>
          <w:p w14:paraId="5E709E7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c>
          <w:tcPr>
            <w:tcW w:w="2008" w:type="dxa"/>
            <w:tcBorders>
              <w:top w:val="single" w:sz="4" w:space="0" w:color="000000"/>
              <w:left w:val="single" w:sz="4" w:space="0" w:color="000000"/>
              <w:bottom w:val="single" w:sz="4" w:space="0" w:color="000000"/>
            </w:tcBorders>
          </w:tcPr>
          <w:p w14:paraId="217CB2A5"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r>
              <w:rPr>
                <w:rFonts w:ascii="Arial" w:eastAsia="Arial" w:hAnsi="Arial" w:cs="Arial"/>
                <w:sz w:val="16"/>
                <w:szCs w:val="16"/>
                <w:vertAlign w:val="baseline"/>
              </w:rPr>
              <w:t>Pendiente de precio</w:t>
            </w:r>
          </w:p>
        </w:tc>
        <w:tc>
          <w:tcPr>
            <w:tcW w:w="2208" w:type="dxa"/>
            <w:tcBorders>
              <w:top w:val="single" w:sz="4" w:space="0" w:color="000000"/>
              <w:left w:val="single" w:sz="4" w:space="0" w:color="000000"/>
              <w:bottom w:val="single" w:sz="4" w:space="0" w:color="000000"/>
              <w:right w:val="single" w:sz="4" w:space="0" w:color="000000"/>
            </w:tcBorders>
          </w:tcPr>
          <w:p w14:paraId="47DE353D"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r>
    </w:tbl>
    <w:p w14:paraId="3BCC8F5F" w14:textId="77777777" w:rsidR="00634CDF" w:rsidRDefault="00F0051D">
      <w:pPr>
        <w:pBdr>
          <w:top w:val="nil"/>
          <w:left w:val="nil"/>
          <w:bottom w:val="nil"/>
          <w:right w:val="nil"/>
          <w:between w:val="nil"/>
        </w:pBdr>
        <w:spacing w:line="240" w:lineRule="auto"/>
        <w:ind w:left="0" w:hanging="2"/>
        <w:rPr>
          <w:color w:val="000000"/>
          <w:vertAlign w:val="baseline"/>
        </w:rPr>
      </w:pPr>
      <w:bookmarkStart w:id="3" w:name="_heading=h.tyjcwt" w:colFirst="0" w:colLast="0"/>
      <w:bookmarkEnd w:id="3"/>
      <w:r>
        <w:rPr>
          <w:rFonts w:ascii="Arial" w:eastAsia="Arial" w:hAnsi="Arial" w:cs="Arial"/>
          <w:color w:val="333399"/>
          <w:sz w:val="16"/>
          <w:szCs w:val="16"/>
          <w:vertAlign w:val="baseline"/>
        </w:rPr>
        <w:t>(1)  Indicar los precios notificados del medicamento. Sin precio notificado</w:t>
      </w:r>
    </w:p>
    <w:p w14:paraId="31A4F964" w14:textId="77777777" w:rsidR="00634CDF" w:rsidRDefault="00634CDF">
      <w:pPr>
        <w:pBdr>
          <w:top w:val="nil"/>
          <w:left w:val="nil"/>
          <w:bottom w:val="nil"/>
          <w:right w:val="nil"/>
          <w:between w:val="nil"/>
        </w:pBdr>
        <w:spacing w:line="240" w:lineRule="auto"/>
        <w:ind w:left="0" w:hanging="2"/>
        <w:rPr>
          <w:rFonts w:ascii="Arial" w:eastAsia="Arial" w:hAnsi="Arial" w:cs="Arial"/>
          <w:color w:val="0000FF"/>
          <w:sz w:val="20"/>
          <w:szCs w:val="20"/>
          <w:u w:val="single"/>
          <w:vertAlign w:val="baseline"/>
        </w:rPr>
      </w:pPr>
    </w:p>
    <w:p w14:paraId="21004EEA" w14:textId="77777777" w:rsidR="00634CDF" w:rsidRDefault="00634CDF">
      <w:pPr>
        <w:pBdr>
          <w:top w:val="nil"/>
          <w:left w:val="nil"/>
          <w:bottom w:val="nil"/>
          <w:right w:val="nil"/>
          <w:between w:val="nil"/>
        </w:pBdr>
        <w:spacing w:line="240" w:lineRule="auto"/>
        <w:ind w:left="0" w:hanging="2"/>
        <w:jc w:val="right"/>
        <w:rPr>
          <w:rFonts w:ascii="Arial" w:eastAsia="Arial" w:hAnsi="Arial" w:cs="Arial"/>
          <w:color w:val="0000FF"/>
          <w:sz w:val="20"/>
          <w:szCs w:val="20"/>
          <w:u w:val="single"/>
          <w:vertAlign w:val="baseline"/>
        </w:rPr>
      </w:pPr>
      <w:bookmarkStart w:id="4" w:name="_heading=h.3dy6vkm" w:colFirst="0" w:colLast="0"/>
      <w:bookmarkEnd w:id="4"/>
    </w:p>
    <w:p w14:paraId="23E03BD4"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3.2 Área descriptiva del problema de salud</w:t>
      </w:r>
    </w:p>
    <w:p w14:paraId="6C63FF2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80"/>
          <w:sz w:val="20"/>
          <w:szCs w:val="20"/>
          <w:vertAlign w:val="baseline"/>
        </w:rPr>
      </w:pPr>
    </w:p>
    <w:p w14:paraId="5340F594"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3.2.a Descripción estructurada del problema de salud</w:t>
      </w:r>
    </w:p>
    <w:p w14:paraId="7E1A0A66"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80"/>
          <w:sz w:val="20"/>
          <w:szCs w:val="20"/>
          <w:vertAlign w:val="baseline"/>
        </w:rPr>
      </w:pPr>
    </w:p>
    <w:p w14:paraId="480DF0E0"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FF0000"/>
          <w:sz w:val="20"/>
          <w:szCs w:val="20"/>
          <w:vertAlign w:val="baseline"/>
        </w:rPr>
      </w:pPr>
    </w:p>
    <w:tbl>
      <w:tblPr>
        <w:tblStyle w:val="a5"/>
        <w:tblW w:w="8950" w:type="dxa"/>
        <w:tblInd w:w="25" w:type="dxa"/>
        <w:tblLayout w:type="fixed"/>
        <w:tblLook w:val="0000" w:firstRow="0" w:lastRow="0" w:firstColumn="0" w:lastColumn="0" w:noHBand="0" w:noVBand="0"/>
      </w:tblPr>
      <w:tblGrid>
        <w:gridCol w:w="3402"/>
        <w:gridCol w:w="5548"/>
      </w:tblGrid>
      <w:tr w:rsidR="00634CDF" w14:paraId="4E56C33C" w14:textId="77777777">
        <w:tc>
          <w:tcPr>
            <w:tcW w:w="8950" w:type="dxa"/>
            <w:gridSpan w:val="2"/>
            <w:tcBorders>
              <w:top w:val="single" w:sz="4" w:space="0" w:color="000000"/>
              <w:left w:val="single" w:sz="4" w:space="0" w:color="000000"/>
              <w:bottom w:val="single" w:sz="4" w:space="0" w:color="000000"/>
              <w:right w:val="single" w:sz="4" w:space="0" w:color="000000"/>
            </w:tcBorders>
            <w:shd w:val="clear" w:color="auto" w:fill="CCFFCC"/>
          </w:tcPr>
          <w:p w14:paraId="59DEAB1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sz w:val="18"/>
                <w:szCs w:val="18"/>
                <w:vertAlign w:val="baseline"/>
              </w:rPr>
              <w:t xml:space="preserve">Tabla 2. </w:t>
            </w:r>
            <w:r>
              <w:rPr>
                <w:rFonts w:ascii="Arial" w:eastAsia="Arial" w:hAnsi="Arial" w:cs="Arial"/>
                <w:b/>
                <w:color w:val="000000"/>
                <w:sz w:val="18"/>
                <w:szCs w:val="18"/>
                <w:vertAlign w:val="baseline"/>
              </w:rPr>
              <w:t>Descripción del problema de salud</w:t>
            </w:r>
          </w:p>
        </w:tc>
      </w:tr>
      <w:tr w:rsidR="00634CDF" w14:paraId="2C880254" w14:textId="77777777">
        <w:tc>
          <w:tcPr>
            <w:tcW w:w="3402" w:type="dxa"/>
            <w:tcBorders>
              <w:top w:val="single" w:sz="4" w:space="0" w:color="000000"/>
              <w:left w:val="single" w:sz="4" w:space="0" w:color="000000"/>
              <w:bottom w:val="single" w:sz="4" w:space="0" w:color="000000"/>
            </w:tcBorders>
            <w:shd w:val="clear" w:color="auto" w:fill="E6E6E6"/>
          </w:tcPr>
          <w:p w14:paraId="718CB6E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Definición</w:t>
            </w:r>
          </w:p>
        </w:tc>
        <w:tc>
          <w:tcPr>
            <w:tcW w:w="5548" w:type="dxa"/>
            <w:tcBorders>
              <w:top w:val="single" w:sz="4" w:space="0" w:color="000000"/>
              <w:left w:val="single" w:sz="4" w:space="0" w:color="000000"/>
              <w:bottom w:val="single" w:sz="4" w:space="0" w:color="000000"/>
              <w:right w:val="single" w:sz="4" w:space="0" w:color="000000"/>
            </w:tcBorders>
          </w:tcPr>
          <w:p w14:paraId="3E50A6A9" w14:textId="5F936053"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16"/>
                <w:szCs w:val="16"/>
                <w:vertAlign w:val="baseline"/>
              </w:rPr>
              <w:t>La</w:t>
            </w:r>
            <w:r w:rsidR="00E87974">
              <w:rPr>
                <w:rFonts w:ascii="Arial" w:eastAsia="Arial" w:hAnsi="Arial" w:cs="Arial"/>
                <w:sz w:val="16"/>
                <w:szCs w:val="16"/>
                <w:vertAlign w:val="baseline"/>
              </w:rPr>
              <w:t xml:space="preserve"> </w:t>
            </w:r>
            <w:r>
              <w:rPr>
                <w:rFonts w:ascii="Arial" w:eastAsia="Arial" w:hAnsi="Arial" w:cs="Arial"/>
                <w:color w:val="000000"/>
                <w:sz w:val="16"/>
                <w:szCs w:val="16"/>
                <w:vertAlign w:val="baseline"/>
              </w:rPr>
              <w:t>hipercolesterolemia se define como la presencia de altas concentraciones de colesterol en sangre, incluyendo la elevación de las lipoproteínas de baja densidad (C-LDL). La hipercolesterolemia primaria suele estar asociada a una causa genética. Si esta alteración genética es un defecto genético aislado se denomina familiar, mientras que si se produce como consecuencia de la afectación de varios genes unido a la dieta y otros factores como el tabaco o el sedentarismo se denomina no familiar.</w:t>
            </w:r>
          </w:p>
          <w:p w14:paraId="371681D4" w14:textId="4E9D790A"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16"/>
                <w:szCs w:val="16"/>
                <w:vertAlign w:val="baseline"/>
              </w:rPr>
              <w:lastRenderedPageBreak/>
              <w:t xml:space="preserve">En </w:t>
            </w:r>
            <w:r w:rsidR="008A0596">
              <w:rPr>
                <w:rFonts w:ascii="Arial" w:eastAsia="Arial" w:hAnsi="Arial" w:cs="Arial"/>
                <w:color w:val="000000"/>
                <w:sz w:val="16"/>
                <w:szCs w:val="16"/>
                <w:vertAlign w:val="baseline"/>
              </w:rPr>
              <w:t>el hipercolesterolemia familiar</w:t>
            </w:r>
            <w:r>
              <w:rPr>
                <w:rFonts w:ascii="Arial" w:eastAsia="Arial" w:hAnsi="Arial" w:cs="Arial"/>
                <w:color w:val="000000"/>
                <w:sz w:val="16"/>
                <w:szCs w:val="16"/>
                <w:vertAlign w:val="baseline"/>
              </w:rPr>
              <w:t xml:space="preserve"> heterocigótica se produce una mutación o alteración de uno de los genes que codifica al receptor de C-LDL disminuyendo su actividad.</w:t>
            </w:r>
          </w:p>
          <w:p w14:paraId="757F7316" w14:textId="77777777" w:rsidR="00634CDF" w:rsidRDefault="00F0051D">
            <w:pPr>
              <w:spacing w:before="240" w:after="240" w:line="240" w:lineRule="auto"/>
              <w:ind w:left="0" w:hanging="2"/>
              <w:jc w:val="both"/>
              <w:rPr>
                <w:vertAlign w:val="baseline"/>
              </w:rPr>
            </w:pPr>
            <w:r>
              <w:rPr>
                <w:rFonts w:ascii="Arial" w:eastAsia="Arial" w:hAnsi="Arial" w:cs="Arial"/>
                <w:sz w:val="16"/>
                <w:szCs w:val="16"/>
                <w:vertAlign w:val="baseline"/>
              </w:rPr>
              <w:t xml:space="preserve">La dislipemia mixta se caracteriza por una elevación en las concentraciones de C-LDL y triglicéridos y que frecuentemente se acompaña de una baja concentración de C-HDL. </w:t>
            </w:r>
          </w:p>
          <w:p w14:paraId="356F015D" w14:textId="1D918EE5" w:rsidR="00634CDF" w:rsidRDefault="00F0051D">
            <w:pPr>
              <w:pBdr>
                <w:top w:val="nil"/>
                <w:left w:val="nil"/>
                <w:bottom w:val="nil"/>
                <w:right w:val="nil"/>
                <w:between w:val="nil"/>
              </w:pBdr>
              <w:spacing w:before="40" w:line="240" w:lineRule="auto"/>
              <w:ind w:left="0" w:right="160" w:hanging="2"/>
              <w:jc w:val="both"/>
              <w:rPr>
                <w:color w:val="000000"/>
                <w:vertAlign w:val="baseline"/>
              </w:rPr>
            </w:pPr>
            <w:r>
              <w:rPr>
                <w:rFonts w:ascii="Arial" w:eastAsia="Arial" w:hAnsi="Arial" w:cs="Arial"/>
                <w:color w:val="000000"/>
                <w:sz w:val="16"/>
                <w:szCs w:val="16"/>
                <w:vertAlign w:val="baseline"/>
              </w:rPr>
              <w:t>La definición de “valores normales” no está clara, ya que, al tratarse de un factor de riesgo de padecer una enfermedad vascular, debe realizarse la valoración de las cifras de C-LDL en el contexto del resto de factores</w:t>
            </w:r>
            <w:r w:rsidR="00D0777F">
              <w:rPr>
                <w:rFonts w:ascii="Arial" w:eastAsia="Arial" w:hAnsi="Arial" w:cs="Arial"/>
                <w:color w:val="000000"/>
                <w:sz w:val="16"/>
                <w:szCs w:val="16"/>
                <w:vertAlign w:val="baseline"/>
              </w:rPr>
              <w:t xml:space="preserve"> de riesgo cardiovascular (FRCV</w:t>
            </w:r>
            <w:r>
              <w:rPr>
                <w:rFonts w:ascii="Arial" w:eastAsia="Arial" w:hAnsi="Arial" w:cs="Arial"/>
                <w:color w:val="000000"/>
                <w:sz w:val="16"/>
                <w:szCs w:val="16"/>
                <w:vertAlign w:val="baseline"/>
              </w:rPr>
              <w:t>) del paciente</w:t>
            </w:r>
            <w:r>
              <w:rPr>
                <w:rFonts w:ascii="Arial" w:eastAsia="Arial" w:hAnsi="Arial" w:cs="Arial"/>
                <w:sz w:val="16"/>
                <w:szCs w:val="16"/>
                <w:vertAlign w:val="baseline"/>
              </w:rPr>
              <w:t>.</w:t>
            </w:r>
          </w:p>
          <w:p w14:paraId="7E9415B0" w14:textId="77777777" w:rsidR="00634CDF" w:rsidRDefault="00F0051D">
            <w:pPr>
              <w:pBdr>
                <w:top w:val="nil"/>
                <w:left w:val="nil"/>
                <w:bottom w:val="nil"/>
                <w:right w:val="nil"/>
                <w:between w:val="nil"/>
              </w:pBdr>
              <w:spacing w:before="40" w:line="240" w:lineRule="auto"/>
              <w:ind w:left="0" w:right="160" w:hanging="2"/>
              <w:jc w:val="both"/>
              <w:rPr>
                <w:color w:val="000000"/>
                <w:vertAlign w:val="baseline"/>
              </w:rPr>
            </w:pPr>
            <w:r>
              <w:rPr>
                <w:rFonts w:ascii="Arial" w:eastAsia="Arial" w:hAnsi="Arial" w:cs="Arial"/>
                <w:color w:val="000000"/>
                <w:sz w:val="16"/>
                <w:szCs w:val="16"/>
                <w:vertAlign w:val="baseline"/>
              </w:rPr>
              <w:t xml:space="preserve"> </w:t>
            </w:r>
          </w:p>
          <w:p w14:paraId="1210F707" w14:textId="5E754BF0" w:rsidR="00634CDF" w:rsidRDefault="00F0051D">
            <w:pPr>
              <w:pBdr>
                <w:top w:val="nil"/>
                <w:left w:val="nil"/>
                <w:bottom w:val="nil"/>
                <w:right w:val="nil"/>
                <w:between w:val="nil"/>
              </w:pBdr>
              <w:spacing w:before="40" w:line="240" w:lineRule="auto"/>
              <w:ind w:left="0" w:right="160" w:hanging="2"/>
              <w:jc w:val="both"/>
              <w:rPr>
                <w:color w:val="000000"/>
                <w:vertAlign w:val="baseline"/>
              </w:rPr>
            </w:pPr>
            <w:r>
              <w:rPr>
                <w:rFonts w:ascii="Arial" w:eastAsia="Arial" w:hAnsi="Arial" w:cs="Arial"/>
                <w:color w:val="000000"/>
                <w:sz w:val="16"/>
                <w:szCs w:val="16"/>
                <w:vertAlign w:val="baseline"/>
              </w:rPr>
              <w:t>Según los criterios de Simon Broome</w:t>
            </w:r>
            <w:r>
              <w:rPr>
                <w:rFonts w:ascii="Arial" w:eastAsia="Arial" w:hAnsi="Arial" w:cs="Arial"/>
                <w:i/>
                <w:color w:val="000000"/>
                <w:sz w:val="16"/>
                <w:szCs w:val="16"/>
                <w:vertAlign w:val="baseline"/>
              </w:rPr>
              <w:t xml:space="preserve"> </w:t>
            </w:r>
            <w:r>
              <w:rPr>
                <w:rFonts w:ascii="Arial" w:eastAsia="Arial" w:hAnsi="Arial" w:cs="Arial"/>
                <w:color w:val="000000"/>
                <w:sz w:val="16"/>
                <w:szCs w:val="16"/>
                <w:vertAlign w:val="baseline"/>
              </w:rPr>
              <w:t>(1</w:t>
            </w:r>
            <w:r w:rsidR="008A0596">
              <w:rPr>
                <w:rFonts w:ascii="Arial" w:eastAsia="Arial" w:hAnsi="Arial" w:cs="Arial"/>
                <w:color w:val="000000"/>
                <w:sz w:val="16"/>
                <w:szCs w:val="16"/>
                <w:vertAlign w:val="baseline"/>
              </w:rPr>
              <w:t>)</w:t>
            </w:r>
            <w:r w:rsidR="008A0596">
              <w:rPr>
                <w:rFonts w:ascii="Arial" w:eastAsia="Arial" w:hAnsi="Arial" w:cs="Arial"/>
                <w:sz w:val="16"/>
                <w:szCs w:val="16"/>
                <w:vertAlign w:val="baseline"/>
              </w:rPr>
              <w:t xml:space="preserve"> </w:t>
            </w:r>
            <w:r w:rsidR="008A0596">
              <w:rPr>
                <w:rFonts w:ascii="Arial" w:eastAsia="Arial" w:hAnsi="Arial" w:cs="Arial"/>
                <w:color w:val="000000"/>
                <w:sz w:val="16"/>
                <w:szCs w:val="16"/>
                <w:vertAlign w:val="baseline"/>
              </w:rPr>
              <w:t>la</w:t>
            </w:r>
            <w:r>
              <w:rPr>
                <w:rFonts w:ascii="Arial" w:eastAsia="Arial" w:hAnsi="Arial" w:cs="Arial"/>
                <w:color w:val="000000"/>
                <w:sz w:val="16"/>
                <w:szCs w:val="16"/>
                <w:vertAlign w:val="baseline"/>
              </w:rPr>
              <w:t xml:space="preserve"> Hipercolesterolemia Familiar, presenta las siguientes características, clasificándose como “Definida” o “Posible”:</w:t>
            </w:r>
          </w:p>
          <w:p w14:paraId="2FE18536" w14:textId="77777777" w:rsidR="00634CDF" w:rsidRDefault="00F0051D">
            <w:pPr>
              <w:pBdr>
                <w:top w:val="nil"/>
                <w:left w:val="nil"/>
                <w:bottom w:val="nil"/>
                <w:right w:val="nil"/>
                <w:between w:val="nil"/>
              </w:pBdr>
              <w:spacing w:before="40" w:line="240" w:lineRule="auto"/>
              <w:ind w:left="0" w:right="160" w:hanging="2"/>
              <w:jc w:val="both"/>
              <w:rPr>
                <w:color w:val="000000"/>
                <w:vertAlign w:val="baseline"/>
              </w:rPr>
            </w:pPr>
            <w:r>
              <w:rPr>
                <w:rFonts w:ascii="Arial" w:eastAsia="Arial" w:hAnsi="Arial" w:cs="Arial"/>
                <w:b/>
                <w:i/>
                <w:color w:val="000000"/>
                <w:sz w:val="16"/>
                <w:szCs w:val="16"/>
                <w:vertAlign w:val="baseline"/>
              </w:rPr>
              <w:t>- Hipercolesterolemia Familiar (HF) Definida:</w:t>
            </w:r>
          </w:p>
          <w:p w14:paraId="79C02EE6" w14:textId="77777777" w:rsidR="00634CDF" w:rsidRDefault="00F0051D">
            <w:pPr>
              <w:pBdr>
                <w:top w:val="nil"/>
                <w:left w:val="nil"/>
                <w:bottom w:val="nil"/>
                <w:right w:val="nil"/>
                <w:between w:val="nil"/>
              </w:pBdr>
              <w:spacing w:before="40" w:line="240" w:lineRule="auto"/>
              <w:ind w:left="0" w:right="160" w:hanging="2"/>
              <w:jc w:val="both"/>
              <w:rPr>
                <w:color w:val="000000"/>
                <w:vertAlign w:val="baseline"/>
              </w:rPr>
            </w:pPr>
            <w:r>
              <w:rPr>
                <w:rFonts w:ascii="Arial" w:eastAsia="Arial" w:hAnsi="Arial" w:cs="Arial"/>
                <w:color w:val="000000"/>
                <w:sz w:val="16"/>
                <w:szCs w:val="16"/>
                <w:vertAlign w:val="baseline"/>
              </w:rPr>
              <w:t>1.</w:t>
            </w:r>
            <w:r>
              <w:rPr>
                <w:color w:val="000000"/>
                <w:sz w:val="14"/>
                <w:szCs w:val="14"/>
                <w:vertAlign w:val="baseline"/>
              </w:rPr>
              <w:t xml:space="preserve">       </w:t>
            </w:r>
            <w:r>
              <w:rPr>
                <w:rFonts w:ascii="Arial" w:eastAsia="Arial" w:hAnsi="Arial" w:cs="Arial"/>
                <w:color w:val="000000"/>
                <w:sz w:val="16"/>
                <w:szCs w:val="16"/>
                <w:vertAlign w:val="baseline"/>
              </w:rPr>
              <w:t>Niveles elevados de colesterol: &gt;290 mg/dL de colesterol total o &gt;190 mg/dL de c-LDL, en el adulto, y &gt;260 mg/dL de colesterol total o &gt;155 mg/dL de c-LDL, en niños (&lt;16 años de edad).</w:t>
            </w:r>
          </w:p>
          <w:p w14:paraId="5CD415EE" w14:textId="77777777" w:rsidR="00634CDF" w:rsidRDefault="00F0051D">
            <w:pPr>
              <w:pBdr>
                <w:top w:val="nil"/>
                <w:left w:val="nil"/>
                <w:bottom w:val="nil"/>
                <w:right w:val="nil"/>
                <w:between w:val="nil"/>
              </w:pBdr>
              <w:spacing w:before="40" w:line="240" w:lineRule="auto"/>
              <w:ind w:left="0" w:right="160" w:hanging="2"/>
              <w:jc w:val="both"/>
              <w:rPr>
                <w:color w:val="000000"/>
                <w:vertAlign w:val="baseline"/>
              </w:rPr>
            </w:pPr>
            <w:r>
              <w:rPr>
                <w:rFonts w:ascii="Arial" w:eastAsia="Arial" w:hAnsi="Arial" w:cs="Arial"/>
                <w:color w:val="000000"/>
                <w:sz w:val="16"/>
                <w:szCs w:val="16"/>
                <w:vertAlign w:val="baseline"/>
              </w:rPr>
              <w:t>2.</w:t>
            </w:r>
            <w:r>
              <w:rPr>
                <w:color w:val="000000"/>
                <w:sz w:val="14"/>
                <w:szCs w:val="14"/>
                <w:vertAlign w:val="baseline"/>
              </w:rPr>
              <w:t xml:space="preserve">        </w:t>
            </w:r>
            <w:r>
              <w:rPr>
                <w:rFonts w:ascii="Arial" w:eastAsia="Arial" w:hAnsi="Arial" w:cs="Arial"/>
                <w:color w:val="000000"/>
                <w:sz w:val="16"/>
                <w:szCs w:val="16"/>
                <w:vertAlign w:val="baseline"/>
              </w:rPr>
              <w:t>Al menos uno de los siguientes hallazgos:</w:t>
            </w:r>
          </w:p>
          <w:p w14:paraId="4F5A2659" w14:textId="77777777" w:rsidR="00634CDF" w:rsidRDefault="00F0051D">
            <w:pPr>
              <w:pBdr>
                <w:top w:val="nil"/>
                <w:left w:val="nil"/>
                <w:bottom w:val="nil"/>
                <w:right w:val="nil"/>
                <w:between w:val="nil"/>
              </w:pBdr>
              <w:spacing w:before="40" w:line="240" w:lineRule="auto"/>
              <w:ind w:left="0" w:right="16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color w:val="000000"/>
                <w:sz w:val="16"/>
                <w:szCs w:val="16"/>
                <w:vertAlign w:val="baseline"/>
              </w:rPr>
              <w:tab/>
              <w:t>- Xantomas tendinosos en 1er o 2º grado.</w:t>
            </w:r>
          </w:p>
          <w:p w14:paraId="507E0AD5" w14:textId="77777777" w:rsidR="00634CDF" w:rsidRDefault="00F0051D">
            <w:pPr>
              <w:pBdr>
                <w:top w:val="nil"/>
                <w:left w:val="nil"/>
                <w:bottom w:val="nil"/>
                <w:right w:val="nil"/>
                <w:between w:val="nil"/>
              </w:pBdr>
              <w:spacing w:before="40" w:line="240" w:lineRule="auto"/>
              <w:ind w:left="0" w:right="16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color w:val="000000"/>
                <w:sz w:val="16"/>
                <w:szCs w:val="16"/>
                <w:vertAlign w:val="baseline"/>
              </w:rPr>
              <w:tab/>
              <w:t>- Diagnóstico genético de una mutación en el receptor de c- LDL, en la apo B-100 o en PCSK9.</w:t>
            </w:r>
          </w:p>
          <w:p w14:paraId="0E7279CE" w14:textId="77777777" w:rsidR="00634CDF" w:rsidRDefault="00F0051D">
            <w:pPr>
              <w:pBdr>
                <w:top w:val="nil"/>
                <w:left w:val="nil"/>
                <w:bottom w:val="nil"/>
                <w:right w:val="nil"/>
                <w:between w:val="nil"/>
              </w:pBdr>
              <w:spacing w:before="40" w:line="240" w:lineRule="auto"/>
              <w:ind w:left="0" w:right="160" w:hanging="2"/>
              <w:jc w:val="both"/>
              <w:rPr>
                <w:color w:val="000000"/>
                <w:vertAlign w:val="baseline"/>
              </w:rPr>
            </w:pPr>
            <w:r>
              <w:rPr>
                <w:rFonts w:ascii="Arial" w:eastAsia="Arial" w:hAnsi="Arial" w:cs="Arial"/>
                <w:b/>
                <w:i/>
                <w:color w:val="000000"/>
                <w:sz w:val="16"/>
                <w:szCs w:val="16"/>
                <w:vertAlign w:val="baseline"/>
              </w:rPr>
              <w:t>- Hipercolesterolemia Familiar (HF) Posible:</w:t>
            </w:r>
          </w:p>
          <w:p w14:paraId="58B780F1" w14:textId="77777777" w:rsidR="00634CDF" w:rsidRDefault="00F0051D">
            <w:pPr>
              <w:pBdr>
                <w:top w:val="nil"/>
                <w:left w:val="nil"/>
                <w:bottom w:val="nil"/>
                <w:right w:val="nil"/>
                <w:between w:val="nil"/>
              </w:pBdr>
              <w:spacing w:before="40" w:line="240" w:lineRule="auto"/>
              <w:ind w:left="0" w:right="160" w:hanging="2"/>
              <w:jc w:val="both"/>
              <w:rPr>
                <w:color w:val="000000"/>
                <w:vertAlign w:val="baseline"/>
              </w:rPr>
            </w:pPr>
            <w:r>
              <w:rPr>
                <w:rFonts w:ascii="Arial" w:eastAsia="Arial" w:hAnsi="Arial" w:cs="Arial"/>
                <w:color w:val="000000"/>
                <w:sz w:val="16"/>
                <w:szCs w:val="16"/>
                <w:vertAlign w:val="baseline"/>
              </w:rPr>
              <w:t>1.    Niveles elevados de colesterol: &gt;290 mg/dL de colesterol total o &gt;190 mg/dL de c-LDL, en el adulto y &gt;260 mg/dL de colesterol total o &gt;155 mg/dL de c-LDL, en niños (&lt;16 años de edad).</w:t>
            </w:r>
          </w:p>
          <w:p w14:paraId="12DA84BB" w14:textId="77777777" w:rsidR="00634CDF" w:rsidRDefault="00F0051D">
            <w:pPr>
              <w:pBdr>
                <w:top w:val="nil"/>
                <w:left w:val="nil"/>
                <w:bottom w:val="nil"/>
                <w:right w:val="nil"/>
                <w:between w:val="nil"/>
              </w:pBdr>
              <w:spacing w:before="40" w:line="240" w:lineRule="auto"/>
              <w:ind w:left="0" w:right="160" w:hanging="2"/>
              <w:jc w:val="both"/>
              <w:rPr>
                <w:color w:val="000000"/>
                <w:vertAlign w:val="baseline"/>
              </w:rPr>
            </w:pPr>
            <w:r>
              <w:rPr>
                <w:rFonts w:ascii="Arial" w:eastAsia="Arial" w:hAnsi="Arial" w:cs="Arial"/>
                <w:color w:val="000000"/>
                <w:sz w:val="16"/>
                <w:szCs w:val="16"/>
                <w:vertAlign w:val="baseline"/>
              </w:rPr>
              <w:t>2.</w:t>
            </w:r>
            <w:r>
              <w:rPr>
                <w:color w:val="000000"/>
                <w:sz w:val="14"/>
                <w:szCs w:val="14"/>
                <w:vertAlign w:val="baseline"/>
              </w:rPr>
              <w:t xml:space="preserve">     </w:t>
            </w:r>
            <w:r>
              <w:rPr>
                <w:rFonts w:ascii="Arial" w:eastAsia="Arial" w:hAnsi="Arial" w:cs="Arial"/>
                <w:color w:val="000000"/>
                <w:sz w:val="16"/>
                <w:szCs w:val="16"/>
                <w:vertAlign w:val="baseline"/>
              </w:rPr>
              <w:t xml:space="preserve">Al menos uno de los siguientes hallazgos:       </w:t>
            </w:r>
            <w:r>
              <w:rPr>
                <w:rFonts w:ascii="Arial" w:eastAsia="Arial" w:hAnsi="Arial" w:cs="Arial"/>
                <w:color w:val="000000"/>
                <w:sz w:val="16"/>
                <w:szCs w:val="16"/>
                <w:vertAlign w:val="baseline"/>
              </w:rPr>
              <w:tab/>
            </w:r>
          </w:p>
          <w:p w14:paraId="6422B1FA" w14:textId="77777777" w:rsidR="00634CDF" w:rsidRDefault="00782245">
            <w:pPr>
              <w:pBdr>
                <w:top w:val="nil"/>
                <w:left w:val="nil"/>
                <w:bottom w:val="nil"/>
                <w:right w:val="nil"/>
                <w:between w:val="nil"/>
              </w:pBdr>
              <w:spacing w:before="40" w:line="240" w:lineRule="auto"/>
              <w:ind w:left="0" w:right="160" w:hanging="2"/>
              <w:jc w:val="both"/>
              <w:rPr>
                <w:color w:val="000000"/>
                <w:vertAlign w:val="baseline"/>
              </w:rPr>
            </w:pPr>
            <w:sdt>
              <w:sdtPr>
                <w:tag w:val="goog_rdk_0"/>
                <w:id w:val="-470281881"/>
              </w:sdtPr>
              <w:sdtEndPr/>
              <w:sdtContent>
                <w:r w:rsidR="00F0051D">
                  <w:rPr>
                    <w:rFonts w:ascii="Arial Unicode MS" w:eastAsia="Arial Unicode MS" w:hAnsi="Arial Unicode MS" w:cs="Arial Unicode MS"/>
                    <w:color w:val="000000"/>
                    <w:sz w:val="16"/>
                    <w:szCs w:val="16"/>
                    <w:vertAlign w:val="baseline"/>
                  </w:rPr>
                  <w:t xml:space="preserve">- Historia familiar de infarto de miocardio: con edad ≤60 años si se trata de primer grado familiar, y con edad ≤50 años si se trata         </w:t>
                </w:r>
                <w:r w:rsidR="00F0051D">
                  <w:rPr>
                    <w:rFonts w:ascii="Arial Unicode MS" w:eastAsia="Arial Unicode MS" w:hAnsi="Arial Unicode MS" w:cs="Arial Unicode MS"/>
                    <w:color w:val="000000"/>
                    <w:sz w:val="16"/>
                    <w:szCs w:val="16"/>
                    <w:vertAlign w:val="baseline"/>
                  </w:rPr>
                  <w:tab/>
                  <w:t>de segundo grado familiar</w:t>
                </w:r>
              </w:sdtContent>
            </w:sdt>
          </w:p>
          <w:p w14:paraId="2212BEEE" w14:textId="77777777" w:rsidR="00634CDF" w:rsidRDefault="00F0051D">
            <w:pPr>
              <w:pBdr>
                <w:top w:val="nil"/>
                <w:left w:val="nil"/>
                <w:bottom w:val="nil"/>
                <w:right w:val="nil"/>
                <w:between w:val="nil"/>
              </w:pBdr>
              <w:spacing w:before="40" w:line="240" w:lineRule="auto"/>
              <w:ind w:left="0" w:right="160" w:hanging="2"/>
              <w:jc w:val="both"/>
              <w:rPr>
                <w:color w:val="000000"/>
                <w:vertAlign w:val="baseline"/>
              </w:rPr>
            </w:pPr>
            <w:r>
              <w:rPr>
                <w:rFonts w:ascii="Arial" w:eastAsia="Arial" w:hAnsi="Arial" w:cs="Arial"/>
                <w:color w:val="000000"/>
                <w:sz w:val="16"/>
                <w:szCs w:val="16"/>
                <w:vertAlign w:val="baseline"/>
              </w:rPr>
              <w:t>- Historia familiar de resultados de colesterol elevado: &gt;290 mg/dL de colesterol total o &gt;190 mg/dL de c-LDL, en familiares adultos en primer o segundo grado y &gt;260 mg/dL de colesterol total o &gt;155 mg/dL de c-LDL, en hermanos de &lt;16 años de edad.</w:t>
            </w:r>
          </w:p>
          <w:p w14:paraId="443374A5" w14:textId="77777777" w:rsidR="00634CDF" w:rsidRDefault="00F0051D">
            <w:pPr>
              <w:pBdr>
                <w:top w:val="nil"/>
                <w:left w:val="nil"/>
                <w:bottom w:val="nil"/>
                <w:right w:val="nil"/>
                <w:between w:val="nil"/>
              </w:pBdr>
              <w:spacing w:before="40" w:line="240" w:lineRule="auto"/>
              <w:ind w:left="0" w:right="160" w:hanging="2"/>
              <w:jc w:val="both"/>
              <w:rPr>
                <w:color w:val="000000"/>
                <w:vertAlign w:val="baseline"/>
              </w:rPr>
            </w:pPr>
            <w:r>
              <w:rPr>
                <w:rFonts w:ascii="Arial" w:eastAsia="Arial" w:hAnsi="Arial" w:cs="Arial"/>
                <w:color w:val="000000"/>
                <w:sz w:val="16"/>
                <w:szCs w:val="16"/>
                <w:vertAlign w:val="baseline"/>
              </w:rPr>
              <w:t xml:space="preserve"> </w:t>
            </w:r>
          </w:p>
          <w:p w14:paraId="050EC306" w14:textId="77777777" w:rsidR="00634CDF" w:rsidRDefault="00F0051D">
            <w:pPr>
              <w:pBdr>
                <w:top w:val="nil"/>
                <w:left w:val="nil"/>
                <w:bottom w:val="nil"/>
                <w:right w:val="nil"/>
                <w:between w:val="nil"/>
              </w:pBdr>
              <w:spacing w:before="40" w:line="240" w:lineRule="auto"/>
              <w:ind w:left="0" w:right="160" w:hanging="2"/>
              <w:jc w:val="both"/>
              <w:rPr>
                <w:color w:val="000000"/>
                <w:vertAlign w:val="baseline"/>
              </w:rPr>
            </w:pPr>
            <w:r>
              <w:rPr>
                <w:rFonts w:ascii="Arial" w:eastAsia="Arial" w:hAnsi="Arial" w:cs="Arial"/>
                <w:color w:val="000000"/>
                <w:sz w:val="16"/>
                <w:szCs w:val="16"/>
                <w:vertAlign w:val="baseline"/>
              </w:rPr>
              <w:t>Los criterios actualmente utilizados en nuestro medio para el diagnóstico de HFHe se detallan en la siguiente tabla, que incluye el rango de puntuaciones para clasificar como cierto, probable o posible el diagnóstico de HFHe</w:t>
            </w:r>
            <w:r>
              <w:rPr>
                <w:rFonts w:ascii="Arial" w:eastAsia="Arial" w:hAnsi="Arial" w:cs="Arial"/>
                <w:sz w:val="16"/>
                <w:szCs w:val="16"/>
                <w:vertAlign w:val="baseline"/>
              </w:rPr>
              <w:t>.</w:t>
            </w:r>
          </w:p>
          <w:p w14:paraId="225C71EE" w14:textId="77777777" w:rsidR="00634CDF" w:rsidRDefault="00F0051D">
            <w:pPr>
              <w:pBdr>
                <w:top w:val="nil"/>
                <w:left w:val="nil"/>
                <w:bottom w:val="nil"/>
                <w:right w:val="nil"/>
                <w:between w:val="nil"/>
              </w:pBdr>
              <w:spacing w:before="40" w:line="240" w:lineRule="auto"/>
              <w:ind w:left="0" w:right="160" w:hanging="2"/>
              <w:jc w:val="both"/>
              <w:rPr>
                <w:rFonts w:ascii="Arial" w:eastAsia="Arial" w:hAnsi="Arial" w:cs="Arial"/>
                <w:color w:val="000000"/>
                <w:sz w:val="16"/>
                <w:szCs w:val="16"/>
                <w:highlight w:val="yellow"/>
                <w:vertAlign w:val="baseline"/>
              </w:rPr>
            </w:pPr>
            <w:r>
              <w:rPr>
                <w:noProof/>
                <w:color w:val="000000"/>
                <w:vertAlign w:val="baseline"/>
                <w:lang w:eastAsia="es-ES"/>
              </w:rPr>
              <w:drawing>
                <wp:inline distT="0" distB="0" distL="114300" distR="114300" wp14:anchorId="3FE9D46A" wp14:editId="0886C931">
                  <wp:extent cx="3420745" cy="2423795"/>
                  <wp:effectExtent l="0" t="0" r="0" b="0"/>
                  <wp:docPr id="108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0"/>
                          <a:srcRect/>
                          <a:stretch>
                            <a:fillRect/>
                          </a:stretch>
                        </pic:blipFill>
                        <pic:spPr>
                          <a:xfrm>
                            <a:off x="0" y="0"/>
                            <a:ext cx="3420745" cy="2423795"/>
                          </a:xfrm>
                          <a:prstGeom prst="rect">
                            <a:avLst/>
                          </a:prstGeom>
                          <a:ln/>
                        </pic:spPr>
                      </pic:pic>
                    </a:graphicData>
                  </a:graphic>
                </wp:inline>
              </w:drawing>
            </w:r>
          </w:p>
          <w:p w14:paraId="4F8B8C81" w14:textId="77777777" w:rsidR="00634CDF" w:rsidRDefault="00634CDF">
            <w:pPr>
              <w:pBdr>
                <w:top w:val="nil"/>
                <w:left w:val="nil"/>
                <w:bottom w:val="nil"/>
                <w:right w:val="nil"/>
                <w:between w:val="nil"/>
              </w:pBdr>
              <w:spacing w:before="40" w:line="240" w:lineRule="auto"/>
              <w:ind w:left="0" w:right="160" w:hanging="2"/>
              <w:jc w:val="both"/>
              <w:rPr>
                <w:rFonts w:ascii="Arial" w:eastAsia="Arial" w:hAnsi="Arial" w:cs="Arial"/>
                <w:color w:val="000000"/>
                <w:sz w:val="16"/>
                <w:szCs w:val="16"/>
                <w:highlight w:val="yellow"/>
                <w:vertAlign w:val="baseline"/>
              </w:rPr>
            </w:pPr>
          </w:p>
          <w:p w14:paraId="379A10EC"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highlight w:val="yellow"/>
                <w:vertAlign w:val="baseline"/>
              </w:rPr>
            </w:pPr>
          </w:p>
        </w:tc>
      </w:tr>
      <w:tr w:rsidR="00634CDF" w14:paraId="360B4B5A" w14:textId="77777777">
        <w:tc>
          <w:tcPr>
            <w:tcW w:w="3402" w:type="dxa"/>
            <w:tcBorders>
              <w:top w:val="single" w:sz="4" w:space="0" w:color="000000"/>
              <w:left w:val="single" w:sz="4" w:space="0" w:color="000000"/>
              <w:bottom w:val="single" w:sz="4" w:space="0" w:color="000000"/>
            </w:tcBorders>
            <w:shd w:val="clear" w:color="auto" w:fill="E6E6E6"/>
          </w:tcPr>
          <w:p w14:paraId="78CE2D2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lastRenderedPageBreak/>
              <w:t>Principales manifestaciones clínicas</w:t>
            </w:r>
          </w:p>
        </w:tc>
        <w:tc>
          <w:tcPr>
            <w:tcW w:w="5548" w:type="dxa"/>
            <w:tcBorders>
              <w:top w:val="single" w:sz="4" w:space="0" w:color="000000"/>
              <w:left w:val="single" w:sz="4" w:space="0" w:color="000000"/>
              <w:bottom w:val="single" w:sz="4" w:space="0" w:color="000000"/>
              <w:right w:val="single" w:sz="4" w:space="0" w:color="000000"/>
            </w:tcBorders>
          </w:tcPr>
          <w:p w14:paraId="18A611F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Incremento en la frecuencia de aparición de eventos cardiovasculares en pacientes con elevado riesgo, (ictus, IAM, accidente cerebrovascular y otros eventos aterotrombóticos).</w:t>
            </w:r>
          </w:p>
        </w:tc>
      </w:tr>
      <w:tr w:rsidR="00634CDF" w14:paraId="33302EF0" w14:textId="77777777">
        <w:tc>
          <w:tcPr>
            <w:tcW w:w="3402" w:type="dxa"/>
            <w:tcBorders>
              <w:top w:val="single" w:sz="4" w:space="0" w:color="000000"/>
              <w:left w:val="single" w:sz="4" w:space="0" w:color="000000"/>
              <w:bottom w:val="single" w:sz="4" w:space="0" w:color="000000"/>
            </w:tcBorders>
            <w:shd w:val="clear" w:color="auto" w:fill="E6E6E6"/>
          </w:tcPr>
          <w:p w14:paraId="6A569EC0" w14:textId="77777777" w:rsidR="00634CDF" w:rsidRPr="00C15C1A"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Incidencia y prevalencia</w:t>
            </w:r>
          </w:p>
        </w:tc>
        <w:tc>
          <w:tcPr>
            <w:tcW w:w="5548" w:type="dxa"/>
            <w:tcBorders>
              <w:top w:val="single" w:sz="4" w:space="0" w:color="000000"/>
              <w:left w:val="single" w:sz="4" w:space="0" w:color="000000"/>
              <w:bottom w:val="single" w:sz="4" w:space="0" w:color="000000"/>
              <w:right w:val="single" w:sz="4" w:space="0" w:color="000000"/>
            </w:tcBorders>
          </w:tcPr>
          <w:p w14:paraId="18150A89" w14:textId="77777777" w:rsidR="00634CDF" w:rsidRPr="00C15C1A" w:rsidRDefault="00F0051D">
            <w:pPr>
              <w:pBdr>
                <w:top w:val="nil"/>
                <w:left w:val="nil"/>
                <w:bottom w:val="nil"/>
                <w:right w:val="nil"/>
                <w:between w:val="nil"/>
              </w:pBdr>
              <w:spacing w:before="240" w:after="240"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La hiper</w:t>
            </w:r>
            <w:r w:rsidRPr="00C15C1A">
              <w:rPr>
                <w:rFonts w:ascii="Arial" w:eastAsia="Arial" w:hAnsi="Arial" w:cs="Arial"/>
                <w:color w:val="000000"/>
                <w:sz w:val="16"/>
                <w:szCs w:val="16"/>
                <w:vertAlign w:val="baseline"/>
              </w:rPr>
              <w:t xml:space="preserve">colesterolemia </w:t>
            </w:r>
            <w:r>
              <w:rPr>
                <w:rFonts w:ascii="Arial" w:eastAsia="Arial" w:hAnsi="Arial" w:cs="Arial"/>
                <w:color w:val="000000"/>
                <w:sz w:val="16"/>
                <w:szCs w:val="16"/>
                <w:vertAlign w:val="baseline"/>
              </w:rPr>
              <w:t xml:space="preserve">es la alteración lipídica más frecuente. Se calcula que un 4% de la población adulta padece hipercolesterolemia primaria no familiar, lo que supone en nuestro país 1,3 millones de personas (2)  </w:t>
            </w:r>
            <w:r w:rsidRPr="00C15C1A">
              <w:rPr>
                <w:rFonts w:ascii="Arial" w:eastAsia="Arial" w:hAnsi="Arial" w:cs="Arial"/>
                <w:color w:val="000000"/>
                <w:sz w:val="16"/>
                <w:szCs w:val="16"/>
                <w:vertAlign w:val="baseline"/>
              </w:rPr>
              <w:t xml:space="preserve">. </w:t>
            </w:r>
            <w:r>
              <w:rPr>
                <w:rFonts w:ascii="Arial" w:eastAsia="Arial" w:hAnsi="Arial" w:cs="Arial"/>
                <w:color w:val="000000"/>
                <w:sz w:val="16"/>
                <w:szCs w:val="16"/>
                <w:vertAlign w:val="baseline"/>
              </w:rPr>
              <w:t>En el caso de la hipercolesterolemia heterocigótica familiar afecta a aproximadamente 1 de cada 300-500 personas lo que supone una cifra cercana a las 100.000 personas en nuestro país</w:t>
            </w:r>
            <w:r w:rsidRPr="00C15C1A">
              <w:rPr>
                <w:rFonts w:ascii="Arial" w:eastAsia="Arial" w:hAnsi="Arial" w:cs="Arial"/>
                <w:color w:val="000000"/>
                <w:sz w:val="16"/>
                <w:szCs w:val="16"/>
                <w:vertAlign w:val="baseline"/>
              </w:rPr>
              <w:t xml:space="preserve"> (3). </w:t>
            </w:r>
            <w:sdt>
              <w:sdtPr>
                <w:rPr>
                  <w:rFonts w:ascii="Arial" w:eastAsia="Arial" w:hAnsi="Arial" w:cs="Arial"/>
                  <w:color w:val="000000"/>
                  <w:sz w:val="16"/>
                  <w:szCs w:val="16"/>
                  <w:vertAlign w:val="baseline"/>
                </w:rPr>
                <w:tag w:val="goog_rdk_1"/>
                <w:id w:val="-616604308"/>
              </w:sdtPr>
              <w:sdtEndPr/>
              <w:sdtContent>
                <w:r w:rsidRPr="00C15C1A">
                  <w:rPr>
                    <w:rFonts w:ascii="Arial" w:eastAsia="Arial" w:hAnsi="Arial" w:cs="Arial"/>
                    <w:color w:val="000000"/>
                    <w:sz w:val="16"/>
                    <w:szCs w:val="16"/>
                    <w:vertAlign w:val="baseline"/>
                  </w:rPr>
                  <w:t>En un reciente metanálisis con 10.921.310 sujetos se estableció una prevalencia de hipercolesterolemia familiar en la población general de 0,32% (0,26-0,39%; IC95%) (1:313), 3,2% (2,2-4,3%;IC95%) (1:31) en pacientes con cardiopatía isquémica, 6,7% (4,9-8,7%;IC95%) (1:15) en pacientes con cardiopatía isquémica prematura y 7,2% (4,6-10,8%; IC95%) (1:14) en pacientes con hipercolesterolemia grave (C-LDL≥190 mg/dL)</w:t>
                </w:r>
              </w:sdtContent>
            </w:sdt>
            <w:r w:rsidRPr="00C15C1A">
              <w:rPr>
                <w:rFonts w:ascii="Arial" w:eastAsia="Arial" w:hAnsi="Arial" w:cs="Arial"/>
                <w:color w:val="000000"/>
                <w:sz w:val="16"/>
                <w:szCs w:val="16"/>
                <w:vertAlign w:val="baseline"/>
              </w:rPr>
              <w:t xml:space="preserve"> (4).</w:t>
            </w:r>
          </w:p>
          <w:p w14:paraId="7A41FAFD" w14:textId="77777777" w:rsidR="00634CDF" w:rsidRPr="00C15C1A" w:rsidRDefault="00F0051D">
            <w:pPr>
              <w:pBdr>
                <w:top w:val="nil"/>
                <w:left w:val="nil"/>
                <w:bottom w:val="nil"/>
                <w:right w:val="nil"/>
                <w:between w:val="nil"/>
              </w:pBdr>
              <w:spacing w:before="240" w:after="240"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Las enfermedades cardiovasculares (ECV) suponen la primera causa de muerte en nuestro país con una tasa de mortalidad de 252.1 fallecidos por cada 100.000. Según datos del instituto nacional de estadística (INE), en 2018 murieron en España 14.521 personas por infarto agudo de miocardio (IAM), 16.631 de otras cardiopatías isquémicas, 26.420 de enfermedades cerebrovasculares y 1440 de aterosclerosis</w:t>
            </w:r>
            <w:r w:rsidRPr="00C15C1A">
              <w:rPr>
                <w:rFonts w:ascii="Arial" w:eastAsia="Arial" w:hAnsi="Arial" w:cs="Arial"/>
                <w:color w:val="000000"/>
                <w:sz w:val="16"/>
                <w:szCs w:val="16"/>
                <w:vertAlign w:val="baseline"/>
              </w:rPr>
              <w:t xml:space="preserve"> (5) (</w:t>
            </w:r>
            <w:hyperlink r:id="rId11">
              <w:r w:rsidRPr="00C15C1A">
                <w:rPr>
                  <w:rFonts w:ascii="Arial" w:eastAsia="Arial" w:hAnsi="Arial" w:cs="Arial"/>
                  <w:color w:val="000000"/>
                  <w:sz w:val="16"/>
                  <w:szCs w:val="16"/>
                  <w:vertAlign w:val="baseline"/>
                </w:rPr>
                <w:t>https://www.ine.es/dynt3/inebase/es/index.htm?padre=6177&amp;capsel=6178</w:t>
              </w:r>
            </w:hyperlink>
          </w:p>
          <w:p w14:paraId="5046B837" w14:textId="77777777" w:rsidR="00634CDF" w:rsidRPr="00C15C1A" w:rsidRDefault="00F0051D">
            <w:pPr>
              <w:pBdr>
                <w:top w:val="nil"/>
                <w:left w:val="nil"/>
                <w:bottom w:val="nil"/>
                <w:right w:val="nil"/>
                <w:between w:val="nil"/>
              </w:pBdr>
              <w:spacing w:before="40" w:line="240" w:lineRule="auto"/>
              <w:ind w:left="0" w:right="16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Según el Estudio DARIOS (6) la distribución de los FRCV en nuestro país en sujetos de 35 a 74 años de edad fue la siguiente:</w:t>
            </w:r>
          </w:p>
          <w:p w14:paraId="4415FD02" w14:textId="77777777" w:rsidR="00634CDF" w:rsidRPr="00C15C1A" w:rsidRDefault="00F0051D">
            <w:pPr>
              <w:pBdr>
                <w:top w:val="nil"/>
                <w:left w:val="nil"/>
                <w:bottom w:val="nil"/>
                <w:right w:val="nil"/>
                <w:between w:val="nil"/>
              </w:pBdr>
              <w:spacing w:before="40" w:line="240" w:lineRule="auto"/>
              <w:ind w:left="0" w:right="16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 Un 33% de los hombres eran fumadores y un 21% de las mujeres.</w:t>
            </w:r>
          </w:p>
          <w:p w14:paraId="1A980634" w14:textId="77777777" w:rsidR="00634CDF" w:rsidRPr="00C15C1A" w:rsidRDefault="00F0051D">
            <w:pPr>
              <w:pBdr>
                <w:top w:val="nil"/>
                <w:left w:val="nil"/>
                <w:bottom w:val="nil"/>
                <w:right w:val="nil"/>
                <w:between w:val="nil"/>
              </w:pBdr>
              <w:spacing w:before="40" w:line="240" w:lineRule="auto"/>
              <w:ind w:left="0" w:right="16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 El 43% eran hipertensos (47% en hombres y 39% en mujeres).</w:t>
            </w:r>
          </w:p>
          <w:p w14:paraId="5532AF83" w14:textId="77777777" w:rsidR="00634CDF" w:rsidRPr="00C15C1A" w:rsidRDefault="00F0051D">
            <w:pPr>
              <w:pBdr>
                <w:top w:val="nil"/>
                <w:left w:val="nil"/>
                <w:bottom w:val="nil"/>
                <w:right w:val="nil"/>
                <w:between w:val="nil"/>
              </w:pBdr>
              <w:spacing w:before="40" w:line="240" w:lineRule="auto"/>
              <w:ind w:left="0" w:right="16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•El 41% presentaban dislipemia (colesterol total&gt;250 mg/dL) (43% en hombres y 40% en mujeres).</w:t>
            </w:r>
          </w:p>
          <w:p w14:paraId="14841E64" w14:textId="77777777" w:rsidR="00634CDF" w:rsidRPr="00C15C1A" w:rsidRDefault="00F0051D">
            <w:pPr>
              <w:pBdr>
                <w:top w:val="nil"/>
                <w:left w:val="nil"/>
                <w:bottom w:val="nil"/>
                <w:right w:val="nil"/>
                <w:between w:val="nil"/>
              </w:pBdr>
              <w:spacing w:before="40" w:line="240" w:lineRule="auto"/>
              <w:ind w:left="0" w:right="16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 El 13% presentaban diabetes (16% en hombres y 11% en mujeres).</w:t>
            </w:r>
          </w:p>
          <w:p w14:paraId="2B8EA817" w14:textId="77777777" w:rsidR="00634CDF" w:rsidRPr="00C15C1A"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 El 29% eran obesos en ambos sexos.</w:t>
            </w:r>
          </w:p>
          <w:p w14:paraId="1AD331F4"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r>
      <w:tr w:rsidR="00634CDF" w14:paraId="07DBB1E4" w14:textId="77777777">
        <w:tc>
          <w:tcPr>
            <w:tcW w:w="3402" w:type="dxa"/>
            <w:tcBorders>
              <w:top w:val="single" w:sz="4" w:space="0" w:color="000000"/>
              <w:left w:val="single" w:sz="4" w:space="0" w:color="000000"/>
              <w:bottom w:val="single" w:sz="4" w:space="0" w:color="000000"/>
            </w:tcBorders>
            <w:shd w:val="clear" w:color="auto" w:fill="E6E6E6"/>
          </w:tcPr>
          <w:p w14:paraId="5A858A1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Evolución / Pronóstico</w:t>
            </w:r>
          </w:p>
        </w:tc>
        <w:tc>
          <w:tcPr>
            <w:tcW w:w="5548" w:type="dxa"/>
            <w:tcBorders>
              <w:top w:val="single" w:sz="4" w:space="0" w:color="000000"/>
              <w:left w:val="single" w:sz="4" w:space="0" w:color="000000"/>
              <w:bottom w:val="single" w:sz="4" w:space="0" w:color="000000"/>
              <w:right w:val="single" w:sz="4" w:space="0" w:color="000000"/>
            </w:tcBorders>
          </w:tcPr>
          <w:p w14:paraId="500FC3E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La evolución y pronóstico dependen de la situación basal del conjunto de FRCV del paciente, así como de la efectividad del conjunto de medidas aplicadas en la reducción de dichos factores. Según los datos del estudio IMPROVE-IT (7), que incluyó a pacientes con FRCV muy alto, en tratamiento con simvastatina + ezetimiba, la mortalidad a los 7 años alcanza el 15%, y hasta un 30% cuando hablamos de muerte por cualquier causa, evento coronario o ictus no mortal. </w:t>
            </w:r>
          </w:p>
        </w:tc>
      </w:tr>
      <w:tr w:rsidR="00634CDF" w14:paraId="220D77E8" w14:textId="77777777">
        <w:tc>
          <w:tcPr>
            <w:tcW w:w="3402" w:type="dxa"/>
            <w:tcBorders>
              <w:top w:val="single" w:sz="4" w:space="0" w:color="000000"/>
              <w:left w:val="single" w:sz="4" w:space="0" w:color="000000"/>
              <w:bottom w:val="single" w:sz="4" w:space="0" w:color="000000"/>
            </w:tcBorders>
            <w:shd w:val="clear" w:color="auto" w:fill="E6E6E6"/>
          </w:tcPr>
          <w:p w14:paraId="12442F0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Grados de gravedad / Estadiaje</w:t>
            </w:r>
          </w:p>
        </w:tc>
        <w:tc>
          <w:tcPr>
            <w:tcW w:w="5548" w:type="dxa"/>
            <w:tcBorders>
              <w:top w:val="single" w:sz="4" w:space="0" w:color="000000"/>
              <w:left w:val="single" w:sz="4" w:space="0" w:color="000000"/>
              <w:bottom w:val="single" w:sz="4" w:space="0" w:color="000000"/>
              <w:right w:val="single" w:sz="4" w:space="0" w:color="000000"/>
            </w:tcBorders>
          </w:tcPr>
          <w:p w14:paraId="5CCDDA8A" w14:textId="77777777" w:rsidR="00634CDF" w:rsidRPr="00C15C1A" w:rsidRDefault="00F0051D">
            <w:pPr>
              <w:pBdr>
                <w:top w:val="nil"/>
                <w:left w:val="nil"/>
                <w:bottom w:val="nil"/>
                <w:right w:val="nil"/>
                <w:between w:val="nil"/>
              </w:pBdr>
              <w:spacing w:before="40" w:line="240" w:lineRule="auto"/>
              <w:ind w:left="0" w:right="160" w:hanging="2"/>
              <w:jc w:val="both"/>
              <w:rPr>
                <w:rFonts w:ascii="Arial" w:hAnsi="Arial" w:cs="Arial"/>
                <w:color w:val="000000"/>
                <w:sz w:val="16"/>
                <w:szCs w:val="16"/>
                <w:vertAlign w:val="baseline"/>
              </w:rPr>
            </w:pPr>
            <w:r w:rsidRPr="00C15C1A">
              <w:rPr>
                <w:rFonts w:ascii="Arial" w:eastAsia="Arial" w:hAnsi="Arial" w:cs="Arial"/>
                <w:color w:val="000000"/>
                <w:sz w:val="16"/>
                <w:szCs w:val="16"/>
                <w:vertAlign w:val="baseline"/>
              </w:rPr>
              <w:t>Podemos considerar de forma general, dos situaciones clínicas diferentes:</w:t>
            </w:r>
          </w:p>
          <w:p w14:paraId="6045D1A6" w14:textId="77777777" w:rsidR="00634CDF" w:rsidRPr="00C15C1A" w:rsidRDefault="00F0051D">
            <w:pPr>
              <w:pBdr>
                <w:top w:val="nil"/>
                <w:left w:val="nil"/>
                <w:bottom w:val="nil"/>
                <w:right w:val="nil"/>
                <w:between w:val="nil"/>
              </w:pBdr>
              <w:spacing w:before="40" w:line="240" w:lineRule="auto"/>
              <w:ind w:left="0" w:right="160" w:hanging="2"/>
              <w:jc w:val="both"/>
              <w:rPr>
                <w:rFonts w:ascii="Arial" w:hAnsi="Arial" w:cs="Arial"/>
                <w:color w:val="000000"/>
                <w:sz w:val="16"/>
                <w:szCs w:val="16"/>
                <w:vertAlign w:val="baseline"/>
              </w:rPr>
            </w:pPr>
            <w:r w:rsidRPr="00C15C1A">
              <w:rPr>
                <w:rFonts w:ascii="Arial" w:eastAsia="Arial" w:hAnsi="Arial" w:cs="Arial"/>
                <w:color w:val="000000"/>
                <w:sz w:val="16"/>
                <w:szCs w:val="16"/>
                <w:vertAlign w:val="baseline"/>
              </w:rPr>
              <w:t>-</w:t>
            </w:r>
            <w:r w:rsidRPr="00C15C1A">
              <w:rPr>
                <w:rFonts w:ascii="Arial" w:hAnsi="Arial" w:cs="Arial"/>
                <w:color w:val="000000"/>
                <w:sz w:val="16"/>
                <w:szCs w:val="16"/>
                <w:vertAlign w:val="baseline"/>
              </w:rPr>
              <w:t xml:space="preserve">   </w:t>
            </w:r>
            <w:r w:rsidRPr="00C15C1A">
              <w:rPr>
                <w:rFonts w:ascii="Arial" w:hAnsi="Arial" w:cs="Arial"/>
                <w:color w:val="000000"/>
                <w:sz w:val="16"/>
                <w:szCs w:val="16"/>
                <w:vertAlign w:val="baseline"/>
              </w:rPr>
              <w:tab/>
            </w:r>
            <w:r w:rsidRPr="00C15C1A">
              <w:rPr>
                <w:rFonts w:ascii="Arial" w:eastAsia="Arial" w:hAnsi="Arial" w:cs="Arial"/>
                <w:color w:val="000000"/>
                <w:sz w:val="16"/>
                <w:szCs w:val="16"/>
                <w:vertAlign w:val="baseline"/>
              </w:rPr>
              <w:t xml:space="preserve">Pacientes que no han presentado evento, pero presentan un incremento en las cifras de colesterol </w:t>
            </w:r>
            <w:r w:rsidRPr="00C15C1A">
              <w:rPr>
                <w:rFonts w:ascii="Arial" w:eastAsia="Arial" w:hAnsi="Arial" w:cs="Arial"/>
                <w:sz w:val="16"/>
                <w:szCs w:val="16"/>
                <w:vertAlign w:val="baseline"/>
              </w:rPr>
              <w:t>C</w:t>
            </w:r>
            <w:r w:rsidRPr="00C15C1A">
              <w:rPr>
                <w:rFonts w:ascii="Arial" w:eastAsia="Arial" w:hAnsi="Arial" w:cs="Arial"/>
                <w:color w:val="000000"/>
                <w:sz w:val="16"/>
                <w:szCs w:val="16"/>
                <w:vertAlign w:val="baseline"/>
              </w:rPr>
              <w:t>-LDL.</w:t>
            </w:r>
          </w:p>
          <w:p w14:paraId="7188AE42" w14:textId="77777777" w:rsidR="00634CDF" w:rsidRPr="00C15C1A" w:rsidRDefault="00F0051D">
            <w:pPr>
              <w:pBdr>
                <w:top w:val="nil"/>
                <w:left w:val="nil"/>
                <w:bottom w:val="nil"/>
                <w:right w:val="nil"/>
                <w:between w:val="nil"/>
              </w:pBdr>
              <w:spacing w:before="40" w:line="240" w:lineRule="auto"/>
              <w:ind w:left="0" w:right="160" w:hanging="2"/>
              <w:jc w:val="both"/>
              <w:rPr>
                <w:rFonts w:ascii="Arial" w:hAnsi="Arial" w:cs="Arial"/>
                <w:color w:val="000000"/>
                <w:sz w:val="16"/>
                <w:szCs w:val="16"/>
                <w:vertAlign w:val="baseline"/>
              </w:rPr>
            </w:pPr>
            <w:r w:rsidRPr="00C15C1A">
              <w:rPr>
                <w:rFonts w:ascii="Arial" w:eastAsia="Arial" w:hAnsi="Arial" w:cs="Arial"/>
                <w:color w:val="000000"/>
                <w:sz w:val="16"/>
                <w:szCs w:val="16"/>
                <w:vertAlign w:val="baseline"/>
              </w:rPr>
              <w:t>-</w:t>
            </w:r>
            <w:r w:rsidRPr="00C15C1A">
              <w:rPr>
                <w:rFonts w:ascii="Arial" w:hAnsi="Arial" w:cs="Arial"/>
                <w:color w:val="000000"/>
                <w:sz w:val="16"/>
                <w:szCs w:val="16"/>
                <w:vertAlign w:val="baseline"/>
              </w:rPr>
              <w:t xml:space="preserve">   </w:t>
            </w:r>
            <w:r w:rsidRPr="00C15C1A">
              <w:rPr>
                <w:rFonts w:ascii="Arial" w:hAnsi="Arial" w:cs="Arial"/>
                <w:color w:val="000000"/>
                <w:sz w:val="16"/>
                <w:szCs w:val="16"/>
                <w:vertAlign w:val="baseline"/>
              </w:rPr>
              <w:tab/>
            </w:r>
            <w:r w:rsidRPr="00C15C1A">
              <w:rPr>
                <w:rFonts w:ascii="Arial" w:eastAsia="Arial" w:hAnsi="Arial" w:cs="Arial"/>
                <w:color w:val="000000"/>
                <w:sz w:val="16"/>
                <w:szCs w:val="16"/>
                <w:vertAlign w:val="baseline"/>
              </w:rPr>
              <w:t>Pacientes que han padecido un evento cardiovascular, en los que el objetivo del tratamiento será la prevención de un segundo evento.</w:t>
            </w:r>
          </w:p>
          <w:p w14:paraId="23921BD4" w14:textId="77777777" w:rsidR="00634CDF" w:rsidRPr="00C15C1A" w:rsidRDefault="00F0051D">
            <w:pPr>
              <w:pBdr>
                <w:top w:val="nil"/>
                <w:left w:val="nil"/>
                <w:bottom w:val="nil"/>
                <w:right w:val="nil"/>
                <w:between w:val="nil"/>
              </w:pBdr>
              <w:spacing w:before="240" w:after="240" w:line="240" w:lineRule="auto"/>
              <w:ind w:left="0" w:hanging="2"/>
              <w:rPr>
                <w:rFonts w:ascii="Arial" w:hAnsi="Arial" w:cs="Arial"/>
                <w:color w:val="000000"/>
                <w:sz w:val="16"/>
                <w:szCs w:val="16"/>
                <w:vertAlign w:val="baseline"/>
              </w:rPr>
            </w:pPr>
            <w:r w:rsidRPr="00C15C1A">
              <w:rPr>
                <w:rFonts w:ascii="Arial" w:eastAsia="Arial" w:hAnsi="Arial" w:cs="Arial"/>
                <w:color w:val="000000"/>
                <w:sz w:val="16"/>
                <w:szCs w:val="16"/>
                <w:vertAlign w:val="baseline"/>
              </w:rPr>
              <w:t>De forma independiente, han podido caracterizarse perfiles genéticos que pueden ocasionar un déficit en diversas proteínas relacionadas con el metabolismo del C-LDL (R-LDL, APO-B100, NARC1), conformando lo que se ha definido como Hipercolesterolemia Familiar, que puede expresarse de forma homocigótica (de mayor gravedad y menor frecuencia) o heterocigótica. En estos pacientes presenta un incremento sostenido de C-LDL, por lo que tienen un mayor riesgo de padecer enfermedades cardiovasculares.</w:t>
            </w:r>
          </w:p>
          <w:p w14:paraId="3742659D" w14:textId="77777777" w:rsidR="00634CDF" w:rsidRPr="00C15C1A" w:rsidRDefault="00F0051D">
            <w:pPr>
              <w:spacing w:before="240" w:after="240" w:line="240" w:lineRule="auto"/>
              <w:ind w:left="0" w:hanging="2"/>
              <w:jc w:val="both"/>
              <w:rPr>
                <w:rFonts w:ascii="Arial" w:eastAsia="Arial" w:hAnsi="Arial" w:cs="Arial"/>
                <w:sz w:val="16"/>
                <w:szCs w:val="16"/>
                <w:vertAlign w:val="baseline"/>
              </w:rPr>
            </w:pPr>
            <w:r w:rsidRPr="00C15C1A">
              <w:rPr>
                <w:rFonts w:ascii="Arial" w:eastAsia="Arial" w:hAnsi="Arial" w:cs="Arial"/>
                <w:sz w:val="16"/>
                <w:szCs w:val="16"/>
                <w:vertAlign w:val="baseline"/>
              </w:rPr>
              <w:t>El estadiaje más adecuado se realizará en función del riesgo cardiovascular del paciente. En el contexto de las dislipemias se traduce en la probabilidad de que un paciente sufra un evento cardiovascular ateroesclerótico.</w:t>
            </w:r>
          </w:p>
          <w:p w14:paraId="09410A76" w14:textId="77777777" w:rsidR="00634CDF" w:rsidRPr="00C15C1A" w:rsidRDefault="00F0051D">
            <w:pPr>
              <w:spacing w:before="240" w:after="240" w:line="240" w:lineRule="auto"/>
              <w:ind w:left="0" w:hanging="2"/>
              <w:jc w:val="both"/>
              <w:rPr>
                <w:rFonts w:ascii="Arial" w:eastAsia="Arial" w:hAnsi="Arial" w:cs="Arial"/>
                <w:sz w:val="16"/>
                <w:szCs w:val="16"/>
                <w:vertAlign w:val="baseline"/>
              </w:rPr>
            </w:pPr>
            <w:r w:rsidRPr="00C15C1A">
              <w:rPr>
                <w:rFonts w:ascii="Arial" w:eastAsia="Arial" w:hAnsi="Arial" w:cs="Arial"/>
                <w:sz w:val="16"/>
                <w:szCs w:val="16"/>
                <w:vertAlign w:val="baseline"/>
              </w:rPr>
              <w:t>Existen numerosas escalas para la valoración de FRCV como son el índice de Framingham, el SCORE, ASSIGN, Q-Risk o PROCAM siendo las dos primeras las más empleadas en la mayoría de estudios.</w:t>
            </w:r>
          </w:p>
          <w:p w14:paraId="1F3AFCDA" w14:textId="77777777" w:rsidR="00634CDF" w:rsidRPr="00C15C1A" w:rsidRDefault="00F0051D">
            <w:pPr>
              <w:pBdr>
                <w:top w:val="nil"/>
                <w:left w:val="nil"/>
                <w:bottom w:val="nil"/>
                <w:right w:val="nil"/>
                <w:between w:val="nil"/>
              </w:pBdr>
              <w:spacing w:before="240" w:after="240" w:line="240" w:lineRule="auto"/>
              <w:ind w:left="0" w:hanging="2"/>
              <w:rPr>
                <w:rFonts w:ascii="Arial" w:hAnsi="Arial" w:cs="Arial"/>
                <w:color w:val="000000"/>
                <w:sz w:val="16"/>
                <w:szCs w:val="16"/>
                <w:vertAlign w:val="baseline"/>
              </w:rPr>
            </w:pPr>
            <w:r w:rsidRPr="00C15C1A">
              <w:rPr>
                <w:rFonts w:ascii="Arial" w:eastAsia="Arial" w:hAnsi="Arial" w:cs="Arial"/>
                <w:color w:val="000000"/>
                <w:sz w:val="16"/>
                <w:szCs w:val="16"/>
                <w:vertAlign w:val="baseline"/>
              </w:rPr>
              <w:t>Los pacientes pueden clasificarse en cuatro grupos de riesgo:</w:t>
            </w:r>
          </w:p>
          <w:p w14:paraId="35030293" w14:textId="77777777" w:rsidR="00634CDF" w:rsidRPr="00C15C1A" w:rsidRDefault="00782245">
            <w:pPr>
              <w:pBdr>
                <w:top w:val="nil"/>
                <w:left w:val="nil"/>
                <w:bottom w:val="nil"/>
                <w:right w:val="nil"/>
                <w:between w:val="nil"/>
              </w:pBdr>
              <w:spacing w:before="240" w:after="240" w:line="240" w:lineRule="auto"/>
              <w:ind w:left="0" w:hanging="2"/>
              <w:jc w:val="both"/>
              <w:rPr>
                <w:rFonts w:ascii="Arial" w:eastAsia="Arial" w:hAnsi="Arial" w:cs="Arial"/>
                <w:color w:val="333333"/>
                <w:sz w:val="16"/>
                <w:szCs w:val="16"/>
                <w:vertAlign w:val="baseline"/>
              </w:rPr>
            </w:pPr>
            <w:sdt>
              <w:sdtPr>
                <w:rPr>
                  <w:rFonts w:ascii="Arial" w:hAnsi="Arial" w:cs="Arial"/>
                  <w:sz w:val="16"/>
                  <w:szCs w:val="16"/>
                </w:rPr>
                <w:tag w:val="goog_rdk_2"/>
                <w:id w:val="1149401774"/>
              </w:sdtPr>
              <w:sdtEndPr/>
              <w:sdtContent>
                <w:r w:rsidR="00F0051D" w:rsidRPr="00C15C1A">
                  <w:rPr>
                    <w:rFonts w:ascii="Arial" w:eastAsia="Arial Unicode MS" w:hAnsi="Arial" w:cs="Arial"/>
                    <w:color w:val="333333"/>
                    <w:sz w:val="16"/>
                    <w:szCs w:val="16"/>
                    <w:vertAlign w:val="baseline"/>
                  </w:rPr>
                  <w:t>- Muy Alto Riesgo (SCORE ≥10%): Pacientes con ECV documentada, revascularización, accidente cerebrovascular o enfermedad arterial periférica. Pacientes con DMII o DMI con afectación de órganos diana o pacientes con ERC de moderada a grave).</w:t>
                </w:r>
              </w:sdtContent>
            </w:sdt>
          </w:p>
          <w:p w14:paraId="4F8690E7" w14:textId="3569BBB3" w:rsidR="00634CDF" w:rsidRPr="00C15C1A" w:rsidRDefault="00F0051D">
            <w:pPr>
              <w:pBdr>
                <w:top w:val="nil"/>
                <w:left w:val="nil"/>
                <w:bottom w:val="nil"/>
                <w:right w:val="nil"/>
                <w:between w:val="nil"/>
              </w:pBdr>
              <w:spacing w:before="240" w:after="240" w:line="240" w:lineRule="auto"/>
              <w:ind w:left="0" w:hanging="2"/>
              <w:rPr>
                <w:rFonts w:ascii="Arial" w:eastAsia="Arial" w:hAnsi="Arial" w:cs="Arial"/>
                <w:color w:val="333333"/>
                <w:sz w:val="16"/>
                <w:szCs w:val="16"/>
                <w:vertAlign w:val="baseline"/>
              </w:rPr>
            </w:pPr>
            <w:r w:rsidRPr="00C15C1A">
              <w:rPr>
                <w:rFonts w:ascii="Arial" w:eastAsia="Arial Unicode MS" w:hAnsi="Arial" w:cs="Arial"/>
                <w:color w:val="333333"/>
                <w:sz w:val="16"/>
                <w:szCs w:val="16"/>
                <w:vertAlign w:val="baseline"/>
              </w:rPr>
              <w:t>- Alto Riesgo (SCORE ≥5 a &lt;10%): Pacientes con factores individuales de riesgo como antecedentes familiares de dislipemia o HTA grave.</w:t>
            </w:r>
          </w:p>
          <w:p w14:paraId="7871BD0A" w14:textId="0675096D" w:rsidR="00634CDF" w:rsidRPr="00C15C1A" w:rsidRDefault="00F0051D">
            <w:pPr>
              <w:pBdr>
                <w:top w:val="nil"/>
                <w:left w:val="nil"/>
                <w:bottom w:val="nil"/>
                <w:right w:val="nil"/>
                <w:between w:val="nil"/>
              </w:pBdr>
              <w:spacing w:before="240" w:after="240" w:line="240" w:lineRule="auto"/>
              <w:ind w:left="0" w:hanging="2"/>
              <w:rPr>
                <w:rFonts w:ascii="Arial" w:eastAsia="Arial" w:hAnsi="Arial" w:cs="Arial"/>
                <w:color w:val="333333"/>
                <w:sz w:val="16"/>
                <w:szCs w:val="16"/>
                <w:vertAlign w:val="baseline"/>
              </w:rPr>
            </w:pPr>
            <w:r w:rsidRPr="00C15C1A">
              <w:rPr>
                <w:rFonts w:ascii="Arial" w:eastAsia="Arial Unicode MS" w:hAnsi="Arial" w:cs="Arial"/>
                <w:color w:val="333333"/>
                <w:sz w:val="16"/>
                <w:szCs w:val="16"/>
                <w:vertAlign w:val="baseline"/>
              </w:rPr>
              <w:t>- Riesgo Moderado (SCORE ≥1 a &lt;5%): Pacientes de mediana edad en los que influyen otros factores como familiares con ECV prematura, obesidad, estilo de vida o parámetros bioquímicos.</w:t>
            </w:r>
          </w:p>
          <w:p w14:paraId="3E6E21A4" w14:textId="77777777" w:rsidR="00634CDF" w:rsidRPr="00C15C1A" w:rsidRDefault="00F0051D">
            <w:pPr>
              <w:pBdr>
                <w:top w:val="nil"/>
                <w:left w:val="nil"/>
                <w:bottom w:val="nil"/>
                <w:right w:val="nil"/>
                <w:between w:val="nil"/>
              </w:pBdr>
              <w:spacing w:before="240" w:after="240" w:line="240" w:lineRule="auto"/>
              <w:ind w:left="0" w:hanging="2"/>
              <w:rPr>
                <w:rFonts w:ascii="Arial" w:hAnsi="Arial" w:cs="Arial"/>
                <w:color w:val="333333"/>
                <w:sz w:val="16"/>
                <w:szCs w:val="16"/>
                <w:vertAlign w:val="baseline"/>
              </w:rPr>
            </w:pPr>
            <w:r w:rsidRPr="00C15C1A">
              <w:rPr>
                <w:rFonts w:ascii="Arial" w:eastAsia="Arial" w:hAnsi="Arial" w:cs="Arial"/>
                <w:color w:val="333333"/>
                <w:sz w:val="16"/>
                <w:szCs w:val="16"/>
                <w:vertAlign w:val="baseline"/>
              </w:rPr>
              <w:t xml:space="preserve">  -Bajo Riesgo (SCORE &lt;1%).</w:t>
            </w:r>
          </w:p>
        </w:tc>
      </w:tr>
      <w:tr w:rsidR="00634CDF" w14:paraId="13D5917E" w14:textId="77777777">
        <w:tc>
          <w:tcPr>
            <w:tcW w:w="3402" w:type="dxa"/>
            <w:tcBorders>
              <w:top w:val="single" w:sz="4" w:space="0" w:color="000000"/>
              <w:left w:val="single" w:sz="4" w:space="0" w:color="000000"/>
              <w:bottom w:val="single" w:sz="4" w:space="0" w:color="000000"/>
            </w:tcBorders>
            <w:shd w:val="clear" w:color="auto" w:fill="E6E6E6"/>
          </w:tcPr>
          <w:p w14:paraId="79BDC54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lastRenderedPageBreak/>
              <w:t>Carga de la enfermedad*</w:t>
            </w:r>
          </w:p>
        </w:tc>
        <w:tc>
          <w:tcPr>
            <w:tcW w:w="5548" w:type="dxa"/>
            <w:tcBorders>
              <w:top w:val="single" w:sz="4" w:space="0" w:color="000000"/>
              <w:left w:val="single" w:sz="4" w:space="0" w:color="000000"/>
              <w:bottom w:val="single" w:sz="4" w:space="0" w:color="000000"/>
              <w:right w:val="single" w:sz="4" w:space="0" w:color="000000"/>
            </w:tcBorders>
          </w:tcPr>
          <w:p w14:paraId="00458E36" w14:textId="77777777" w:rsidR="00634CDF" w:rsidRDefault="00F0051D">
            <w:pPr>
              <w:pBdr>
                <w:top w:val="nil"/>
                <w:left w:val="nil"/>
                <w:bottom w:val="nil"/>
                <w:right w:val="nil"/>
                <w:between w:val="nil"/>
              </w:pBdr>
              <w:spacing w:before="40" w:line="240" w:lineRule="auto"/>
              <w:ind w:left="0" w:right="160" w:hanging="2"/>
              <w:jc w:val="both"/>
              <w:rPr>
                <w:color w:val="000000"/>
                <w:vertAlign w:val="baseline"/>
              </w:rPr>
            </w:pPr>
            <w:r>
              <w:rPr>
                <w:rFonts w:ascii="Arial" w:eastAsia="Arial" w:hAnsi="Arial" w:cs="Arial"/>
                <w:color w:val="000000"/>
                <w:sz w:val="16"/>
                <w:szCs w:val="16"/>
                <w:vertAlign w:val="baseline"/>
              </w:rPr>
              <w:t>La carga de enfermedad que un factor de riesgo genera en la población depende de su prevalencia, de la intensidad de la asociación de dicho factor con la enfermedad y de su valor predictivo. Estos FRCV son los responsables de la mayor parte de los casos de EV en nuestra población. Uno de los principios básicos de la prevención primaria de la EV es reducir el riesgo de enfermar. El conocimiento de estos aspectos permite establecer una intensidad de la intervención proporcional a la magnitud del riesgo, así́ como acordar prioridades de actuación.</w:t>
            </w:r>
          </w:p>
          <w:p w14:paraId="076D4C44" w14:textId="2E57570B" w:rsidR="00634CDF" w:rsidRDefault="00F0051D">
            <w:pPr>
              <w:spacing w:line="240" w:lineRule="auto"/>
              <w:ind w:left="0" w:hanging="2"/>
              <w:jc w:val="both"/>
              <w:rPr>
                <w:vertAlign w:val="baseline"/>
              </w:rPr>
            </w:pPr>
            <w:r>
              <w:rPr>
                <w:rFonts w:ascii="Arial" w:eastAsia="Arial" w:hAnsi="Arial" w:cs="Arial"/>
                <w:sz w:val="16"/>
                <w:szCs w:val="16"/>
                <w:vertAlign w:val="baseline"/>
              </w:rPr>
              <w:t xml:space="preserve">Según el INE en 2017 (8) hubo 611.691 altas hospitalarias en España relacionadas con enfermedades del aparato circulatorio. En el año 2018 hubo 120.859 muertes por enfermedades del sistema circulatorio. En cuanto a muertes hubo 161 muertes por hipercolesterolemia pura (el CIE-10 para </w:t>
            </w:r>
            <w:r w:rsidR="008A0596">
              <w:rPr>
                <w:rFonts w:ascii="Arial" w:eastAsia="Arial" w:hAnsi="Arial" w:cs="Arial"/>
                <w:sz w:val="16"/>
                <w:szCs w:val="16"/>
                <w:vertAlign w:val="baseline"/>
              </w:rPr>
              <w:t>el hipercolesterolemia familiar</w:t>
            </w:r>
            <w:r>
              <w:rPr>
                <w:rFonts w:ascii="Arial" w:eastAsia="Arial" w:hAnsi="Arial" w:cs="Arial"/>
                <w:sz w:val="16"/>
                <w:szCs w:val="16"/>
                <w:vertAlign w:val="baseline"/>
              </w:rPr>
              <w:t xml:space="preserve"> se introdujo en 2018).</w:t>
            </w:r>
          </w:p>
          <w:p w14:paraId="07138B59"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r>
    </w:tbl>
    <w:p w14:paraId="033B53E4" w14:textId="77777777" w:rsidR="00634CDF" w:rsidRDefault="00F0051D">
      <w:pPr>
        <w:pBdr>
          <w:top w:val="nil"/>
          <w:left w:val="nil"/>
          <w:bottom w:val="nil"/>
          <w:right w:val="nil"/>
          <w:between w:val="nil"/>
        </w:pBdr>
        <w:spacing w:line="240" w:lineRule="auto"/>
        <w:ind w:left="0" w:hanging="2"/>
        <w:jc w:val="both"/>
        <w:rPr>
          <w:color w:val="000000"/>
          <w:vertAlign w:val="baseline"/>
        </w:rPr>
      </w:pPr>
      <w:bookmarkStart w:id="5" w:name="_heading=h.1t3h5sf" w:colFirst="0" w:colLast="0"/>
      <w:bookmarkEnd w:id="5"/>
      <w:r>
        <w:rPr>
          <w:rFonts w:ascii="Arial" w:eastAsia="Arial" w:hAnsi="Arial" w:cs="Arial"/>
          <w:color w:val="000000"/>
          <w:sz w:val="20"/>
          <w:szCs w:val="20"/>
          <w:vertAlign w:val="baseline"/>
        </w:rPr>
        <w:t>* Datos de ingresos hospitalarios, visitas a urgencias, discapacidad, necesidad de cuidador</w:t>
      </w:r>
    </w:p>
    <w:p w14:paraId="160DF87E"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FF0000"/>
          <w:sz w:val="20"/>
          <w:szCs w:val="20"/>
          <w:vertAlign w:val="baseline"/>
        </w:rPr>
      </w:pPr>
    </w:p>
    <w:p w14:paraId="3102C920"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 xml:space="preserve">3.2.b Tratamiento actual de la enfermedad: evidencias </w:t>
      </w:r>
    </w:p>
    <w:p w14:paraId="52EAA8D1"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0F5B2BC0" w14:textId="24E61CB0" w:rsidR="00634CDF" w:rsidRDefault="00F0051D">
      <w:pPr>
        <w:pBdr>
          <w:top w:val="nil"/>
          <w:left w:val="nil"/>
          <w:bottom w:val="nil"/>
          <w:right w:val="nil"/>
          <w:between w:val="nil"/>
        </w:pBdr>
        <w:spacing w:line="240" w:lineRule="auto"/>
        <w:ind w:left="0" w:hanging="2"/>
        <w:jc w:val="both"/>
        <w:rPr>
          <w:color w:val="000000"/>
          <w:shd w:val="clear" w:color="auto" w:fill="FFCC99"/>
          <w:vertAlign w:val="baseline"/>
        </w:rPr>
      </w:pPr>
      <w:r>
        <w:rPr>
          <w:rFonts w:ascii="Arial" w:eastAsia="Arial" w:hAnsi="Arial" w:cs="Arial"/>
          <w:color w:val="000000"/>
          <w:sz w:val="20"/>
          <w:szCs w:val="20"/>
          <w:vertAlign w:val="baseline"/>
        </w:rPr>
        <w:t xml:space="preserve">Actualmente se considera que las decisiones </w:t>
      </w:r>
      <w:r>
        <w:rPr>
          <w:rFonts w:ascii="Arial" w:eastAsia="Arial" w:hAnsi="Arial" w:cs="Arial"/>
          <w:sz w:val="20"/>
          <w:szCs w:val="20"/>
          <w:vertAlign w:val="baseline"/>
        </w:rPr>
        <w:t>terapéuticas</w:t>
      </w:r>
      <w:r>
        <w:rPr>
          <w:rFonts w:ascii="Arial" w:eastAsia="Arial" w:hAnsi="Arial" w:cs="Arial"/>
          <w:color w:val="000000"/>
          <w:sz w:val="20"/>
          <w:szCs w:val="20"/>
          <w:vertAlign w:val="baseline"/>
        </w:rPr>
        <w:t xml:space="preserve"> </w:t>
      </w:r>
      <w:r w:rsidR="008A0596">
        <w:rPr>
          <w:rFonts w:ascii="Arial" w:eastAsia="Arial" w:hAnsi="Arial" w:cs="Arial"/>
          <w:color w:val="000000"/>
          <w:sz w:val="20"/>
          <w:szCs w:val="20"/>
          <w:vertAlign w:val="baseline"/>
        </w:rPr>
        <w:t>del hipercolesterolemia</w:t>
      </w:r>
      <w:r>
        <w:rPr>
          <w:rFonts w:ascii="Arial" w:eastAsia="Arial" w:hAnsi="Arial" w:cs="Arial"/>
          <w:color w:val="000000"/>
          <w:sz w:val="20"/>
          <w:szCs w:val="20"/>
          <w:vertAlign w:val="baseline"/>
        </w:rPr>
        <w:t xml:space="preserve"> se deben basar en una evaluación conjunta de los niveles de C-LDL y en la valoración global del riesgo cardiovascular de cada individuo. Hay un debate abierto sobre cuál debería ser el objetivo de reducción de C-LDL, </w:t>
      </w:r>
      <w:r>
        <w:rPr>
          <w:rFonts w:ascii="Arial" w:eastAsia="Arial" w:hAnsi="Arial" w:cs="Arial"/>
          <w:sz w:val="20"/>
          <w:szCs w:val="20"/>
          <w:vertAlign w:val="baseline"/>
        </w:rPr>
        <w:t>si basarlo en</w:t>
      </w:r>
      <w:r>
        <w:rPr>
          <w:rFonts w:ascii="Arial" w:eastAsia="Arial" w:hAnsi="Arial" w:cs="Arial"/>
          <w:color w:val="000000"/>
          <w:sz w:val="20"/>
          <w:szCs w:val="20"/>
          <w:vertAlign w:val="baseline"/>
        </w:rPr>
        <w:t xml:space="preserve"> unos valores concretos a alcanzar o recomendando porcentajes de reducción respecto al basal en función del riesgo cardiovascular. En cualquier caso, el objetivo último del tratamiento es la reducción de los acontecimientos cardiovasculares, más allá del control de los parámetros lipídicos, siendo los acontecimientos cardiovasculares mayores [MACE: muerte cardiovascular (CV), infarto de miocardio (IM) e ictus] la variable compuesta más adecuada para evaluar la eficacia de tratamientos hipolipemiantes en ensayos clínicos (9).</w:t>
      </w:r>
      <w:r>
        <w:rPr>
          <w:rFonts w:ascii="Arial" w:eastAsia="Arial" w:hAnsi="Arial" w:cs="Arial"/>
          <w:i/>
          <w:color w:val="000000"/>
          <w:sz w:val="20"/>
          <w:szCs w:val="20"/>
          <w:shd w:val="clear" w:color="auto" w:fill="FFCC99"/>
          <w:vertAlign w:val="baseline"/>
        </w:rPr>
        <w:t xml:space="preserve"> </w:t>
      </w:r>
    </w:p>
    <w:p w14:paraId="37AA25B7" w14:textId="21F51614"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La reducción de los niveles de C-LDL con estatinas en pacientes con factores de riesgo cardiovascular disminuye el riesgo de presentar acontecimientos cardiovasculares y la mortalidad, por lo que, junto con la intervención en el estilo de vida, las estatinas constituyen el tratamiento farmacológico de elección de </w:t>
      </w:r>
      <w:r w:rsidR="008A0596">
        <w:rPr>
          <w:rFonts w:ascii="Arial" w:eastAsia="Arial" w:hAnsi="Arial" w:cs="Arial"/>
          <w:color w:val="000000"/>
          <w:sz w:val="20"/>
          <w:szCs w:val="20"/>
          <w:vertAlign w:val="baseline"/>
        </w:rPr>
        <w:t>los hipercolesterolemias</w:t>
      </w:r>
      <w:r>
        <w:rPr>
          <w:rFonts w:ascii="Arial" w:eastAsia="Arial" w:hAnsi="Arial" w:cs="Arial"/>
          <w:color w:val="000000"/>
          <w:sz w:val="20"/>
          <w:szCs w:val="20"/>
          <w:vertAlign w:val="baseline"/>
        </w:rPr>
        <w:t xml:space="preserve"> (10)</w:t>
      </w:r>
      <w:r>
        <w:rPr>
          <w:rFonts w:ascii="Arial" w:eastAsia="Arial" w:hAnsi="Arial" w:cs="Arial"/>
          <w:i/>
          <w:sz w:val="20"/>
          <w:szCs w:val="20"/>
          <w:vertAlign w:val="baseline"/>
        </w:rPr>
        <w:t>.</w:t>
      </w:r>
    </w:p>
    <w:p w14:paraId="1575A377"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20"/>
          <w:szCs w:val="20"/>
          <w:vertAlign w:val="baseline"/>
        </w:rPr>
        <w:t xml:space="preserve">El tratamiento actual está focalizado en reducir la morbi-mortalidad tanto en pacientes con hipercolesterolemia familiar como en las dislipidemias mixtas ya sea en pacientes con enfermedad cardiovascular ateroesclerótica establecida como en prevención primaria. </w:t>
      </w:r>
    </w:p>
    <w:p w14:paraId="5D0CD8BB"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20"/>
          <w:szCs w:val="20"/>
          <w:vertAlign w:val="baseline"/>
        </w:rPr>
        <w:t xml:space="preserve">Hasta la introducción de los nuevos anticuerpos monoclonales inhibidores de la PCSK9 (alirocumab y evolocumab), el tratamiento estándar está basado en una </w:t>
      </w:r>
      <w:r>
        <w:rPr>
          <w:rFonts w:ascii="Arial" w:eastAsia="Arial" w:hAnsi="Arial" w:cs="Arial"/>
          <w:color w:val="000000"/>
          <w:sz w:val="20"/>
          <w:szCs w:val="20"/>
          <w:u w:val="single"/>
          <w:vertAlign w:val="baseline"/>
        </w:rPr>
        <w:t>terapia con estatinas optimizado</w:t>
      </w:r>
      <w:r>
        <w:rPr>
          <w:rFonts w:ascii="Arial" w:eastAsia="Arial" w:hAnsi="Arial" w:cs="Arial"/>
          <w:color w:val="000000"/>
          <w:sz w:val="20"/>
          <w:szCs w:val="20"/>
          <w:vertAlign w:val="baseline"/>
        </w:rPr>
        <w:t xml:space="preserve"> para un porcentaje de reducción de </w:t>
      </w:r>
      <w:r>
        <w:rPr>
          <w:rFonts w:ascii="Arial" w:eastAsia="Arial" w:hAnsi="Arial" w:cs="Arial"/>
          <w:sz w:val="20"/>
          <w:szCs w:val="20"/>
          <w:vertAlign w:val="baseline"/>
        </w:rPr>
        <w:t>C</w:t>
      </w:r>
      <w:r>
        <w:rPr>
          <w:rFonts w:ascii="Arial" w:eastAsia="Arial" w:hAnsi="Arial" w:cs="Arial"/>
          <w:color w:val="000000"/>
          <w:sz w:val="20"/>
          <w:szCs w:val="20"/>
          <w:vertAlign w:val="baseline"/>
        </w:rPr>
        <w:t xml:space="preserve">-LDL objetivo respecto al nivel basal asumiendo un 80% de adherencia al tratamiento. Además de esta reducción, las principales guías también recomiendan una </w:t>
      </w:r>
      <w:r>
        <w:rPr>
          <w:rFonts w:ascii="Arial" w:eastAsia="Arial" w:hAnsi="Arial" w:cs="Arial"/>
          <w:color w:val="000000"/>
          <w:sz w:val="20"/>
          <w:szCs w:val="20"/>
          <w:u w:val="single"/>
          <w:vertAlign w:val="baseline"/>
        </w:rPr>
        <w:t>C-LDL objetivo</w:t>
      </w:r>
      <w:r>
        <w:rPr>
          <w:rFonts w:ascii="Arial" w:eastAsia="Arial" w:hAnsi="Arial" w:cs="Arial"/>
          <w:color w:val="000000"/>
          <w:sz w:val="20"/>
          <w:szCs w:val="20"/>
          <w:vertAlign w:val="baseline"/>
        </w:rPr>
        <w:t xml:space="preserve"> para los pacientes </w:t>
      </w:r>
      <w:r>
        <w:rPr>
          <w:rFonts w:ascii="Arial" w:eastAsia="Arial" w:hAnsi="Arial" w:cs="Arial"/>
          <w:color w:val="000000"/>
          <w:sz w:val="20"/>
          <w:szCs w:val="20"/>
          <w:u w:val="single"/>
          <w:vertAlign w:val="baseline"/>
        </w:rPr>
        <w:t>en función del riesgo cardiovascular</w:t>
      </w:r>
      <w:r>
        <w:rPr>
          <w:rFonts w:ascii="Arial" w:eastAsia="Arial" w:hAnsi="Arial" w:cs="Arial"/>
          <w:color w:val="000000"/>
          <w:sz w:val="20"/>
          <w:szCs w:val="20"/>
          <w:vertAlign w:val="baseline"/>
        </w:rPr>
        <w:t>.</w:t>
      </w:r>
    </w:p>
    <w:p w14:paraId="50E3693B"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20"/>
          <w:szCs w:val="20"/>
          <w:vertAlign w:val="baseline"/>
        </w:rPr>
        <w:t>Con los resultados de los ensayos clínicos de evolocumab y alirocumab (FOURIER y ODYSSEY respectivamente) (11)</w:t>
      </w:r>
      <w:r>
        <w:rPr>
          <w:rFonts w:ascii="Arial" w:eastAsia="Arial" w:hAnsi="Arial" w:cs="Arial"/>
          <w:i/>
          <w:color w:val="000000"/>
          <w:sz w:val="20"/>
          <w:szCs w:val="20"/>
          <w:vertAlign w:val="baseline"/>
        </w:rPr>
        <w:t xml:space="preserve"> </w:t>
      </w:r>
      <w:r>
        <w:rPr>
          <w:rFonts w:ascii="Arial" w:eastAsia="Arial" w:hAnsi="Arial" w:cs="Arial"/>
          <w:color w:val="000000"/>
          <w:sz w:val="20"/>
          <w:szCs w:val="20"/>
          <w:vertAlign w:val="baseline"/>
        </w:rPr>
        <w:t xml:space="preserve">que demostraron eficacia en la reducción absoluta de riesgo de eventos cardiovasculares en pacientes con enfermedad aterosclerótica establecida, las diferentes guías de práctica clínica han ido actualizando sus recomendaciones, incorporando estos fármacos en el </w:t>
      </w:r>
      <w:r>
        <w:rPr>
          <w:rFonts w:ascii="Arial" w:eastAsia="Arial" w:hAnsi="Arial" w:cs="Arial"/>
          <w:color w:val="000000"/>
          <w:sz w:val="20"/>
          <w:szCs w:val="20"/>
          <w:vertAlign w:val="baseline"/>
        </w:rPr>
        <w:lastRenderedPageBreak/>
        <w:t>arsenal terapéutico. Las principales recomendaciones de las guías de práctica clínica son resumidas a continuación.</w:t>
      </w:r>
    </w:p>
    <w:p w14:paraId="3F48DA78" w14:textId="77777777" w:rsidR="00634CDF" w:rsidRDefault="00F0051D">
      <w:pPr>
        <w:pBdr>
          <w:top w:val="nil"/>
          <w:left w:val="nil"/>
          <w:bottom w:val="nil"/>
          <w:right w:val="nil"/>
          <w:between w:val="nil"/>
        </w:pBdr>
        <w:spacing w:before="240" w:after="240" w:line="240" w:lineRule="auto"/>
        <w:ind w:left="0" w:hanging="2"/>
        <w:rPr>
          <w:color w:val="000000"/>
          <w:vertAlign w:val="baseline"/>
        </w:rPr>
      </w:pPr>
      <w:r>
        <w:rPr>
          <w:rFonts w:ascii="Arial" w:eastAsia="Arial" w:hAnsi="Arial" w:cs="Arial"/>
          <w:b/>
          <w:color w:val="000000"/>
          <w:sz w:val="20"/>
          <w:szCs w:val="20"/>
          <w:vertAlign w:val="baseline"/>
        </w:rPr>
        <w:t>Guía para el tratamiento de las dislipidemias de la Sociedad Europea de Cardiología (ESC) y la Sociedad Europea de Aterosclerosis (EAS)</w:t>
      </w:r>
      <w:r>
        <w:rPr>
          <w:rFonts w:ascii="Arial" w:eastAsia="Arial" w:hAnsi="Arial" w:cs="Arial"/>
          <w:b/>
          <w:sz w:val="20"/>
          <w:szCs w:val="20"/>
          <w:vertAlign w:val="baseline"/>
        </w:rPr>
        <w:t xml:space="preserve"> </w:t>
      </w:r>
      <w:r>
        <w:rPr>
          <w:rFonts w:ascii="Arial" w:eastAsia="Arial" w:hAnsi="Arial" w:cs="Arial"/>
          <w:sz w:val="20"/>
          <w:szCs w:val="20"/>
          <w:vertAlign w:val="baseline"/>
        </w:rPr>
        <w:t>(12)</w:t>
      </w:r>
    </w:p>
    <w:p w14:paraId="68F205DB" w14:textId="2F0F0621" w:rsidR="00634CDF" w:rsidRDefault="00C23897">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La ESC </w:t>
      </w:r>
      <w:r w:rsidR="00F0051D">
        <w:rPr>
          <w:rFonts w:ascii="Arial" w:eastAsia="Arial" w:hAnsi="Arial" w:cs="Arial"/>
          <w:color w:val="000000"/>
          <w:sz w:val="20"/>
          <w:szCs w:val="20"/>
          <w:vertAlign w:val="baseline"/>
        </w:rPr>
        <w:t xml:space="preserve">y EAS recomiendan tratamiento con estatinas y ezetimiba en pacientes con hipercolesterolemia familiar homocigótica o heterocigótica, </w:t>
      </w:r>
      <w:r w:rsidR="008A0596">
        <w:rPr>
          <w:rFonts w:ascii="Arial" w:eastAsia="Arial" w:hAnsi="Arial" w:cs="Arial"/>
          <w:color w:val="000000"/>
          <w:sz w:val="20"/>
          <w:szCs w:val="20"/>
          <w:vertAlign w:val="baseline"/>
        </w:rPr>
        <w:t>hipercolesterolemia primaria</w:t>
      </w:r>
      <w:r w:rsidR="00F0051D">
        <w:rPr>
          <w:rFonts w:ascii="Arial" w:eastAsia="Arial" w:hAnsi="Arial" w:cs="Arial"/>
          <w:color w:val="000000"/>
          <w:sz w:val="20"/>
          <w:szCs w:val="20"/>
          <w:vertAlign w:val="baseline"/>
        </w:rPr>
        <w:t xml:space="preserve"> no familiar y en prevención secundaria en pacientes con enfermedad aterosclerótica establecida. </w:t>
      </w:r>
    </w:p>
    <w:p w14:paraId="27D7A1B7"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shd w:val="clear" w:color="auto" w:fill="FF9900"/>
          <w:vertAlign w:val="baseline"/>
        </w:rPr>
      </w:pPr>
    </w:p>
    <w:p w14:paraId="1663A65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Para pacientes que no alcancen el objetivo C-LDL con esta terapia (terapia intensiva con estatinas a dosis máximas + ezetimiba) o intolerantes a estatinas se recomienda introducir un iPCSK9,</w:t>
      </w:r>
      <w:r>
        <w:rPr>
          <w:rFonts w:ascii="Arial" w:eastAsia="Arial" w:hAnsi="Arial" w:cs="Arial"/>
          <w:color w:val="FFFFFF"/>
          <w:sz w:val="20"/>
          <w:szCs w:val="20"/>
          <w:vertAlign w:val="baseline"/>
        </w:rPr>
        <w:t xml:space="preserve">9. </w:t>
      </w:r>
      <w:r>
        <w:rPr>
          <w:rFonts w:ascii="Arial" w:eastAsia="Arial" w:hAnsi="Arial" w:cs="Arial"/>
          <w:color w:val="000000"/>
          <w:sz w:val="20"/>
          <w:szCs w:val="20"/>
          <w:vertAlign w:val="baseline"/>
        </w:rPr>
        <w:t>alirocumab o evolocumab, que han demostrado reducir el riesgo de eventos cardiovasculares mayores en estudios de morbimortalidad cardiovascular en pacientes con enfermedad cardiovascular establecida, no habiendo datos en prevención primaria (11).</w:t>
      </w:r>
    </w:p>
    <w:p w14:paraId="07F08484"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shd w:val="clear" w:color="auto" w:fill="FF9900"/>
          <w:vertAlign w:val="baseline"/>
        </w:rPr>
      </w:pPr>
    </w:p>
    <w:p w14:paraId="31185E92" w14:textId="77777777" w:rsidR="00634CDF" w:rsidRDefault="00634CD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sz w:val="20"/>
          <w:szCs w:val="20"/>
          <w:shd w:val="clear" w:color="auto" w:fill="FF9900"/>
          <w:vertAlign w:val="baseline"/>
        </w:rPr>
      </w:pPr>
    </w:p>
    <w:tbl>
      <w:tblPr>
        <w:tblStyle w:val="a8"/>
        <w:tblW w:w="0" w:type="auto"/>
        <w:tblInd w:w="25" w:type="dxa"/>
        <w:tblLayout w:type="fixed"/>
        <w:tblLook w:val="0000" w:firstRow="0" w:lastRow="0" w:firstColumn="0" w:lastColumn="0" w:noHBand="0" w:noVBand="0"/>
      </w:tblPr>
      <w:tblGrid>
        <w:gridCol w:w="2913"/>
        <w:gridCol w:w="2913"/>
        <w:gridCol w:w="2913"/>
      </w:tblGrid>
      <w:tr w:rsidR="00634CDF" w14:paraId="49772ED7" w14:textId="77777777">
        <w:tc>
          <w:tcPr>
            <w:tcW w:w="8739" w:type="dxa"/>
            <w:gridSpan w:val="3"/>
            <w:tcBorders>
              <w:top w:val="single" w:sz="4" w:space="0" w:color="000000"/>
              <w:left w:val="single" w:sz="4" w:space="0" w:color="000000"/>
              <w:bottom w:val="single" w:sz="4" w:space="0" w:color="000000"/>
              <w:right w:val="single" w:sz="4" w:space="0" w:color="000000"/>
            </w:tcBorders>
            <w:shd w:val="clear" w:color="auto" w:fill="CCFFCC"/>
          </w:tcPr>
          <w:p w14:paraId="0EF0DDBC"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8"/>
                <w:szCs w:val="18"/>
                <w:vertAlign w:val="baseline"/>
              </w:rPr>
              <w:t xml:space="preserve">Tabla 3. Recomendaciones de la ESC/EAS </w:t>
            </w:r>
            <w:r>
              <w:rPr>
                <w:rFonts w:ascii="Arial" w:eastAsia="Arial" w:hAnsi="Arial" w:cs="Arial"/>
                <w:color w:val="000000"/>
                <w:sz w:val="18"/>
                <w:szCs w:val="18"/>
                <w:vertAlign w:val="baseline"/>
              </w:rPr>
              <w:t xml:space="preserve"> </w:t>
            </w:r>
            <w:r>
              <w:rPr>
                <w:rFonts w:ascii="Arial" w:eastAsia="Arial" w:hAnsi="Arial" w:cs="Arial"/>
                <w:b/>
                <w:color w:val="000000"/>
                <w:sz w:val="18"/>
                <w:szCs w:val="18"/>
                <w:vertAlign w:val="baseline"/>
              </w:rPr>
              <w:t>para tratamiento farmacológico</w:t>
            </w:r>
          </w:p>
        </w:tc>
      </w:tr>
      <w:tr w:rsidR="00634CDF" w14:paraId="30AE26FA" w14:textId="77777777">
        <w:tc>
          <w:tcPr>
            <w:tcW w:w="2913" w:type="dxa"/>
            <w:tcBorders>
              <w:top w:val="single" w:sz="4" w:space="0" w:color="000000"/>
              <w:left w:val="single" w:sz="4" w:space="0" w:color="000000"/>
              <w:bottom w:val="single" w:sz="4" w:space="0" w:color="000000"/>
            </w:tcBorders>
          </w:tcPr>
          <w:p w14:paraId="7C4CDB1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Recomendación</w:t>
            </w:r>
          </w:p>
        </w:tc>
        <w:tc>
          <w:tcPr>
            <w:tcW w:w="2913" w:type="dxa"/>
            <w:tcBorders>
              <w:top w:val="single" w:sz="4" w:space="0" w:color="000000"/>
              <w:left w:val="single" w:sz="4" w:space="0" w:color="000000"/>
              <w:bottom w:val="single" w:sz="4" w:space="0" w:color="000000"/>
            </w:tcBorders>
          </w:tcPr>
          <w:p w14:paraId="2B7F3F7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Clase</w:t>
            </w:r>
          </w:p>
        </w:tc>
        <w:tc>
          <w:tcPr>
            <w:tcW w:w="2913" w:type="dxa"/>
            <w:tcBorders>
              <w:top w:val="single" w:sz="4" w:space="0" w:color="000000"/>
              <w:left w:val="single" w:sz="4" w:space="0" w:color="000000"/>
              <w:bottom w:val="single" w:sz="4" w:space="0" w:color="000000"/>
              <w:right w:val="single" w:sz="4" w:space="0" w:color="000000"/>
            </w:tcBorders>
          </w:tcPr>
          <w:p w14:paraId="4BB3180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Grado de recomendación</w:t>
            </w:r>
          </w:p>
        </w:tc>
      </w:tr>
      <w:tr w:rsidR="00634CDF" w14:paraId="1969B463" w14:textId="77777777">
        <w:tc>
          <w:tcPr>
            <w:tcW w:w="2913" w:type="dxa"/>
            <w:tcBorders>
              <w:top w:val="single" w:sz="4" w:space="0" w:color="000000"/>
              <w:left w:val="single" w:sz="4" w:space="0" w:color="000000"/>
              <w:bottom w:val="single" w:sz="4" w:space="0" w:color="000000"/>
            </w:tcBorders>
          </w:tcPr>
          <w:p w14:paraId="241A1B8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Estatina de alta intensidad a la máxima dosis tolerada</w:t>
            </w:r>
          </w:p>
        </w:tc>
        <w:tc>
          <w:tcPr>
            <w:tcW w:w="2913" w:type="dxa"/>
            <w:tcBorders>
              <w:top w:val="single" w:sz="4" w:space="0" w:color="000000"/>
              <w:left w:val="single" w:sz="4" w:space="0" w:color="000000"/>
              <w:bottom w:val="single" w:sz="4" w:space="0" w:color="000000"/>
            </w:tcBorders>
          </w:tcPr>
          <w:p w14:paraId="189E508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I</w:t>
            </w:r>
          </w:p>
        </w:tc>
        <w:tc>
          <w:tcPr>
            <w:tcW w:w="2913" w:type="dxa"/>
            <w:tcBorders>
              <w:top w:val="single" w:sz="4" w:space="0" w:color="000000"/>
              <w:left w:val="single" w:sz="4" w:space="0" w:color="000000"/>
              <w:bottom w:val="single" w:sz="4" w:space="0" w:color="000000"/>
              <w:right w:val="single" w:sz="4" w:space="0" w:color="000000"/>
            </w:tcBorders>
          </w:tcPr>
          <w:p w14:paraId="0C83052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A</w:t>
            </w:r>
          </w:p>
        </w:tc>
      </w:tr>
      <w:tr w:rsidR="00634CDF" w14:paraId="7478797F" w14:textId="77777777">
        <w:trPr>
          <w:trHeight w:val="260"/>
        </w:trPr>
        <w:tc>
          <w:tcPr>
            <w:tcW w:w="2913" w:type="dxa"/>
            <w:tcBorders>
              <w:top w:val="single" w:sz="4" w:space="0" w:color="000000"/>
              <w:left w:val="single" w:sz="4" w:space="0" w:color="000000"/>
              <w:bottom w:val="single" w:sz="4" w:space="0" w:color="000000"/>
            </w:tcBorders>
          </w:tcPr>
          <w:p w14:paraId="073A002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Si no se consiguen los objetivos deseados con máxima dosis de estatina tolerada, asociar ezetimiba</w:t>
            </w:r>
          </w:p>
        </w:tc>
        <w:tc>
          <w:tcPr>
            <w:tcW w:w="2913" w:type="dxa"/>
            <w:tcBorders>
              <w:top w:val="single" w:sz="4" w:space="0" w:color="000000"/>
              <w:left w:val="single" w:sz="4" w:space="0" w:color="000000"/>
              <w:bottom w:val="single" w:sz="4" w:space="0" w:color="000000"/>
            </w:tcBorders>
          </w:tcPr>
          <w:p w14:paraId="5725796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I</w:t>
            </w:r>
          </w:p>
        </w:tc>
        <w:tc>
          <w:tcPr>
            <w:tcW w:w="2913" w:type="dxa"/>
            <w:tcBorders>
              <w:top w:val="single" w:sz="4" w:space="0" w:color="000000"/>
              <w:left w:val="single" w:sz="4" w:space="0" w:color="000000"/>
              <w:bottom w:val="single" w:sz="4" w:space="0" w:color="000000"/>
              <w:right w:val="single" w:sz="4" w:space="0" w:color="000000"/>
            </w:tcBorders>
          </w:tcPr>
          <w:p w14:paraId="53AED04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B</w:t>
            </w:r>
          </w:p>
        </w:tc>
      </w:tr>
      <w:tr w:rsidR="00634CDF" w14:paraId="5F0BCF57" w14:textId="77777777">
        <w:tc>
          <w:tcPr>
            <w:tcW w:w="2913" w:type="dxa"/>
            <w:tcBorders>
              <w:top w:val="single" w:sz="4" w:space="0" w:color="000000"/>
              <w:left w:val="single" w:sz="4" w:space="0" w:color="000000"/>
              <w:bottom w:val="single" w:sz="4" w:space="0" w:color="000000"/>
            </w:tcBorders>
          </w:tcPr>
          <w:p w14:paraId="4CD9F13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Prevención primaria pacientes de muy alto riesgo, sin HF, si no se consigue el objetivo con máxima dosis tolerada de estatina y ezetimiba, puede considerarse inhibidor PCSK9</w:t>
            </w:r>
          </w:p>
        </w:tc>
        <w:tc>
          <w:tcPr>
            <w:tcW w:w="2913" w:type="dxa"/>
            <w:tcBorders>
              <w:top w:val="single" w:sz="4" w:space="0" w:color="000000"/>
              <w:left w:val="single" w:sz="4" w:space="0" w:color="000000"/>
              <w:bottom w:val="single" w:sz="4" w:space="0" w:color="000000"/>
            </w:tcBorders>
          </w:tcPr>
          <w:p w14:paraId="6007194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IIb</w:t>
            </w:r>
          </w:p>
        </w:tc>
        <w:tc>
          <w:tcPr>
            <w:tcW w:w="2913" w:type="dxa"/>
            <w:tcBorders>
              <w:top w:val="single" w:sz="4" w:space="0" w:color="000000"/>
              <w:left w:val="single" w:sz="4" w:space="0" w:color="000000"/>
              <w:bottom w:val="single" w:sz="4" w:space="0" w:color="000000"/>
              <w:right w:val="single" w:sz="4" w:space="0" w:color="000000"/>
            </w:tcBorders>
          </w:tcPr>
          <w:p w14:paraId="0B628EC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C</w:t>
            </w:r>
          </w:p>
        </w:tc>
      </w:tr>
      <w:tr w:rsidR="00634CDF" w14:paraId="02A92129" w14:textId="77777777">
        <w:tc>
          <w:tcPr>
            <w:tcW w:w="2913" w:type="dxa"/>
            <w:tcBorders>
              <w:top w:val="single" w:sz="4" w:space="0" w:color="000000"/>
              <w:left w:val="single" w:sz="4" w:space="0" w:color="000000"/>
              <w:bottom w:val="single" w:sz="4" w:space="0" w:color="000000"/>
            </w:tcBorders>
          </w:tcPr>
          <w:p w14:paraId="631E2A2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Prevención secundaria pacientes de muy alto riesgo, si no se consigue el objetivo con máxima dosis tolerada de estatina y ezetimiba, se recomienda un inhibidor PCSK9</w:t>
            </w:r>
          </w:p>
        </w:tc>
        <w:tc>
          <w:tcPr>
            <w:tcW w:w="2913" w:type="dxa"/>
            <w:tcBorders>
              <w:top w:val="single" w:sz="4" w:space="0" w:color="000000"/>
              <w:left w:val="single" w:sz="4" w:space="0" w:color="000000"/>
              <w:bottom w:val="single" w:sz="4" w:space="0" w:color="000000"/>
            </w:tcBorders>
          </w:tcPr>
          <w:p w14:paraId="1743E31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I</w:t>
            </w:r>
          </w:p>
        </w:tc>
        <w:tc>
          <w:tcPr>
            <w:tcW w:w="2913" w:type="dxa"/>
            <w:tcBorders>
              <w:top w:val="single" w:sz="4" w:space="0" w:color="000000"/>
              <w:left w:val="single" w:sz="4" w:space="0" w:color="000000"/>
              <w:bottom w:val="single" w:sz="4" w:space="0" w:color="000000"/>
              <w:right w:val="single" w:sz="4" w:space="0" w:color="000000"/>
            </w:tcBorders>
          </w:tcPr>
          <w:p w14:paraId="226B1FA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A</w:t>
            </w:r>
          </w:p>
        </w:tc>
      </w:tr>
      <w:tr w:rsidR="00634CDF" w14:paraId="5FE251D4" w14:textId="77777777">
        <w:tc>
          <w:tcPr>
            <w:tcW w:w="2913" w:type="dxa"/>
            <w:tcBorders>
              <w:top w:val="single" w:sz="4" w:space="0" w:color="000000"/>
              <w:left w:val="single" w:sz="4" w:space="0" w:color="000000"/>
              <w:bottom w:val="single" w:sz="4" w:space="0" w:color="000000"/>
            </w:tcBorders>
          </w:tcPr>
          <w:p w14:paraId="2D69C1D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Para pacientes de muy alto riesgo y HF que no consiguen su objetivo con dosis máxima de estatina  y ezetimiba, se recomienda un inhibidor PCSK9</w:t>
            </w:r>
          </w:p>
        </w:tc>
        <w:tc>
          <w:tcPr>
            <w:tcW w:w="2913" w:type="dxa"/>
            <w:tcBorders>
              <w:top w:val="single" w:sz="4" w:space="0" w:color="000000"/>
              <w:left w:val="single" w:sz="4" w:space="0" w:color="000000"/>
              <w:bottom w:val="single" w:sz="4" w:space="0" w:color="000000"/>
            </w:tcBorders>
          </w:tcPr>
          <w:p w14:paraId="4D3D30F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I</w:t>
            </w:r>
          </w:p>
        </w:tc>
        <w:tc>
          <w:tcPr>
            <w:tcW w:w="2913" w:type="dxa"/>
            <w:tcBorders>
              <w:top w:val="single" w:sz="4" w:space="0" w:color="000000"/>
              <w:left w:val="single" w:sz="4" w:space="0" w:color="000000"/>
              <w:bottom w:val="single" w:sz="4" w:space="0" w:color="000000"/>
              <w:right w:val="single" w:sz="4" w:space="0" w:color="000000"/>
            </w:tcBorders>
          </w:tcPr>
          <w:p w14:paraId="3F8B590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C</w:t>
            </w:r>
          </w:p>
        </w:tc>
      </w:tr>
      <w:tr w:rsidR="00634CDF" w14:paraId="6E9DEE9E" w14:textId="77777777">
        <w:trPr>
          <w:trHeight w:val="231"/>
        </w:trPr>
        <w:tc>
          <w:tcPr>
            <w:tcW w:w="2913" w:type="dxa"/>
            <w:tcBorders>
              <w:top w:val="single" w:sz="4" w:space="0" w:color="000000"/>
              <w:left w:val="single" w:sz="4" w:space="0" w:color="000000"/>
              <w:bottom w:val="single" w:sz="4" w:space="0" w:color="000000"/>
            </w:tcBorders>
          </w:tcPr>
          <w:p w14:paraId="086A236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Si no se tolera un régimen basado en estatinas a cualquier dosis (incluso tras la reintroducción) debe considerarse ezetimiba</w:t>
            </w:r>
          </w:p>
        </w:tc>
        <w:tc>
          <w:tcPr>
            <w:tcW w:w="2913" w:type="dxa"/>
            <w:tcBorders>
              <w:top w:val="single" w:sz="4" w:space="0" w:color="000000"/>
              <w:left w:val="single" w:sz="4" w:space="0" w:color="000000"/>
              <w:bottom w:val="single" w:sz="4" w:space="0" w:color="000000"/>
            </w:tcBorders>
          </w:tcPr>
          <w:p w14:paraId="6ADC399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IIa</w:t>
            </w:r>
          </w:p>
        </w:tc>
        <w:tc>
          <w:tcPr>
            <w:tcW w:w="2913" w:type="dxa"/>
            <w:tcBorders>
              <w:top w:val="single" w:sz="4" w:space="0" w:color="000000"/>
              <w:left w:val="single" w:sz="4" w:space="0" w:color="000000"/>
              <w:bottom w:val="single" w:sz="4" w:space="0" w:color="000000"/>
              <w:right w:val="single" w:sz="4" w:space="0" w:color="000000"/>
            </w:tcBorders>
          </w:tcPr>
          <w:p w14:paraId="1D9B6C7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C</w:t>
            </w:r>
          </w:p>
        </w:tc>
      </w:tr>
      <w:tr w:rsidR="00634CDF" w14:paraId="39338087" w14:textId="77777777">
        <w:tc>
          <w:tcPr>
            <w:tcW w:w="2913" w:type="dxa"/>
            <w:tcBorders>
              <w:top w:val="single" w:sz="4" w:space="0" w:color="000000"/>
              <w:left w:val="single" w:sz="4" w:space="0" w:color="000000"/>
              <w:bottom w:val="single" w:sz="4" w:space="0" w:color="000000"/>
            </w:tcBorders>
          </w:tcPr>
          <w:p w14:paraId="3BD8233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Si no se tolera un régimen basado en estatinas a cualquier dosis (incluso tras la reintroducción) puede también considerarse un inhibidor PCSK9 junto con ezetimiba</w:t>
            </w:r>
          </w:p>
        </w:tc>
        <w:tc>
          <w:tcPr>
            <w:tcW w:w="2913" w:type="dxa"/>
            <w:tcBorders>
              <w:top w:val="single" w:sz="4" w:space="0" w:color="000000"/>
              <w:left w:val="single" w:sz="4" w:space="0" w:color="000000"/>
              <w:bottom w:val="single" w:sz="4" w:space="0" w:color="000000"/>
            </w:tcBorders>
          </w:tcPr>
          <w:p w14:paraId="6DCC3D6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IIb</w:t>
            </w:r>
          </w:p>
        </w:tc>
        <w:tc>
          <w:tcPr>
            <w:tcW w:w="2913" w:type="dxa"/>
            <w:tcBorders>
              <w:top w:val="single" w:sz="4" w:space="0" w:color="000000"/>
              <w:left w:val="single" w:sz="4" w:space="0" w:color="000000"/>
              <w:bottom w:val="single" w:sz="4" w:space="0" w:color="000000"/>
              <w:right w:val="single" w:sz="4" w:space="0" w:color="000000"/>
            </w:tcBorders>
          </w:tcPr>
          <w:p w14:paraId="4F5CE11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C</w:t>
            </w:r>
          </w:p>
        </w:tc>
      </w:tr>
      <w:tr w:rsidR="00634CDF" w14:paraId="78C46D78" w14:textId="77777777">
        <w:tc>
          <w:tcPr>
            <w:tcW w:w="2913" w:type="dxa"/>
            <w:tcBorders>
              <w:top w:val="single" w:sz="4" w:space="0" w:color="000000"/>
              <w:left w:val="single" w:sz="4" w:space="0" w:color="000000"/>
              <w:bottom w:val="single" w:sz="4" w:space="0" w:color="000000"/>
            </w:tcBorders>
          </w:tcPr>
          <w:p w14:paraId="07D680B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Si no se consigue el objetivo, puede considerarse una estatina junto con un quelante de ácido biliar</w:t>
            </w:r>
          </w:p>
        </w:tc>
        <w:tc>
          <w:tcPr>
            <w:tcW w:w="2913" w:type="dxa"/>
            <w:tcBorders>
              <w:top w:val="single" w:sz="4" w:space="0" w:color="000000"/>
              <w:left w:val="single" w:sz="4" w:space="0" w:color="000000"/>
              <w:bottom w:val="single" w:sz="4" w:space="0" w:color="000000"/>
            </w:tcBorders>
          </w:tcPr>
          <w:p w14:paraId="4B15369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IIb</w:t>
            </w:r>
          </w:p>
        </w:tc>
        <w:tc>
          <w:tcPr>
            <w:tcW w:w="2913" w:type="dxa"/>
            <w:tcBorders>
              <w:top w:val="single" w:sz="4" w:space="0" w:color="000000"/>
              <w:left w:val="single" w:sz="4" w:space="0" w:color="000000"/>
              <w:bottom w:val="single" w:sz="4" w:space="0" w:color="000000"/>
              <w:right w:val="single" w:sz="4" w:space="0" w:color="000000"/>
            </w:tcBorders>
          </w:tcPr>
          <w:p w14:paraId="07DB07BC"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C</w:t>
            </w:r>
          </w:p>
        </w:tc>
      </w:tr>
    </w:tbl>
    <w:p w14:paraId="22A87AF3"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3481748D" w14:textId="77777777" w:rsidR="00634CDF" w:rsidRDefault="00F0051D">
      <w:pPr>
        <w:spacing w:line="240" w:lineRule="auto"/>
        <w:ind w:left="0" w:hanging="2"/>
        <w:jc w:val="both"/>
        <w:rPr>
          <w:vertAlign w:val="baseline"/>
        </w:rPr>
      </w:pPr>
      <w:r>
        <w:rPr>
          <w:rFonts w:ascii="Arial" w:eastAsia="Arial" w:hAnsi="Arial" w:cs="Arial"/>
          <w:sz w:val="20"/>
          <w:szCs w:val="20"/>
          <w:vertAlign w:val="baseline"/>
        </w:rPr>
        <w:t>Actualmente no hay consenso sobre el término “intolerancia a estatinas” pero de forma general se puede definir como un síndrome clínico que reúne las siguientes características:</w:t>
      </w:r>
    </w:p>
    <w:p w14:paraId="65610882" w14:textId="77777777" w:rsidR="00634CDF" w:rsidRDefault="00F0051D">
      <w:pPr>
        <w:numPr>
          <w:ilvl w:val="0"/>
          <w:numId w:val="15"/>
        </w:numPr>
        <w:spacing w:line="240" w:lineRule="auto"/>
        <w:ind w:left="0" w:hanging="2"/>
        <w:jc w:val="both"/>
        <w:rPr>
          <w:color w:val="000000"/>
        </w:rPr>
      </w:pPr>
      <w:r>
        <w:rPr>
          <w:rFonts w:ascii="Arial" w:eastAsia="Arial" w:hAnsi="Arial" w:cs="Arial"/>
          <w:sz w:val="20"/>
          <w:szCs w:val="20"/>
          <w:vertAlign w:val="baseline"/>
        </w:rPr>
        <w:lastRenderedPageBreak/>
        <w:t>Incapacidad para tolerar al menos 2 estatinas diferentes, una de ellas a la dosis más baja recomendada de inicio y la otra a cualquier dosis.</w:t>
      </w:r>
    </w:p>
    <w:p w14:paraId="56904169" w14:textId="77777777" w:rsidR="00634CDF" w:rsidRDefault="00F0051D">
      <w:pPr>
        <w:numPr>
          <w:ilvl w:val="0"/>
          <w:numId w:val="15"/>
        </w:numPr>
        <w:spacing w:line="240" w:lineRule="auto"/>
        <w:ind w:left="0" w:hanging="2"/>
        <w:jc w:val="both"/>
        <w:rPr>
          <w:color w:val="000000"/>
        </w:rPr>
      </w:pPr>
      <w:r>
        <w:rPr>
          <w:rFonts w:ascii="Arial" w:eastAsia="Arial" w:hAnsi="Arial" w:cs="Arial"/>
          <w:sz w:val="20"/>
          <w:szCs w:val="20"/>
          <w:vertAlign w:val="baseline"/>
        </w:rPr>
        <w:t>Asociada con efectos adversos intolerables asociados a la estatina o anormalidades de laboratorio significativas.</w:t>
      </w:r>
    </w:p>
    <w:p w14:paraId="772A3F58" w14:textId="77777777" w:rsidR="00634CDF" w:rsidRDefault="00F0051D">
      <w:pPr>
        <w:numPr>
          <w:ilvl w:val="0"/>
          <w:numId w:val="15"/>
        </w:numPr>
        <w:spacing w:line="240" w:lineRule="auto"/>
        <w:ind w:left="0" w:hanging="2"/>
        <w:jc w:val="both"/>
        <w:rPr>
          <w:color w:val="000000"/>
        </w:rPr>
      </w:pPr>
      <w:r>
        <w:rPr>
          <w:rFonts w:ascii="Arial" w:eastAsia="Arial" w:hAnsi="Arial" w:cs="Arial"/>
          <w:sz w:val="20"/>
          <w:szCs w:val="20"/>
          <w:vertAlign w:val="baseline"/>
        </w:rPr>
        <w:t>Resolución de síntomas o de las anormalidades de laboratorio, o mejora significativa, tras la reducción de la dosis o discontinuación de la estatina.</w:t>
      </w:r>
    </w:p>
    <w:p w14:paraId="2ACD09E2" w14:textId="77777777" w:rsidR="00634CDF" w:rsidRDefault="00F0051D">
      <w:pPr>
        <w:numPr>
          <w:ilvl w:val="0"/>
          <w:numId w:val="15"/>
        </w:numPr>
        <w:spacing w:line="240" w:lineRule="auto"/>
        <w:ind w:left="0" w:hanging="2"/>
        <w:jc w:val="both"/>
        <w:rPr>
          <w:color w:val="000000"/>
        </w:rPr>
      </w:pPr>
      <w:r>
        <w:rPr>
          <w:rFonts w:ascii="Arial" w:eastAsia="Arial" w:hAnsi="Arial" w:cs="Arial"/>
          <w:sz w:val="20"/>
          <w:szCs w:val="20"/>
          <w:vertAlign w:val="baseline"/>
        </w:rPr>
        <w:t>Síntomas o anormalidades de laboratorio no atribuibles a otras causas, tales como interacciones farmacológicas u otras situaciones que aumenten el riesgo de intolerancia a estatinas.</w:t>
      </w:r>
    </w:p>
    <w:p w14:paraId="1700E0C5" w14:textId="77777777" w:rsidR="00634CDF" w:rsidRDefault="00F0051D">
      <w:pPr>
        <w:spacing w:line="240" w:lineRule="auto"/>
        <w:ind w:left="0" w:hanging="2"/>
        <w:jc w:val="both"/>
        <w:rPr>
          <w:vertAlign w:val="baseline"/>
        </w:rPr>
      </w:pPr>
      <w:r>
        <w:rPr>
          <w:rFonts w:ascii="Arial" w:eastAsia="Arial" w:hAnsi="Arial" w:cs="Arial"/>
          <w:sz w:val="20"/>
          <w:szCs w:val="20"/>
          <w:vertAlign w:val="baseline"/>
        </w:rPr>
        <w:t>Los niveles de c-LDL pueden evaluarse a las 6-8 semanas del inicio del tratamiento.</w:t>
      </w:r>
    </w:p>
    <w:p w14:paraId="17BBABDA"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15BC8C36"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7D5BA81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20"/>
          <w:szCs w:val="20"/>
          <w:vertAlign w:val="baseline"/>
        </w:rPr>
        <w:t>El</w:t>
      </w:r>
      <w:r>
        <w:rPr>
          <w:rFonts w:ascii="Arial" w:eastAsia="Arial" w:hAnsi="Arial" w:cs="Arial"/>
          <w:b/>
          <w:color w:val="000000"/>
          <w:sz w:val="20"/>
          <w:szCs w:val="20"/>
          <w:vertAlign w:val="baseline"/>
        </w:rPr>
        <w:t xml:space="preserve"> objetivo</w:t>
      </w:r>
      <w:r>
        <w:rPr>
          <w:rFonts w:ascii="Arial" w:eastAsia="Arial" w:hAnsi="Arial" w:cs="Arial"/>
          <w:color w:val="000000"/>
          <w:sz w:val="20"/>
          <w:szCs w:val="20"/>
          <w:vertAlign w:val="baseline"/>
        </w:rPr>
        <w:t xml:space="preserve"> de C-LDL varía para cada grupo de riesgo:</w:t>
      </w:r>
    </w:p>
    <w:p w14:paraId="404B73B6" w14:textId="77777777" w:rsidR="00634CDF" w:rsidRDefault="00634CD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vertAlign w:val="baseline"/>
        </w:rPr>
      </w:pPr>
    </w:p>
    <w:tbl>
      <w:tblPr>
        <w:tblStyle w:val="a9"/>
        <w:tblW w:w="0" w:type="auto"/>
        <w:tblInd w:w="25" w:type="dxa"/>
        <w:tblLayout w:type="fixed"/>
        <w:tblLook w:val="0000" w:firstRow="0" w:lastRow="0" w:firstColumn="0" w:lastColumn="0" w:noHBand="0" w:noVBand="0"/>
      </w:tblPr>
      <w:tblGrid>
        <w:gridCol w:w="2913"/>
        <w:gridCol w:w="2913"/>
        <w:gridCol w:w="2913"/>
      </w:tblGrid>
      <w:tr w:rsidR="00634CDF" w14:paraId="672D3193" w14:textId="77777777">
        <w:tc>
          <w:tcPr>
            <w:tcW w:w="8739" w:type="dxa"/>
            <w:gridSpan w:val="3"/>
            <w:tcBorders>
              <w:top w:val="single" w:sz="4" w:space="0" w:color="000000"/>
              <w:left w:val="single" w:sz="4" w:space="0" w:color="000000"/>
              <w:bottom w:val="single" w:sz="4" w:space="0" w:color="000000"/>
              <w:right w:val="single" w:sz="4" w:space="0" w:color="000000"/>
            </w:tcBorders>
            <w:shd w:val="clear" w:color="auto" w:fill="CCFFCC"/>
          </w:tcPr>
          <w:p w14:paraId="29A2D75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8"/>
                <w:szCs w:val="18"/>
                <w:vertAlign w:val="baseline"/>
              </w:rPr>
              <w:t xml:space="preserve">Tabla 4. Recomendaciones de la ESC/EAS </w:t>
            </w:r>
            <w:r>
              <w:rPr>
                <w:rFonts w:ascii="Arial" w:eastAsia="Arial" w:hAnsi="Arial" w:cs="Arial"/>
                <w:color w:val="000000"/>
                <w:sz w:val="18"/>
                <w:szCs w:val="18"/>
                <w:vertAlign w:val="baseline"/>
              </w:rPr>
              <w:t xml:space="preserve"> </w:t>
            </w:r>
            <w:r>
              <w:rPr>
                <w:rFonts w:ascii="Arial" w:eastAsia="Arial" w:hAnsi="Arial" w:cs="Arial"/>
                <w:b/>
                <w:color w:val="000000"/>
                <w:sz w:val="18"/>
                <w:szCs w:val="18"/>
                <w:vertAlign w:val="baseline"/>
              </w:rPr>
              <w:t>para hipercolesterolemia familiar heterocigótica</w:t>
            </w:r>
          </w:p>
        </w:tc>
      </w:tr>
      <w:tr w:rsidR="00634CDF" w14:paraId="67375548" w14:textId="77777777">
        <w:tc>
          <w:tcPr>
            <w:tcW w:w="2913" w:type="dxa"/>
            <w:tcBorders>
              <w:top w:val="single" w:sz="4" w:space="0" w:color="000000"/>
              <w:left w:val="single" w:sz="4" w:space="0" w:color="000000"/>
              <w:bottom w:val="single" w:sz="4" w:space="0" w:color="000000"/>
            </w:tcBorders>
          </w:tcPr>
          <w:p w14:paraId="4BD3BAF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Riesgo cardiovascular</w:t>
            </w:r>
          </w:p>
        </w:tc>
        <w:tc>
          <w:tcPr>
            <w:tcW w:w="2913" w:type="dxa"/>
            <w:tcBorders>
              <w:top w:val="single" w:sz="4" w:space="0" w:color="000000"/>
              <w:left w:val="single" w:sz="4" w:space="0" w:color="000000"/>
              <w:bottom w:val="single" w:sz="4" w:space="0" w:color="000000"/>
            </w:tcBorders>
          </w:tcPr>
          <w:p w14:paraId="14B8FC36"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C-LDL</w:t>
            </w:r>
          </w:p>
        </w:tc>
        <w:tc>
          <w:tcPr>
            <w:tcW w:w="2913" w:type="dxa"/>
            <w:tcBorders>
              <w:top w:val="single" w:sz="4" w:space="0" w:color="000000"/>
              <w:left w:val="single" w:sz="4" w:space="0" w:color="000000"/>
              <w:bottom w:val="single" w:sz="4" w:space="0" w:color="000000"/>
              <w:right w:val="single" w:sz="4" w:space="0" w:color="000000"/>
            </w:tcBorders>
          </w:tcPr>
          <w:p w14:paraId="17B072F8"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Grado de recomendación</w:t>
            </w:r>
          </w:p>
        </w:tc>
      </w:tr>
      <w:tr w:rsidR="00634CDF" w14:paraId="4A7B6F6B" w14:textId="77777777">
        <w:tc>
          <w:tcPr>
            <w:tcW w:w="2913" w:type="dxa"/>
            <w:tcBorders>
              <w:top w:val="single" w:sz="4" w:space="0" w:color="000000"/>
              <w:left w:val="single" w:sz="4" w:space="0" w:color="000000"/>
              <w:bottom w:val="single" w:sz="4" w:space="0" w:color="000000"/>
            </w:tcBorders>
          </w:tcPr>
          <w:p w14:paraId="50CF860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u w:val="single"/>
                <w:vertAlign w:val="baseline"/>
              </w:rPr>
              <w:t>Muy alto riesgo</w:t>
            </w:r>
            <w:r>
              <w:rPr>
                <w:rFonts w:ascii="Arial" w:eastAsia="Arial" w:hAnsi="Arial" w:cs="Arial"/>
                <w:color w:val="000000"/>
                <w:sz w:val="18"/>
                <w:szCs w:val="18"/>
                <w:vertAlign w:val="baseline"/>
              </w:rPr>
              <w:t>(&gt;10% riesgo de evento cardiovascular fatal en 10 años)*</w:t>
            </w:r>
          </w:p>
        </w:tc>
        <w:tc>
          <w:tcPr>
            <w:tcW w:w="2913" w:type="dxa"/>
            <w:tcBorders>
              <w:top w:val="single" w:sz="4" w:space="0" w:color="000000"/>
              <w:left w:val="single" w:sz="4" w:space="0" w:color="000000"/>
              <w:bottom w:val="single" w:sz="4" w:space="0" w:color="000000"/>
            </w:tcBorders>
          </w:tcPr>
          <w:p w14:paraId="5042B352" w14:textId="77777777" w:rsidR="00C23897" w:rsidRDefault="00C23897">
            <w:pPr>
              <w:pBdr>
                <w:top w:val="nil"/>
                <w:left w:val="nil"/>
                <w:bottom w:val="nil"/>
                <w:right w:val="nil"/>
                <w:between w:val="nil"/>
              </w:pBdr>
              <w:spacing w:line="240" w:lineRule="auto"/>
              <w:ind w:left="0" w:hanging="2"/>
              <w:jc w:val="both"/>
              <w:rPr>
                <w:rFonts w:ascii="Arial" w:eastAsia="Arial" w:hAnsi="Arial" w:cs="Arial"/>
                <w:color w:val="000000"/>
                <w:sz w:val="18"/>
                <w:szCs w:val="18"/>
                <w:vertAlign w:val="baseline"/>
              </w:rPr>
            </w:pPr>
          </w:p>
          <w:p w14:paraId="44563A80" w14:textId="51A55F3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&lt;55 mg/dL</w:t>
            </w:r>
          </w:p>
        </w:tc>
        <w:tc>
          <w:tcPr>
            <w:tcW w:w="2913" w:type="dxa"/>
            <w:tcBorders>
              <w:top w:val="single" w:sz="4" w:space="0" w:color="000000"/>
              <w:left w:val="single" w:sz="4" w:space="0" w:color="000000"/>
              <w:bottom w:val="single" w:sz="4" w:space="0" w:color="000000"/>
              <w:right w:val="single" w:sz="4" w:space="0" w:color="000000"/>
            </w:tcBorders>
          </w:tcPr>
          <w:p w14:paraId="3B0F068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IC en prevención secundaria y IIa C en primaria.</w:t>
            </w:r>
          </w:p>
        </w:tc>
      </w:tr>
      <w:tr w:rsidR="00634CDF" w14:paraId="765C3C3F" w14:textId="77777777">
        <w:trPr>
          <w:trHeight w:val="98"/>
        </w:trPr>
        <w:tc>
          <w:tcPr>
            <w:tcW w:w="2913" w:type="dxa"/>
            <w:tcBorders>
              <w:top w:val="single" w:sz="4" w:space="0" w:color="000000"/>
              <w:left w:val="single" w:sz="4" w:space="0" w:color="000000"/>
              <w:bottom w:val="single" w:sz="4" w:space="0" w:color="000000"/>
            </w:tcBorders>
          </w:tcPr>
          <w:p w14:paraId="7C6E430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u w:val="single"/>
                <w:vertAlign w:val="baseline"/>
              </w:rPr>
              <w:t>Alto riesgo</w:t>
            </w:r>
            <w:r>
              <w:rPr>
                <w:rFonts w:ascii="Arial" w:eastAsia="Arial" w:hAnsi="Arial" w:cs="Arial"/>
                <w:color w:val="000000"/>
                <w:sz w:val="18"/>
                <w:szCs w:val="18"/>
                <w:vertAlign w:val="baseline"/>
              </w:rPr>
              <w:t>(5-10% riesgo de evento cardiovascular fatal en 10 años)**</w:t>
            </w:r>
          </w:p>
        </w:tc>
        <w:tc>
          <w:tcPr>
            <w:tcW w:w="2913" w:type="dxa"/>
            <w:tcBorders>
              <w:top w:val="single" w:sz="4" w:space="0" w:color="000000"/>
              <w:left w:val="single" w:sz="4" w:space="0" w:color="000000"/>
              <w:bottom w:val="single" w:sz="4" w:space="0" w:color="000000"/>
            </w:tcBorders>
          </w:tcPr>
          <w:p w14:paraId="2D0F01C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&lt;70 mg/dL</w:t>
            </w:r>
          </w:p>
        </w:tc>
        <w:tc>
          <w:tcPr>
            <w:tcW w:w="2913" w:type="dxa"/>
            <w:tcBorders>
              <w:top w:val="single" w:sz="4" w:space="0" w:color="000000"/>
              <w:left w:val="single" w:sz="4" w:space="0" w:color="000000"/>
              <w:bottom w:val="single" w:sz="4" w:space="0" w:color="000000"/>
              <w:right w:val="single" w:sz="4" w:space="0" w:color="000000"/>
            </w:tcBorders>
          </w:tcPr>
          <w:p w14:paraId="33C3B75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IA</w:t>
            </w:r>
          </w:p>
        </w:tc>
      </w:tr>
    </w:tbl>
    <w:p w14:paraId="4B8021F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20"/>
          <w:szCs w:val="20"/>
          <w:vertAlign w:val="baseline"/>
        </w:rPr>
        <w:t>*</w:t>
      </w:r>
      <w:r>
        <w:rPr>
          <w:rFonts w:ascii="Arial" w:eastAsia="Arial" w:hAnsi="Arial" w:cs="Arial"/>
          <w:color w:val="000000"/>
          <w:sz w:val="16"/>
          <w:szCs w:val="16"/>
          <w:vertAlign w:val="baseline"/>
        </w:rPr>
        <w:t>en pacientes con hipercolesterolemia familiar con enfermedad cardiovascular establecida o un factor de riesgo mayor.</w:t>
      </w:r>
    </w:p>
    <w:p w14:paraId="0DA3DBE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**en pacientes con hipercolesterolemia familiar sin enfermedad cardiovascular establecida o sin factor de riesgo mayor.</w:t>
      </w:r>
    </w:p>
    <w:p w14:paraId="6238A262" w14:textId="77777777" w:rsidR="00634CDF" w:rsidRDefault="00634CD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vertAlign w:val="baseline"/>
        </w:rPr>
      </w:pPr>
    </w:p>
    <w:tbl>
      <w:tblPr>
        <w:tblStyle w:val="aa"/>
        <w:tblW w:w="0" w:type="auto"/>
        <w:tblInd w:w="25" w:type="dxa"/>
        <w:tblLayout w:type="fixed"/>
        <w:tblLook w:val="0000" w:firstRow="0" w:lastRow="0" w:firstColumn="0" w:lastColumn="0" w:noHBand="0" w:noVBand="0"/>
      </w:tblPr>
      <w:tblGrid>
        <w:gridCol w:w="2913"/>
        <w:gridCol w:w="2913"/>
        <w:gridCol w:w="2913"/>
      </w:tblGrid>
      <w:tr w:rsidR="00634CDF" w14:paraId="56D6341A" w14:textId="77777777">
        <w:tc>
          <w:tcPr>
            <w:tcW w:w="8739" w:type="dxa"/>
            <w:gridSpan w:val="3"/>
            <w:tcBorders>
              <w:top w:val="single" w:sz="4" w:space="0" w:color="000000"/>
              <w:left w:val="single" w:sz="4" w:space="0" w:color="000000"/>
              <w:bottom w:val="single" w:sz="4" w:space="0" w:color="000000"/>
              <w:right w:val="single" w:sz="4" w:space="0" w:color="000000"/>
            </w:tcBorders>
            <w:shd w:val="clear" w:color="auto" w:fill="CCFFCC"/>
          </w:tcPr>
          <w:p w14:paraId="31BA658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8"/>
                <w:szCs w:val="18"/>
                <w:vertAlign w:val="baseline"/>
              </w:rPr>
              <w:t xml:space="preserve">Tabla 5. Recomendaciones de la ESC/EAS </w:t>
            </w:r>
            <w:r>
              <w:rPr>
                <w:rFonts w:ascii="Arial" w:eastAsia="Arial" w:hAnsi="Arial" w:cs="Arial"/>
                <w:color w:val="000000"/>
                <w:sz w:val="18"/>
                <w:szCs w:val="18"/>
                <w:vertAlign w:val="baseline"/>
              </w:rPr>
              <w:t xml:space="preserve"> </w:t>
            </w:r>
            <w:r>
              <w:rPr>
                <w:rFonts w:ascii="Arial" w:eastAsia="Arial" w:hAnsi="Arial" w:cs="Arial"/>
                <w:b/>
                <w:color w:val="000000"/>
                <w:sz w:val="18"/>
                <w:szCs w:val="18"/>
                <w:vertAlign w:val="baseline"/>
              </w:rPr>
              <w:t>para prevención secundaria</w:t>
            </w:r>
          </w:p>
        </w:tc>
      </w:tr>
      <w:tr w:rsidR="00634CDF" w14:paraId="7AEE51FF" w14:textId="77777777">
        <w:tc>
          <w:tcPr>
            <w:tcW w:w="2913" w:type="dxa"/>
            <w:tcBorders>
              <w:top w:val="single" w:sz="4" w:space="0" w:color="000000"/>
              <w:left w:val="single" w:sz="4" w:space="0" w:color="000000"/>
              <w:bottom w:val="single" w:sz="4" w:space="0" w:color="000000"/>
            </w:tcBorders>
          </w:tcPr>
          <w:p w14:paraId="7299A288"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Riesgo cardiovascular</w:t>
            </w:r>
          </w:p>
        </w:tc>
        <w:tc>
          <w:tcPr>
            <w:tcW w:w="2913" w:type="dxa"/>
            <w:tcBorders>
              <w:top w:val="single" w:sz="4" w:space="0" w:color="000000"/>
              <w:left w:val="single" w:sz="4" w:space="0" w:color="000000"/>
              <w:bottom w:val="single" w:sz="4" w:space="0" w:color="000000"/>
            </w:tcBorders>
          </w:tcPr>
          <w:p w14:paraId="0AFD3A7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C-LDL</w:t>
            </w:r>
          </w:p>
        </w:tc>
        <w:tc>
          <w:tcPr>
            <w:tcW w:w="2913" w:type="dxa"/>
            <w:tcBorders>
              <w:top w:val="single" w:sz="4" w:space="0" w:color="000000"/>
              <w:left w:val="single" w:sz="4" w:space="0" w:color="000000"/>
              <w:bottom w:val="single" w:sz="4" w:space="0" w:color="000000"/>
              <w:right w:val="single" w:sz="4" w:space="0" w:color="000000"/>
            </w:tcBorders>
          </w:tcPr>
          <w:p w14:paraId="2FB9834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Grado de recomendación</w:t>
            </w:r>
          </w:p>
        </w:tc>
      </w:tr>
      <w:tr w:rsidR="00634CDF" w14:paraId="7F17C20D" w14:textId="77777777">
        <w:tc>
          <w:tcPr>
            <w:tcW w:w="2913" w:type="dxa"/>
            <w:tcBorders>
              <w:top w:val="single" w:sz="4" w:space="0" w:color="000000"/>
              <w:left w:val="single" w:sz="4" w:space="0" w:color="000000"/>
              <w:bottom w:val="single" w:sz="4" w:space="0" w:color="000000"/>
            </w:tcBorders>
          </w:tcPr>
          <w:p w14:paraId="23CC929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u w:val="single"/>
                <w:vertAlign w:val="baseline"/>
              </w:rPr>
              <w:t>Muy alto riesgo</w:t>
            </w:r>
            <w:r>
              <w:rPr>
                <w:rFonts w:ascii="Arial" w:eastAsia="Arial" w:hAnsi="Arial" w:cs="Arial"/>
                <w:color w:val="000000"/>
                <w:sz w:val="18"/>
                <w:szCs w:val="18"/>
                <w:vertAlign w:val="baseline"/>
              </w:rPr>
              <w:t>(&gt;10% riesgo de evento cardiovascular fatal en 10 años)*</w:t>
            </w:r>
          </w:p>
        </w:tc>
        <w:tc>
          <w:tcPr>
            <w:tcW w:w="2913" w:type="dxa"/>
            <w:tcBorders>
              <w:top w:val="single" w:sz="4" w:space="0" w:color="000000"/>
              <w:left w:val="single" w:sz="4" w:space="0" w:color="000000"/>
              <w:bottom w:val="single" w:sz="4" w:space="0" w:color="000000"/>
            </w:tcBorders>
          </w:tcPr>
          <w:p w14:paraId="7A211E98"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&lt;55 mg/dL</w:t>
            </w:r>
          </w:p>
        </w:tc>
        <w:tc>
          <w:tcPr>
            <w:tcW w:w="2913" w:type="dxa"/>
            <w:tcBorders>
              <w:top w:val="single" w:sz="4" w:space="0" w:color="000000"/>
              <w:left w:val="single" w:sz="4" w:space="0" w:color="000000"/>
              <w:bottom w:val="single" w:sz="4" w:space="0" w:color="000000"/>
              <w:right w:val="single" w:sz="4" w:space="0" w:color="000000"/>
            </w:tcBorders>
          </w:tcPr>
          <w:p w14:paraId="639FA8B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IA en prevención secundaria y IC en prevención primaria</w:t>
            </w:r>
          </w:p>
        </w:tc>
      </w:tr>
      <w:tr w:rsidR="00634CDF" w14:paraId="32552EAA" w14:textId="77777777">
        <w:trPr>
          <w:trHeight w:val="98"/>
        </w:trPr>
        <w:tc>
          <w:tcPr>
            <w:tcW w:w="2913" w:type="dxa"/>
            <w:tcBorders>
              <w:top w:val="single" w:sz="4" w:space="0" w:color="000000"/>
              <w:left w:val="single" w:sz="4" w:space="0" w:color="000000"/>
              <w:bottom w:val="single" w:sz="4" w:space="0" w:color="000000"/>
            </w:tcBorders>
          </w:tcPr>
          <w:p w14:paraId="4D7C638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u w:val="single"/>
                <w:vertAlign w:val="baseline"/>
              </w:rPr>
              <w:t>Alto riesgo</w:t>
            </w:r>
            <w:r>
              <w:rPr>
                <w:rFonts w:ascii="Arial" w:eastAsia="Arial" w:hAnsi="Arial" w:cs="Arial"/>
                <w:color w:val="000000"/>
                <w:sz w:val="18"/>
                <w:szCs w:val="18"/>
                <w:vertAlign w:val="baseline"/>
              </w:rPr>
              <w:t>(5-10% riesgo de evento cardiovascular fatal en 10 años)</w:t>
            </w:r>
          </w:p>
        </w:tc>
        <w:tc>
          <w:tcPr>
            <w:tcW w:w="2913" w:type="dxa"/>
            <w:tcBorders>
              <w:top w:val="single" w:sz="4" w:space="0" w:color="000000"/>
              <w:left w:val="single" w:sz="4" w:space="0" w:color="000000"/>
              <w:bottom w:val="single" w:sz="4" w:space="0" w:color="000000"/>
            </w:tcBorders>
          </w:tcPr>
          <w:p w14:paraId="38044216"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&lt;70 mg/dL</w:t>
            </w:r>
          </w:p>
        </w:tc>
        <w:tc>
          <w:tcPr>
            <w:tcW w:w="2913" w:type="dxa"/>
            <w:tcBorders>
              <w:top w:val="single" w:sz="4" w:space="0" w:color="000000"/>
              <w:left w:val="single" w:sz="4" w:space="0" w:color="000000"/>
              <w:bottom w:val="single" w:sz="4" w:space="0" w:color="000000"/>
              <w:right w:val="single" w:sz="4" w:space="0" w:color="000000"/>
            </w:tcBorders>
          </w:tcPr>
          <w:p w14:paraId="1668175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IA</w:t>
            </w:r>
          </w:p>
        </w:tc>
      </w:tr>
      <w:tr w:rsidR="00634CDF" w14:paraId="55C450C4" w14:textId="77777777">
        <w:tc>
          <w:tcPr>
            <w:tcW w:w="2913" w:type="dxa"/>
            <w:tcBorders>
              <w:top w:val="single" w:sz="4" w:space="0" w:color="000000"/>
              <w:left w:val="single" w:sz="4" w:space="0" w:color="000000"/>
              <w:bottom w:val="single" w:sz="4" w:space="0" w:color="000000"/>
            </w:tcBorders>
          </w:tcPr>
          <w:p w14:paraId="08EC0E79" w14:textId="1E4DF460"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u w:val="single"/>
                <w:vertAlign w:val="baseline"/>
              </w:rPr>
              <w:t>Riesgo moderado</w:t>
            </w:r>
            <w:r w:rsidR="00C23897">
              <w:rPr>
                <w:rFonts w:ascii="Arial" w:eastAsia="Arial" w:hAnsi="Arial" w:cs="Arial"/>
                <w:color w:val="000000"/>
                <w:sz w:val="18"/>
                <w:szCs w:val="18"/>
                <w:u w:val="single"/>
                <w:vertAlign w:val="baseline"/>
              </w:rPr>
              <w:t xml:space="preserve"> </w:t>
            </w:r>
            <w:r w:rsidRPr="00C23897">
              <w:rPr>
                <w:rFonts w:ascii="Arial" w:eastAsia="Arial Unicode MS" w:hAnsi="Arial" w:cs="Arial"/>
                <w:color w:val="000000"/>
                <w:sz w:val="18"/>
                <w:szCs w:val="18"/>
                <w:vertAlign w:val="baseline"/>
              </w:rPr>
              <w:t>(≥1-5% riesgo de evento cardiovascular fatal en 10 años)</w:t>
            </w:r>
          </w:p>
        </w:tc>
        <w:tc>
          <w:tcPr>
            <w:tcW w:w="2913" w:type="dxa"/>
            <w:tcBorders>
              <w:top w:val="single" w:sz="4" w:space="0" w:color="000000"/>
              <w:left w:val="single" w:sz="4" w:space="0" w:color="000000"/>
              <w:bottom w:val="single" w:sz="4" w:space="0" w:color="000000"/>
            </w:tcBorders>
          </w:tcPr>
          <w:p w14:paraId="62F3DBD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&lt;100 mg/dL</w:t>
            </w:r>
          </w:p>
        </w:tc>
        <w:tc>
          <w:tcPr>
            <w:tcW w:w="2913" w:type="dxa"/>
            <w:tcBorders>
              <w:top w:val="single" w:sz="4" w:space="0" w:color="000000"/>
              <w:left w:val="single" w:sz="4" w:space="0" w:color="000000"/>
              <w:bottom w:val="single" w:sz="4" w:space="0" w:color="000000"/>
              <w:right w:val="single" w:sz="4" w:space="0" w:color="000000"/>
            </w:tcBorders>
          </w:tcPr>
          <w:p w14:paraId="4045EDE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IIa A</w:t>
            </w:r>
          </w:p>
        </w:tc>
      </w:tr>
      <w:tr w:rsidR="00634CDF" w14:paraId="48BE15F5" w14:textId="77777777">
        <w:tc>
          <w:tcPr>
            <w:tcW w:w="2913" w:type="dxa"/>
            <w:tcBorders>
              <w:top w:val="single" w:sz="4" w:space="0" w:color="000000"/>
              <w:left w:val="single" w:sz="4" w:space="0" w:color="000000"/>
              <w:bottom w:val="single" w:sz="4" w:space="0" w:color="000000"/>
            </w:tcBorders>
          </w:tcPr>
          <w:p w14:paraId="675B629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u w:val="single"/>
                <w:vertAlign w:val="baseline"/>
              </w:rPr>
              <w:t>Bajo riesgo</w:t>
            </w:r>
            <w:r>
              <w:rPr>
                <w:rFonts w:ascii="Arial" w:eastAsia="Arial" w:hAnsi="Arial" w:cs="Arial"/>
                <w:color w:val="000000"/>
                <w:sz w:val="18"/>
                <w:szCs w:val="18"/>
                <w:vertAlign w:val="baseline"/>
              </w:rPr>
              <w:t>(&lt;1% riesgo de evento fatal en 10 años)</w:t>
            </w:r>
          </w:p>
        </w:tc>
        <w:tc>
          <w:tcPr>
            <w:tcW w:w="2913" w:type="dxa"/>
            <w:tcBorders>
              <w:top w:val="single" w:sz="4" w:space="0" w:color="000000"/>
              <w:left w:val="single" w:sz="4" w:space="0" w:color="000000"/>
              <w:bottom w:val="single" w:sz="4" w:space="0" w:color="000000"/>
            </w:tcBorders>
          </w:tcPr>
          <w:p w14:paraId="37E2309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&lt;116 mg/dL</w:t>
            </w:r>
          </w:p>
        </w:tc>
        <w:tc>
          <w:tcPr>
            <w:tcW w:w="2913" w:type="dxa"/>
            <w:tcBorders>
              <w:top w:val="single" w:sz="4" w:space="0" w:color="000000"/>
              <w:left w:val="single" w:sz="4" w:space="0" w:color="000000"/>
              <w:bottom w:val="single" w:sz="4" w:space="0" w:color="000000"/>
              <w:right w:val="single" w:sz="4" w:space="0" w:color="000000"/>
            </w:tcBorders>
          </w:tcPr>
          <w:p w14:paraId="7B6E123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8"/>
                <w:szCs w:val="18"/>
                <w:vertAlign w:val="baseline"/>
              </w:rPr>
              <w:t>IIb A</w:t>
            </w:r>
          </w:p>
        </w:tc>
      </w:tr>
    </w:tbl>
    <w:p w14:paraId="3F5D3E9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*En pacientes que hayan tenido un segundo evento en el periodo de dos años mientras tomaban estatinas a dosis máximas toleradas debería considerarse &lt;40 mg/dL (recomendación IA IIb B).</w:t>
      </w:r>
    </w:p>
    <w:p w14:paraId="7736A727" w14:textId="77777777" w:rsidR="00634CDF" w:rsidRDefault="00F0051D">
      <w:pPr>
        <w:shd w:val="clear" w:color="auto" w:fill="BFBFBF"/>
        <w:spacing w:before="240" w:after="240" w:line="240" w:lineRule="auto"/>
        <w:ind w:left="0" w:hanging="2"/>
        <w:jc w:val="both"/>
        <w:rPr>
          <w:vertAlign w:val="baseline"/>
        </w:rPr>
      </w:pPr>
      <w:r>
        <w:rPr>
          <w:rFonts w:ascii="Arial" w:eastAsia="Arial" w:hAnsi="Arial" w:cs="Arial"/>
          <w:b/>
          <w:sz w:val="20"/>
          <w:szCs w:val="20"/>
          <w:vertAlign w:val="baseline"/>
        </w:rPr>
        <w:t>Recomendaciones para la prescripción de iPCSK9 de la Sociedad Española de Arteriosclerosis (SEA)</w:t>
      </w:r>
      <w:r>
        <w:rPr>
          <w:rFonts w:ascii="Arial" w:eastAsia="Arial" w:hAnsi="Arial" w:cs="Arial"/>
          <w:sz w:val="20"/>
          <w:szCs w:val="20"/>
          <w:vertAlign w:val="baseline"/>
        </w:rPr>
        <w:t xml:space="preserve"> (13).</w:t>
      </w:r>
    </w:p>
    <w:p w14:paraId="06B778E2"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b/>
          <w:color w:val="000000"/>
          <w:sz w:val="20"/>
          <w:szCs w:val="20"/>
          <w:u w:val="single"/>
          <w:vertAlign w:val="baseline"/>
        </w:rPr>
        <w:t>Hipercolesterolemia familiar homocigótica.</w:t>
      </w:r>
    </w:p>
    <w:p w14:paraId="47A5375D"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20"/>
          <w:szCs w:val="20"/>
          <w:vertAlign w:val="baseline"/>
        </w:rPr>
        <w:t>La SEA recomienda el uso de iPCSK9 cuando a pesar de tratamiento intensivo con dosis máximas toleradas de estatinas con o sin ezetimiba la C-LDL sea superior a 100 mg/dL(recomendación fuerte), pese a que no hay ensayos que demuestren una disminución de eventos cardiovasculares. Se considera disminuir la C-LDL una prioridad.</w:t>
      </w:r>
    </w:p>
    <w:p w14:paraId="2849CCA5"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b/>
          <w:color w:val="000000"/>
          <w:sz w:val="20"/>
          <w:szCs w:val="20"/>
          <w:u w:val="single"/>
          <w:vertAlign w:val="baseline"/>
        </w:rPr>
        <w:t>Hipercolesterolemia familiar heterocigótica.</w:t>
      </w:r>
    </w:p>
    <w:p w14:paraId="323C91F6"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20"/>
          <w:szCs w:val="20"/>
          <w:vertAlign w:val="baseline"/>
        </w:rPr>
        <w:t xml:space="preserve">La prevalencia de enfermedad cardiovascular es entre 3 y 8 veces mayor en los pacientes con hipercolesterolemia familiar heterocigótica que en la población normal. Los pacientes con al menos 4 factores de riesgo cardiovascular tienen un riesgo cardiovascular a 10 años del 20%. </w:t>
      </w:r>
    </w:p>
    <w:p w14:paraId="58B850CC"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20"/>
          <w:szCs w:val="20"/>
          <w:vertAlign w:val="baseline"/>
        </w:rPr>
        <w:t xml:space="preserve">La SEA propone utilizar los iPCSK9 en pacientes que estén convenientemente diagnosticados: </w:t>
      </w:r>
    </w:p>
    <w:p w14:paraId="3200986C" w14:textId="77777777" w:rsidR="00634CDF" w:rsidRDefault="00F0051D">
      <w:pPr>
        <w:numPr>
          <w:ilvl w:val="0"/>
          <w:numId w:val="6"/>
        </w:num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confirmación genética, </w:t>
      </w:r>
    </w:p>
    <w:p w14:paraId="5BE439CE" w14:textId="38C8786E" w:rsidR="00634CDF" w:rsidRPr="00C23897" w:rsidRDefault="00F0051D">
      <w:pPr>
        <w:numPr>
          <w:ilvl w:val="0"/>
          <w:numId w:val="6"/>
        </w:num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sidRPr="00C23897">
        <w:rPr>
          <w:rFonts w:ascii="Arial" w:eastAsia="Arial" w:hAnsi="Arial" w:cs="Arial"/>
          <w:color w:val="000000"/>
          <w:sz w:val="20"/>
          <w:szCs w:val="20"/>
          <w:vertAlign w:val="baseline"/>
        </w:rPr>
        <w:lastRenderedPageBreak/>
        <w:t xml:space="preserve">una puntuación Dutch Lipid Clinic Network≥6  </w:t>
      </w:r>
    </w:p>
    <w:p w14:paraId="5D8A741E" w14:textId="38E3217D" w:rsidR="00634CDF" w:rsidRPr="00C23897" w:rsidRDefault="00522D0D">
      <w:pPr>
        <w:numPr>
          <w:ilvl w:val="0"/>
          <w:numId w:val="6"/>
        </w:numPr>
        <w:pBdr>
          <w:top w:val="nil"/>
          <w:left w:val="nil"/>
          <w:bottom w:val="nil"/>
          <w:right w:val="nil"/>
          <w:between w:val="nil"/>
        </w:pBdr>
        <w:spacing w:after="240" w:line="240" w:lineRule="auto"/>
        <w:ind w:left="0" w:hanging="2"/>
        <w:jc w:val="both"/>
        <w:rPr>
          <w:rFonts w:ascii="Arial" w:eastAsia="Arial" w:hAnsi="Arial" w:cs="Arial"/>
          <w:color w:val="000000"/>
          <w:sz w:val="20"/>
          <w:szCs w:val="20"/>
          <w:vertAlign w:val="baseline"/>
        </w:rPr>
      </w:pPr>
      <w:r>
        <w:rPr>
          <w:rFonts w:ascii="Arial" w:eastAsia="Arial" w:hAnsi="Arial" w:cs="Arial"/>
          <w:color w:val="000000"/>
          <w:sz w:val="20"/>
          <w:szCs w:val="20"/>
          <w:vertAlign w:val="baseline"/>
        </w:rPr>
        <w:t xml:space="preserve">o una hipercolesterolemia </w:t>
      </w:r>
      <w:r w:rsidR="00F0051D" w:rsidRPr="00C23897">
        <w:rPr>
          <w:rFonts w:ascii="Arial" w:eastAsia="Arial" w:hAnsi="Arial" w:cs="Arial"/>
          <w:color w:val="000000"/>
          <w:sz w:val="20"/>
          <w:szCs w:val="20"/>
          <w:vertAlign w:val="baseline"/>
        </w:rPr>
        <w:t>primaria</w:t>
      </w:r>
      <w:r w:rsidR="00575EC5">
        <w:rPr>
          <w:rFonts w:ascii="Arial" w:eastAsia="Arial" w:hAnsi="Arial" w:cs="Arial"/>
          <w:color w:val="000000"/>
          <w:sz w:val="20"/>
          <w:szCs w:val="20"/>
          <w:vertAlign w:val="baseline"/>
        </w:rPr>
        <w:t xml:space="preserve"> </w:t>
      </w:r>
      <w:r w:rsidR="00F0051D" w:rsidRPr="00C23897">
        <w:rPr>
          <w:rFonts w:ascii="Arial" w:eastAsia="Arial" w:hAnsi="Arial" w:cs="Arial"/>
          <w:color w:val="000000"/>
          <w:sz w:val="20"/>
          <w:szCs w:val="20"/>
          <w:vertAlign w:val="baseline"/>
        </w:rPr>
        <w:t>≥220 mg/dL sin tratamiento o ≥130 mg/dL con tratamiento intensivo y una historia de hipercolesterolemia en un familiar de primer grado).</w:t>
      </w:r>
    </w:p>
    <w:p w14:paraId="23958C66"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20"/>
          <w:szCs w:val="20"/>
          <w:vertAlign w:val="baseline"/>
        </w:rPr>
        <w:t>Además, los pacientes deben estar adecuadamente tratados con estatinas de alta potencia (rosuvastatina/atorvastatina) a dosis máximas + ezetimiba.</w:t>
      </w:r>
    </w:p>
    <w:p w14:paraId="6CCA796A" w14:textId="01D5283D"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20"/>
          <w:szCs w:val="20"/>
          <w:vertAlign w:val="baseline"/>
        </w:rPr>
        <w:t>Los umbrales d</w:t>
      </w:r>
      <w:r w:rsidR="00416411">
        <w:rPr>
          <w:rFonts w:ascii="Arial" w:eastAsia="Arial" w:hAnsi="Arial" w:cs="Arial"/>
          <w:color w:val="000000"/>
          <w:sz w:val="20"/>
          <w:szCs w:val="20"/>
          <w:vertAlign w:val="baseline"/>
        </w:rPr>
        <w:t xml:space="preserve">e C-LDL para considerar iPCSK9 </w:t>
      </w:r>
      <w:r>
        <w:rPr>
          <w:rFonts w:ascii="Arial" w:eastAsia="Arial" w:hAnsi="Arial" w:cs="Arial"/>
          <w:color w:val="000000"/>
          <w:sz w:val="20"/>
          <w:szCs w:val="20"/>
          <w:vertAlign w:val="baseline"/>
        </w:rPr>
        <w:t>según grupos de riesgo para estos pacientes son las siguientes:</w:t>
      </w:r>
    </w:p>
    <w:tbl>
      <w:tblPr>
        <w:tblStyle w:val="ab"/>
        <w:tblW w:w="0" w:type="auto"/>
        <w:tblInd w:w="25" w:type="dxa"/>
        <w:tblLayout w:type="fixed"/>
        <w:tblLook w:val="0000" w:firstRow="0" w:lastRow="0" w:firstColumn="0" w:lastColumn="0" w:noHBand="0" w:noVBand="0"/>
      </w:tblPr>
      <w:tblGrid>
        <w:gridCol w:w="2913"/>
        <w:gridCol w:w="2913"/>
        <w:gridCol w:w="2913"/>
      </w:tblGrid>
      <w:tr w:rsidR="00634CDF" w14:paraId="69FF0431" w14:textId="77777777">
        <w:trPr>
          <w:trHeight w:val="191"/>
        </w:trPr>
        <w:tc>
          <w:tcPr>
            <w:tcW w:w="8739" w:type="dxa"/>
            <w:gridSpan w:val="3"/>
            <w:tcBorders>
              <w:top w:val="single" w:sz="4" w:space="0" w:color="000000"/>
              <w:left w:val="single" w:sz="4" w:space="0" w:color="000000"/>
              <w:bottom w:val="single" w:sz="4" w:space="0" w:color="000000"/>
              <w:right w:val="single" w:sz="4" w:space="0" w:color="000000"/>
            </w:tcBorders>
            <w:shd w:val="clear" w:color="auto" w:fill="CCFFCC"/>
          </w:tcPr>
          <w:p w14:paraId="2EA0CDAC"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8"/>
                <w:szCs w:val="18"/>
                <w:vertAlign w:val="baseline"/>
              </w:rPr>
              <w:t>Tabla 6. Recomendaciones de la SEA</w:t>
            </w:r>
            <w:r>
              <w:rPr>
                <w:rFonts w:ascii="Arial" w:eastAsia="Arial" w:hAnsi="Arial" w:cs="Arial"/>
                <w:color w:val="000000"/>
                <w:sz w:val="18"/>
                <w:szCs w:val="18"/>
                <w:vertAlign w:val="baseline"/>
              </w:rPr>
              <w:t xml:space="preserve"> </w:t>
            </w:r>
            <w:r>
              <w:rPr>
                <w:rFonts w:ascii="Arial" w:eastAsia="Arial" w:hAnsi="Arial" w:cs="Arial"/>
                <w:b/>
                <w:color w:val="000000"/>
                <w:sz w:val="18"/>
                <w:szCs w:val="18"/>
                <w:vertAlign w:val="baseline"/>
              </w:rPr>
              <w:t>para el uso de iPCSK9 en hipercolesterolemia familiar heterocigótica</w:t>
            </w:r>
          </w:p>
        </w:tc>
      </w:tr>
      <w:tr w:rsidR="00634CDF" w14:paraId="1B7E025A" w14:textId="77777777">
        <w:tc>
          <w:tcPr>
            <w:tcW w:w="2913" w:type="dxa"/>
            <w:tcBorders>
              <w:top w:val="single" w:sz="4" w:space="0" w:color="000000"/>
              <w:left w:val="single" w:sz="4" w:space="0" w:color="000000"/>
              <w:bottom w:val="single" w:sz="4" w:space="0" w:color="000000"/>
            </w:tcBorders>
          </w:tcPr>
          <w:p w14:paraId="7750BB4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Tipo de paciente</w:t>
            </w:r>
          </w:p>
        </w:tc>
        <w:tc>
          <w:tcPr>
            <w:tcW w:w="2913" w:type="dxa"/>
            <w:tcBorders>
              <w:top w:val="single" w:sz="4" w:space="0" w:color="000000"/>
              <w:left w:val="single" w:sz="4" w:space="0" w:color="000000"/>
              <w:bottom w:val="single" w:sz="4" w:space="0" w:color="000000"/>
            </w:tcBorders>
          </w:tcPr>
          <w:p w14:paraId="6F2E10D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c-LDL*</w:t>
            </w:r>
          </w:p>
        </w:tc>
        <w:tc>
          <w:tcPr>
            <w:tcW w:w="2913" w:type="dxa"/>
            <w:tcBorders>
              <w:top w:val="single" w:sz="4" w:space="0" w:color="000000"/>
              <w:left w:val="single" w:sz="4" w:space="0" w:color="000000"/>
              <w:bottom w:val="single" w:sz="4" w:space="0" w:color="000000"/>
              <w:right w:val="single" w:sz="4" w:space="0" w:color="000000"/>
            </w:tcBorders>
          </w:tcPr>
          <w:p w14:paraId="554A391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Grado de recomendación</w:t>
            </w:r>
          </w:p>
        </w:tc>
      </w:tr>
      <w:tr w:rsidR="00634CDF" w14:paraId="2864B0EA" w14:textId="77777777">
        <w:tc>
          <w:tcPr>
            <w:tcW w:w="2913" w:type="dxa"/>
            <w:tcBorders>
              <w:top w:val="single" w:sz="4" w:space="0" w:color="000000"/>
              <w:left w:val="single" w:sz="4" w:space="0" w:color="000000"/>
              <w:bottom w:val="single" w:sz="4" w:space="0" w:color="000000"/>
            </w:tcBorders>
          </w:tcPr>
          <w:p w14:paraId="4C2CF0F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Pacientes con enfermedad vascular aterosclerótica</w:t>
            </w:r>
          </w:p>
        </w:tc>
        <w:tc>
          <w:tcPr>
            <w:tcW w:w="2913" w:type="dxa"/>
            <w:tcBorders>
              <w:top w:val="single" w:sz="4" w:space="0" w:color="000000"/>
              <w:left w:val="single" w:sz="4" w:space="0" w:color="000000"/>
              <w:bottom w:val="single" w:sz="4" w:space="0" w:color="000000"/>
            </w:tcBorders>
          </w:tcPr>
          <w:p w14:paraId="7325FFE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&gt;70 mg/dL</w:t>
            </w:r>
          </w:p>
        </w:tc>
        <w:tc>
          <w:tcPr>
            <w:tcW w:w="2913" w:type="dxa"/>
            <w:tcBorders>
              <w:top w:val="single" w:sz="4" w:space="0" w:color="000000"/>
              <w:left w:val="single" w:sz="4" w:space="0" w:color="000000"/>
              <w:bottom w:val="single" w:sz="4" w:space="0" w:color="000000"/>
              <w:right w:val="single" w:sz="4" w:space="0" w:color="000000"/>
            </w:tcBorders>
          </w:tcPr>
          <w:p w14:paraId="13D6897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Fuerte</w:t>
            </w:r>
          </w:p>
        </w:tc>
      </w:tr>
      <w:tr w:rsidR="00634CDF" w14:paraId="46756F04" w14:textId="77777777">
        <w:trPr>
          <w:trHeight w:val="98"/>
        </w:trPr>
        <w:tc>
          <w:tcPr>
            <w:tcW w:w="2913" w:type="dxa"/>
            <w:tcBorders>
              <w:top w:val="single" w:sz="4" w:space="0" w:color="000000"/>
              <w:left w:val="single" w:sz="4" w:space="0" w:color="000000"/>
              <w:bottom w:val="single" w:sz="4" w:space="0" w:color="000000"/>
            </w:tcBorders>
          </w:tcPr>
          <w:p w14:paraId="39E3BF3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Pacientes con diabetes</w:t>
            </w:r>
          </w:p>
        </w:tc>
        <w:tc>
          <w:tcPr>
            <w:tcW w:w="2913" w:type="dxa"/>
            <w:tcBorders>
              <w:top w:val="single" w:sz="4" w:space="0" w:color="000000"/>
              <w:left w:val="single" w:sz="4" w:space="0" w:color="000000"/>
              <w:bottom w:val="single" w:sz="4" w:space="0" w:color="000000"/>
            </w:tcBorders>
          </w:tcPr>
          <w:p w14:paraId="712AD83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&gt;100 mg/dL</w:t>
            </w:r>
          </w:p>
        </w:tc>
        <w:tc>
          <w:tcPr>
            <w:tcW w:w="2913" w:type="dxa"/>
            <w:tcBorders>
              <w:top w:val="single" w:sz="4" w:space="0" w:color="000000"/>
              <w:left w:val="single" w:sz="4" w:space="0" w:color="000000"/>
              <w:bottom w:val="single" w:sz="4" w:space="0" w:color="000000"/>
              <w:right w:val="single" w:sz="4" w:space="0" w:color="000000"/>
            </w:tcBorders>
          </w:tcPr>
          <w:p w14:paraId="13B5F49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Fuerte</w:t>
            </w:r>
          </w:p>
        </w:tc>
      </w:tr>
      <w:tr w:rsidR="00634CDF" w14:paraId="6611D794" w14:textId="77777777">
        <w:tc>
          <w:tcPr>
            <w:tcW w:w="2913" w:type="dxa"/>
            <w:tcBorders>
              <w:top w:val="single" w:sz="4" w:space="0" w:color="000000"/>
              <w:left w:val="single" w:sz="4" w:space="0" w:color="000000"/>
              <w:bottom w:val="single" w:sz="4" w:space="0" w:color="000000"/>
            </w:tcBorders>
          </w:tcPr>
          <w:p w14:paraId="2230D9B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Pacientes con 4 o más factores de riesgo cardiovascular asociados</w:t>
            </w:r>
          </w:p>
        </w:tc>
        <w:tc>
          <w:tcPr>
            <w:tcW w:w="2913" w:type="dxa"/>
            <w:tcBorders>
              <w:top w:val="single" w:sz="4" w:space="0" w:color="000000"/>
              <w:left w:val="single" w:sz="4" w:space="0" w:color="000000"/>
              <w:bottom w:val="single" w:sz="4" w:space="0" w:color="000000"/>
            </w:tcBorders>
          </w:tcPr>
          <w:p w14:paraId="471C7B6C"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&gt;130 mg/dL</w:t>
            </w:r>
          </w:p>
        </w:tc>
        <w:tc>
          <w:tcPr>
            <w:tcW w:w="2913" w:type="dxa"/>
            <w:tcBorders>
              <w:top w:val="single" w:sz="4" w:space="0" w:color="000000"/>
              <w:left w:val="single" w:sz="4" w:space="0" w:color="000000"/>
              <w:bottom w:val="single" w:sz="4" w:space="0" w:color="000000"/>
              <w:right w:val="single" w:sz="4" w:space="0" w:color="000000"/>
            </w:tcBorders>
          </w:tcPr>
          <w:p w14:paraId="2AB7BE7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Fuerte</w:t>
            </w:r>
          </w:p>
        </w:tc>
      </w:tr>
      <w:tr w:rsidR="00634CDF" w14:paraId="4E7D89A4" w14:textId="77777777">
        <w:tc>
          <w:tcPr>
            <w:tcW w:w="2913" w:type="dxa"/>
            <w:tcBorders>
              <w:top w:val="single" w:sz="4" w:space="0" w:color="000000"/>
              <w:left w:val="single" w:sz="4" w:space="0" w:color="000000"/>
              <w:bottom w:val="single" w:sz="4" w:space="0" w:color="000000"/>
            </w:tcBorders>
          </w:tcPr>
          <w:p w14:paraId="5588437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Pacientes con menos de 4 factores de riesgo cardiovascular asociados</w:t>
            </w:r>
          </w:p>
        </w:tc>
        <w:tc>
          <w:tcPr>
            <w:tcW w:w="2913" w:type="dxa"/>
            <w:tcBorders>
              <w:top w:val="single" w:sz="4" w:space="0" w:color="000000"/>
              <w:left w:val="single" w:sz="4" w:space="0" w:color="000000"/>
              <w:bottom w:val="single" w:sz="4" w:space="0" w:color="000000"/>
            </w:tcBorders>
          </w:tcPr>
          <w:p w14:paraId="67924D3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&gt;160 mg/dL</w:t>
            </w:r>
          </w:p>
        </w:tc>
        <w:tc>
          <w:tcPr>
            <w:tcW w:w="2913" w:type="dxa"/>
            <w:tcBorders>
              <w:top w:val="single" w:sz="4" w:space="0" w:color="000000"/>
              <w:left w:val="single" w:sz="4" w:space="0" w:color="000000"/>
              <w:bottom w:val="single" w:sz="4" w:space="0" w:color="000000"/>
              <w:right w:val="single" w:sz="4" w:space="0" w:color="000000"/>
            </w:tcBorders>
          </w:tcPr>
          <w:p w14:paraId="72A8BD9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Fuerte</w:t>
            </w:r>
          </w:p>
        </w:tc>
      </w:tr>
    </w:tbl>
    <w:p w14:paraId="41163F4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*Iniciar si niveles de </w:t>
      </w:r>
      <w:r>
        <w:rPr>
          <w:rFonts w:ascii="Arial" w:eastAsia="Arial" w:hAnsi="Arial" w:cs="Arial"/>
          <w:sz w:val="16"/>
          <w:szCs w:val="16"/>
          <w:vertAlign w:val="baseline"/>
        </w:rPr>
        <w:t>C</w:t>
      </w:r>
      <w:r>
        <w:rPr>
          <w:rFonts w:ascii="Arial" w:eastAsia="Arial" w:hAnsi="Arial" w:cs="Arial"/>
          <w:color w:val="000000"/>
          <w:sz w:val="16"/>
          <w:szCs w:val="16"/>
          <w:vertAlign w:val="baseline"/>
        </w:rPr>
        <w:t>-LDL mayores al umbral a pesar del tratamiento intensivo con estatinas a dosis máximas toleradas+ezetimiba.</w:t>
      </w:r>
    </w:p>
    <w:p w14:paraId="0D876E4D"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vertAlign w:val="baseline"/>
        </w:rPr>
        <w:t xml:space="preserve"> </w:t>
      </w:r>
      <w:r>
        <w:rPr>
          <w:rFonts w:ascii="Arial" w:eastAsia="Arial" w:hAnsi="Arial" w:cs="Arial"/>
          <w:b/>
          <w:color w:val="000000"/>
          <w:sz w:val="20"/>
          <w:szCs w:val="20"/>
          <w:u w:val="single"/>
          <w:vertAlign w:val="baseline"/>
        </w:rPr>
        <w:t>Enfermedad aterosclerótica establecida.</w:t>
      </w:r>
    </w:p>
    <w:p w14:paraId="1F9F4715" w14:textId="6CDD45D4"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20"/>
          <w:szCs w:val="20"/>
          <w:vertAlign w:val="baseline"/>
        </w:rPr>
        <w:t xml:space="preserve">El tratamiento estándar es la terapia intensiva con estatinas a dosis máximas toleradas (con o sin ezetimiba) que garantice al menos un 50% de reducción y &lt;70 mg/dl de C-LDL. Si a pesar de ello no se consiguen objetivos o los pacientes son intolerantes, los expertos de la SEA proponen la utilización de iPCSK9 basándose en datos extraídos para subgrupos de pacientes de los ensayos FOURIER y ODISSEY con evolocumab y alirocumab, respectivamente. Para hacer sus recomendaciones hacen una estimación del RAR a 5 años para algunos subgrupos incluidos en el ensayo FOURIER y ODYSSEY y para algunos dinteles de C-LDL. Los autores proponen un corte de NNT&lt;25 para </w:t>
      </w:r>
      <w:r w:rsidR="00472A70">
        <w:rPr>
          <w:rFonts w:ascii="Arial" w:eastAsia="Arial" w:hAnsi="Arial" w:cs="Arial"/>
          <w:color w:val="000000"/>
          <w:sz w:val="20"/>
          <w:szCs w:val="20"/>
          <w:vertAlign w:val="baseline"/>
        </w:rPr>
        <w:t>establecer las recomendaciones</w:t>
      </w:r>
      <w:r>
        <w:rPr>
          <w:rFonts w:ascii="Arial" w:eastAsia="Arial" w:hAnsi="Arial" w:cs="Arial"/>
          <w:color w:val="000000"/>
          <w:sz w:val="20"/>
          <w:szCs w:val="20"/>
          <w:vertAlign w:val="baseline"/>
        </w:rPr>
        <w:t xml:space="preserve"> en estos medicamentos. Las recomendaciones se resumen en las siguientes tablas, que también están incluidas en los IPT de alirocumab y evolocumab (</w:t>
      </w:r>
      <w:r>
        <w:rPr>
          <w:rFonts w:ascii="Arial" w:eastAsia="Arial" w:hAnsi="Arial" w:cs="Arial"/>
          <w:sz w:val="20"/>
          <w:szCs w:val="20"/>
          <w:vertAlign w:val="baseline"/>
        </w:rPr>
        <w:t>11</w:t>
      </w:r>
      <w:r>
        <w:rPr>
          <w:rFonts w:ascii="Arial" w:eastAsia="Arial" w:hAnsi="Arial" w:cs="Arial"/>
          <w:color w:val="000000"/>
          <w:sz w:val="20"/>
          <w:szCs w:val="20"/>
          <w:vertAlign w:val="baseline"/>
        </w:rPr>
        <w:t>)</w:t>
      </w:r>
      <w:r>
        <w:rPr>
          <w:rFonts w:ascii="Arial" w:eastAsia="Arial" w:hAnsi="Arial" w:cs="Arial"/>
          <w:i/>
          <w:color w:val="000000"/>
          <w:sz w:val="20"/>
          <w:szCs w:val="20"/>
          <w:vertAlign w:val="baseline"/>
        </w:rPr>
        <w:t>.</w:t>
      </w:r>
      <w:r>
        <w:rPr>
          <w:rFonts w:ascii="Arial" w:eastAsia="Arial" w:hAnsi="Arial" w:cs="Arial"/>
          <w:color w:val="000000"/>
          <w:vertAlign w:val="baseline"/>
        </w:rPr>
        <w:t xml:space="preserve"> </w:t>
      </w:r>
      <w:r>
        <w:rPr>
          <w:rFonts w:ascii="Arial" w:eastAsia="Arial" w:hAnsi="Arial" w:cs="Arial"/>
          <w:color w:val="000000"/>
          <w:sz w:val="20"/>
          <w:szCs w:val="20"/>
          <w:vertAlign w:val="baseline"/>
        </w:rPr>
        <w:t xml:space="preserve">Los umbrales de C-LDL propuestos para cada subgrupo de pacientes según su riesgo son: </w:t>
      </w:r>
    </w:p>
    <w:tbl>
      <w:tblPr>
        <w:tblStyle w:val="ac"/>
        <w:tblW w:w="8255" w:type="dxa"/>
        <w:tblInd w:w="25" w:type="dxa"/>
        <w:tblLayout w:type="fixed"/>
        <w:tblLook w:val="0000" w:firstRow="0" w:lastRow="0" w:firstColumn="0" w:lastColumn="0" w:noHBand="0" w:noVBand="0"/>
      </w:tblPr>
      <w:tblGrid>
        <w:gridCol w:w="4619"/>
        <w:gridCol w:w="1260"/>
        <w:gridCol w:w="2376"/>
      </w:tblGrid>
      <w:tr w:rsidR="00634CDF" w14:paraId="30AD3886" w14:textId="77777777">
        <w:trPr>
          <w:trHeight w:val="191"/>
        </w:trPr>
        <w:tc>
          <w:tcPr>
            <w:tcW w:w="8255" w:type="dxa"/>
            <w:gridSpan w:val="3"/>
            <w:tcBorders>
              <w:top w:val="single" w:sz="4" w:space="0" w:color="000000"/>
              <w:left w:val="single" w:sz="4" w:space="0" w:color="000000"/>
              <w:bottom w:val="single" w:sz="4" w:space="0" w:color="000000"/>
              <w:right w:val="single" w:sz="4" w:space="0" w:color="000000"/>
            </w:tcBorders>
            <w:shd w:val="clear" w:color="auto" w:fill="CCFFCC"/>
          </w:tcPr>
          <w:p w14:paraId="3C76B29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8"/>
                <w:szCs w:val="18"/>
                <w:vertAlign w:val="baseline"/>
              </w:rPr>
              <w:t>Tabla 7. Recomendaciones de la SEA</w:t>
            </w:r>
            <w:r>
              <w:rPr>
                <w:rFonts w:ascii="Arial" w:eastAsia="Arial" w:hAnsi="Arial" w:cs="Arial"/>
                <w:color w:val="000000"/>
                <w:sz w:val="18"/>
                <w:szCs w:val="18"/>
                <w:vertAlign w:val="baseline"/>
              </w:rPr>
              <w:t xml:space="preserve"> </w:t>
            </w:r>
            <w:r>
              <w:rPr>
                <w:rFonts w:ascii="Arial" w:eastAsia="Arial" w:hAnsi="Arial" w:cs="Arial"/>
                <w:b/>
                <w:color w:val="000000"/>
                <w:sz w:val="18"/>
                <w:szCs w:val="18"/>
                <w:vertAlign w:val="baseline"/>
              </w:rPr>
              <w:t>para el uso de iPCSK9 en prevención secundaria</w:t>
            </w:r>
          </w:p>
        </w:tc>
      </w:tr>
      <w:tr w:rsidR="00634CDF" w14:paraId="72283554" w14:textId="77777777" w:rsidTr="00575EC5">
        <w:tc>
          <w:tcPr>
            <w:tcW w:w="4619" w:type="dxa"/>
            <w:tcBorders>
              <w:top w:val="single" w:sz="4" w:space="0" w:color="000000"/>
              <w:left w:val="single" w:sz="4" w:space="0" w:color="000000"/>
              <w:bottom w:val="single" w:sz="4" w:space="0" w:color="auto"/>
            </w:tcBorders>
          </w:tcPr>
          <w:p w14:paraId="005E29FA" w14:textId="77777777" w:rsidR="00634CDF" w:rsidRPr="00575EC5" w:rsidRDefault="00F0051D">
            <w:pPr>
              <w:pBdr>
                <w:top w:val="nil"/>
                <w:left w:val="nil"/>
                <w:bottom w:val="nil"/>
                <w:right w:val="nil"/>
                <w:between w:val="nil"/>
              </w:pBdr>
              <w:spacing w:line="240" w:lineRule="auto"/>
              <w:ind w:left="0" w:hanging="2"/>
              <w:jc w:val="both"/>
              <w:rPr>
                <w:b/>
                <w:color w:val="000000"/>
                <w:vertAlign w:val="baseline"/>
              </w:rPr>
            </w:pPr>
            <w:r w:rsidRPr="00575EC5">
              <w:rPr>
                <w:rFonts w:ascii="Arial" w:eastAsia="Arial" w:hAnsi="Arial" w:cs="Arial"/>
                <w:b/>
                <w:color w:val="000000"/>
                <w:sz w:val="16"/>
                <w:szCs w:val="16"/>
                <w:vertAlign w:val="baseline"/>
              </w:rPr>
              <w:t>Tipo de paciente</w:t>
            </w:r>
          </w:p>
        </w:tc>
        <w:tc>
          <w:tcPr>
            <w:tcW w:w="1260" w:type="dxa"/>
            <w:tcBorders>
              <w:top w:val="single" w:sz="4" w:space="0" w:color="000000"/>
              <w:left w:val="single" w:sz="4" w:space="0" w:color="000000"/>
              <w:bottom w:val="single" w:sz="4" w:space="0" w:color="auto"/>
            </w:tcBorders>
          </w:tcPr>
          <w:p w14:paraId="377CFF43" w14:textId="77777777" w:rsidR="00634CDF" w:rsidRPr="00575EC5" w:rsidRDefault="00F0051D">
            <w:pPr>
              <w:pBdr>
                <w:top w:val="nil"/>
                <w:left w:val="nil"/>
                <w:bottom w:val="nil"/>
                <w:right w:val="nil"/>
                <w:between w:val="nil"/>
              </w:pBdr>
              <w:spacing w:line="240" w:lineRule="auto"/>
              <w:ind w:left="0" w:hanging="2"/>
              <w:jc w:val="both"/>
              <w:rPr>
                <w:b/>
                <w:color w:val="000000"/>
                <w:vertAlign w:val="baseline"/>
              </w:rPr>
            </w:pPr>
            <w:r w:rsidRPr="00575EC5">
              <w:rPr>
                <w:rFonts w:ascii="Arial" w:eastAsia="Arial" w:hAnsi="Arial" w:cs="Arial"/>
                <w:b/>
                <w:color w:val="000000"/>
                <w:sz w:val="16"/>
                <w:szCs w:val="16"/>
                <w:vertAlign w:val="baseline"/>
              </w:rPr>
              <w:t>C-LDL*</w:t>
            </w:r>
          </w:p>
        </w:tc>
        <w:tc>
          <w:tcPr>
            <w:tcW w:w="2376" w:type="dxa"/>
            <w:tcBorders>
              <w:top w:val="nil"/>
              <w:bottom w:val="single" w:sz="4" w:space="0" w:color="auto"/>
            </w:tcBorders>
          </w:tcPr>
          <w:p w14:paraId="515983F5" w14:textId="77777777" w:rsidR="00634CDF" w:rsidRPr="00575EC5" w:rsidRDefault="00F0051D">
            <w:pPr>
              <w:pBdr>
                <w:top w:val="nil"/>
                <w:left w:val="nil"/>
                <w:bottom w:val="nil"/>
                <w:right w:val="nil"/>
                <w:between w:val="nil"/>
              </w:pBdr>
              <w:spacing w:line="240" w:lineRule="auto"/>
              <w:ind w:left="0" w:hanging="2"/>
              <w:jc w:val="both"/>
              <w:rPr>
                <w:b/>
                <w:color w:val="000000"/>
                <w:vertAlign w:val="baseline"/>
              </w:rPr>
            </w:pPr>
            <w:r w:rsidRPr="00575EC5">
              <w:rPr>
                <w:rFonts w:ascii="Arial" w:eastAsia="Arial" w:hAnsi="Arial" w:cs="Arial"/>
                <w:b/>
                <w:color w:val="000000"/>
                <w:sz w:val="16"/>
                <w:szCs w:val="16"/>
                <w:vertAlign w:val="baseline"/>
              </w:rPr>
              <w:t>Grado de recomendación</w:t>
            </w:r>
          </w:p>
        </w:tc>
      </w:tr>
      <w:tr w:rsidR="00634CDF" w14:paraId="651B2389" w14:textId="77777777" w:rsidTr="00575EC5">
        <w:tc>
          <w:tcPr>
            <w:tcW w:w="4619" w:type="dxa"/>
            <w:tcBorders>
              <w:top w:val="single" w:sz="4" w:space="0" w:color="auto"/>
              <w:left w:val="single" w:sz="4" w:space="0" w:color="auto"/>
              <w:bottom w:val="single" w:sz="4" w:space="0" w:color="auto"/>
              <w:right w:val="single" w:sz="4" w:space="0" w:color="auto"/>
            </w:tcBorders>
          </w:tcPr>
          <w:p w14:paraId="0B92C3DE" w14:textId="77777777" w:rsidR="00634CDF" w:rsidRDefault="00F0051D">
            <w:pPr>
              <w:pBdr>
                <w:top w:val="nil"/>
                <w:left w:val="nil"/>
                <w:bottom w:val="nil"/>
                <w:right w:val="nil"/>
                <w:between w:val="nil"/>
              </w:pBdr>
              <w:spacing w:after="240" w:line="240" w:lineRule="auto"/>
              <w:ind w:left="0" w:hanging="2"/>
              <w:jc w:val="both"/>
              <w:rPr>
                <w:color w:val="000000"/>
                <w:vertAlign w:val="baseline"/>
              </w:rPr>
            </w:pPr>
            <w:r>
              <w:rPr>
                <w:rFonts w:ascii="Arial" w:eastAsia="Arial" w:hAnsi="Arial" w:cs="Arial"/>
                <w:color w:val="000000"/>
                <w:sz w:val="16"/>
                <w:szCs w:val="16"/>
                <w:vertAlign w:val="baseline"/>
              </w:rPr>
              <w:t>Pacientes con enfermedad coronaria recurrente o multivaso no revascularizable</w:t>
            </w:r>
          </w:p>
          <w:p w14:paraId="1870C1F1" w14:textId="77777777" w:rsidR="00634CDF" w:rsidRDefault="00F0051D">
            <w:pPr>
              <w:pBdr>
                <w:top w:val="nil"/>
                <w:left w:val="nil"/>
                <w:bottom w:val="nil"/>
                <w:right w:val="nil"/>
                <w:between w:val="nil"/>
              </w:pBdr>
              <w:spacing w:after="240" w:line="240" w:lineRule="auto"/>
              <w:ind w:left="0" w:hanging="2"/>
              <w:jc w:val="both"/>
              <w:rPr>
                <w:color w:val="000000"/>
                <w:vertAlign w:val="baseline"/>
              </w:rPr>
            </w:pPr>
            <w:r>
              <w:rPr>
                <w:rFonts w:ascii="Arial" w:eastAsia="Arial" w:hAnsi="Arial" w:cs="Arial"/>
                <w:color w:val="000000"/>
                <w:sz w:val="16"/>
                <w:szCs w:val="16"/>
                <w:vertAlign w:val="baseline"/>
              </w:rPr>
              <w:t>Enfermedad arterial periférica sintomática aislada o enfermedad polivascular(afectación de 2 o más territorios)</w:t>
            </w:r>
          </w:p>
        </w:tc>
        <w:tc>
          <w:tcPr>
            <w:tcW w:w="1260" w:type="dxa"/>
            <w:tcBorders>
              <w:top w:val="single" w:sz="4" w:space="0" w:color="auto"/>
              <w:left w:val="single" w:sz="4" w:space="0" w:color="auto"/>
              <w:bottom w:val="single" w:sz="4" w:space="0" w:color="auto"/>
              <w:right w:val="single" w:sz="4" w:space="0" w:color="auto"/>
            </w:tcBorders>
          </w:tcPr>
          <w:p w14:paraId="38CCE70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&gt;70 mg/dL</w:t>
            </w:r>
          </w:p>
        </w:tc>
        <w:tc>
          <w:tcPr>
            <w:tcW w:w="2376" w:type="dxa"/>
            <w:tcBorders>
              <w:top w:val="single" w:sz="4" w:space="0" w:color="auto"/>
              <w:left w:val="single" w:sz="4" w:space="0" w:color="auto"/>
              <w:bottom w:val="single" w:sz="4" w:space="0" w:color="auto"/>
              <w:right w:val="single" w:sz="4" w:space="0" w:color="auto"/>
            </w:tcBorders>
          </w:tcPr>
          <w:p w14:paraId="27C9003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Fuerte</w:t>
            </w:r>
          </w:p>
        </w:tc>
      </w:tr>
      <w:tr w:rsidR="00634CDF" w14:paraId="1E04EB01" w14:textId="77777777" w:rsidTr="00575EC5">
        <w:trPr>
          <w:trHeight w:val="98"/>
        </w:trPr>
        <w:tc>
          <w:tcPr>
            <w:tcW w:w="4619" w:type="dxa"/>
            <w:tcBorders>
              <w:top w:val="single" w:sz="4" w:space="0" w:color="auto"/>
              <w:left w:val="single" w:sz="4" w:space="0" w:color="auto"/>
              <w:bottom w:val="single" w:sz="4" w:space="0" w:color="auto"/>
              <w:right w:val="single" w:sz="4" w:space="0" w:color="auto"/>
            </w:tcBorders>
          </w:tcPr>
          <w:p w14:paraId="5D2F36E1" w14:textId="77777777" w:rsidR="00634CDF" w:rsidRPr="008A0596" w:rsidRDefault="00F0051D">
            <w:pPr>
              <w:pBdr>
                <w:top w:val="nil"/>
                <w:left w:val="nil"/>
                <w:bottom w:val="nil"/>
                <w:right w:val="nil"/>
                <w:between w:val="nil"/>
              </w:pBdr>
              <w:spacing w:after="240"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Síndrome coronario agudo &lt; 1 año + diabetes,</w:t>
            </w:r>
          </w:p>
          <w:p w14:paraId="77593618" w14:textId="77777777" w:rsidR="00634CDF" w:rsidRPr="008A0596" w:rsidRDefault="00782245">
            <w:pPr>
              <w:pBdr>
                <w:top w:val="nil"/>
                <w:left w:val="nil"/>
                <w:bottom w:val="nil"/>
                <w:right w:val="nil"/>
                <w:between w:val="nil"/>
              </w:pBdr>
              <w:spacing w:after="240" w:line="240" w:lineRule="auto"/>
              <w:ind w:left="0" w:hanging="2"/>
              <w:jc w:val="both"/>
              <w:rPr>
                <w:rFonts w:ascii="Arial" w:eastAsia="Arial" w:hAnsi="Arial" w:cs="Arial"/>
                <w:color w:val="000000"/>
                <w:sz w:val="16"/>
                <w:szCs w:val="16"/>
                <w:vertAlign w:val="baseline"/>
              </w:rPr>
            </w:pPr>
            <w:sdt>
              <w:sdtPr>
                <w:rPr>
                  <w:rFonts w:ascii="Arial" w:eastAsia="Arial" w:hAnsi="Arial" w:cs="Arial"/>
                  <w:color w:val="000000"/>
                  <w:sz w:val="16"/>
                  <w:szCs w:val="16"/>
                  <w:vertAlign w:val="baseline"/>
                </w:rPr>
                <w:tag w:val="goog_rdk_8"/>
                <w:id w:val="-95406839"/>
              </w:sdtPr>
              <w:sdtEndPr/>
              <w:sdtContent>
                <w:r w:rsidR="00F0051D" w:rsidRPr="008A0596">
                  <w:rPr>
                    <w:rFonts w:ascii="Arial" w:eastAsia="Arial" w:hAnsi="Arial" w:cs="Arial"/>
                    <w:color w:val="000000"/>
                    <w:sz w:val="16"/>
                    <w:szCs w:val="16"/>
                    <w:vertAlign w:val="baseline"/>
                  </w:rPr>
                  <w:t>Insuficiencia renal crónica estadio ≥3 + 1 factor de riesgo cardiovascular adicional</w:t>
                </w:r>
              </w:sdtContent>
            </w:sdt>
          </w:p>
        </w:tc>
        <w:tc>
          <w:tcPr>
            <w:tcW w:w="1260" w:type="dxa"/>
            <w:tcBorders>
              <w:top w:val="single" w:sz="4" w:space="0" w:color="auto"/>
              <w:left w:val="single" w:sz="4" w:space="0" w:color="auto"/>
              <w:bottom w:val="single" w:sz="4" w:space="0" w:color="auto"/>
              <w:right w:val="single" w:sz="4" w:space="0" w:color="auto"/>
            </w:tcBorders>
          </w:tcPr>
          <w:p w14:paraId="347D2730" w14:textId="77777777" w:rsidR="00634CDF" w:rsidRPr="008A0596"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&gt;70 mg/dL</w:t>
            </w:r>
          </w:p>
        </w:tc>
        <w:tc>
          <w:tcPr>
            <w:tcW w:w="2376" w:type="dxa"/>
            <w:tcBorders>
              <w:top w:val="single" w:sz="4" w:space="0" w:color="auto"/>
              <w:left w:val="single" w:sz="4" w:space="0" w:color="auto"/>
              <w:bottom w:val="single" w:sz="4" w:space="0" w:color="auto"/>
              <w:right w:val="single" w:sz="4" w:space="0" w:color="auto"/>
            </w:tcBorders>
          </w:tcPr>
          <w:p w14:paraId="405528A4" w14:textId="77777777" w:rsidR="00634CDF" w:rsidRPr="008A0596"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Débil</w:t>
            </w:r>
          </w:p>
        </w:tc>
      </w:tr>
      <w:tr w:rsidR="00634CDF" w14:paraId="76616911" w14:textId="77777777" w:rsidTr="00575EC5">
        <w:trPr>
          <w:trHeight w:val="855"/>
        </w:trPr>
        <w:tc>
          <w:tcPr>
            <w:tcW w:w="4619" w:type="dxa"/>
            <w:tcBorders>
              <w:top w:val="single" w:sz="4" w:space="0" w:color="auto"/>
              <w:left w:val="single" w:sz="4" w:space="0" w:color="auto"/>
              <w:bottom w:val="single" w:sz="4" w:space="0" w:color="auto"/>
              <w:right w:val="single" w:sz="4" w:space="0" w:color="auto"/>
            </w:tcBorders>
          </w:tcPr>
          <w:p w14:paraId="3DB84D85" w14:textId="77777777" w:rsidR="00634CDF" w:rsidRPr="008A0596" w:rsidRDefault="00F0051D">
            <w:pPr>
              <w:pBdr>
                <w:top w:val="nil"/>
                <w:left w:val="nil"/>
                <w:bottom w:val="nil"/>
                <w:right w:val="nil"/>
                <w:between w:val="nil"/>
              </w:pBdr>
              <w:spacing w:after="240"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Pacientes con síndrome coronario agudo (&lt; 1 año)</w:t>
            </w:r>
          </w:p>
          <w:p w14:paraId="6282BE15" w14:textId="77777777" w:rsidR="00634CDF" w:rsidRPr="008A0596" w:rsidRDefault="00F0051D">
            <w:pPr>
              <w:pBdr>
                <w:top w:val="nil"/>
                <w:left w:val="nil"/>
                <w:bottom w:val="nil"/>
                <w:right w:val="nil"/>
                <w:between w:val="nil"/>
              </w:pBdr>
              <w:spacing w:after="240"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Lp(a) &gt; 50 mg/dl</w:t>
            </w:r>
          </w:p>
        </w:tc>
        <w:tc>
          <w:tcPr>
            <w:tcW w:w="1260" w:type="dxa"/>
            <w:tcBorders>
              <w:top w:val="single" w:sz="4" w:space="0" w:color="auto"/>
              <w:left w:val="single" w:sz="4" w:space="0" w:color="auto"/>
              <w:bottom w:val="single" w:sz="4" w:space="0" w:color="auto"/>
              <w:right w:val="single" w:sz="4" w:space="0" w:color="auto"/>
            </w:tcBorders>
          </w:tcPr>
          <w:p w14:paraId="4CC31281" w14:textId="77777777" w:rsidR="00634CDF" w:rsidRPr="008A0596"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&gt;100 mg/dL</w:t>
            </w:r>
          </w:p>
        </w:tc>
        <w:tc>
          <w:tcPr>
            <w:tcW w:w="2376" w:type="dxa"/>
            <w:tcBorders>
              <w:top w:val="single" w:sz="4" w:space="0" w:color="auto"/>
              <w:left w:val="single" w:sz="4" w:space="0" w:color="auto"/>
              <w:bottom w:val="single" w:sz="4" w:space="0" w:color="auto"/>
              <w:right w:val="single" w:sz="4" w:space="0" w:color="auto"/>
            </w:tcBorders>
          </w:tcPr>
          <w:p w14:paraId="72A9C7C3" w14:textId="77777777" w:rsidR="00634CDF" w:rsidRPr="008A0596"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Fuerte</w:t>
            </w:r>
          </w:p>
        </w:tc>
      </w:tr>
      <w:tr w:rsidR="00634CDF" w14:paraId="573A1842" w14:textId="77777777" w:rsidTr="00575EC5">
        <w:tc>
          <w:tcPr>
            <w:tcW w:w="4619" w:type="dxa"/>
            <w:tcBorders>
              <w:top w:val="single" w:sz="4" w:space="0" w:color="auto"/>
              <w:left w:val="single" w:sz="4" w:space="0" w:color="auto"/>
              <w:bottom w:val="single" w:sz="4" w:space="0" w:color="auto"/>
              <w:right w:val="single" w:sz="4" w:space="0" w:color="auto"/>
            </w:tcBorders>
          </w:tcPr>
          <w:p w14:paraId="12089A4E" w14:textId="77777777" w:rsidR="00634CDF" w:rsidRPr="008A0596" w:rsidRDefault="00F0051D">
            <w:pPr>
              <w:pBdr>
                <w:top w:val="nil"/>
                <w:left w:val="nil"/>
                <w:bottom w:val="nil"/>
                <w:right w:val="nil"/>
                <w:between w:val="nil"/>
              </w:pBdr>
              <w:spacing w:after="240"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Diabetes + 1 factor de riesgo cardiovascular adicional</w:t>
            </w:r>
          </w:p>
          <w:p w14:paraId="6F144FD1" w14:textId="77777777" w:rsidR="00634CDF" w:rsidRPr="008A0596" w:rsidRDefault="00F0051D">
            <w:pPr>
              <w:pBdr>
                <w:top w:val="nil"/>
                <w:left w:val="nil"/>
                <w:bottom w:val="nil"/>
                <w:right w:val="nil"/>
                <w:between w:val="nil"/>
              </w:pBdr>
              <w:spacing w:after="240"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Más de 2 factores de riesgo cardiovascular adicionales no controlados</w:t>
            </w:r>
          </w:p>
        </w:tc>
        <w:tc>
          <w:tcPr>
            <w:tcW w:w="1260" w:type="dxa"/>
            <w:tcBorders>
              <w:top w:val="single" w:sz="4" w:space="0" w:color="auto"/>
              <w:left w:val="single" w:sz="4" w:space="0" w:color="auto"/>
              <w:bottom w:val="single" w:sz="4" w:space="0" w:color="auto"/>
              <w:right w:val="single" w:sz="4" w:space="0" w:color="auto"/>
            </w:tcBorders>
          </w:tcPr>
          <w:p w14:paraId="7946E894" w14:textId="77777777" w:rsidR="00634CDF" w:rsidRPr="008A0596"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&gt;100 mg/dL</w:t>
            </w:r>
          </w:p>
        </w:tc>
        <w:tc>
          <w:tcPr>
            <w:tcW w:w="2376" w:type="dxa"/>
            <w:tcBorders>
              <w:top w:val="single" w:sz="4" w:space="0" w:color="auto"/>
              <w:left w:val="single" w:sz="4" w:space="0" w:color="auto"/>
              <w:bottom w:val="single" w:sz="4" w:space="0" w:color="auto"/>
              <w:right w:val="single" w:sz="4" w:space="0" w:color="auto"/>
            </w:tcBorders>
          </w:tcPr>
          <w:p w14:paraId="30556616" w14:textId="77777777" w:rsidR="00634CDF" w:rsidRPr="008A0596"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Débil</w:t>
            </w:r>
          </w:p>
        </w:tc>
      </w:tr>
      <w:tr w:rsidR="00634CDF" w14:paraId="179DBACE" w14:textId="77777777" w:rsidTr="00575EC5">
        <w:tc>
          <w:tcPr>
            <w:tcW w:w="4619" w:type="dxa"/>
            <w:tcBorders>
              <w:top w:val="single" w:sz="4" w:space="0" w:color="auto"/>
              <w:left w:val="single" w:sz="4" w:space="0" w:color="auto"/>
              <w:bottom w:val="single" w:sz="4" w:space="0" w:color="auto"/>
              <w:right w:val="single" w:sz="4" w:space="0" w:color="auto"/>
            </w:tcBorders>
          </w:tcPr>
          <w:p w14:paraId="6AC173A4" w14:textId="77777777" w:rsidR="00634CDF" w:rsidRDefault="00F0051D">
            <w:pPr>
              <w:pBdr>
                <w:top w:val="nil"/>
                <w:left w:val="nil"/>
                <w:bottom w:val="nil"/>
                <w:right w:val="nil"/>
                <w:between w:val="nil"/>
              </w:pBdr>
              <w:spacing w:after="240" w:line="240" w:lineRule="auto"/>
              <w:ind w:left="0" w:hanging="2"/>
              <w:jc w:val="both"/>
              <w:rPr>
                <w:color w:val="000000"/>
                <w:vertAlign w:val="baseline"/>
              </w:rPr>
            </w:pPr>
            <w:r>
              <w:rPr>
                <w:rFonts w:ascii="Arial" w:eastAsia="Arial" w:hAnsi="Arial" w:cs="Arial"/>
                <w:color w:val="000000"/>
                <w:sz w:val="16"/>
                <w:szCs w:val="16"/>
                <w:vertAlign w:val="baseline"/>
              </w:rPr>
              <w:t>Pacientes estables</w:t>
            </w:r>
          </w:p>
        </w:tc>
        <w:tc>
          <w:tcPr>
            <w:tcW w:w="1260" w:type="dxa"/>
            <w:tcBorders>
              <w:top w:val="single" w:sz="4" w:space="0" w:color="auto"/>
              <w:left w:val="single" w:sz="4" w:space="0" w:color="auto"/>
              <w:bottom w:val="single" w:sz="4" w:space="0" w:color="auto"/>
              <w:right w:val="single" w:sz="4" w:space="0" w:color="auto"/>
            </w:tcBorders>
          </w:tcPr>
          <w:p w14:paraId="1A7E485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&gt;130 mg/dL</w:t>
            </w:r>
          </w:p>
        </w:tc>
        <w:tc>
          <w:tcPr>
            <w:tcW w:w="2376" w:type="dxa"/>
            <w:tcBorders>
              <w:top w:val="single" w:sz="4" w:space="0" w:color="auto"/>
              <w:left w:val="single" w:sz="4" w:space="0" w:color="auto"/>
              <w:bottom w:val="single" w:sz="4" w:space="0" w:color="auto"/>
              <w:right w:val="single" w:sz="4" w:space="0" w:color="auto"/>
            </w:tcBorders>
          </w:tcPr>
          <w:p w14:paraId="79AA5C2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Fuerte</w:t>
            </w:r>
          </w:p>
        </w:tc>
      </w:tr>
    </w:tbl>
    <w:p w14:paraId="19142FB4" w14:textId="77777777" w:rsidR="00634CDF" w:rsidRDefault="00634CDF">
      <w:pPr>
        <w:pBdr>
          <w:top w:val="nil"/>
          <w:left w:val="nil"/>
          <w:bottom w:val="nil"/>
          <w:right w:val="nil"/>
          <w:between w:val="nil"/>
        </w:pBdr>
        <w:spacing w:after="240" w:line="240" w:lineRule="auto"/>
        <w:ind w:left="0" w:hanging="2"/>
        <w:jc w:val="both"/>
        <w:rPr>
          <w:rFonts w:ascii="Arial" w:eastAsia="Arial" w:hAnsi="Arial" w:cs="Arial"/>
          <w:color w:val="000000"/>
          <w:sz w:val="20"/>
          <w:szCs w:val="20"/>
          <w:vertAlign w:val="baseline"/>
        </w:rPr>
      </w:pPr>
    </w:p>
    <w:p w14:paraId="3676CF14" w14:textId="77777777" w:rsidR="00634CDF" w:rsidRDefault="00F0051D">
      <w:pPr>
        <w:pBdr>
          <w:top w:val="nil"/>
          <w:left w:val="nil"/>
          <w:bottom w:val="nil"/>
          <w:right w:val="nil"/>
          <w:between w:val="nil"/>
        </w:pBdr>
        <w:spacing w:after="240" w:line="240" w:lineRule="auto"/>
        <w:ind w:left="0" w:hanging="2"/>
        <w:jc w:val="both"/>
        <w:rPr>
          <w:color w:val="000000"/>
          <w:vertAlign w:val="baseline"/>
        </w:rPr>
      </w:pPr>
      <w:r>
        <w:rPr>
          <w:rFonts w:ascii="Arial" w:eastAsia="Arial" w:hAnsi="Arial" w:cs="Arial"/>
          <w:color w:val="000000"/>
          <w:sz w:val="20"/>
          <w:szCs w:val="20"/>
          <w:vertAlign w:val="baseline"/>
        </w:rPr>
        <w:t xml:space="preserve">Por último, también proponen (recomendación débil) un </w:t>
      </w:r>
      <w:r>
        <w:rPr>
          <w:rFonts w:ascii="Arial" w:eastAsia="Arial" w:hAnsi="Arial" w:cs="Arial"/>
          <w:sz w:val="20"/>
          <w:szCs w:val="20"/>
          <w:vertAlign w:val="baseline"/>
        </w:rPr>
        <w:t>umbral</w:t>
      </w:r>
      <w:r>
        <w:rPr>
          <w:rFonts w:ascii="Arial" w:eastAsia="Arial" w:hAnsi="Arial" w:cs="Arial"/>
          <w:color w:val="000000"/>
          <w:sz w:val="20"/>
          <w:szCs w:val="20"/>
          <w:vertAlign w:val="baseline"/>
        </w:rPr>
        <w:t xml:space="preserve"> C-LDL&gt;130 mg/dL en prevención primaria en pacientes de muy alto riesgo (&gt;30% de eventos mayores cardiovasculares en 10 años).</w:t>
      </w:r>
    </w:p>
    <w:p w14:paraId="06F2FF12"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color w:val="000000"/>
          <w:sz w:val="20"/>
          <w:szCs w:val="20"/>
          <w:vertAlign w:val="baseline"/>
        </w:rPr>
        <w:t xml:space="preserve">3.3 Características comparadas con otras alternativas similares </w:t>
      </w:r>
    </w:p>
    <w:p w14:paraId="33300FFC" w14:textId="77777777" w:rsidR="00634CDF" w:rsidRDefault="00634CDF">
      <w:pPr>
        <w:pBdr>
          <w:top w:val="nil"/>
          <w:left w:val="nil"/>
          <w:bottom w:val="nil"/>
          <w:right w:val="nil"/>
          <w:between w:val="nil"/>
        </w:pBdr>
        <w:spacing w:line="240" w:lineRule="auto"/>
        <w:ind w:left="0" w:hanging="2"/>
        <w:rPr>
          <w:color w:val="000000"/>
          <w:vertAlign w:val="baseline"/>
        </w:rPr>
      </w:pPr>
    </w:p>
    <w:p w14:paraId="55E2041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20"/>
          <w:szCs w:val="20"/>
          <w:vertAlign w:val="baseline"/>
        </w:rPr>
        <w:t xml:space="preserve">Alternativas disponibles en el Hospital para la misma indicación. </w:t>
      </w:r>
    </w:p>
    <w:p w14:paraId="5AC40CD8" w14:textId="77777777" w:rsidR="00634CDF" w:rsidRDefault="00634CDF">
      <w:pPr>
        <w:pBdr>
          <w:top w:val="nil"/>
          <w:left w:val="nil"/>
          <w:bottom w:val="nil"/>
          <w:right w:val="nil"/>
          <w:between w:val="nil"/>
        </w:pBdr>
        <w:tabs>
          <w:tab w:val="center" w:pos="4252"/>
          <w:tab w:val="right" w:pos="8504"/>
        </w:tabs>
        <w:spacing w:line="240" w:lineRule="auto"/>
        <w:ind w:left="0" w:hanging="2"/>
        <w:rPr>
          <w:rFonts w:ascii="Arial" w:eastAsia="Arial" w:hAnsi="Arial" w:cs="Arial"/>
          <w:color w:val="000000"/>
          <w:vertAlign w:val="baseline"/>
        </w:rPr>
      </w:pPr>
    </w:p>
    <w:tbl>
      <w:tblPr>
        <w:tblStyle w:val="ad"/>
        <w:tblW w:w="8909" w:type="dxa"/>
        <w:tblInd w:w="-5" w:type="dxa"/>
        <w:tblLayout w:type="fixed"/>
        <w:tblLook w:val="0000" w:firstRow="0" w:lastRow="0" w:firstColumn="0" w:lastColumn="0" w:noHBand="0" w:noVBand="0"/>
      </w:tblPr>
      <w:tblGrid>
        <w:gridCol w:w="2190"/>
        <w:gridCol w:w="2146"/>
        <w:gridCol w:w="2153"/>
        <w:gridCol w:w="2420"/>
      </w:tblGrid>
      <w:tr w:rsidR="00634CDF" w14:paraId="291A8448" w14:textId="77777777">
        <w:tc>
          <w:tcPr>
            <w:tcW w:w="8909" w:type="dxa"/>
            <w:gridSpan w:val="4"/>
            <w:tcBorders>
              <w:top w:val="single" w:sz="4" w:space="0" w:color="000000"/>
              <w:left w:val="single" w:sz="4" w:space="0" w:color="000000"/>
              <w:bottom w:val="single" w:sz="4" w:space="0" w:color="000000"/>
              <w:right w:val="single" w:sz="4" w:space="0" w:color="000000"/>
            </w:tcBorders>
            <w:shd w:val="clear" w:color="auto" w:fill="CCFFCC"/>
          </w:tcPr>
          <w:p w14:paraId="2E2DAB89" w14:textId="77777777" w:rsidR="00634CDF" w:rsidRDefault="00F0051D">
            <w:pPr>
              <w:pBdr>
                <w:top w:val="nil"/>
                <w:left w:val="nil"/>
                <w:bottom w:val="nil"/>
                <w:right w:val="nil"/>
                <w:between w:val="nil"/>
              </w:pBdr>
              <w:tabs>
                <w:tab w:val="center" w:pos="4252"/>
                <w:tab w:val="right" w:pos="8504"/>
              </w:tabs>
              <w:spacing w:line="240" w:lineRule="auto"/>
              <w:ind w:left="0" w:hanging="2"/>
              <w:rPr>
                <w:color w:val="000000"/>
                <w:vertAlign w:val="baseline"/>
              </w:rPr>
            </w:pPr>
            <w:r>
              <w:rPr>
                <w:rFonts w:ascii="Arial" w:eastAsia="Arial" w:hAnsi="Arial" w:cs="Arial"/>
                <w:b/>
                <w:color w:val="000000"/>
                <w:sz w:val="18"/>
                <w:szCs w:val="18"/>
                <w:vertAlign w:val="baseline"/>
              </w:rPr>
              <w:t>Tabla 8. Características diferenciales comparadas con otras alternativas similares</w:t>
            </w:r>
          </w:p>
        </w:tc>
      </w:tr>
      <w:tr w:rsidR="00634CDF" w14:paraId="1F7F37A0" w14:textId="77777777">
        <w:tc>
          <w:tcPr>
            <w:tcW w:w="2190" w:type="dxa"/>
            <w:tcBorders>
              <w:top w:val="single" w:sz="4" w:space="0" w:color="000000"/>
              <w:left w:val="single" w:sz="4" w:space="0" w:color="000000"/>
              <w:bottom w:val="single" w:sz="4" w:space="0" w:color="000000"/>
            </w:tcBorders>
          </w:tcPr>
          <w:p w14:paraId="79518C01" w14:textId="77777777" w:rsidR="00634CDF" w:rsidRDefault="00F0051D">
            <w:pPr>
              <w:pBdr>
                <w:top w:val="nil"/>
                <w:left w:val="nil"/>
                <w:bottom w:val="nil"/>
                <w:right w:val="nil"/>
                <w:between w:val="nil"/>
              </w:pBdr>
              <w:tabs>
                <w:tab w:val="center" w:pos="4252"/>
                <w:tab w:val="right" w:pos="8504"/>
              </w:tabs>
              <w:spacing w:line="240" w:lineRule="auto"/>
              <w:ind w:left="0" w:hanging="2"/>
              <w:rPr>
                <w:color w:val="000000"/>
                <w:vertAlign w:val="baseline"/>
              </w:rPr>
            </w:pPr>
            <w:r>
              <w:rPr>
                <w:rFonts w:ascii="Arial" w:eastAsia="Arial" w:hAnsi="Arial" w:cs="Arial"/>
                <w:b/>
                <w:color w:val="000000"/>
                <w:sz w:val="18"/>
                <w:szCs w:val="18"/>
                <w:vertAlign w:val="baseline"/>
              </w:rPr>
              <w:t>Nombre</w:t>
            </w:r>
          </w:p>
        </w:tc>
        <w:tc>
          <w:tcPr>
            <w:tcW w:w="2146" w:type="dxa"/>
            <w:tcBorders>
              <w:top w:val="single" w:sz="4" w:space="0" w:color="000000"/>
              <w:left w:val="single" w:sz="4" w:space="0" w:color="000000"/>
              <w:bottom w:val="single" w:sz="4" w:space="0" w:color="000000"/>
            </w:tcBorders>
          </w:tcPr>
          <w:p w14:paraId="4874F800" w14:textId="77777777" w:rsidR="00634CDF" w:rsidRDefault="00F0051D">
            <w:pPr>
              <w:pBdr>
                <w:top w:val="nil"/>
                <w:left w:val="nil"/>
                <w:bottom w:val="nil"/>
                <w:right w:val="nil"/>
                <w:between w:val="nil"/>
              </w:pBdr>
              <w:tabs>
                <w:tab w:val="center" w:pos="4252"/>
                <w:tab w:val="right" w:pos="8504"/>
              </w:tabs>
              <w:spacing w:line="240" w:lineRule="auto"/>
              <w:ind w:left="0" w:hanging="2"/>
              <w:rPr>
                <w:color w:val="000000"/>
                <w:vertAlign w:val="baseline"/>
              </w:rPr>
            </w:pPr>
            <w:r>
              <w:rPr>
                <w:rFonts w:ascii="Arial" w:eastAsia="Arial" w:hAnsi="Arial" w:cs="Arial"/>
                <w:b/>
                <w:color w:val="000000"/>
                <w:sz w:val="18"/>
                <w:szCs w:val="18"/>
                <w:vertAlign w:val="baseline"/>
              </w:rPr>
              <w:t>Inclisiran</w:t>
            </w:r>
          </w:p>
        </w:tc>
        <w:tc>
          <w:tcPr>
            <w:tcW w:w="2153" w:type="dxa"/>
            <w:tcBorders>
              <w:top w:val="single" w:sz="4" w:space="0" w:color="000000"/>
              <w:left w:val="single" w:sz="4" w:space="0" w:color="000000"/>
              <w:bottom w:val="single" w:sz="4" w:space="0" w:color="000000"/>
            </w:tcBorders>
          </w:tcPr>
          <w:p w14:paraId="4A5AF8BB" w14:textId="77777777" w:rsidR="00634CDF" w:rsidRPr="00102A89" w:rsidRDefault="00F0051D">
            <w:pPr>
              <w:pBdr>
                <w:top w:val="nil"/>
                <w:left w:val="nil"/>
                <w:bottom w:val="nil"/>
                <w:right w:val="nil"/>
                <w:between w:val="nil"/>
              </w:pBdr>
              <w:tabs>
                <w:tab w:val="center" w:pos="4252"/>
                <w:tab w:val="right" w:pos="8504"/>
              </w:tabs>
              <w:spacing w:line="240" w:lineRule="auto"/>
              <w:ind w:left="0" w:hanging="2"/>
              <w:rPr>
                <w:b/>
                <w:color w:val="000000"/>
                <w:vertAlign w:val="baseline"/>
              </w:rPr>
            </w:pPr>
            <w:r w:rsidRPr="00102A89">
              <w:rPr>
                <w:rFonts w:ascii="Arial" w:eastAsia="Arial" w:hAnsi="Arial" w:cs="Arial"/>
                <w:b/>
                <w:color w:val="000000"/>
                <w:sz w:val="18"/>
                <w:szCs w:val="18"/>
                <w:vertAlign w:val="baseline"/>
              </w:rPr>
              <w:t>Evolocumab</w:t>
            </w:r>
          </w:p>
        </w:tc>
        <w:tc>
          <w:tcPr>
            <w:tcW w:w="2420" w:type="dxa"/>
            <w:tcBorders>
              <w:top w:val="single" w:sz="4" w:space="0" w:color="000000"/>
              <w:left w:val="single" w:sz="4" w:space="0" w:color="000000"/>
              <w:bottom w:val="single" w:sz="4" w:space="0" w:color="000000"/>
              <w:right w:val="single" w:sz="4" w:space="0" w:color="000000"/>
            </w:tcBorders>
          </w:tcPr>
          <w:p w14:paraId="1F050AE2" w14:textId="77777777" w:rsidR="00634CDF" w:rsidRDefault="00F0051D">
            <w:pPr>
              <w:pBdr>
                <w:top w:val="nil"/>
                <w:left w:val="nil"/>
                <w:bottom w:val="nil"/>
                <w:right w:val="nil"/>
                <w:between w:val="nil"/>
              </w:pBdr>
              <w:tabs>
                <w:tab w:val="center" w:pos="4252"/>
                <w:tab w:val="right" w:pos="8504"/>
              </w:tabs>
              <w:spacing w:line="240" w:lineRule="auto"/>
              <w:ind w:left="0" w:hanging="2"/>
              <w:rPr>
                <w:color w:val="000000"/>
                <w:vertAlign w:val="baseline"/>
              </w:rPr>
            </w:pPr>
            <w:r>
              <w:rPr>
                <w:rFonts w:ascii="Arial" w:eastAsia="Arial" w:hAnsi="Arial" w:cs="Arial"/>
                <w:b/>
                <w:color w:val="000000"/>
                <w:sz w:val="18"/>
                <w:szCs w:val="18"/>
                <w:vertAlign w:val="baseline"/>
              </w:rPr>
              <w:t>Alirocumab</w:t>
            </w:r>
          </w:p>
        </w:tc>
      </w:tr>
      <w:tr w:rsidR="00634CDF" w14:paraId="466FEC02" w14:textId="77777777">
        <w:tc>
          <w:tcPr>
            <w:tcW w:w="2190" w:type="dxa"/>
            <w:tcBorders>
              <w:top w:val="single" w:sz="4" w:space="0" w:color="000000"/>
              <w:left w:val="single" w:sz="4" w:space="0" w:color="000000"/>
              <w:bottom w:val="single" w:sz="4" w:space="0" w:color="000000"/>
            </w:tcBorders>
          </w:tcPr>
          <w:p w14:paraId="6E85BF7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Presentación</w:t>
            </w:r>
          </w:p>
        </w:tc>
        <w:tc>
          <w:tcPr>
            <w:tcW w:w="2146" w:type="dxa"/>
            <w:tcBorders>
              <w:top w:val="single" w:sz="4" w:space="0" w:color="000000"/>
              <w:left w:val="single" w:sz="4" w:space="0" w:color="000000"/>
              <w:bottom w:val="single" w:sz="4" w:space="0" w:color="000000"/>
            </w:tcBorders>
          </w:tcPr>
          <w:p w14:paraId="1C0EA62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1 jeringa precargada de 284 mg</w:t>
            </w:r>
          </w:p>
        </w:tc>
        <w:tc>
          <w:tcPr>
            <w:tcW w:w="2153" w:type="dxa"/>
            <w:tcBorders>
              <w:top w:val="single" w:sz="4" w:space="0" w:color="000000"/>
              <w:left w:val="single" w:sz="4" w:space="0" w:color="000000"/>
              <w:bottom w:val="single" w:sz="4" w:space="0" w:color="000000"/>
            </w:tcBorders>
          </w:tcPr>
          <w:p w14:paraId="7909C88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2 plumas precargadas de 140 mg</w:t>
            </w:r>
          </w:p>
        </w:tc>
        <w:tc>
          <w:tcPr>
            <w:tcW w:w="2420" w:type="dxa"/>
            <w:tcBorders>
              <w:top w:val="single" w:sz="4" w:space="0" w:color="000000"/>
              <w:left w:val="single" w:sz="4" w:space="0" w:color="000000"/>
              <w:bottom w:val="single" w:sz="4" w:space="0" w:color="000000"/>
              <w:right w:val="single" w:sz="4" w:space="0" w:color="000000"/>
            </w:tcBorders>
          </w:tcPr>
          <w:p w14:paraId="075E445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2 plumas precargadas de 75 mg o de 150 mg</w:t>
            </w:r>
          </w:p>
        </w:tc>
      </w:tr>
      <w:tr w:rsidR="00634CDF" w14:paraId="04A310FC" w14:textId="77777777">
        <w:tc>
          <w:tcPr>
            <w:tcW w:w="2190" w:type="dxa"/>
            <w:tcBorders>
              <w:top w:val="single" w:sz="4" w:space="0" w:color="000000"/>
              <w:left w:val="single" w:sz="4" w:space="0" w:color="000000"/>
              <w:bottom w:val="single" w:sz="4" w:space="0" w:color="000000"/>
            </w:tcBorders>
          </w:tcPr>
          <w:p w14:paraId="4EBDE9F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Posología</w:t>
            </w:r>
          </w:p>
        </w:tc>
        <w:tc>
          <w:tcPr>
            <w:tcW w:w="2146" w:type="dxa"/>
            <w:tcBorders>
              <w:top w:val="single" w:sz="4" w:space="0" w:color="000000"/>
              <w:left w:val="single" w:sz="4" w:space="0" w:color="000000"/>
              <w:bottom w:val="single" w:sz="4" w:space="0" w:color="000000"/>
            </w:tcBorders>
          </w:tcPr>
          <w:p w14:paraId="66C6398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1 jeringa de administración subcutánea de 284 mg al inicio, a los 3 meses y posteriormente cada 6 meses (2 /año)</w:t>
            </w:r>
          </w:p>
        </w:tc>
        <w:tc>
          <w:tcPr>
            <w:tcW w:w="2153" w:type="dxa"/>
            <w:tcBorders>
              <w:top w:val="single" w:sz="4" w:space="0" w:color="000000"/>
              <w:left w:val="single" w:sz="4" w:space="0" w:color="000000"/>
              <w:bottom w:val="single" w:sz="4" w:space="0" w:color="000000"/>
            </w:tcBorders>
          </w:tcPr>
          <w:p w14:paraId="5D9A70E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1 jeringa de administración subcutánea de 140 mg cada 2 semanas o 3 jeringas de 140 mg (420 mg) cada mes. </w:t>
            </w:r>
          </w:p>
          <w:p w14:paraId="08E9F48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En hipercolesterolemia familiar homocigóticas iniciar con 3 jeringas de 140 mg (420 mg) cada mes y posteriormente ajustar a 3 jeringas de 140 mg (420 mg) cada dos semanas si no hay respuesta. </w:t>
            </w:r>
          </w:p>
        </w:tc>
        <w:tc>
          <w:tcPr>
            <w:tcW w:w="2420" w:type="dxa"/>
            <w:tcBorders>
              <w:top w:val="single" w:sz="4" w:space="0" w:color="000000"/>
              <w:left w:val="single" w:sz="4" w:space="0" w:color="000000"/>
              <w:bottom w:val="single" w:sz="4" w:space="0" w:color="000000"/>
              <w:right w:val="single" w:sz="4" w:space="0" w:color="000000"/>
            </w:tcBorders>
          </w:tcPr>
          <w:p w14:paraId="1255E79C"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Inicialmente, 1 jeringa de administración subcutánea de 75 mg cada 2 semanas. Los pacientes que requieran una reducción de c-LDL&gt;60% pueden comenzar con una jeringa de 150 mg cada dos semanas o 2 jeringas (300 mg) cada 4 semanas. </w:t>
            </w:r>
          </w:p>
        </w:tc>
      </w:tr>
      <w:tr w:rsidR="00634CDF" w14:paraId="211F77B7" w14:textId="77777777">
        <w:tc>
          <w:tcPr>
            <w:tcW w:w="2190" w:type="dxa"/>
            <w:tcBorders>
              <w:top w:val="single" w:sz="4" w:space="0" w:color="000000"/>
              <w:left w:val="single" w:sz="4" w:space="0" w:color="000000"/>
              <w:bottom w:val="single" w:sz="4" w:space="0" w:color="000000"/>
            </w:tcBorders>
          </w:tcPr>
          <w:p w14:paraId="7ECF47B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Indicación aprobada en FT</w:t>
            </w:r>
          </w:p>
        </w:tc>
        <w:tc>
          <w:tcPr>
            <w:tcW w:w="2146" w:type="dxa"/>
            <w:tcBorders>
              <w:top w:val="single" w:sz="4" w:space="0" w:color="000000"/>
              <w:left w:val="single" w:sz="4" w:space="0" w:color="000000"/>
              <w:bottom w:val="single" w:sz="4" w:space="0" w:color="000000"/>
            </w:tcBorders>
          </w:tcPr>
          <w:p w14:paraId="70FE61A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Está indicado en adultos en el tratamiento de la </w:t>
            </w:r>
            <w:r>
              <w:rPr>
                <w:rFonts w:ascii="Arial" w:eastAsia="Arial" w:hAnsi="Arial" w:cs="Arial"/>
                <w:color w:val="000000"/>
                <w:sz w:val="16"/>
                <w:szCs w:val="16"/>
                <w:u w:val="single"/>
                <w:vertAlign w:val="baseline"/>
              </w:rPr>
              <w:t>hipercolesterolemia primaria (familiar heterocigótica y no familiar) y en las dislipemias mixtas</w:t>
            </w:r>
            <w:r>
              <w:rPr>
                <w:rFonts w:ascii="Arial" w:eastAsia="Arial" w:hAnsi="Arial" w:cs="Arial"/>
                <w:color w:val="000000"/>
                <w:sz w:val="16"/>
                <w:szCs w:val="16"/>
                <w:vertAlign w:val="baseline"/>
              </w:rPr>
              <w:t>, como terapia adicional a la dieta en los siguientes casos: en combinación con estatinas en pacientes que no alcancen el objetivo de c-LDL con la máxima dosis tolerada de estatinas o solo o en combinación con otras terapias hipocolesterolemiantes en pacientes que no toleren estatinas o que tengan contraindicación para estas.</w:t>
            </w:r>
          </w:p>
        </w:tc>
        <w:tc>
          <w:tcPr>
            <w:tcW w:w="2153" w:type="dxa"/>
            <w:tcBorders>
              <w:top w:val="single" w:sz="4" w:space="0" w:color="000000"/>
              <w:left w:val="single" w:sz="4" w:space="0" w:color="000000"/>
              <w:bottom w:val="single" w:sz="4" w:space="0" w:color="000000"/>
            </w:tcBorders>
          </w:tcPr>
          <w:p w14:paraId="69F677AC"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16"/>
                <w:szCs w:val="16"/>
                <w:u w:val="single"/>
                <w:vertAlign w:val="baseline"/>
              </w:rPr>
              <w:t>Hipercolesterolemia y dislipidemia mixta</w:t>
            </w:r>
          </w:p>
          <w:p w14:paraId="2F5A007D"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p>
          <w:p w14:paraId="2AD190AE"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16"/>
                <w:szCs w:val="16"/>
                <w:vertAlign w:val="baseline"/>
              </w:rPr>
              <w:t xml:space="preserve">Está indicado en adultos con </w:t>
            </w:r>
            <w:r>
              <w:rPr>
                <w:rFonts w:ascii="Arial" w:eastAsia="Arial" w:hAnsi="Arial" w:cs="Arial"/>
                <w:color w:val="000000"/>
                <w:sz w:val="16"/>
                <w:szCs w:val="16"/>
                <w:u w:val="single"/>
                <w:vertAlign w:val="baseline"/>
              </w:rPr>
              <w:t>hipercolesterolemia primaria (familiar heterocigótica y no</w:t>
            </w:r>
          </w:p>
          <w:p w14:paraId="44A831D0"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16"/>
                <w:szCs w:val="16"/>
                <w:u w:val="single"/>
                <w:vertAlign w:val="baseline"/>
              </w:rPr>
              <w:t>familiar) o dislipidemia mixta,</w:t>
            </w:r>
            <w:r>
              <w:rPr>
                <w:rFonts w:ascii="Arial" w:eastAsia="Arial" w:hAnsi="Arial" w:cs="Arial"/>
                <w:color w:val="000000"/>
                <w:sz w:val="16"/>
                <w:szCs w:val="16"/>
                <w:vertAlign w:val="baseline"/>
              </w:rPr>
              <w:t xml:space="preserve"> como complemento a la dieta: en combinación con una estatina o con una estatina y otros tratamientos hipolipemiantes en pacientes que no consiguen alcanzar los niveles objetivo de C-LDL con la dosis máxima tolerada de estatina, o bien, solo o en combinación con otros tratamientos hipolipemiantes en pacientes intolerantes a las estatinas o en los que las estatinas están contraindicadas.</w:t>
            </w:r>
          </w:p>
          <w:p w14:paraId="038BC0CC" w14:textId="77777777" w:rsidR="00634CDF" w:rsidRDefault="00634CDF">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16"/>
                <w:szCs w:val="16"/>
                <w:vertAlign w:val="baseline"/>
              </w:rPr>
            </w:pPr>
          </w:p>
          <w:p w14:paraId="2370097C"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16"/>
                <w:szCs w:val="16"/>
                <w:u w:val="single"/>
                <w:vertAlign w:val="baseline"/>
              </w:rPr>
              <w:t>Hipercolesterolemia familiar homocigótica</w:t>
            </w:r>
          </w:p>
          <w:p w14:paraId="1C289671"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p>
          <w:p w14:paraId="5C202FF6"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16"/>
                <w:szCs w:val="16"/>
                <w:vertAlign w:val="baseline"/>
              </w:rPr>
              <w:t>Está indicado en adultos y adolescentes a partir de 12 años con hipercolesterolemia familiar homocigótica en combinación con otros tratamientos hipolipemiantes</w:t>
            </w:r>
          </w:p>
          <w:p w14:paraId="59DCD213" w14:textId="77777777" w:rsidR="00634CDF" w:rsidRDefault="00634CDF">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16"/>
                <w:szCs w:val="16"/>
                <w:vertAlign w:val="baseline"/>
              </w:rPr>
            </w:pPr>
          </w:p>
          <w:p w14:paraId="0773F75A"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16"/>
                <w:szCs w:val="16"/>
                <w:u w:val="single"/>
                <w:vertAlign w:val="baseline"/>
              </w:rPr>
              <w:lastRenderedPageBreak/>
              <w:t>Enfermedad cardiovascular aterosclerótica establecida</w:t>
            </w:r>
          </w:p>
          <w:p w14:paraId="06E4E003"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p>
          <w:p w14:paraId="15727BEE" w14:textId="77777777" w:rsidR="00634CDF" w:rsidRDefault="00F0051D">
            <w:pPr>
              <w:pBdr>
                <w:top w:val="nil"/>
                <w:left w:val="nil"/>
                <w:bottom w:val="nil"/>
                <w:right w:val="nil"/>
                <w:between w:val="nil"/>
              </w:pBdr>
              <w:shd w:val="clear" w:color="auto" w:fill="FFFFFF"/>
              <w:spacing w:line="276" w:lineRule="auto"/>
              <w:ind w:left="0" w:hanging="2"/>
              <w:jc w:val="both"/>
              <w:rPr>
                <w:color w:val="000000"/>
                <w:vertAlign w:val="baseline"/>
              </w:rPr>
            </w:pPr>
            <w:r>
              <w:rPr>
                <w:rFonts w:ascii="Arial" w:eastAsia="Arial" w:hAnsi="Arial" w:cs="Arial"/>
                <w:color w:val="000000"/>
                <w:sz w:val="16"/>
                <w:szCs w:val="16"/>
                <w:vertAlign w:val="baseline"/>
              </w:rPr>
              <w:t>Está indicado en adultos con enfermedad cardiovascular aterosclerótica establecida (infarto de miocardio, ictus o enfermedad arterial periférica) para reducir el riesgo cardiovascular disminuyendo los niveles de C-LDL, como tratamiento adyuvante a la corrección de otros factores de riesgo:</w:t>
            </w:r>
          </w:p>
          <w:p w14:paraId="64090CB6"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16"/>
                <w:szCs w:val="16"/>
                <w:vertAlign w:val="baseline"/>
              </w:rPr>
              <w:t>en combinación con la dosis máxima tolerada de estatina con o sin otros tratamientos hipolipemiantes o, solo o en combinación con otros tratamientos hipolipemiantes en pacientes intolerantes a las estatinas o en los que las estatinas están contraindicadas</w:t>
            </w:r>
            <w:r>
              <w:rPr>
                <w:color w:val="000000"/>
                <w:sz w:val="22"/>
                <w:szCs w:val="22"/>
                <w:vertAlign w:val="baseline"/>
              </w:rPr>
              <w:t>.</w:t>
            </w:r>
          </w:p>
          <w:p w14:paraId="4A39853F" w14:textId="77777777" w:rsidR="00634CDF" w:rsidRDefault="00634CDF">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16"/>
                <w:szCs w:val="16"/>
                <w:vertAlign w:val="baseline"/>
              </w:rPr>
            </w:pPr>
          </w:p>
          <w:p w14:paraId="1BB9A7A4" w14:textId="77777777" w:rsidR="00634CDF" w:rsidRDefault="00634CDF">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16"/>
                <w:szCs w:val="16"/>
                <w:vertAlign w:val="baseline"/>
              </w:rPr>
            </w:pPr>
          </w:p>
          <w:p w14:paraId="3C610BA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c>
          <w:tcPr>
            <w:tcW w:w="2420" w:type="dxa"/>
            <w:tcBorders>
              <w:top w:val="single" w:sz="4" w:space="0" w:color="000000"/>
              <w:left w:val="single" w:sz="4" w:space="0" w:color="000000"/>
              <w:bottom w:val="single" w:sz="4" w:space="0" w:color="000000"/>
              <w:right w:val="single" w:sz="4" w:space="0" w:color="000000"/>
            </w:tcBorders>
          </w:tcPr>
          <w:p w14:paraId="7209E887"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16"/>
                <w:szCs w:val="16"/>
                <w:u w:val="single"/>
                <w:vertAlign w:val="baseline"/>
              </w:rPr>
              <w:lastRenderedPageBreak/>
              <w:t>Hipercolesterolemia primaria y dislipemia mixta</w:t>
            </w:r>
          </w:p>
          <w:p w14:paraId="012A667A"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p>
          <w:p w14:paraId="52AA0B4B"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16"/>
                <w:szCs w:val="16"/>
                <w:vertAlign w:val="baseline"/>
              </w:rPr>
              <w:t xml:space="preserve">Está indicado en adultos con </w:t>
            </w:r>
            <w:r>
              <w:rPr>
                <w:rFonts w:ascii="Arial" w:eastAsia="Arial" w:hAnsi="Arial" w:cs="Arial"/>
                <w:color w:val="000000"/>
                <w:sz w:val="16"/>
                <w:szCs w:val="16"/>
                <w:u w:val="single"/>
                <w:vertAlign w:val="baseline"/>
              </w:rPr>
              <w:t>hipercolesterolemia primaria (familiar heterocigótica y no familiar) o dislipidemia mixta</w:t>
            </w:r>
            <w:r>
              <w:rPr>
                <w:rFonts w:ascii="Arial" w:eastAsia="Arial" w:hAnsi="Arial" w:cs="Arial"/>
                <w:color w:val="000000"/>
                <w:sz w:val="16"/>
                <w:szCs w:val="16"/>
                <w:vertAlign w:val="baseline"/>
              </w:rPr>
              <w:t>, como tratamiento complementario a la dieta: en combinación con una estatina o una estatina con otros tratamientos hipolipemiantes en pacientes que no consiguen alcanzar sus objetivos de C-LDL con la dosis máxima tolerada de una estatina o, en monoterapia o en combinación con otros tratamientos hipolipemiantes en pacientes con intolerancia a las estatinas, o en los que se contraindique el uso de una estatina.</w:t>
            </w:r>
          </w:p>
          <w:p w14:paraId="60802632"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color w:val="000000"/>
                <w:sz w:val="22"/>
                <w:szCs w:val="22"/>
                <w:vertAlign w:val="baseline"/>
              </w:rPr>
              <w:t xml:space="preserve"> </w:t>
            </w:r>
          </w:p>
          <w:p w14:paraId="2F462B53"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16"/>
                <w:szCs w:val="16"/>
                <w:u w:val="single"/>
                <w:vertAlign w:val="baseline"/>
              </w:rPr>
              <w:t>Enfermedad cardiovascular aterosclerótica establecida</w:t>
            </w:r>
          </w:p>
          <w:p w14:paraId="31F8DCDB"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p>
          <w:p w14:paraId="333D7EE6"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16"/>
                <w:szCs w:val="16"/>
                <w:vertAlign w:val="baseline"/>
              </w:rPr>
              <w:t xml:space="preserve">Está indicado en adultos con enfermedad cardiovascular aterosclerótica establecida para reducir el riesgo cardiovascular, disminuyendo los niveles de C-LDL, como tratamiento adyuvante a la corrección de otros factores de riesgo: en combinación con la dosis máxima tolerada de una estatina con o sin otros tratamientos hipolipemiantes o, solo o en combinación con otros tratamientos </w:t>
            </w:r>
            <w:r>
              <w:rPr>
                <w:rFonts w:ascii="Arial" w:eastAsia="Arial" w:hAnsi="Arial" w:cs="Arial"/>
                <w:color w:val="000000"/>
                <w:sz w:val="16"/>
                <w:szCs w:val="16"/>
                <w:vertAlign w:val="baseline"/>
              </w:rPr>
              <w:lastRenderedPageBreak/>
              <w:t>hipolipemiantes en pacientes que son intolerantes a estatinas o a los que se les ha contraindicado una estatina.</w:t>
            </w:r>
          </w:p>
          <w:p w14:paraId="593A0004"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r>
      <w:tr w:rsidR="00634CDF" w14:paraId="37B310CA" w14:textId="77777777">
        <w:tc>
          <w:tcPr>
            <w:tcW w:w="2190" w:type="dxa"/>
            <w:tcBorders>
              <w:top w:val="single" w:sz="4" w:space="0" w:color="000000"/>
              <w:left w:val="single" w:sz="4" w:space="0" w:color="000000"/>
              <w:bottom w:val="single" w:sz="4" w:space="0" w:color="000000"/>
            </w:tcBorders>
          </w:tcPr>
          <w:p w14:paraId="4F406E4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lastRenderedPageBreak/>
              <w:t>Efectos adversos</w:t>
            </w:r>
          </w:p>
        </w:tc>
        <w:tc>
          <w:tcPr>
            <w:tcW w:w="2146" w:type="dxa"/>
            <w:tcBorders>
              <w:top w:val="single" w:sz="4" w:space="0" w:color="000000"/>
              <w:left w:val="single" w:sz="4" w:space="0" w:color="000000"/>
              <w:bottom w:val="single" w:sz="4" w:space="0" w:color="000000"/>
            </w:tcBorders>
          </w:tcPr>
          <w:p w14:paraId="75D3D94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Los únicos eventos adversos relacionados con el tratamiento fueron las reacciones en el sitio de inyección (8,2%).</w:t>
            </w:r>
          </w:p>
        </w:tc>
        <w:tc>
          <w:tcPr>
            <w:tcW w:w="2153" w:type="dxa"/>
            <w:tcBorders>
              <w:top w:val="single" w:sz="4" w:space="0" w:color="000000"/>
              <w:left w:val="single" w:sz="4" w:space="0" w:color="000000"/>
              <w:bottom w:val="single" w:sz="4" w:space="0" w:color="000000"/>
            </w:tcBorders>
          </w:tcPr>
          <w:p w14:paraId="5B44900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highlight w:val="white"/>
                <w:vertAlign w:val="baseline"/>
              </w:rPr>
              <w:t xml:space="preserve">Las reacciones adversas notificadas con mayor frecuencia con las dosis recomendadas son nasofaringitis (7,4%), infección del tracto respiratorio superior (4,6%), dolor de espalda (4,4%), artralgia (3,9%), gripe (3,2%) y reacciones en el lugar de la inyección (2,2%). </w:t>
            </w:r>
          </w:p>
        </w:tc>
        <w:tc>
          <w:tcPr>
            <w:tcW w:w="2420" w:type="dxa"/>
            <w:tcBorders>
              <w:top w:val="single" w:sz="4" w:space="0" w:color="000000"/>
              <w:left w:val="single" w:sz="4" w:space="0" w:color="000000"/>
              <w:bottom w:val="single" w:sz="4" w:space="0" w:color="000000"/>
              <w:right w:val="single" w:sz="4" w:space="0" w:color="000000"/>
            </w:tcBorders>
          </w:tcPr>
          <w:p w14:paraId="70563EC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highlight w:val="white"/>
                <w:vertAlign w:val="baseline"/>
              </w:rPr>
              <w:t xml:space="preserve">Las reacciones adversas más frecuentes a las dosis recomendadas son reacciones locales en el lugar de inyección (6,1%), signos y síntomas del tracto respiratorio superior (2,0%), y prurito (1,1%). </w:t>
            </w:r>
          </w:p>
        </w:tc>
      </w:tr>
      <w:tr w:rsidR="00634CDF" w14:paraId="4C3A8BC9" w14:textId="77777777">
        <w:tc>
          <w:tcPr>
            <w:tcW w:w="2190" w:type="dxa"/>
            <w:tcBorders>
              <w:top w:val="single" w:sz="4" w:space="0" w:color="000000"/>
              <w:left w:val="single" w:sz="4" w:space="0" w:color="000000"/>
              <w:bottom w:val="single" w:sz="4" w:space="0" w:color="000000"/>
            </w:tcBorders>
          </w:tcPr>
          <w:p w14:paraId="6B97EDB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Utilización de recursos</w:t>
            </w:r>
          </w:p>
        </w:tc>
        <w:tc>
          <w:tcPr>
            <w:tcW w:w="2146" w:type="dxa"/>
            <w:tcBorders>
              <w:top w:val="single" w:sz="4" w:space="0" w:color="000000"/>
              <w:left w:val="single" w:sz="4" w:space="0" w:color="000000"/>
              <w:bottom w:val="single" w:sz="4" w:space="0" w:color="000000"/>
            </w:tcBorders>
          </w:tcPr>
          <w:p w14:paraId="3E87B1F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La administración es por parte de un profesional sanitario.</w:t>
            </w:r>
          </w:p>
        </w:tc>
        <w:tc>
          <w:tcPr>
            <w:tcW w:w="2153" w:type="dxa"/>
            <w:tcBorders>
              <w:top w:val="single" w:sz="4" w:space="0" w:color="000000"/>
              <w:left w:val="single" w:sz="4" w:space="0" w:color="000000"/>
              <w:bottom w:val="single" w:sz="4" w:space="0" w:color="000000"/>
            </w:tcBorders>
          </w:tcPr>
          <w:p w14:paraId="76C32FF6"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Administración por el propio paciente.</w:t>
            </w:r>
          </w:p>
        </w:tc>
        <w:tc>
          <w:tcPr>
            <w:tcW w:w="2420" w:type="dxa"/>
            <w:tcBorders>
              <w:top w:val="single" w:sz="4" w:space="0" w:color="000000"/>
              <w:left w:val="single" w:sz="4" w:space="0" w:color="000000"/>
              <w:bottom w:val="single" w:sz="4" w:space="0" w:color="000000"/>
              <w:right w:val="single" w:sz="4" w:space="0" w:color="000000"/>
            </w:tcBorders>
          </w:tcPr>
          <w:p w14:paraId="3913EB66"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Administración por el propio paciente.</w:t>
            </w:r>
          </w:p>
        </w:tc>
      </w:tr>
      <w:tr w:rsidR="00634CDF" w14:paraId="18914B8D" w14:textId="77777777">
        <w:tc>
          <w:tcPr>
            <w:tcW w:w="2190" w:type="dxa"/>
            <w:tcBorders>
              <w:top w:val="single" w:sz="4" w:space="0" w:color="000000"/>
              <w:left w:val="single" w:sz="4" w:space="0" w:color="000000"/>
              <w:bottom w:val="single" w:sz="4" w:space="0" w:color="000000"/>
            </w:tcBorders>
          </w:tcPr>
          <w:p w14:paraId="7D116EC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Conveniencia</w:t>
            </w:r>
          </w:p>
        </w:tc>
        <w:tc>
          <w:tcPr>
            <w:tcW w:w="2146" w:type="dxa"/>
            <w:tcBorders>
              <w:top w:val="single" w:sz="4" w:space="0" w:color="000000"/>
              <w:left w:val="single" w:sz="4" w:space="0" w:color="000000"/>
              <w:bottom w:val="single" w:sz="4" w:space="0" w:color="000000"/>
            </w:tcBorders>
          </w:tcPr>
          <w:p w14:paraId="20D4343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El régimen posológico es más cómodo que el de sus alternativas ya que la administración es de solo dos veces al año frente a la administración cada 2 semanas.</w:t>
            </w:r>
          </w:p>
        </w:tc>
        <w:tc>
          <w:tcPr>
            <w:tcW w:w="2153" w:type="dxa"/>
            <w:tcBorders>
              <w:top w:val="single" w:sz="4" w:space="0" w:color="000000"/>
              <w:left w:val="single" w:sz="4" w:space="0" w:color="000000"/>
              <w:bottom w:val="single" w:sz="4" w:space="0" w:color="000000"/>
            </w:tcBorders>
          </w:tcPr>
          <w:p w14:paraId="07E507E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c>
          <w:tcPr>
            <w:tcW w:w="2420" w:type="dxa"/>
            <w:tcBorders>
              <w:top w:val="single" w:sz="4" w:space="0" w:color="000000"/>
              <w:left w:val="single" w:sz="4" w:space="0" w:color="000000"/>
              <w:bottom w:val="single" w:sz="4" w:space="0" w:color="000000"/>
              <w:right w:val="single" w:sz="4" w:space="0" w:color="000000"/>
            </w:tcBorders>
          </w:tcPr>
          <w:p w14:paraId="786D6A3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r>
      <w:tr w:rsidR="00634CDF" w14:paraId="0923D755" w14:textId="77777777">
        <w:tc>
          <w:tcPr>
            <w:tcW w:w="2190" w:type="dxa"/>
            <w:tcBorders>
              <w:top w:val="single" w:sz="4" w:space="0" w:color="000000"/>
              <w:left w:val="single" w:sz="4" w:space="0" w:color="000000"/>
              <w:bottom w:val="single" w:sz="4" w:space="0" w:color="000000"/>
            </w:tcBorders>
          </w:tcPr>
          <w:p w14:paraId="190C2C4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Otras características diferenciales</w:t>
            </w:r>
          </w:p>
        </w:tc>
        <w:tc>
          <w:tcPr>
            <w:tcW w:w="2146" w:type="dxa"/>
            <w:tcBorders>
              <w:top w:val="single" w:sz="4" w:space="0" w:color="000000"/>
              <w:left w:val="single" w:sz="4" w:space="0" w:color="000000"/>
              <w:bottom w:val="single" w:sz="4" w:space="0" w:color="000000"/>
            </w:tcBorders>
          </w:tcPr>
          <w:p w14:paraId="030B6149"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Administración por vía subcutánea.</w:t>
            </w:r>
          </w:p>
          <w:p w14:paraId="669FD78D" w14:textId="77777777" w:rsidR="00634CDF" w:rsidRDefault="00F0051D">
            <w:pPr>
              <w:pBdr>
                <w:top w:val="nil"/>
                <w:left w:val="nil"/>
                <w:bottom w:val="nil"/>
                <w:right w:val="nil"/>
                <w:between w:val="nil"/>
              </w:pBdr>
              <w:spacing w:line="240" w:lineRule="auto"/>
              <w:ind w:left="0" w:hanging="2"/>
              <w:jc w:val="both"/>
              <w:rPr>
                <w:rFonts w:ascii="Arial" w:eastAsia="Arial" w:hAnsi="Arial" w:cs="Arial"/>
                <w:sz w:val="16"/>
                <w:szCs w:val="16"/>
                <w:vertAlign w:val="baseline"/>
              </w:rPr>
            </w:pPr>
            <w:r>
              <w:rPr>
                <w:rFonts w:ascii="Arial" w:eastAsia="Arial" w:hAnsi="Arial" w:cs="Arial"/>
                <w:sz w:val="16"/>
                <w:szCs w:val="16"/>
                <w:vertAlign w:val="baseline"/>
              </w:rPr>
              <w:t>No requiere condiciones especiales de conservación.</w:t>
            </w:r>
          </w:p>
        </w:tc>
        <w:tc>
          <w:tcPr>
            <w:tcW w:w="2153" w:type="dxa"/>
            <w:tcBorders>
              <w:top w:val="single" w:sz="4" w:space="0" w:color="000000"/>
              <w:left w:val="single" w:sz="4" w:space="0" w:color="000000"/>
              <w:bottom w:val="single" w:sz="4" w:space="0" w:color="000000"/>
            </w:tcBorders>
          </w:tcPr>
          <w:p w14:paraId="1D1D389C"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Administración por vía subcutánea.</w:t>
            </w:r>
          </w:p>
        </w:tc>
        <w:tc>
          <w:tcPr>
            <w:tcW w:w="2420" w:type="dxa"/>
            <w:tcBorders>
              <w:top w:val="single" w:sz="4" w:space="0" w:color="000000"/>
              <w:left w:val="single" w:sz="4" w:space="0" w:color="000000"/>
              <w:bottom w:val="single" w:sz="4" w:space="0" w:color="000000"/>
              <w:right w:val="single" w:sz="4" w:space="0" w:color="000000"/>
            </w:tcBorders>
          </w:tcPr>
          <w:p w14:paraId="051170D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Administración por vía subcutánea.</w:t>
            </w:r>
          </w:p>
        </w:tc>
      </w:tr>
    </w:tbl>
    <w:p w14:paraId="3F0893D2" w14:textId="77777777" w:rsidR="00634CDF" w:rsidRDefault="00634CDF">
      <w:pPr>
        <w:pBdr>
          <w:top w:val="nil"/>
          <w:left w:val="nil"/>
          <w:bottom w:val="nil"/>
          <w:right w:val="nil"/>
          <w:between w:val="nil"/>
        </w:pBdr>
        <w:spacing w:line="240" w:lineRule="auto"/>
        <w:ind w:left="0" w:hanging="2"/>
        <w:jc w:val="right"/>
        <w:rPr>
          <w:rFonts w:ascii="Arial" w:eastAsia="Arial" w:hAnsi="Arial" w:cs="Arial"/>
          <w:color w:val="0000FF"/>
          <w:vertAlign w:val="baseline"/>
        </w:rPr>
      </w:pPr>
      <w:bookmarkStart w:id="6" w:name="_heading=h.8v7t15233aep" w:colFirst="0" w:colLast="0"/>
      <w:bookmarkEnd w:id="6"/>
    </w:p>
    <w:p w14:paraId="471BC51E" w14:textId="77777777" w:rsidR="00634CDF" w:rsidRDefault="00634CDF">
      <w:pPr>
        <w:pBdr>
          <w:top w:val="nil"/>
          <w:left w:val="nil"/>
          <w:bottom w:val="nil"/>
          <w:right w:val="nil"/>
          <w:between w:val="nil"/>
        </w:pBdr>
        <w:spacing w:line="240" w:lineRule="auto"/>
        <w:ind w:left="0" w:hanging="2"/>
        <w:rPr>
          <w:rFonts w:ascii="Arial" w:eastAsia="Arial" w:hAnsi="Arial" w:cs="Arial"/>
          <w:color w:val="0000FF"/>
          <w:sz w:val="16"/>
          <w:szCs w:val="16"/>
          <w:vertAlign w:val="baseline"/>
        </w:rPr>
      </w:pPr>
    </w:p>
    <w:tbl>
      <w:tblPr>
        <w:tblStyle w:val="ae"/>
        <w:tblW w:w="8910" w:type="dxa"/>
        <w:tblInd w:w="-5" w:type="dxa"/>
        <w:tblLayout w:type="fixed"/>
        <w:tblLook w:val="0000" w:firstRow="0" w:lastRow="0" w:firstColumn="0" w:lastColumn="0" w:noHBand="0" w:noVBand="0"/>
      </w:tblPr>
      <w:tblGrid>
        <w:gridCol w:w="8910"/>
      </w:tblGrid>
      <w:tr w:rsidR="00634CDF" w14:paraId="52E7734A" w14:textId="77777777">
        <w:trPr>
          <w:trHeight w:val="90"/>
        </w:trPr>
        <w:tc>
          <w:tcPr>
            <w:tcW w:w="8910" w:type="dxa"/>
            <w:tcBorders>
              <w:top w:val="single" w:sz="4" w:space="0" w:color="000000"/>
              <w:left w:val="single" w:sz="4" w:space="0" w:color="000000"/>
              <w:bottom w:val="single" w:sz="4" w:space="0" w:color="000000"/>
              <w:right w:val="single" w:sz="4" w:space="0" w:color="000000"/>
            </w:tcBorders>
            <w:shd w:val="clear" w:color="auto" w:fill="B3B3B3"/>
          </w:tcPr>
          <w:p w14:paraId="0F65E3F9" w14:textId="77777777" w:rsidR="00634CDF" w:rsidRDefault="00F0051D">
            <w:pPr>
              <w:keepNext/>
              <w:pBdr>
                <w:top w:val="none" w:sz="0" w:space="0" w:color="000000"/>
                <w:left w:val="none" w:sz="0" w:space="0" w:color="000000"/>
                <w:bottom w:val="none" w:sz="0" w:space="0" w:color="000000"/>
                <w:right w:val="none" w:sz="0" w:space="0" w:color="000000"/>
                <w:between w:val="nil"/>
              </w:pBdr>
              <w:shd w:val="clear" w:color="auto" w:fill="A6A6A6"/>
              <w:spacing w:line="240" w:lineRule="auto"/>
              <w:ind w:left="0" w:hanging="2"/>
              <w:rPr>
                <w:color w:val="000000"/>
                <w:vertAlign w:val="baseline"/>
              </w:rPr>
            </w:pPr>
            <w:r>
              <w:rPr>
                <w:rFonts w:ascii="Arial" w:eastAsia="Arial" w:hAnsi="Arial" w:cs="Arial"/>
                <w:b/>
                <w:color w:val="000000"/>
                <w:sz w:val="20"/>
                <w:szCs w:val="20"/>
                <w:vertAlign w:val="baseline"/>
              </w:rPr>
              <w:t>4.- ÁREA DE ACCIÓN FARMACOLÓGICA.</w:t>
            </w:r>
          </w:p>
        </w:tc>
      </w:tr>
    </w:tbl>
    <w:p w14:paraId="143EC1B1" w14:textId="77777777" w:rsidR="00634CDF" w:rsidRDefault="00634CDF">
      <w:pPr>
        <w:pBdr>
          <w:top w:val="nil"/>
          <w:left w:val="nil"/>
          <w:bottom w:val="nil"/>
          <w:right w:val="nil"/>
          <w:between w:val="nil"/>
        </w:pBdr>
        <w:spacing w:line="240" w:lineRule="auto"/>
        <w:ind w:left="0" w:hanging="2"/>
        <w:jc w:val="right"/>
        <w:rPr>
          <w:rFonts w:ascii="Arial" w:eastAsia="Arial" w:hAnsi="Arial" w:cs="Arial"/>
          <w:color w:val="000000"/>
          <w:sz w:val="20"/>
          <w:szCs w:val="20"/>
          <w:vertAlign w:val="baseline"/>
        </w:rPr>
      </w:pPr>
      <w:bookmarkStart w:id="7" w:name="_heading=h.2s8eyo1" w:colFirst="0" w:colLast="0"/>
      <w:bookmarkEnd w:id="7"/>
    </w:p>
    <w:p w14:paraId="469954AE"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 xml:space="preserve">4.1 </w:t>
      </w:r>
      <w:r>
        <w:rPr>
          <w:rFonts w:ascii="Cambria" w:eastAsia="Cambria" w:hAnsi="Cambria" w:cs="Cambria"/>
          <w:b/>
          <w:color w:val="000000"/>
          <w:sz w:val="20"/>
          <w:szCs w:val="20"/>
          <w:vertAlign w:val="baseline"/>
        </w:rPr>
        <w:t>Mecanismo de acción.</w:t>
      </w:r>
      <w:r>
        <w:rPr>
          <w:rFonts w:ascii="Cambria" w:eastAsia="Cambria" w:hAnsi="Cambria" w:cs="Cambria"/>
          <w:b/>
          <w:i/>
          <w:color w:val="000000"/>
          <w:sz w:val="20"/>
          <w:szCs w:val="20"/>
          <w:vertAlign w:val="baseline"/>
        </w:rPr>
        <w:t xml:space="preserve"> </w:t>
      </w:r>
    </w:p>
    <w:p w14:paraId="03526597"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0B10052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lastRenderedPageBreak/>
        <w:t>Inclisiran es ácido ribonucleico de interferencia pequeño (siRNA) bicatenario, en el que la cadena sentido está conjugada con un complejo de N-acetilgalactosamina triantenaria (GalNAc) para facilitar la captación por los hepatocitos. En los hepatocitos,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utiliza el mecanismo de interferencia del ARN y dirige la ruptura catalítica del ARNm de la proproteína convertasa subtilisina/kexina tipo 9. Esto hace que se incremente el reciclado y la expresión del receptor del C-LDL en la superficie celular de los hepatocitos, aumentando la recaptación de C-LDL y reduciendo los niveles circulantes de C-LDL.</w:t>
      </w:r>
    </w:p>
    <w:p w14:paraId="00A39FD1"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036C0D4"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E574307" w14:textId="7F6E16D7" w:rsidR="00694D71" w:rsidRPr="00694D71" w:rsidRDefault="00F0051D" w:rsidP="00694D71">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noProof/>
          <w:color w:val="000000"/>
          <w:vertAlign w:val="baseline"/>
          <w:lang w:eastAsia="es-ES"/>
        </w:rPr>
        <w:drawing>
          <wp:inline distT="0" distB="0" distL="114300" distR="114300" wp14:anchorId="35E118BF" wp14:editId="177F16DB">
            <wp:extent cx="5324475" cy="3781425"/>
            <wp:effectExtent l="0" t="0" r="0" b="0"/>
            <wp:docPr id="1085"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srcRect/>
                    <a:stretch>
                      <a:fillRect/>
                    </a:stretch>
                  </pic:blipFill>
                  <pic:spPr>
                    <a:xfrm>
                      <a:off x="0" y="0"/>
                      <a:ext cx="5324475" cy="3781425"/>
                    </a:xfrm>
                    <a:prstGeom prst="rect">
                      <a:avLst/>
                    </a:prstGeom>
                    <a:ln/>
                  </pic:spPr>
                </pic:pic>
              </a:graphicData>
            </a:graphic>
          </wp:inline>
        </w:drawing>
      </w:r>
      <w:r>
        <w:rPr>
          <w:rFonts w:ascii="Arial" w:eastAsia="Arial" w:hAnsi="Arial" w:cs="Arial"/>
          <w:color w:val="000000"/>
          <w:sz w:val="20"/>
          <w:szCs w:val="20"/>
          <w:vertAlign w:val="baseline"/>
        </w:rPr>
        <w:t xml:space="preserve">Figura </w:t>
      </w:r>
      <w:r>
        <w:rPr>
          <w:rFonts w:ascii="Arial" w:eastAsia="Arial" w:hAnsi="Arial" w:cs="Arial"/>
          <w:sz w:val="20"/>
          <w:szCs w:val="20"/>
          <w:vertAlign w:val="baseline"/>
        </w:rPr>
        <w:t>1</w:t>
      </w:r>
      <w:r>
        <w:rPr>
          <w:rFonts w:ascii="Arial" w:eastAsia="Arial" w:hAnsi="Arial" w:cs="Arial"/>
          <w:color w:val="000000"/>
          <w:sz w:val="20"/>
          <w:szCs w:val="20"/>
          <w:vertAlign w:val="baseline"/>
        </w:rPr>
        <w:t>.</w:t>
      </w:r>
      <w:r w:rsidR="00D066FB">
        <w:rPr>
          <w:rFonts w:ascii="Arial" w:eastAsia="Arial" w:hAnsi="Arial" w:cs="Arial"/>
          <w:color w:val="000000"/>
          <w:sz w:val="20"/>
          <w:szCs w:val="20"/>
          <w:vertAlign w:val="baseline"/>
        </w:rPr>
        <w:t xml:space="preserve"> </w:t>
      </w:r>
      <w:r>
        <w:rPr>
          <w:rFonts w:ascii="Arial" w:eastAsia="Arial" w:hAnsi="Arial" w:cs="Arial"/>
          <w:i/>
          <w:sz w:val="20"/>
          <w:szCs w:val="20"/>
          <w:vertAlign w:val="baseline"/>
        </w:rPr>
        <w:t>Tomada de</w:t>
      </w:r>
      <w:r>
        <w:rPr>
          <w:rFonts w:ascii="Arial" w:eastAsia="Arial" w:hAnsi="Arial" w:cs="Arial"/>
          <w:color w:val="000000"/>
          <w:sz w:val="20"/>
          <w:szCs w:val="20"/>
          <w:vertAlign w:val="baseline"/>
        </w:rPr>
        <w:t xml:space="preserve"> </w:t>
      </w:r>
      <w:r w:rsidR="00694D71">
        <w:rPr>
          <w:rFonts w:ascii="Arial" w:eastAsia="Arial" w:hAnsi="Arial" w:cs="Arial"/>
          <w:color w:val="212121"/>
          <w:sz w:val="20"/>
          <w:szCs w:val="20"/>
          <w:highlight w:val="white"/>
          <w:vertAlign w:val="baseline"/>
        </w:rPr>
        <w:t xml:space="preserve">Catapano AL, Pirillo A, Norata GD. </w:t>
      </w:r>
      <w:r w:rsidR="00694D71" w:rsidRPr="001779CA">
        <w:rPr>
          <w:rFonts w:ascii="Arial" w:eastAsia="Arial" w:hAnsi="Arial" w:cs="Arial"/>
          <w:color w:val="212121"/>
          <w:sz w:val="20"/>
          <w:szCs w:val="20"/>
          <w:highlight w:val="white"/>
          <w:vertAlign w:val="baseline"/>
          <w:lang w:val="en-US"/>
        </w:rPr>
        <w:t xml:space="preserve">New Pharmacological Approaches to Target PCSK9. </w:t>
      </w:r>
      <w:r w:rsidR="00694D71">
        <w:rPr>
          <w:rFonts w:ascii="Arial" w:eastAsia="Arial" w:hAnsi="Arial" w:cs="Arial"/>
          <w:color w:val="212121"/>
          <w:sz w:val="20"/>
          <w:szCs w:val="20"/>
          <w:highlight w:val="white"/>
          <w:vertAlign w:val="baseline"/>
        </w:rPr>
        <w:t xml:space="preserve">Curr Atheroscler Rep. 2020; 22(7):24. </w:t>
      </w:r>
    </w:p>
    <w:p w14:paraId="0B146811" w14:textId="62475BF1"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rFonts w:ascii="Arial" w:eastAsia="Arial" w:hAnsi="Arial" w:cs="Arial"/>
          <w:color w:val="000000"/>
          <w:sz w:val="20"/>
          <w:szCs w:val="20"/>
          <w:vertAlign w:val="baseline"/>
        </w:rPr>
        <w:t xml:space="preserve">  </w:t>
      </w:r>
    </w:p>
    <w:p w14:paraId="28E9075B" w14:textId="77777777" w:rsidR="00634CDF" w:rsidRDefault="00634CDF">
      <w:pPr>
        <w:pBdr>
          <w:top w:val="nil"/>
          <w:left w:val="nil"/>
          <w:bottom w:val="nil"/>
          <w:right w:val="nil"/>
          <w:between w:val="nil"/>
        </w:pBdr>
        <w:spacing w:line="240" w:lineRule="auto"/>
        <w:ind w:left="0" w:hanging="2"/>
        <w:jc w:val="both"/>
        <w:rPr>
          <w:rFonts w:ascii="Arial" w:eastAsia="Arial" w:hAnsi="Arial" w:cs="Arial"/>
          <w:i/>
          <w:sz w:val="20"/>
          <w:szCs w:val="20"/>
          <w:shd w:val="clear" w:color="auto" w:fill="FFCC99"/>
          <w:vertAlign w:val="baseline"/>
        </w:rPr>
      </w:pPr>
    </w:p>
    <w:p w14:paraId="0ECBE3DC"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4.2 Indicaciones clínicas formalmente aprobadas y fecha de aprobación.</w:t>
      </w:r>
    </w:p>
    <w:p w14:paraId="3EF1326F"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628990D"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20"/>
          <w:szCs w:val="20"/>
          <w:vertAlign w:val="baseline"/>
        </w:rPr>
        <w:t>AEMPS: Inclisiran está indicado en adultos con hipercolesterolemia primaria (heterocigótica familiar y no familiar) o dislipidemia mixta, como adyuvante de la dieta:  en combinación con una estatina o una estatina y otros tratamientos hipolipemiantes en pacientes que no consiguen alcanzar los objetivos de C-LDL con la dosis máxima de una estatina o,  sola o en combinación con otros tratamientos hipolipemiantes en pacientes que son intolerantes a las estatinas, o para aquellos para los que las estatinas están contraindicadas (15).</w:t>
      </w:r>
      <w:r>
        <w:rPr>
          <w:rFonts w:ascii="Arial" w:eastAsia="Arial" w:hAnsi="Arial" w:cs="Arial"/>
          <w:color w:val="000000"/>
          <w:sz w:val="20"/>
          <w:szCs w:val="20"/>
          <w:vertAlign w:val="baseline"/>
        </w:rPr>
        <w:tab/>
      </w:r>
      <w:r>
        <w:rPr>
          <w:rFonts w:ascii="Arial" w:eastAsia="Arial" w:hAnsi="Arial" w:cs="Arial"/>
          <w:color w:val="000000"/>
          <w:sz w:val="20"/>
          <w:szCs w:val="20"/>
          <w:vertAlign w:val="baseline"/>
        </w:rPr>
        <w:tab/>
      </w:r>
      <w:r>
        <w:rPr>
          <w:rFonts w:ascii="Arial" w:eastAsia="Arial" w:hAnsi="Arial" w:cs="Arial"/>
          <w:color w:val="000000"/>
          <w:sz w:val="20"/>
          <w:szCs w:val="20"/>
          <w:vertAlign w:val="baseline"/>
        </w:rPr>
        <w:tab/>
      </w:r>
      <w:r>
        <w:rPr>
          <w:rFonts w:ascii="Arial" w:eastAsia="Arial" w:hAnsi="Arial" w:cs="Arial"/>
          <w:color w:val="000000"/>
          <w:sz w:val="20"/>
          <w:szCs w:val="20"/>
          <w:vertAlign w:val="baseline"/>
        </w:rPr>
        <w:tab/>
      </w:r>
      <w:r>
        <w:rPr>
          <w:rFonts w:ascii="Arial" w:eastAsia="Arial" w:hAnsi="Arial" w:cs="Arial"/>
          <w:color w:val="000000"/>
          <w:sz w:val="20"/>
          <w:szCs w:val="20"/>
          <w:vertAlign w:val="baseline"/>
        </w:rPr>
        <w:tab/>
      </w:r>
      <w:r>
        <w:rPr>
          <w:rFonts w:ascii="Arial" w:eastAsia="Arial" w:hAnsi="Arial" w:cs="Arial"/>
          <w:color w:val="000000"/>
          <w:sz w:val="20"/>
          <w:szCs w:val="20"/>
          <w:vertAlign w:val="baseline"/>
        </w:rPr>
        <w:tab/>
      </w:r>
      <w:r>
        <w:rPr>
          <w:rFonts w:ascii="Arial" w:eastAsia="Arial" w:hAnsi="Arial" w:cs="Arial"/>
          <w:color w:val="000000"/>
          <w:sz w:val="20"/>
          <w:szCs w:val="20"/>
          <w:vertAlign w:val="baseline"/>
        </w:rPr>
        <w:tab/>
      </w:r>
    </w:p>
    <w:p w14:paraId="1E846190" w14:textId="67EF9CE1"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bookmarkStart w:id="8" w:name="_heading=h.3rdcrjn" w:colFirst="0" w:colLast="0"/>
      <w:bookmarkEnd w:id="8"/>
      <w:r>
        <w:rPr>
          <w:rFonts w:ascii="Arial" w:eastAsia="Arial" w:hAnsi="Arial" w:cs="Arial"/>
          <w:color w:val="000000"/>
          <w:sz w:val="20"/>
          <w:szCs w:val="20"/>
          <w:vertAlign w:val="baseline"/>
        </w:rPr>
        <w:t>EMA:</w:t>
      </w:r>
      <w:r w:rsidR="00575EC5">
        <w:rPr>
          <w:rFonts w:ascii="Arial" w:eastAsia="Arial" w:hAnsi="Arial" w:cs="Arial"/>
          <w:color w:val="000000"/>
          <w:sz w:val="20"/>
          <w:szCs w:val="20"/>
          <w:vertAlign w:val="baseline"/>
        </w:rPr>
        <w:t xml:space="preserve"> </w:t>
      </w:r>
      <w:r>
        <w:rPr>
          <w:rFonts w:ascii="Arial" w:eastAsia="Arial" w:hAnsi="Arial" w:cs="Arial"/>
          <w:sz w:val="20"/>
          <w:szCs w:val="20"/>
          <w:vertAlign w:val="baseline"/>
        </w:rPr>
        <w:t>Inclisiran está indicado en adultos con hipercolesterolemia primaria (heterocigótica familiar y no familiar) o dislipidemia mixta, como adyuvante de la dieta:  en combinación con una estatina o una estatina y otros tratamientos hipolipemiantes en pacientes que no consiguen alcanzar los objetivos de C-LDL con la dosis máxima de una estatina o,  sola o en combinación con otros tratamientos hipolipemiantes en pacientes que son intolerantes a las estatinas, o para aquellos para los que las estatinas están contraindicadas.</w:t>
      </w:r>
      <w:r>
        <w:rPr>
          <w:rFonts w:ascii="Arial" w:eastAsia="Arial" w:hAnsi="Arial" w:cs="Arial"/>
          <w:color w:val="000000"/>
          <w:sz w:val="20"/>
          <w:szCs w:val="20"/>
          <w:vertAlign w:val="baseline"/>
        </w:rPr>
        <w:t>[6/01/2021] (</w:t>
      </w:r>
      <w:r>
        <w:rPr>
          <w:rFonts w:ascii="Arial" w:eastAsia="Arial" w:hAnsi="Arial" w:cs="Arial"/>
          <w:sz w:val="20"/>
          <w:szCs w:val="20"/>
          <w:vertAlign w:val="baseline"/>
        </w:rPr>
        <w:t>16).</w:t>
      </w:r>
      <w:r>
        <w:rPr>
          <w:rFonts w:ascii="Arial" w:eastAsia="Arial" w:hAnsi="Arial" w:cs="Arial"/>
          <w:color w:val="000000"/>
          <w:sz w:val="20"/>
          <w:szCs w:val="20"/>
          <w:vertAlign w:val="baseline"/>
        </w:rPr>
        <w:t xml:space="preserve"> </w:t>
      </w:r>
      <w:r>
        <w:rPr>
          <w:rFonts w:ascii="Arial" w:eastAsia="Arial" w:hAnsi="Arial" w:cs="Arial"/>
          <w:color w:val="000000"/>
          <w:sz w:val="20"/>
          <w:szCs w:val="20"/>
          <w:shd w:val="clear" w:color="auto" w:fill="FFCC99"/>
          <w:vertAlign w:val="baseline"/>
        </w:rPr>
        <w:t xml:space="preserve"> </w:t>
      </w:r>
      <w:r>
        <w:rPr>
          <w:rFonts w:ascii="Arial" w:eastAsia="Arial" w:hAnsi="Arial" w:cs="Arial"/>
          <w:color w:val="000000"/>
          <w:sz w:val="20"/>
          <w:szCs w:val="20"/>
          <w:vertAlign w:val="baseline"/>
        </w:rPr>
        <w:t xml:space="preserve">       </w:t>
      </w:r>
    </w:p>
    <w:p w14:paraId="579FA2FC" w14:textId="1BE05A6F" w:rsidR="00634CDF" w:rsidRPr="00C16299" w:rsidRDefault="00575EC5" w:rsidP="00C16299">
      <w:pPr>
        <w:pBdr>
          <w:top w:val="nil"/>
          <w:left w:val="nil"/>
          <w:bottom w:val="nil"/>
          <w:right w:val="nil"/>
          <w:between w:val="nil"/>
        </w:pBdr>
        <w:shd w:val="clear" w:color="auto" w:fill="FFFFFF"/>
        <w:spacing w:line="240" w:lineRule="auto"/>
        <w:ind w:left="0" w:hanging="2"/>
        <w:jc w:val="both"/>
        <w:rPr>
          <w:rFonts w:ascii="Arial" w:eastAsia="Arial" w:hAnsi="Arial" w:cs="Arial"/>
          <w:sz w:val="20"/>
          <w:szCs w:val="20"/>
          <w:vertAlign w:val="baseline"/>
        </w:rPr>
      </w:pPr>
      <w:r w:rsidRPr="00C16299">
        <w:rPr>
          <w:rFonts w:ascii="Arial" w:eastAsia="Arial" w:hAnsi="Arial" w:cs="Arial"/>
          <w:sz w:val="20"/>
          <w:szCs w:val="20"/>
          <w:vertAlign w:val="baseline"/>
        </w:rPr>
        <w:t>FDA:</w:t>
      </w:r>
      <w:r w:rsidR="00EF3B28" w:rsidRPr="00C16299">
        <w:rPr>
          <w:rFonts w:ascii="Arial" w:eastAsia="Arial" w:hAnsi="Arial" w:cs="Arial"/>
          <w:sz w:val="20"/>
          <w:szCs w:val="20"/>
          <w:vertAlign w:val="baseline"/>
        </w:rPr>
        <w:t xml:space="preserve"> </w:t>
      </w:r>
      <w:r w:rsidR="00C16299" w:rsidRPr="00C16299">
        <w:rPr>
          <w:rFonts w:ascii="Arial" w:eastAsia="Arial" w:hAnsi="Arial" w:cs="Arial"/>
          <w:sz w:val="20"/>
          <w:szCs w:val="20"/>
          <w:vertAlign w:val="baseline"/>
        </w:rPr>
        <w:t xml:space="preserve">indicado como complemento de la dieta y </w:t>
      </w:r>
      <w:r w:rsidR="00C16299">
        <w:rPr>
          <w:rFonts w:ascii="Arial" w:eastAsia="Arial" w:hAnsi="Arial" w:cs="Arial"/>
          <w:sz w:val="20"/>
          <w:szCs w:val="20"/>
          <w:vertAlign w:val="baseline"/>
        </w:rPr>
        <w:t xml:space="preserve">tras el uso de dosis máximas de </w:t>
      </w:r>
      <w:r w:rsidR="00C16299" w:rsidRPr="00C16299">
        <w:rPr>
          <w:rFonts w:ascii="Arial" w:eastAsia="Arial" w:hAnsi="Arial" w:cs="Arial"/>
          <w:sz w:val="20"/>
          <w:szCs w:val="20"/>
          <w:vertAlign w:val="baseline"/>
        </w:rPr>
        <w:t>estatinas tolerada para el tratamiento de adultos con</w:t>
      </w:r>
      <w:r w:rsidR="00C16299">
        <w:rPr>
          <w:rFonts w:ascii="Arial" w:eastAsia="Arial" w:hAnsi="Arial" w:cs="Arial"/>
          <w:sz w:val="20"/>
          <w:szCs w:val="20"/>
          <w:vertAlign w:val="baseline"/>
        </w:rPr>
        <w:t xml:space="preserve"> h</w:t>
      </w:r>
      <w:r w:rsidR="00C16299" w:rsidRPr="00C16299">
        <w:rPr>
          <w:rFonts w:ascii="Arial" w:eastAsia="Arial" w:hAnsi="Arial" w:cs="Arial"/>
          <w:sz w:val="20"/>
          <w:szCs w:val="20"/>
          <w:vertAlign w:val="baseline"/>
        </w:rPr>
        <w:t xml:space="preserve">ipercolesterolemia familiar heterocigota o enfermedad aterosclerótica cardiovascular que requieren una reducción adicional del colesterol de lipoproteínas de baja densidad (LDL-C). [22/12/2021]. </w:t>
      </w:r>
      <w:r w:rsidR="00F0051D" w:rsidRPr="00C16299">
        <w:rPr>
          <w:rFonts w:ascii="Arial" w:eastAsia="Arial" w:hAnsi="Arial" w:cs="Arial"/>
          <w:sz w:val="20"/>
          <w:szCs w:val="20"/>
          <w:vertAlign w:val="baseline"/>
        </w:rPr>
        <w:t xml:space="preserve"> </w:t>
      </w:r>
    </w:p>
    <w:p w14:paraId="223C76F0" w14:textId="77777777" w:rsidR="00634CDF" w:rsidRPr="00C16299" w:rsidRDefault="00634CDF">
      <w:pPr>
        <w:pBdr>
          <w:top w:val="nil"/>
          <w:left w:val="nil"/>
          <w:bottom w:val="nil"/>
          <w:right w:val="nil"/>
          <w:between w:val="nil"/>
        </w:pBdr>
        <w:shd w:val="clear" w:color="auto" w:fill="FFFFFF"/>
        <w:spacing w:line="240" w:lineRule="auto"/>
        <w:ind w:left="0" w:hanging="2"/>
        <w:jc w:val="both"/>
        <w:rPr>
          <w:color w:val="000000"/>
          <w:vertAlign w:val="baseline"/>
        </w:rPr>
      </w:pPr>
    </w:p>
    <w:p w14:paraId="04ABA36B"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 xml:space="preserve">4.3 </w:t>
      </w:r>
      <w:r>
        <w:rPr>
          <w:rFonts w:ascii="Cambria" w:eastAsia="Cambria" w:hAnsi="Cambria" w:cs="Cambria"/>
          <w:b/>
          <w:color w:val="000000"/>
          <w:sz w:val="20"/>
          <w:szCs w:val="20"/>
          <w:vertAlign w:val="baseline"/>
        </w:rPr>
        <w:t>Posología, forma de preparación y administración.</w:t>
      </w:r>
      <w:r>
        <w:rPr>
          <w:rFonts w:ascii="Cambria" w:eastAsia="Cambria" w:hAnsi="Cambria" w:cs="Cambria"/>
          <w:b/>
          <w:i/>
          <w:color w:val="000000"/>
          <w:sz w:val="20"/>
          <w:szCs w:val="20"/>
          <w:vertAlign w:val="baseline"/>
        </w:rPr>
        <w:t xml:space="preserve"> </w:t>
      </w:r>
    </w:p>
    <w:p w14:paraId="47A8E543"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3570075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La dosis recomendada es de 284 mg de inclisiran en una única inyección subcutánea administrada en una dosis inicial, otra a los 3 meses y posteriormente cada 6 meses.</w:t>
      </w:r>
    </w:p>
    <w:p w14:paraId="25D58F4F" w14:textId="77777777" w:rsidR="00634CDF" w:rsidRDefault="00F0051D">
      <w:pPr>
        <w:pBdr>
          <w:top w:val="nil"/>
          <w:left w:val="nil"/>
          <w:bottom w:val="nil"/>
          <w:right w:val="nil"/>
          <w:between w:val="nil"/>
        </w:pBdr>
        <w:spacing w:line="240" w:lineRule="auto"/>
        <w:ind w:left="0" w:hanging="2"/>
        <w:jc w:val="both"/>
        <w:rPr>
          <w:color w:val="000000"/>
          <w:vertAlign w:val="baseline"/>
        </w:rPr>
      </w:pPr>
      <w:bookmarkStart w:id="9" w:name="_heading=h.26in1rg" w:colFirst="0" w:colLast="0"/>
      <w:bookmarkEnd w:id="9"/>
      <w:r>
        <w:rPr>
          <w:rFonts w:ascii="Arial" w:eastAsia="Arial" w:hAnsi="Arial" w:cs="Arial"/>
          <w:color w:val="000000"/>
          <w:sz w:val="20"/>
          <w:szCs w:val="20"/>
          <w:vertAlign w:val="baseline"/>
        </w:rPr>
        <w:t>Vía subcutánea.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está previsto para administrarse por un profesional sanitario.</w:t>
      </w:r>
    </w:p>
    <w:p w14:paraId="0CE79E3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Transición desde el tratamiento con anticuerpos monoclonales inhibidores de PCSK9: Inclisiran se puede administrar inmediatamente después de la última dosis de un anticuerpo monoclonal inhibidor de PCSK9. Para mantener la reducción de C-LDL se recomienda administrar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2 semanas después de la última dosis del anticuerpo monoclonal inhibidor de PCSK9.</w:t>
      </w:r>
    </w:p>
    <w:p w14:paraId="2CAD9FFD"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BDF77FE"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color w:val="000000"/>
          <w:sz w:val="20"/>
          <w:szCs w:val="20"/>
          <w:vertAlign w:val="baseline"/>
        </w:rPr>
        <w:t>4.4 Utilización en poblaciones especiales.</w:t>
      </w:r>
    </w:p>
    <w:p w14:paraId="670AFEE6"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BE19D2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u w:val="single"/>
          <w:vertAlign w:val="baseline"/>
        </w:rPr>
        <w:t>Pediatría</w:t>
      </w:r>
    </w:p>
    <w:p w14:paraId="0957256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No se ha establecido todavía la seguridad y eficacia de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en pacientes niños menores de 18 años. No se dispone de datos.</w:t>
      </w:r>
    </w:p>
    <w:p w14:paraId="6F42D5C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u w:val="single"/>
          <w:vertAlign w:val="baseline"/>
        </w:rPr>
        <w:t>Mayores de 65 años</w:t>
      </w:r>
    </w:p>
    <w:p w14:paraId="720F382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No es necesario un ajuste de dosis en pacientes de edad avanzada.</w:t>
      </w:r>
    </w:p>
    <w:p w14:paraId="4CEB52A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u w:val="single"/>
          <w:vertAlign w:val="baseline"/>
        </w:rPr>
        <w:t>Insuficiencia renal</w:t>
      </w:r>
    </w:p>
    <w:p w14:paraId="7ACE493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No son necesarios ajustes de dosis en pacientes con insuficiencia renal leve, moderada o grave o pacientes con enfermedad renal terminal. La experiencia con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es limitada en pacientes con insuficiencia renal grave.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se debe usar con precaución en estos pacientes. No se ha estudiado el efecto de la hemodiálisis sobre la farmacocinética de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Considerando que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se elimina vía renal, no se debería llevar a cabo la hemodiálisis hasta 72 horas después de la administración del fármaco.</w:t>
      </w:r>
    </w:p>
    <w:p w14:paraId="56DCF6C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u w:val="single"/>
          <w:vertAlign w:val="baseline"/>
        </w:rPr>
        <w:t>Insuficiencia hepática</w:t>
      </w:r>
    </w:p>
    <w:p w14:paraId="75F380DC" w14:textId="77777777" w:rsidR="00634CDF" w:rsidRDefault="00F0051D">
      <w:pPr>
        <w:pBdr>
          <w:top w:val="nil"/>
          <w:left w:val="nil"/>
          <w:bottom w:val="nil"/>
          <w:right w:val="nil"/>
          <w:between w:val="nil"/>
        </w:pBdr>
        <w:spacing w:line="240" w:lineRule="auto"/>
        <w:ind w:left="0" w:hanging="2"/>
        <w:jc w:val="both"/>
        <w:rPr>
          <w:color w:val="000000"/>
          <w:vertAlign w:val="baseline"/>
        </w:rPr>
      </w:pPr>
      <w:bookmarkStart w:id="10" w:name="_heading=h.lnxbz9" w:colFirst="0" w:colLast="0"/>
      <w:bookmarkEnd w:id="10"/>
      <w:r>
        <w:rPr>
          <w:rFonts w:ascii="Arial" w:eastAsia="Arial" w:hAnsi="Arial" w:cs="Arial"/>
          <w:color w:val="000000"/>
          <w:sz w:val="20"/>
          <w:szCs w:val="20"/>
          <w:vertAlign w:val="baseline"/>
        </w:rPr>
        <w:t>No son necesarios ajustes de dosis en pacientes con insuficiencia hepática leve (clase Child-Pugh A) o moderada (clase Child-Pugh B). No hay datos disponibles en pacientes con insuficiencia hepática grave (clase Child-Pugh C) por lo que se debe utilizar con precaución en estos pacientes.</w:t>
      </w:r>
    </w:p>
    <w:p w14:paraId="19A378F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El análisis de datos farmacocinéticos de un ensayo dedicado a la insuficiencia hepática resultó en un aumento de la Cmax de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de aproximadamente 1,1 y 2,1 veces y en un aumento del AUC de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de aproximadamente 1,3 y 2,0 veces respectivamente en pacientes con insuficiencia hepática leve (clase Child-Pugh A) o moderada (clase Child-Pugh B) en relación a los pacientes con función hepática normal. A pesar de la mayor exposición plasmática transitoria, las reducciones de C-LDL fueron similares entre los grupos de pacientes a los que se administró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con función hepática normal y con insuficiencia hepática leve.En pacientes con insuficiencia hepática moderada, los niveles de PSCSK9 eran notablemente más bajos y la reducción de C-LDL fue menor que la observada en pacientes con función hepática normal. No es necesario un ajuste de dosis en pacientes con insuficiencia hepática leve o moderada (clase  Child-Pugh A y B).</w:t>
      </w:r>
      <w:r>
        <w:rPr>
          <w:rFonts w:ascii="Arial" w:eastAsia="Arial" w:hAnsi="Arial" w:cs="Arial"/>
          <w:sz w:val="20"/>
          <w:szCs w:val="20"/>
          <w:vertAlign w:val="baseline"/>
        </w:rPr>
        <w:t xml:space="preserve"> N</w:t>
      </w:r>
      <w:r>
        <w:rPr>
          <w:rFonts w:ascii="Arial" w:eastAsia="Arial" w:hAnsi="Arial" w:cs="Arial"/>
          <w:color w:val="000000"/>
          <w:sz w:val="20"/>
          <w:szCs w:val="20"/>
          <w:vertAlign w:val="baseline"/>
        </w:rPr>
        <w:t>o se ha estudiado en pacientes con insuficiencia hepática grave (clase Child-Pugh C).</w:t>
      </w:r>
    </w:p>
    <w:p w14:paraId="2F63D407"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FF"/>
          <w:sz w:val="20"/>
          <w:szCs w:val="20"/>
          <w:vertAlign w:val="baseline"/>
        </w:rPr>
      </w:pPr>
    </w:p>
    <w:p w14:paraId="23C9CA8A"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color w:val="000000"/>
          <w:sz w:val="20"/>
          <w:szCs w:val="20"/>
          <w:vertAlign w:val="baseline"/>
        </w:rPr>
        <w:t xml:space="preserve">4.5 Farmacocinética. </w:t>
      </w:r>
    </w:p>
    <w:p w14:paraId="0F6BDA3D"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C00000"/>
          <w:sz w:val="20"/>
          <w:szCs w:val="20"/>
          <w:vertAlign w:val="baseline"/>
        </w:rPr>
      </w:pPr>
    </w:p>
    <w:p w14:paraId="37A0224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u w:val="single"/>
          <w:vertAlign w:val="baseline"/>
        </w:rPr>
        <w:t>Absorción</w:t>
      </w:r>
    </w:p>
    <w:p w14:paraId="15503957" w14:textId="24E53D95"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Tras una administración subcutánea única, la exposición sistémica de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aumentó proporcionalmente a la dosis en un rango aproximado de 24 mg a 756 mg. En el régimen recomendado de dosificación de 284 mg, las concentraciones plasmáticas alcanzaron un pico aproximadamente 4 horas tras la</w:t>
      </w:r>
      <w:r w:rsidR="00EF3B28">
        <w:rPr>
          <w:rFonts w:ascii="Arial" w:eastAsia="Arial" w:hAnsi="Arial" w:cs="Arial"/>
          <w:color w:val="000000"/>
          <w:sz w:val="20"/>
          <w:szCs w:val="20"/>
          <w:vertAlign w:val="baseline"/>
        </w:rPr>
        <w:t xml:space="preserve"> dosis con una Cmax de 509 ng/mL</w:t>
      </w:r>
      <w:r>
        <w:rPr>
          <w:rFonts w:ascii="Arial" w:eastAsia="Arial" w:hAnsi="Arial" w:cs="Arial"/>
          <w:color w:val="000000"/>
          <w:sz w:val="20"/>
          <w:szCs w:val="20"/>
          <w:vertAlign w:val="baseline"/>
        </w:rPr>
        <w:t>. Las concentraciones alcanzaron niveles indetectables a las 48 horas después de la dosificación. El área media bajo la curva de concentración plasmática-tiempo desde dosificación extrapolada al infinito fue de 7980 ng*h/ml. Los hallazgos farmacocinéticos tras múltiples administraciones subcutáneas de inclisirán fueron similares a los de la administración de una dosis única.</w:t>
      </w:r>
    </w:p>
    <w:p w14:paraId="41B48AE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u w:val="single"/>
          <w:vertAlign w:val="baseline"/>
        </w:rPr>
        <w:t>Distribución</w:t>
      </w:r>
    </w:p>
    <w:p w14:paraId="4640D67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A concentraciones plasmáticas relevantes,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se une a proteínas en un 87% en estudios in vitro. Tras una administración subcutánea única de una dosis de 284 mg de inclisir</w:t>
      </w:r>
      <w:r>
        <w:rPr>
          <w:rFonts w:ascii="Arial" w:eastAsia="Arial" w:hAnsi="Arial" w:cs="Arial"/>
          <w:sz w:val="20"/>
          <w:szCs w:val="20"/>
          <w:vertAlign w:val="baseline"/>
        </w:rPr>
        <w:t>a</w:t>
      </w:r>
      <w:r>
        <w:rPr>
          <w:rFonts w:ascii="Arial" w:eastAsia="Arial" w:hAnsi="Arial" w:cs="Arial"/>
          <w:color w:val="000000"/>
          <w:sz w:val="20"/>
          <w:szCs w:val="20"/>
          <w:vertAlign w:val="baseline"/>
        </w:rPr>
        <w:t xml:space="preserve">n en adultos </w:t>
      </w:r>
      <w:r>
        <w:rPr>
          <w:rFonts w:ascii="Arial" w:eastAsia="Arial" w:hAnsi="Arial" w:cs="Arial"/>
          <w:color w:val="000000"/>
          <w:sz w:val="20"/>
          <w:szCs w:val="20"/>
          <w:vertAlign w:val="baseline"/>
        </w:rPr>
        <w:lastRenderedPageBreak/>
        <w:t>sanos, el volumen aparente de distribución es de aproximadamente 500 litros. En base a los datos no clínicos,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ha mostrado tener una alta recaptación y una alta selectividad por el hígado, el órgano objetivo para la reducción del colesterol.</w:t>
      </w:r>
    </w:p>
    <w:p w14:paraId="40718A2C"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u w:val="single"/>
          <w:vertAlign w:val="baseline"/>
        </w:rPr>
        <w:t>Biotransformación</w:t>
      </w:r>
    </w:p>
    <w:p w14:paraId="5ECE912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Inclisir</w:t>
      </w:r>
      <w:r>
        <w:rPr>
          <w:rFonts w:ascii="Arial" w:eastAsia="Arial" w:hAnsi="Arial" w:cs="Arial"/>
          <w:sz w:val="20"/>
          <w:szCs w:val="20"/>
          <w:vertAlign w:val="baseline"/>
        </w:rPr>
        <w:t>a</w:t>
      </w:r>
      <w:r>
        <w:rPr>
          <w:rFonts w:ascii="Arial" w:eastAsia="Arial" w:hAnsi="Arial" w:cs="Arial"/>
          <w:color w:val="000000"/>
          <w:sz w:val="20"/>
          <w:szCs w:val="20"/>
          <w:vertAlign w:val="baseline"/>
        </w:rPr>
        <w:t>n se metaboliza principalmente por nucleasas en nucleótidos inactivos más cortos de longitud variable. No es un sustrato de transportadores de fármacos habituales y aunque no se llevaron a cabo estudios in vitro, no se espera que sea un sustrato del citocromo P450.</w:t>
      </w:r>
    </w:p>
    <w:p w14:paraId="35A25BF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u w:val="single"/>
          <w:vertAlign w:val="baseline"/>
        </w:rPr>
        <w:t>Eliminación</w:t>
      </w:r>
    </w:p>
    <w:p w14:paraId="30AF807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La semivida de eliminación terminal de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es de aproximadamente 9 horas y no hay acumulación con dosis múltiples. Un dieciséis por ciento (16%) del fármaco se aclara a través del riñón.</w:t>
      </w:r>
    </w:p>
    <w:p w14:paraId="57E0AF6C"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u w:val="single"/>
          <w:vertAlign w:val="baseline"/>
        </w:rPr>
        <w:t>Linealidad/no-linealidad</w:t>
      </w:r>
    </w:p>
    <w:p w14:paraId="61B699A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En el ensayo clínico de fase I, se observó un aumento aproximado de exposición a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proporcional a la dosis, con un rango entre 24 y 756 mg, tras la administración de dosis subcutáneas de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No se observó ni acumulación ni cambios tiempo-dependientes tras múltiples dosificaciones subcutáneas.</w:t>
      </w:r>
    </w:p>
    <w:p w14:paraId="35325AB7" w14:textId="77777777" w:rsidR="00634CDF" w:rsidRDefault="00F0051D">
      <w:pPr>
        <w:pBdr>
          <w:top w:val="nil"/>
          <w:left w:val="nil"/>
          <w:bottom w:val="nil"/>
          <w:right w:val="nil"/>
          <w:between w:val="nil"/>
        </w:pBdr>
        <w:spacing w:line="240" w:lineRule="auto"/>
        <w:ind w:left="0" w:hanging="2"/>
        <w:jc w:val="both"/>
        <w:rPr>
          <w:color w:val="000000"/>
          <w:vertAlign w:val="baseline"/>
        </w:rPr>
      </w:pPr>
      <w:bookmarkStart w:id="11" w:name="_heading=h.35nkun2" w:colFirst="0" w:colLast="0"/>
      <w:bookmarkEnd w:id="11"/>
      <w:r>
        <w:rPr>
          <w:rFonts w:ascii="Arial" w:eastAsia="Arial" w:hAnsi="Arial" w:cs="Arial"/>
          <w:b/>
          <w:color w:val="000000"/>
          <w:sz w:val="20"/>
          <w:szCs w:val="20"/>
          <w:u w:val="single"/>
          <w:vertAlign w:val="baseline"/>
        </w:rPr>
        <w:t>Relación(es) farmacocinéticas/farmacodinámica(s)</w:t>
      </w:r>
    </w:p>
    <w:p w14:paraId="67CEE24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En el ensayo de fase I, se observó una disociación entre los parámetros farmacocinéticos de inclisir</w:t>
      </w:r>
      <w:r>
        <w:rPr>
          <w:rFonts w:ascii="Arial" w:eastAsia="Arial" w:hAnsi="Arial" w:cs="Arial"/>
          <w:sz w:val="20"/>
          <w:szCs w:val="20"/>
          <w:vertAlign w:val="baseline"/>
        </w:rPr>
        <w:t>a</w:t>
      </w:r>
      <w:r>
        <w:rPr>
          <w:rFonts w:ascii="Arial" w:eastAsia="Arial" w:hAnsi="Arial" w:cs="Arial"/>
          <w:color w:val="000000"/>
          <w:sz w:val="20"/>
          <w:szCs w:val="20"/>
          <w:vertAlign w:val="baseline"/>
        </w:rPr>
        <w:t>n y los efectos farmacodinámicos de C-LDL. La distribución selectiva de inclisir</w:t>
      </w:r>
      <w:r>
        <w:rPr>
          <w:rFonts w:ascii="Arial" w:eastAsia="Arial" w:hAnsi="Arial" w:cs="Arial"/>
          <w:sz w:val="20"/>
          <w:szCs w:val="20"/>
          <w:vertAlign w:val="baseline"/>
        </w:rPr>
        <w:t>a</w:t>
      </w:r>
      <w:r>
        <w:rPr>
          <w:rFonts w:ascii="Arial" w:eastAsia="Arial" w:hAnsi="Arial" w:cs="Arial"/>
          <w:color w:val="000000"/>
          <w:sz w:val="20"/>
          <w:szCs w:val="20"/>
          <w:vertAlign w:val="baseline"/>
        </w:rPr>
        <w:t xml:space="preserve">n a los hepatocitos, en la que se incorpora al Complejo de Silenciamiento inducido por ARN (RISC), da lugar a una larga duración de la acción más allá de lo anticipado en base a la </w:t>
      </w:r>
      <w:r>
        <w:rPr>
          <w:rFonts w:ascii="Arial" w:eastAsia="Arial" w:hAnsi="Arial" w:cs="Arial"/>
          <w:sz w:val="20"/>
          <w:szCs w:val="20"/>
          <w:vertAlign w:val="baseline"/>
        </w:rPr>
        <w:t>semi liberación</w:t>
      </w:r>
      <w:r>
        <w:rPr>
          <w:rFonts w:ascii="Arial" w:eastAsia="Arial" w:hAnsi="Arial" w:cs="Arial"/>
          <w:color w:val="000000"/>
          <w:sz w:val="20"/>
          <w:szCs w:val="20"/>
          <w:vertAlign w:val="baseline"/>
        </w:rPr>
        <w:t xml:space="preserve"> plasmática de 9 horas. Se observó el efecto máximo de reducción de C-LDL con la dosis de 284 mg, dosis mayores no produjeron mayores efectos.</w:t>
      </w:r>
    </w:p>
    <w:p w14:paraId="06CC197D" w14:textId="77777777" w:rsidR="00634CDF" w:rsidRDefault="00634CDF">
      <w:pPr>
        <w:pBdr>
          <w:top w:val="nil"/>
          <w:left w:val="nil"/>
          <w:bottom w:val="nil"/>
          <w:right w:val="nil"/>
          <w:between w:val="nil"/>
        </w:pBdr>
        <w:spacing w:line="240" w:lineRule="auto"/>
        <w:ind w:left="0" w:hanging="2"/>
        <w:jc w:val="right"/>
        <w:rPr>
          <w:rFonts w:ascii="Arial" w:eastAsia="Arial" w:hAnsi="Arial" w:cs="Arial"/>
          <w:color w:val="000000"/>
          <w:sz w:val="20"/>
          <w:szCs w:val="20"/>
          <w:vertAlign w:val="baseline"/>
        </w:rPr>
      </w:pPr>
    </w:p>
    <w:tbl>
      <w:tblPr>
        <w:tblStyle w:val="af"/>
        <w:tblW w:w="8910" w:type="dxa"/>
        <w:tblInd w:w="-5" w:type="dxa"/>
        <w:tblLayout w:type="fixed"/>
        <w:tblLook w:val="0000" w:firstRow="0" w:lastRow="0" w:firstColumn="0" w:lastColumn="0" w:noHBand="0" w:noVBand="0"/>
      </w:tblPr>
      <w:tblGrid>
        <w:gridCol w:w="8910"/>
      </w:tblGrid>
      <w:tr w:rsidR="00634CDF" w14:paraId="492A0997" w14:textId="77777777">
        <w:tc>
          <w:tcPr>
            <w:tcW w:w="8910" w:type="dxa"/>
            <w:tcBorders>
              <w:top w:val="single" w:sz="4" w:space="0" w:color="000000"/>
              <w:left w:val="single" w:sz="4" w:space="0" w:color="000000"/>
              <w:bottom w:val="single" w:sz="4" w:space="0" w:color="000000"/>
              <w:right w:val="single" w:sz="4" w:space="0" w:color="000000"/>
            </w:tcBorders>
            <w:shd w:val="clear" w:color="auto" w:fill="B3B3B3"/>
          </w:tcPr>
          <w:p w14:paraId="5EFA7366" w14:textId="77777777" w:rsidR="00634CDF" w:rsidRDefault="00F0051D">
            <w:pPr>
              <w:keepNext/>
              <w:pBdr>
                <w:top w:val="none" w:sz="0" w:space="0" w:color="000000"/>
                <w:left w:val="none" w:sz="0" w:space="0" w:color="000000"/>
                <w:bottom w:val="none" w:sz="0" w:space="0" w:color="000000"/>
                <w:right w:val="none" w:sz="0" w:space="0" w:color="000000"/>
                <w:between w:val="nil"/>
              </w:pBdr>
              <w:shd w:val="clear" w:color="auto" w:fill="A6A6A6"/>
              <w:spacing w:line="240" w:lineRule="auto"/>
              <w:ind w:left="0" w:hanging="2"/>
              <w:rPr>
                <w:color w:val="000000"/>
                <w:vertAlign w:val="baseline"/>
              </w:rPr>
            </w:pPr>
            <w:r>
              <w:rPr>
                <w:rFonts w:ascii="Arial" w:eastAsia="Arial" w:hAnsi="Arial" w:cs="Arial"/>
                <w:b/>
                <w:color w:val="000000"/>
                <w:sz w:val="20"/>
                <w:szCs w:val="20"/>
                <w:vertAlign w:val="baseline"/>
              </w:rPr>
              <w:t>5.- EVALUACIÓN DE LA EFICACIA.</w:t>
            </w:r>
          </w:p>
        </w:tc>
      </w:tr>
    </w:tbl>
    <w:p w14:paraId="6CBEB128"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bookmarkStart w:id="12" w:name="_heading=h.1ksv4uv" w:colFirst="0" w:colLast="0"/>
      <w:bookmarkEnd w:id="12"/>
    </w:p>
    <w:p w14:paraId="6A9F3A6C"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color w:val="000000"/>
          <w:sz w:val="20"/>
          <w:szCs w:val="20"/>
          <w:vertAlign w:val="baseline"/>
        </w:rPr>
        <w:t>5.1.a Ensayos clínicos disponibles para la indicación clínica evaluada</w:t>
      </w:r>
    </w:p>
    <w:p w14:paraId="79913AD7"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8"/>
          <w:szCs w:val="18"/>
          <w:vertAlign w:val="baseline"/>
        </w:rPr>
      </w:pPr>
    </w:p>
    <w:p w14:paraId="538B42B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Se realizó una búsqueda en Pubmed el 14 de diciembre del 2020, localizándose las publicaciones correspondientes a ORION 9 (17) Y ORION 10 y 11 </w:t>
      </w:r>
      <w:r>
        <w:rPr>
          <w:rFonts w:ascii="Arial" w:eastAsia="Arial" w:hAnsi="Arial" w:cs="Arial"/>
          <w:color w:val="212121"/>
          <w:sz w:val="20"/>
          <w:szCs w:val="20"/>
          <w:vertAlign w:val="baseline"/>
        </w:rPr>
        <w:t>(18).</w:t>
      </w:r>
      <w:r>
        <w:rPr>
          <w:rFonts w:ascii="Arial" w:eastAsia="Arial" w:hAnsi="Arial" w:cs="Arial"/>
          <w:color w:val="000000"/>
          <w:sz w:val="20"/>
          <w:szCs w:val="20"/>
          <w:vertAlign w:val="baseline"/>
        </w:rPr>
        <w:t xml:space="preserve"> El 6 de enero de 2021 se publicó el EPAR</w:t>
      </w:r>
      <w:r>
        <w:rPr>
          <w:rFonts w:ascii="Arial" w:eastAsia="Arial" w:hAnsi="Arial" w:cs="Arial"/>
          <w:i/>
          <w:color w:val="000000"/>
          <w:sz w:val="20"/>
          <w:szCs w:val="20"/>
          <w:vertAlign w:val="baseline"/>
        </w:rPr>
        <w:t xml:space="preserve"> </w:t>
      </w:r>
      <w:r>
        <w:rPr>
          <w:rFonts w:ascii="Arial" w:eastAsia="Arial" w:hAnsi="Arial" w:cs="Arial"/>
          <w:sz w:val="20"/>
          <w:szCs w:val="20"/>
          <w:vertAlign w:val="baseline"/>
        </w:rPr>
        <w:t>(16)</w:t>
      </w:r>
      <w:r>
        <w:rPr>
          <w:rFonts w:ascii="Arial" w:eastAsia="Arial" w:hAnsi="Arial" w:cs="Arial"/>
          <w:color w:val="000000"/>
          <w:sz w:val="20"/>
          <w:szCs w:val="20"/>
          <w:vertAlign w:val="baseline"/>
        </w:rPr>
        <w:t xml:space="preserve">. Igualmente contiene los estudios previamente citados y no se incluyen ORION 4, ORION 5 y ORION 8. En la siguiente </w:t>
      </w:r>
      <w:r>
        <w:rPr>
          <w:rFonts w:ascii="Arial" w:eastAsia="Arial" w:hAnsi="Arial" w:cs="Arial"/>
          <w:sz w:val="20"/>
          <w:szCs w:val="20"/>
          <w:vertAlign w:val="baseline"/>
        </w:rPr>
        <w:t>Figura</w:t>
      </w:r>
      <w:r>
        <w:rPr>
          <w:rFonts w:ascii="Arial" w:eastAsia="Arial" w:hAnsi="Arial" w:cs="Arial"/>
          <w:color w:val="000000"/>
          <w:sz w:val="20"/>
          <w:szCs w:val="20"/>
          <w:vertAlign w:val="baseline"/>
        </w:rPr>
        <w:t xml:space="preserve"> se resumen los ensayos clínicos planificados para inclisiran.</w:t>
      </w:r>
    </w:p>
    <w:p w14:paraId="208C3796"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bookmarkStart w:id="13" w:name="_heading=h.44sinio" w:colFirst="0" w:colLast="0"/>
      <w:bookmarkEnd w:id="13"/>
    </w:p>
    <w:p w14:paraId="3E3D30B0"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FF0000"/>
          <w:sz w:val="20"/>
          <w:szCs w:val="20"/>
          <w:vertAlign w:val="baseline"/>
        </w:rPr>
      </w:pPr>
    </w:p>
    <w:p w14:paraId="4C819672"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FF0000"/>
          <w:sz w:val="20"/>
          <w:szCs w:val="20"/>
          <w:vertAlign w:val="baseline"/>
        </w:rPr>
      </w:pPr>
      <w:bookmarkStart w:id="14" w:name="_heading=h.loxs0upj93yw" w:colFirst="0" w:colLast="0"/>
      <w:bookmarkEnd w:id="14"/>
      <w:r>
        <w:rPr>
          <w:noProof/>
          <w:color w:val="000000"/>
          <w:vertAlign w:val="baseline"/>
          <w:lang w:eastAsia="es-ES"/>
        </w:rPr>
        <w:drawing>
          <wp:inline distT="0" distB="0" distL="114300" distR="114300" wp14:anchorId="019C7D45" wp14:editId="6B7E6BE6">
            <wp:extent cx="5549265" cy="3138170"/>
            <wp:effectExtent l="0" t="0" r="0" b="0"/>
            <wp:docPr id="1086"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
                    <a:srcRect/>
                    <a:stretch>
                      <a:fillRect/>
                    </a:stretch>
                  </pic:blipFill>
                  <pic:spPr>
                    <a:xfrm>
                      <a:off x="0" y="0"/>
                      <a:ext cx="5549265" cy="3138170"/>
                    </a:xfrm>
                    <a:prstGeom prst="rect">
                      <a:avLst/>
                    </a:prstGeom>
                    <a:ln/>
                  </pic:spPr>
                </pic:pic>
              </a:graphicData>
            </a:graphic>
          </wp:inline>
        </w:drawing>
      </w:r>
    </w:p>
    <w:p w14:paraId="22756A55" w14:textId="77777777" w:rsidR="00634CDF" w:rsidRDefault="00F0051D">
      <w:pPr>
        <w:pBdr>
          <w:top w:val="nil"/>
          <w:left w:val="nil"/>
          <w:bottom w:val="nil"/>
          <w:right w:val="nil"/>
          <w:between w:val="nil"/>
        </w:pBdr>
        <w:spacing w:line="240" w:lineRule="auto"/>
        <w:ind w:left="0" w:hanging="2"/>
        <w:rPr>
          <w:rFonts w:ascii="Arial" w:eastAsia="Arial" w:hAnsi="Arial" w:cs="Arial"/>
          <w:sz w:val="20"/>
          <w:szCs w:val="20"/>
          <w:vertAlign w:val="baseline"/>
        </w:rPr>
      </w:pPr>
      <w:bookmarkStart w:id="15" w:name="_heading=h.v8oo2uu3iput" w:colFirst="0" w:colLast="0"/>
      <w:bookmarkEnd w:id="15"/>
      <w:r>
        <w:rPr>
          <w:rFonts w:ascii="Arial" w:eastAsia="Arial" w:hAnsi="Arial" w:cs="Arial"/>
          <w:sz w:val="20"/>
          <w:szCs w:val="20"/>
          <w:vertAlign w:val="baseline"/>
        </w:rPr>
        <w:t>Figura 2. Ensayos clínicos planificados para inclisiran</w:t>
      </w:r>
    </w:p>
    <w:p w14:paraId="0D7D0D55" w14:textId="77777777" w:rsidR="00634CDF" w:rsidRDefault="00634CDF">
      <w:pPr>
        <w:pBdr>
          <w:top w:val="nil"/>
          <w:left w:val="nil"/>
          <w:bottom w:val="nil"/>
          <w:right w:val="nil"/>
          <w:between w:val="nil"/>
        </w:pBdr>
        <w:spacing w:line="240" w:lineRule="auto"/>
        <w:ind w:left="0" w:hanging="2"/>
        <w:rPr>
          <w:rFonts w:ascii="Arial" w:eastAsia="Arial" w:hAnsi="Arial" w:cs="Arial"/>
          <w:color w:val="FF0000"/>
          <w:sz w:val="20"/>
          <w:szCs w:val="20"/>
          <w:vertAlign w:val="baseline"/>
        </w:rPr>
      </w:pPr>
      <w:bookmarkStart w:id="16" w:name="_heading=h.3r6wj9upeiom" w:colFirst="0" w:colLast="0"/>
      <w:bookmarkEnd w:id="16"/>
    </w:p>
    <w:p w14:paraId="1175302D" w14:textId="77777777" w:rsidR="00634CDF" w:rsidRDefault="00634CDF">
      <w:pPr>
        <w:pBdr>
          <w:top w:val="nil"/>
          <w:left w:val="nil"/>
          <w:bottom w:val="nil"/>
          <w:right w:val="nil"/>
          <w:between w:val="nil"/>
        </w:pBdr>
        <w:spacing w:line="240" w:lineRule="auto"/>
        <w:ind w:left="0" w:hanging="2"/>
        <w:rPr>
          <w:rFonts w:ascii="Arial" w:eastAsia="Arial" w:hAnsi="Arial" w:cs="Arial"/>
          <w:color w:val="FF0000"/>
          <w:sz w:val="20"/>
          <w:szCs w:val="20"/>
          <w:vertAlign w:val="baseline"/>
        </w:rPr>
      </w:pPr>
    </w:p>
    <w:p w14:paraId="57C5EDF6"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color w:val="000000"/>
          <w:sz w:val="20"/>
          <w:szCs w:val="20"/>
          <w:vertAlign w:val="baseline"/>
        </w:rPr>
        <w:t xml:space="preserve">5.1.b Variables utilizadas en los ensayos </w:t>
      </w:r>
    </w:p>
    <w:p w14:paraId="5F46D85F"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80"/>
          <w:sz w:val="20"/>
          <w:szCs w:val="20"/>
          <w:vertAlign w:val="baseline"/>
        </w:rPr>
      </w:pPr>
    </w:p>
    <w:p w14:paraId="3BE7A4D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En la siguiente tabla se indican las variables empleadas en los tres ensayos pivotales.</w:t>
      </w:r>
    </w:p>
    <w:p w14:paraId="40AB3D92"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80"/>
          <w:sz w:val="20"/>
          <w:szCs w:val="20"/>
          <w:vertAlign w:val="baseline"/>
        </w:rPr>
      </w:pPr>
    </w:p>
    <w:tbl>
      <w:tblPr>
        <w:tblStyle w:val="af0"/>
        <w:tblW w:w="8777" w:type="dxa"/>
        <w:tblInd w:w="80" w:type="dxa"/>
        <w:tblLayout w:type="fixed"/>
        <w:tblLook w:val="0000" w:firstRow="0" w:lastRow="0" w:firstColumn="0" w:lastColumn="0" w:noHBand="0" w:noVBand="0"/>
      </w:tblPr>
      <w:tblGrid>
        <w:gridCol w:w="1372"/>
        <w:gridCol w:w="3144"/>
        <w:gridCol w:w="2510"/>
        <w:gridCol w:w="1751"/>
      </w:tblGrid>
      <w:tr w:rsidR="00634CDF" w14:paraId="52855030" w14:textId="77777777">
        <w:trPr>
          <w:trHeight w:val="440"/>
        </w:trPr>
        <w:tc>
          <w:tcPr>
            <w:tcW w:w="8777" w:type="dxa"/>
            <w:gridSpan w:val="4"/>
            <w:tcBorders>
              <w:top w:val="single" w:sz="8" w:space="0" w:color="000000"/>
              <w:left w:val="single" w:sz="8" w:space="0" w:color="000000"/>
              <w:bottom w:val="single" w:sz="8" w:space="0" w:color="000000"/>
              <w:right w:val="single" w:sz="8" w:space="0" w:color="000000"/>
            </w:tcBorders>
            <w:shd w:val="clear" w:color="auto" w:fill="CCFFCC"/>
          </w:tcPr>
          <w:p w14:paraId="0465DABE"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b/>
                <w:color w:val="000000"/>
                <w:sz w:val="18"/>
                <w:szCs w:val="18"/>
                <w:vertAlign w:val="baseline"/>
              </w:rPr>
              <w:t xml:space="preserve">Tabla </w:t>
            </w:r>
            <w:r>
              <w:rPr>
                <w:rFonts w:ascii="Arial" w:eastAsia="Arial" w:hAnsi="Arial" w:cs="Arial"/>
                <w:b/>
                <w:sz w:val="18"/>
                <w:szCs w:val="18"/>
                <w:vertAlign w:val="baseline"/>
              </w:rPr>
              <w:t>9</w:t>
            </w:r>
            <w:r>
              <w:rPr>
                <w:rFonts w:ascii="Arial" w:eastAsia="Arial" w:hAnsi="Arial" w:cs="Arial"/>
                <w:b/>
                <w:color w:val="000000"/>
                <w:sz w:val="18"/>
                <w:szCs w:val="18"/>
                <w:vertAlign w:val="baseline"/>
              </w:rPr>
              <w:t xml:space="preserve">. Variables empleadas en los ensayos clínicos pivotales. </w:t>
            </w:r>
          </w:p>
        </w:tc>
      </w:tr>
      <w:tr w:rsidR="00634CDF" w14:paraId="6AEE865F" w14:textId="77777777">
        <w:trPr>
          <w:trHeight w:val="395"/>
        </w:trPr>
        <w:tc>
          <w:tcPr>
            <w:tcW w:w="1372" w:type="dxa"/>
            <w:tcBorders>
              <w:left w:val="single" w:sz="8" w:space="0" w:color="000000"/>
              <w:bottom w:val="single" w:sz="8" w:space="0" w:color="000000"/>
            </w:tcBorders>
            <w:shd w:val="clear" w:color="auto" w:fill="D9D9D9"/>
          </w:tcPr>
          <w:p w14:paraId="5F621ED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EFICACIA</w:t>
            </w:r>
          </w:p>
        </w:tc>
        <w:tc>
          <w:tcPr>
            <w:tcW w:w="3144" w:type="dxa"/>
            <w:tcBorders>
              <w:left w:val="single" w:sz="8" w:space="0" w:color="000000"/>
              <w:bottom w:val="single" w:sz="8" w:space="0" w:color="000000"/>
            </w:tcBorders>
            <w:shd w:val="clear" w:color="auto" w:fill="D9D9D9"/>
          </w:tcPr>
          <w:p w14:paraId="52473E42"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Enunciado</w:t>
            </w:r>
          </w:p>
        </w:tc>
        <w:tc>
          <w:tcPr>
            <w:tcW w:w="2510" w:type="dxa"/>
            <w:tcBorders>
              <w:left w:val="single" w:sz="8" w:space="0" w:color="000000"/>
              <w:bottom w:val="single" w:sz="8" w:space="0" w:color="000000"/>
            </w:tcBorders>
            <w:shd w:val="clear" w:color="auto" w:fill="D9D9D9"/>
          </w:tcPr>
          <w:p w14:paraId="122C3D60"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Descripción</w:t>
            </w:r>
          </w:p>
        </w:tc>
        <w:tc>
          <w:tcPr>
            <w:tcW w:w="1751" w:type="dxa"/>
            <w:tcBorders>
              <w:left w:val="single" w:sz="8" w:space="0" w:color="000000"/>
              <w:bottom w:val="single" w:sz="8" w:space="0" w:color="000000"/>
              <w:right w:val="single" w:sz="8" w:space="0" w:color="000000"/>
            </w:tcBorders>
            <w:shd w:val="clear" w:color="auto" w:fill="D9D9D9"/>
          </w:tcPr>
          <w:p w14:paraId="463B45B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Variable</w:t>
            </w:r>
          </w:p>
        </w:tc>
      </w:tr>
      <w:tr w:rsidR="00634CDF" w14:paraId="3153C592" w14:textId="77777777">
        <w:trPr>
          <w:trHeight w:val="1115"/>
        </w:trPr>
        <w:tc>
          <w:tcPr>
            <w:tcW w:w="1372" w:type="dxa"/>
            <w:tcBorders>
              <w:left w:val="single" w:sz="8" w:space="0" w:color="000000"/>
              <w:bottom w:val="single" w:sz="8" w:space="0" w:color="000000"/>
            </w:tcBorders>
            <w:shd w:val="clear" w:color="auto" w:fill="auto"/>
          </w:tcPr>
          <w:p w14:paraId="5BA5E53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Variable principal</w:t>
            </w:r>
          </w:p>
        </w:tc>
        <w:tc>
          <w:tcPr>
            <w:tcW w:w="3144" w:type="dxa"/>
            <w:tcBorders>
              <w:left w:val="single" w:sz="8" w:space="0" w:color="000000"/>
              <w:bottom w:val="single" w:sz="8" w:space="0" w:color="000000"/>
            </w:tcBorders>
            <w:shd w:val="clear" w:color="auto" w:fill="auto"/>
          </w:tcPr>
          <w:p w14:paraId="065869B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Porcentaje medio de reducción con respecto al valor inicial en el C-LDL en el día 510</w:t>
            </w:r>
          </w:p>
        </w:tc>
        <w:tc>
          <w:tcPr>
            <w:tcW w:w="2510" w:type="dxa"/>
            <w:tcBorders>
              <w:left w:val="single" w:sz="8" w:space="0" w:color="000000"/>
              <w:bottom w:val="single" w:sz="8" w:space="0" w:color="000000"/>
            </w:tcBorders>
            <w:shd w:val="clear" w:color="auto" w:fill="auto"/>
          </w:tcPr>
          <w:p w14:paraId="08DD7F4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Reducción encontrada respecto al valor de C-LDL basal en el día 510. Esta es la variable principal en todos los ensayos clínicos.</w:t>
            </w:r>
          </w:p>
        </w:tc>
        <w:tc>
          <w:tcPr>
            <w:tcW w:w="1751" w:type="dxa"/>
            <w:tcBorders>
              <w:left w:val="single" w:sz="8" w:space="0" w:color="000000"/>
              <w:bottom w:val="single" w:sz="8" w:space="0" w:color="000000"/>
              <w:right w:val="single" w:sz="8" w:space="0" w:color="000000"/>
            </w:tcBorders>
            <w:shd w:val="clear" w:color="auto" w:fill="CCFFCC"/>
          </w:tcPr>
          <w:p w14:paraId="3468BE2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Intermedia</w:t>
            </w:r>
          </w:p>
        </w:tc>
      </w:tr>
      <w:tr w:rsidR="00634CDF" w14:paraId="2334E8B5" w14:textId="77777777">
        <w:trPr>
          <w:trHeight w:val="1115"/>
        </w:trPr>
        <w:tc>
          <w:tcPr>
            <w:tcW w:w="1372" w:type="dxa"/>
            <w:tcBorders>
              <w:left w:val="single" w:sz="8" w:space="0" w:color="000000"/>
              <w:bottom w:val="single" w:sz="8" w:space="0" w:color="000000"/>
            </w:tcBorders>
            <w:shd w:val="clear" w:color="auto" w:fill="auto"/>
          </w:tcPr>
          <w:p w14:paraId="75CF3EF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Variable principal</w:t>
            </w:r>
          </w:p>
        </w:tc>
        <w:tc>
          <w:tcPr>
            <w:tcW w:w="3144" w:type="dxa"/>
            <w:tcBorders>
              <w:left w:val="single" w:sz="8" w:space="0" w:color="000000"/>
              <w:bottom w:val="single" w:sz="8" w:space="0" w:color="000000"/>
            </w:tcBorders>
            <w:shd w:val="clear" w:color="auto" w:fill="auto"/>
          </w:tcPr>
          <w:p w14:paraId="2AB05EA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Porcentaje medio de reducción ajustado según tiempo con respecto al valor inicial tras el día 90 y hasta el día 540</w:t>
            </w:r>
          </w:p>
        </w:tc>
        <w:tc>
          <w:tcPr>
            <w:tcW w:w="2510" w:type="dxa"/>
            <w:tcBorders>
              <w:left w:val="single" w:sz="8" w:space="0" w:color="000000"/>
              <w:bottom w:val="single" w:sz="8" w:space="0" w:color="000000"/>
            </w:tcBorders>
            <w:shd w:val="clear" w:color="auto" w:fill="auto"/>
          </w:tcPr>
          <w:p w14:paraId="4B2C187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Reducción promedio respecto al basal sobre el periodo entre el día 90 y hasta el día 540</w:t>
            </w:r>
          </w:p>
        </w:tc>
        <w:tc>
          <w:tcPr>
            <w:tcW w:w="1751" w:type="dxa"/>
            <w:tcBorders>
              <w:left w:val="single" w:sz="8" w:space="0" w:color="000000"/>
              <w:bottom w:val="single" w:sz="8" w:space="0" w:color="000000"/>
              <w:right w:val="single" w:sz="8" w:space="0" w:color="000000"/>
            </w:tcBorders>
            <w:shd w:val="clear" w:color="auto" w:fill="CCFFCC"/>
          </w:tcPr>
          <w:p w14:paraId="75B45BD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Intermedia</w:t>
            </w:r>
          </w:p>
        </w:tc>
      </w:tr>
      <w:tr w:rsidR="00634CDF" w14:paraId="12E1C8FD" w14:textId="77777777">
        <w:trPr>
          <w:trHeight w:val="1256"/>
        </w:trPr>
        <w:tc>
          <w:tcPr>
            <w:tcW w:w="1372" w:type="dxa"/>
            <w:tcBorders>
              <w:left w:val="single" w:sz="8" w:space="0" w:color="000000"/>
              <w:bottom w:val="single" w:sz="8" w:space="0" w:color="000000"/>
            </w:tcBorders>
            <w:shd w:val="clear" w:color="auto" w:fill="auto"/>
          </w:tcPr>
          <w:p w14:paraId="3FD01CE1"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Variable secundaria</w:t>
            </w:r>
          </w:p>
        </w:tc>
        <w:tc>
          <w:tcPr>
            <w:tcW w:w="3144" w:type="dxa"/>
            <w:tcBorders>
              <w:left w:val="single" w:sz="8" w:space="0" w:color="000000"/>
              <w:bottom w:val="single" w:sz="8" w:space="0" w:color="000000"/>
            </w:tcBorders>
            <w:shd w:val="clear" w:color="auto" w:fill="auto"/>
          </w:tcPr>
          <w:p w14:paraId="2DF0B54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cambio absoluto en C-LDL con respecto al valor inicial en el día 510</w:t>
            </w:r>
          </w:p>
        </w:tc>
        <w:tc>
          <w:tcPr>
            <w:tcW w:w="2510" w:type="dxa"/>
            <w:tcBorders>
              <w:left w:val="single" w:sz="8" w:space="0" w:color="000000"/>
              <w:bottom w:val="single" w:sz="8" w:space="0" w:color="000000"/>
            </w:tcBorders>
            <w:shd w:val="clear" w:color="auto" w:fill="auto"/>
          </w:tcPr>
          <w:p w14:paraId="066696C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Diferencia entre valores</w:t>
            </w:r>
          </w:p>
        </w:tc>
        <w:tc>
          <w:tcPr>
            <w:tcW w:w="1751" w:type="dxa"/>
            <w:tcBorders>
              <w:left w:val="single" w:sz="8" w:space="0" w:color="000000"/>
              <w:bottom w:val="single" w:sz="8" w:space="0" w:color="000000"/>
              <w:right w:val="single" w:sz="8" w:space="0" w:color="000000"/>
            </w:tcBorders>
            <w:shd w:val="clear" w:color="auto" w:fill="CCFFCC"/>
          </w:tcPr>
          <w:p w14:paraId="28B3C037"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Intermedia</w:t>
            </w:r>
          </w:p>
        </w:tc>
      </w:tr>
      <w:tr w:rsidR="00634CDF" w14:paraId="24D9A4D6" w14:textId="77777777">
        <w:trPr>
          <w:trHeight w:val="1256"/>
        </w:trPr>
        <w:tc>
          <w:tcPr>
            <w:tcW w:w="1372" w:type="dxa"/>
            <w:tcBorders>
              <w:left w:val="single" w:sz="8" w:space="0" w:color="000000"/>
              <w:bottom w:val="single" w:sz="8" w:space="0" w:color="000000"/>
            </w:tcBorders>
            <w:shd w:val="clear" w:color="auto" w:fill="auto"/>
          </w:tcPr>
          <w:p w14:paraId="7AE83E90"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Variable secundaria</w:t>
            </w:r>
          </w:p>
        </w:tc>
        <w:tc>
          <w:tcPr>
            <w:tcW w:w="3144" w:type="dxa"/>
            <w:tcBorders>
              <w:left w:val="single" w:sz="8" w:space="0" w:color="000000"/>
              <w:bottom w:val="single" w:sz="8" w:space="0" w:color="000000"/>
            </w:tcBorders>
            <w:shd w:val="clear" w:color="auto" w:fill="auto"/>
          </w:tcPr>
          <w:p w14:paraId="3AB5246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Porcentaje medio de variación con respecto al valor inicial en el ApoB en el día 510</w:t>
            </w:r>
          </w:p>
        </w:tc>
        <w:tc>
          <w:tcPr>
            <w:tcW w:w="2510" w:type="dxa"/>
            <w:tcBorders>
              <w:left w:val="single" w:sz="8" w:space="0" w:color="000000"/>
              <w:bottom w:val="single" w:sz="8" w:space="0" w:color="000000"/>
            </w:tcBorders>
            <w:shd w:val="clear" w:color="auto" w:fill="auto"/>
          </w:tcPr>
          <w:p w14:paraId="52427AA1"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 xml:space="preserve">Reducción encontrada respecto al valor de </w:t>
            </w:r>
            <w:r>
              <w:rPr>
                <w:rFonts w:ascii="Arial" w:eastAsia="Arial" w:hAnsi="Arial" w:cs="Arial"/>
                <w:sz w:val="16"/>
                <w:szCs w:val="16"/>
                <w:vertAlign w:val="baseline"/>
              </w:rPr>
              <w:t>A</w:t>
            </w:r>
            <w:r>
              <w:rPr>
                <w:rFonts w:ascii="Arial" w:eastAsia="Arial" w:hAnsi="Arial" w:cs="Arial"/>
                <w:color w:val="000000"/>
                <w:sz w:val="16"/>
                <w:szCs w:val="16"/>
                <w:vertAlign w:val="baseline"/>
              </w:rPr>
              <w:t>po</w:t>
            </w:r>
            <w:r>
              <w:rPr>
                <w:rFonts w:ascii="Arial" w:eastAsia="Arial" w:hAnsi="Arial" w:cs="Arial"/>
                <w:sz w:val="16"/>
                <w:szCs w:val="16"/>
                <w:vertAlign w:val="baseline"/>
              </w:rPr>
              <w:t>B</w:t>
            </w:r>
            <w:r>
              <w:rPr>
                <w:rFonts w:ascii="Arial" w:eastAsia="Arial" w:hAnsi="Arial" w:cs="Arial"/>
                <w:color w:val="000000"/>
                <w:sz w:val="16"/>
                <w:szCs w:val="16"/>
                <w:vertAlign w:val="baseline"/>
              </w:rPr>
              <w:t xml:space="preserve"> basal en el día 510</w:t>
            </w:r>
          </w:p>
        </w:tc>
        <w:tc>
          <w:tcPr>
            <w:tcW w:w="1751" w:type="dxa"/>
            <w:tcBorders>
              <w:left w:val="single" w:sz="8" w:space="0" w:color="000000"/>
              <w:bottom w:val="single" w:sz="8" w:space="0" w:color="000000"/>
              <w:right w:val="single" w:sz="8" w:space="0" w:color="000000"/>
            </w:tcBorders>
            <w:shd w:val="clear" w:color="auto" w:fill="CCFFCC"/>
          </w:tcPr>
          <w:p w14:paraId="5B674BF4"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Intermedia</w:t>
            </w:r>
          </w:p>
        </w:tc>
      </w:tr>
      <w:tr w:rsidR="00634CDF" w14:paraId="3729FBAD" w14:textId="77777777">
        <w:trPr>
          <w:trHeight w:val="755"/>
        </w:trPr>
        <w:tc>
          <w:tcPr>
            <w:tcW w:w="1372" w:type="dxa"/>
            <w:tcBorders>
              <w:left w:val="single" w:sz="8" w:space="0" w:color="000000"/>
              <w:bottom w:val="single" w:sz="8" w:space="0" w:color="000000"/>
            </w:tcBorders>
            <w:shd w:val="clear" w:color="auto" w:fill="auto"/>
          </w:tcPr>
          <w:p w14:paraId="4C956D60"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Variable secundaria</w:t>
            </w:r>
          </w:p>
        </w:tc>
        <w:tc>
          <w:tcPr>
            <w:tcW w:w="3144" w:type="dxa"/>
            <w:tcBorders>
              <w:left w:val="single" w:sz="8" w:space="0" w:color="000000"/>
              <w:bottom w:val="single" w:sz="8" w:space="0" w:color="000000"/>
            </w:tcBorders>
            <w:shd w:val="clear" w:color="auto" w:fill="auto"/>
          </w:tcPr>
          <w:p w14:paraId="1B91C83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Porcentaje medio de variación con respecto al valor inicial en el C-no-HDL en el día 510</w:t>
            </w:r>
          </w:p>
        </w:tc>
        <w:tc>
          <w:tcPr>
            <w:tcW w:w="2510" w:type="dxa"/>
            <w:tcBorders>
              <w:left w:val="single" w:sz="8" w:space="0" w:color="000000"/>
              <w:bottom w:val="single" w:sz="8" w:space="0" w:color="000000"/>
            </w:tcBorders>
            <w:shd w:val="clear" w:color="auto" w:fill="auto"/>
          </w:tcPr>
          <w:p w14:paraId="42BB366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Reducción encontrada respecto al valor de C-no-HDL basal en el día 510</w:t>
            </w:r>
          </w:p>
        </w:tc>
        <w:tc>
          <w:tcPr>
            <w:tcW w:w="1751" w:type="dxa"/>
            <w:tcBorders>
              <w:left w:val="single" w:sz="8" w:space="0" w:color="000000"/>
              <w:bottom w:val="single" w:sz="8" w:space="0" w:color="000000"/>
              <w:right w:val="single" w:sz="8" w:space="0" w:color="000000"/>
            </w:tcBorders>
            <w:shd w:val="clear" w:color="auto" w:fill="CCFFCC"/>
          </w:tcPr>
          <w:p w14:paraId="2324003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Intermedia</w:t>
            </w:r>
          </w:p>
        </w:tc>
      </w:tr>
      <w:tr w:rsidR="00634CDF" w14:paraId="256200E8" w14:textId="77777777">
        <w:trPr>
          <w:trHeight w:val="755"/>
        </w:trPr>
        <w:tc>
          <w:tcPr>
            <w:tcW w:w="1372" w:type="dxa"/>
            <w:tcBorders>
              <w:left w:val="single" w:sz="8" w:space="0" w:color="000000"/>
              <w:bottom w:val="single" w:sz="8" w:space="0" w:color="000000"/>
            </w:tcBorders>
            <w:shd w:val="clear" w:color="auto" w:fill="auto"/>
          </w:tcPr>
          <w:p w14:paraId="60A8FBA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Variable secundaria</w:t>
            </w:r>
          </w:p>
        </w:tc>
        <w:tc>
          <w:tcPr>
            <w:tcW w:w="3144" w:type="dxa"/>
            <w:tcBorders>
              <w:left w:val="single" w:sz="8" w:space="0" w:color="000000"/>
              <w:bottom w:val="single" w:sz="8" w:space="0" w:color="000000"/>
            </w:tcBorders>
            <w:shd w:val="clear" w:color="auto" w:fill="auto"/>
          </w:tcPr>
          <w:p w14:paraId="4DCC284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Porcentaje medio de variación con respecto al valor inicial en el CT en el día 510</w:t>
            </w:r>
          </w:p>
        </w:tc>
        <w:tc>
          <w:tcPr>
            <w:tcW w:w="2510" w:type="dxa"/>
            <w:tcBorders>
              <w:left w:val="single" w:sz="8" w:space="0" w:color="000000"/>
              <w:bottom w:val="single" w:sz="8" w:space="0" w:color="000000"/>
            </w:tcBorders>
            <w:shd w:val="clear" w:color="auto" w:fill="auto"/>
          </w:tcPr>
          <w:p w14:paraId="2C317B51"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Reducción encontrada respecto al valor de CT basal en el día 510</w:t>
            </w:r>
          </w:p>
        </w:tc>
        <w:tc>
          <w:tcPr>
            <w:tcW w:w="1751" w:type="dxa"/>
            <w:tcBorders>
              <w:left w:val="single" w:sz="8" w:space="0" w:color="000000"/>
              <w:bottom w:val="single" w:sz="8" w:space="0" w:color="000000"/>
              <w:right w:val="single" w:sz="8" w:space="0" w:color="000000"/>
            </w:tcBorders>
            <w:shd w:val="clear" w:color="auto" w:fill="CCFFCC"/>
          </w:tcPr>
          <w:p w14:paraId="0154984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Intermedia</w:t>
            </w:r>
          </w:p>
        </w:tc>
      </w:tr>
      <w:tr w:rsidR="00634CDF" w14:paraId="5B23FDB7" w14:textId="77777777">
        <w:trPr>
          <w:trHeight w:val="755"/>
        </w:trPr>
        <w:tc>
          <w:tcPr>
            <w:tcW w:w="1372" w:type="dxa"/>
            <w:tcBorders>
              <w:left w:val="single" w:sz="8" w:space="0" w:color="000000"/>
              <w:bottom w:val="single" w:sz="8" w:space="0" w:color="000000"/>
            </w:tcBorders>
            <w:shd w:val="clear" w:color="auto" w:fill="auto"/>
          </w:tcPr>
          <w:p w14:paraId="3BC99176"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Variable secundaria</w:t>
            </w:r>
          </w:p>
        </w:tc>
        <w:tc>
          <w:tcPr>
            <w:tcW w:w="3144" w:type="dxa"/>
            <w:tcBorders>
              <w:left w:val="single" w:sz="8" w:space="0" w:color="000000"/>
              <w:bottom w:val="single" w:sz="8" w:space="0" w:color="000000"/>
            </w:tcBorders>
            <w:shd w:val="clear" w:color="auto" w:fill="auto"/>
          </w:tcPr>
          <w:p w14:paraId="3EDE1E4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 xml:space="preserve">Porcentaje medio de variación con respecto al valor inicial en PCSK9 en el día 510. </w:t>
            </w:r>
          </w:p>
        </w:tc>
        <w:tc>
          <w:tcPr>
            <w:tcW w:w="2510" w:type="dxa"/>
            <w:tcBorders>
              <w:left w:val="single" w:sz="8" w:space="0" w:color="000000"/>
              <w:bottom w:val="single" w:sz="8" w:space="0" w:color="000000"/>
            </w:tcBorders>
            <w:shd w:val="clear" w:color="auto" w:fill="auto"/>
          </w:tcPr>
          <w:p w14:paraId="6A3CEAE0"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Reducción encontrada respecto al valor de PCSK9  basal en el día 510.</w:t>
            </w:r>
          </w:p>
        </w:tc>
        <w:tc>
          <w:tcPr>
            <w:tcW w:w="1751" w:type="dxa"/>
            <w:tcBorders>
              <w:left w:val="single" w:sz="8" w:space="0" w:color="000000"/>
              <w:bottom w:val="single" w:sz="8" w:space="0" w:color="000000"/>
              <w:right w:val="single" w:sz="8" w:space="0" w:color="000000"/>
            </w:tcBorders>
            <w:shd w:val="clear" w:color="auto" w:fill="CCFFCC"/>
          </w:tcPr>
          <w:p w14:paraId="3E0B8617"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Intermedia</w:t>
            </w:r>
          </w:p>
        </w:tc>
      </w:tr>
      <w:tr w:rsidR="00634CDF" w14:paraId="342995E6" w14:textId="77777777">
        <w:trPr>
          <w:trHeight w:val="755"/>
        </w:trPr>
        <w:tc>
          <w:tcPr>
            <w:tcW w:w="1372" w:type="dxa"/>
            <w:tcBorders>
              <w:left w:val="single" w:sz="8" w:space="0" w:color="000000"/>
              <w:bottom w:val="single" w:sz="8" w:space="0" w:color="000000"/>
            </w:tcBorders>
            <w:shd w:val="clear" w:color="auto" w:fill="auto"/>
          </w:tcPr>
          <w:p w14:paraId="0EC93BC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Variable secundaria</w:t>
            </w:r>
          </w:p>
        </w:tc>
        <w:tc>
          <w:tcPr>
            <w:tcW w:w="3144" w:type="dxa"/>
            <w:tcBorders>
              <w:left w:val="single" w:sz="8" w:space="0" w:color="000000"/>
              <w:bottom w:val="single" w:sz="8" w:space="0" w:color="000000"/>
            </w:tcBorders>
            <w:shd w:val="clear" w:color="auto" w:fill="auto"/>
          </w:tcPr>
          <w:p w14:paraId="590658F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 xml:space="preserve">Porcentaje máximo de variación en el C-LDL </w:t>
            </w:r>
          </w:p>
        </w:tc>
        <w:tc>
          <w:tcPr>
            <w:tcW w:w="2510" w:type="dxa"/>
            <w:tcBorders>
              <w:left w:val="single" w:sz="8" w:space="0" w:color="000000"/>
              <w:bottom w:val="single" w:sz="8" w:space="0" w:color="000000"/>
            </w:tcBorders>
            <w:shd w:val="clear" w:color="auto" w:fill="auto"/>
          </w:tcPr>
          <w:p w14:paraId="6390E81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 xml:space="preserve">Reducción máxima encontrada de C-LDL </w:t>
            </w:r>
          </w:p>
        </w:tc>
        <w:tc>
          <w:tcPr>
            <w:tcW w:w="1751" w:type="dxa"/>
            <w:tcBorders>
              <w:left w:val="single" w:sz="8" w:space="0" w:color="000000"/>
              <w:bottom w:val="single" w:sz="8" w:space="0" w:color="000000"/>
              <w:right w:val="single" w:sz="8" w:space="0" w:color="000000"/>
            </w:tcBorders>
            <w:shd w:val="clear" w:color="auto" w:fill="CCFFCC"/>
          </w:tcPr>
          <w:p w14:paraId="492539D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Intermedia</w:t>
            </w:r>
          </w:p>
        </w:tc>
      </w:tr>
      <w:tr w:rsidR="00634CDF" w14:paraId="62FFB6A2" w14:textId="77777777">
        <w:trPr>
          <w:trHeight w:val="755"/>
        </w:trPr>
        <w:tc>
          <w:tcPr>
            <w:tcW w:w="1372" w:type="dxa"/>
            <w:tcBorders>
              <w:left w:val="single" w:sz="8" w:space="0" w:color="000000"/>
              <w:bottom w:val="single" w:sz="8" w:space="0" w:color="000000"/>
            </w:tcBorders>
            <w:shd w:val="clear" w:color="auto" w:fill="auto"/>
          </w:tcPr>
          <w:p w14:paraId="3A685E6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Variable secundaria</w:t>
            </w:r>
          </w:p>
        </w:tc>
        <w:tc>
          <w:tcPr>
            <w:tcW w:w="3144" w:type="dxa"/>
            <w:tcBorders>
              <w:left w:val="single" w:sz="8" w:space="0" w:color="000000"/>
              <w:bottom w:val="single" w:sz="8" w:space="0" w:color="000000"/>
            </w:tcBorders>
            <w:shd w:val="clear" w:color="auto" w:fill="auto"/>
          </w:tcPr>
          <w:p w14:paraId="50F9E0E4"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cambio absoluto en PCSK9, CT, ApoB, col no HDL,  con respecto al valor inicial en el día 510</w:t>
            </w:r>
          </w:p>
        </w:tc>
        <w:tc>
          <w:tcPr>
            <w:tcW w:w="2510" w:type="dxa"/>
            <w:tcBorders>
              <w:left w:val="single" w:sz="8" w:space="0" w:color="000000"/>
              <w:bottom w:val="single" w:sz="8" w:space="0" w:color="000000"/>
            </w:tcBorders>
            <w:shd w:val="clear" w:color="auto" w:fill="auto"/>
          </w:tcPr>
          <w:p w14:paraId="1D357E5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Diferencia encontrada entre valores para los distintos parámetros</w:t>
            </w:r>
          </w:p>
        </w:tc>
        <w:tc>
          <w:tcPr>
            <w:tcW w:w="1751" w:type="dxa"/>
            <w:tcBorders>
              <w:left w:val="single" w:sz="8" w:space="0" w:color="000000"/>
              <w:bottom w:val="single" w:sz="8" w:space="0" w:color="000000"/>
              <w:right w:val="single" w:sz="8" w:space="0" w:color="000000"/>
            </w:tcBorders>
            <w:shd w:val="clear" w:color="auto" w:fill="CCFFCC"/>
          </w:tcPr>
          <w:p w14:paraId="283DB970"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Intermedia</w:t>
            </w:r>
          </w:p>
        </w:tc>
      </w:tr>
      <w:tr w:rsidR="00634CDF" w14:paraId="03E2E510" w14:textId="77777777">
        <w:trPr>
          <w:trHeight w:val="755"/>
        </w:trPr>
        <w:tc>
          <w:tcPr>
            <w:tcW w:w="1372" w:type="dxa"/>
            <w:tcBorders>
              <w:left w:val="single" w:sz="8" w:space="0" w:color="000000"/>
              <w:bottom w:val="single" w:sz="8" w:space="0" w:color="000000"/>
            </w:tcBorders>
            <w:shd w:val="clear" w:color="auto" w:fill="auto"/>
          </w:tcPr>
          <w:p w14:paraId="070E407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lastRenderedPageBreak/>
              <w:t>Variable secundaria</w:t>
            </w:r>
          </w:p>
        </w:tc>
        <w:tc>
          <w:tcPr>
            <w:tcW w:w="3144" w:type="dxa"/>
            <w:tcBorders>
              <w:left w:val="single" w:sz="8" w:space="0" w:color="000000"/>
              <w:bottom w:val="single" w:sz="8" w:space="0" w:color="000000"/>
            </w:tcBorders>
            <w:shd w:val="clear" w:color="auto" w:fill="auto"/>
          </w:tcPr>
          <w:p w14:paraId="48CCDAD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cambio absoluto en C-LDL con respecto al valor inicial en cada medida realizada hasta el día 540</w:t>
            </w:r>
          </w:p>
        </w:tc>
        <w:tc>
          <w:tcPr>
            <w:tcW w:w="2510" w:type="dxa"/>
            <w:tcBorders>
              <w:left w:val="single" w:sz="8" w:space="0" w:color="000000"/>
              <w:bottom w:val="single" w:sz="8" w:space="0" w:color="000000"/>
            </w:tcBorders>
            <w:shd w:val="clear" w:color="auto" w:fill="auto"/>
          </w:tcPr>
          <w:p w14:paraId="75F5603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Diferencia encontrada entre valores</w:t>
            </w:r>
          </w:p>
        </w:tc>
        <w:tc>
          <w:tcPr>
            <w:tcW w:w="1751" w:type="dxa"/>
            <w:tcBorders>
              <w:left w:val="single" w:sz="8" w:space="0" w:color="000000"/>
              <w:bottom w:val="single" w:sz="8" w:space="0" w:color="000000"/>
              <w:right w:val="single" w:sz="8" w:space="0" w:color="000000"/>
            </w:tcBorders>
            <w:shd w:val="clear" w:color="auto" w:fill="CCFFCC"/>
          </w:tcPr>
          <w:p w14:paraId="617941E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Intermedia</w:t>
            </w:r>
          </w:p>
        </w:tc>
      </w:tr>
      <w:tr w:rsidR="00634CDF" w14:paraId="11423484" w14:textId="77777777">
        <w:trPr>
          <w:trHeight w:val="755"/>
        </w:trPr>
        <w:tc>
          <w:tcPr>
            <w:tcW w:w="1372" w:type="dxa"/>
            <w:tcBorders>
              <w:top w:val="single" w:sz="8" w:space="0" w:color="000000"/>
              <w:left w:val="single" w:sz="8" w:space="0" w:color="000000"/>
              <w:bottom w:val="single" w:sz="8" w:space="0" w:color="000000"/>
            </w:tcBorders>
            <w:shd w:val="clear" w:color="auto" w:fill="auto"/>
          </w:tcPr>
          <w:p w14:paraId="327A40A0"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Variable secundaria</w:t>
            </w:r>
          </w:p>
        </w:tc>
        <w:tc>
          <w:tcPr>
            <w:tcW w:w="3144" w:type="dxa"/>
            <w:tcBorders>
              <w:top w:val="single" w:sz="8" w:space="0" w:color="000000"/>
              <w:left w:val="single" w:sz="8" w:space="0" w:color="000000"/>
              <w:bottom w:val="single" w:sz="8" w:space="0" w:color="000000"/>
            </w:tcBorders>
            <w:shd w:val="clear" w:color="auto" w:fill="auto"/>
          </w:tcPr>
          <w:p w14:paraId="170DFB3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Porcentaje de pacientes que alcanzaron los objetivos de cifras C-LDL menor de 25 mg/dL, 50 mg/dL, 70 mg/dL y menor de 100 mg/dL</w:t>
            </w:r>
          </w:p>
        </w:tc>
        <w:tc>
          <w:tcPr>
            <w:tcW w:w="2510" w:type="dxa"/>
            <w:tcBorders>
              <w:top w:val="single" w:sz="8" w:space="0" w:color="000000"/>
              <w:left w:val="single" w:sz="8" w:space="0" w:color="000000"/>
              <w:bottom w:val="single" w:sz="8" w:space="0" w:color="000000"/>
            </w:tcBorders>
            <w:shd w:val="clear" w:color="auto" w:fill="auto"/>
          </w:tcPr>
          <w:p w14:paraId="0E6C2715" w14:textId="77777777" w:rsidR="00634CDF" w:rsidRDefault="00F0051D">
            <w:pPr>
              <w:pBdr>
                <w:top w:val="nil"/>
                <w:left w:val="nil"/>
                <w:bottom w:val="nil"/>
                <w:right w:val="nil"/>
                <w:between w:val="nil"/>
              </w:pBdr>
              <w:spacing w:before="240" w:after="240" w:line="240" w:lineRule="auto"/>
              <w:ind w:left="0" w:hanging="2"/>
              <w:rPr>
                <w:color w:val="000000"/>
                <w:vertAlign w:val="baseline"/>
              </w:rPr>
            </w:pPr>
            <w:r>
              <w:rPr>
                <w:rFonts w:ascii="Arial" w:eastAsia="Arial" w:hAnsi="Arial" w:cs="Arial"/>
                <w:color w:val="000000"/>
                <w:sz w:val="16"/>
                <w:szCs w:val="16"/>
                <w:vertAlign w:val="baseline"/>
              </w:rPr>
              <w:t>Pacientes que alcanzan un determinado valor de C-LDL entre el total de pacientes del estudio</w:t>
            </w:r>
          </w:p>
        </w:tc>
        <w:tc>
          <w:tcPr>
            <w:tcW w:w="1751" w:type="dxa"/>
            <w:tcBorders>
              <w:top w:val="single" w:sz="8" w:space="0" w:color="000000"/>
              <w:left w:val="single" w:sz="8" w:space="0" w:color="000000"/>
              <w:bottom w:val="single" w:sz="8" w:space="0" w:color="000000"/>
              <w:right w:val="single" w:sz="8" w:space="0" w:color="000000"/>
            </w:tcBorders>
            <w:shd w:val="clear" w:color="auto" w:fill="CCFFCC"/>
          </w:tcPr>
          <w:p w14:paraId="662414E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Intermedia</w:t>
            </w:r>
          </w:p>
        </w:tc>
      </w:tr>
      <w:tr w:rsidR="00634CDF" w14:paraId="40DC8CF2" w14:textId="77777777">
        <w:trPr>
          <w:trHeight w:val="395"/>
        </w:trPr>
        <w:tc>
          <w:tcPr>
            <w:tcW w:w="1372" w:type="dxa"/>
            <w:tcBorders>
              <w:left w:val="single" w:sz="8" w:space="0" w:color="000000"/>
              <w:bottom w:val="single" w:sz="8" w:space="0" w:color="000000"/>
            </w:tcBorders>
            <w:shd w:val="clear" w:color="auto" w:fill="DDD9C3"/>
          </w:tcPr>
          <w:p w14:paraId="33E55C9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SEGURIDAD</w:t>
            </w:r>
          </w:p>
        </w:tc>
        <w:tc>
          <w:tcPr>
            <w:tcW w:w="3144" w:type="dxa"/>
            <w:tcBorders>
              <w:left w:val="single" w:sz="8" w:space="0" w:color="000000"/>
              <w:bottom w:val="single" w:sz="8" w:space="0" w:color="000000"/>
            </w:tcBorders>
            <w:shd w:val="clear" w:color="auto" w:fill="DDD9C3"/>
          </w:tcPr>
          <w:p w14:paraId="011D958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Enunciado</w:t>
            </w:r>
          </w:p>
        </w:tc>
        <w:tc>
          <w:tcPr>
            <w:tcW w:w="2510" w:type="dxa"/>
            <w:tcBorders>
              <w:left w:val="single" w:sz="8" w:space="0" w:color="000000"/>
              <w:bottom w:val="single" w:sz="8" w:space="0" w:color="000000"/>
            </w:tcBorders>
            <w:shd w:val="clear" w:color="auto" w:fill="DDD9C3"/>
          </w:tcPr>
          <w:p w14:paraId="66FEF86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Descripción</w:t>
            </w:r>
          </w:p>
        </w:tc>
        <w:tc>
          <w:tcPr>
            <w:tcW w:w="1751" w:type="dxa"/>
            <w:tcBorders>
              <w:left w:val="single" w:sz="8" w:space="0" w:color="000000"/>
              <w:bottom w:val="single" w:sz="8" w:space="0" w:color="000000"/>
              <w:right w:val="single" w:sz="8" w:space="0" w:color="000000"/>
            </w:tcBorders>
            <w:shd w:val="clear" w:color="auto" w:fill="DDD9C3"/>
          </w:tcPr>
          <w:p w14:paraId="5E8C210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Variable i</w:t>
            </w:r>
          </w:p>
        </w:tc>
      </w:tr>
      <w:tr w:rsidR="00634CDF" w14:paraId="5281BFE0" w14:textId="77777777">
        <w:trPr>
          <w:trHeight w:val="1655"/>
        </w:trPr>
        <w:tc>
          <w:tcPr>
            <w:tcW w:w="1372" w:type="dxa"/>
            <w:tcBorders>
              <w:left w:val="single" w:sz="8" w:space="0" w:color="000000"/>
              <w:bottom w:val="single" w:sz="8" w:space="0" w:color="000000"/>
            </w:tcBorders>
            <w:shd w:val="clear" w:color="auto" w:fill="FFFFFF"/>
          </w:tcPr>
          <w:p w14:paraId="6817F39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Variable principal</w:t>
            </w:r>
          </w:p>
        </w:tc>
        <w:tc>
          <w:tcPr>
            <w:tcW w:w="3144" w:type="dxa"/>
            <w:tcBorders>
              <w:left w:val="single" w:sz="8" w:space="0" w:color="000000"/>
              <w:bottom w:val="single" w:sz="8" w:space="0" w:color="000000"/>
            </w:tcBorders>
            <w:shd w:val="clear" w:color="auto" w:fill="FFFFFF"/>
          </w:tcPr>
          <w:p w14:paraId="79E97D6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Porcentaje de pacientes que sufren efectos adversos</w:t>
            </w:r>
          </w:p>
        </w:tc>
        <w:tc>
          <w:tcPr>
            <w:tcW w:w="2510" w:type="dxa"/>
            <w:tcBorders>
              <w:left w:val="single" w:sz="8" w:space="0" w:color="000000"/>
              <w:bottom w:val="single" w:sz="8" w:space="0" w:color="000000"/>
            </w:tcBorders>
            <w:shd w:val="clear" w:color="auto" w:fill="FFFFFF"/>
          </w:tcPr>
          <w:p w14:paraId="0D7C3761"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Pacientes que sufren efectos adversos incluidos síntomas, alteraciones de laboratorio, en el electrocardiograma o eventos cardiovasculares durante el periodo comprendido entre la primera administración y 10 días después de la última.</w:t>
            </w:r>
          </w:p>
        </w:tc>
        <w:tc>
          <w:tcPr>
            <w:tcW w:w="1751" w:type="dxa"/>
            <w:tcBorders>
              <w:left w:val="single" w:sz="8" w:space="0" w:color="000000"/>
              <w:bottom w:val="single" w:sz="8" w:space="0" w:color="000000"/>
              <w:right w:val="single" w:sz="8" w:space="0" w:color="000000"/>
            </w:tcBorders>
            <w:shd w:val="clear" w:color="auto" w:fill="CCFFCC"/>
          </w:tcPr>
          <w:p w14:paraId="716533D1"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Intermedia</w:t>
            </w:r>
          </w:p>
        </w:tc>
      </w:tr>
      <w:tr w:rsidR="00634CDF" w14:paraId="4F1AAFC5" w14:textId="77777777">
        <w:trPr>
          <w:trHeight w:val="1655"/>
        </w:trPr>
        <w:tc>
          <w:tcPr>
            <w:tcW w:w="1372" w:type="dxa"/>
            <w:tcBorders>
              <w:left w:val="single" w:sz="8" w:space="0" w:color="000000"/>
              <w:bottom w:val="single" w:sz="8" w:space="0" w:color="000000"/>
            </w:tcBorders>
            <w:shd w:val="clear" w:color="auto" w:fill="FFFFFF"/>
          </w:tcPr>
          <w:p w14:paraId="56AAE464"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Variable exploratoria</w:t>
            </w:r>
          </w:p>
        </w:tc>
        <w:tc>
          <w:tcPr>
            <w:tcW w:w="3144" w:type="dxa"/>
            <w:tcBorders>
              <w:left w:val="single" w:sz="8" w:space="0" w:color="000000"/>
              <w:bottom w:val="single" w:sz="8" w:space="0" w:color="000000"/>
            </w:tcBorders>
            <w:shd w:val="clear" w:color="auto" w:fill="FFFFFF"/>
          </w:tcPr>
          <w:p w14:paraId="7508BF5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MACE</w:t>
            </w:r>
          </w:p>
        </w:tc>
        <w:tc>
          <w:tcPr>
            <w:tcW w:w="2510" w:type="dxa"/>
            <w:tcBorders>
              <w:left w:val="single" w:sz="8" w:space="0" w:color="000000"/>
              <w:bottom w:val="single" w:sz="8" w:space="0" w:color="000000"/>
            </w:tcBorders>
            <w:shd w:val="clear" w:color="auto" w:fill="FFFFFF"/>
          </w:tcPr>
          <w:p w14:paraId="6BA280B1"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Variable compuesta sumatoria de:  incidencia de muerte cardio vascular más  infarto de miocardio más, ictus isquémico o hemorrágico</w:t>
            </w:r>
          </w:p>
        </w:tc>
        <w:tc>
          <w:tcPr>
            <w:tcW w:w="1751" w:type="dxa"/>
            <w:tcBorders>
              <w:left w:val="single" w:sz="8" w:space="0" w:color="000000"/>
              <w:bottom w:val="single" w:sz="8" w:space="0" w:color="000000"/>
              <w:right w:val="single" w:sz="8" w:space="0" w:color="000000"/>
            </w:tcBorders>
            <w:shd w:val="clear" w:color="auto" w:fill="CCFFCC"/>
          </w:tcPr>
          <w:p w14:paraId="542FF6C4"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Final</w:t>
            </w:r>
          </w:p>
        </w:tc>
      </w:tr>
    </w:tbl>
    <w:p w14:paraId="4DD5E7FD"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80"/>
          <w:sz w:val="20"/>
          <w:szCs w:val="20"/>
          <w:vertAlign w:val="baseline"/>
        </w:rPr>
      </w:pPr>
    </w:p>
    <w:p w14:paraId="2231C36E"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80"/>
          <w:sz w:val="20"/>
          <w:szCs w:val="20"/>
          <w:vertAlign w:val="baseline"/>
        </w:rPr>
      </w:pPr>
      <w:bookmarkStart w:id="17" w:name="_heading=h.2jxsxqh" w:colFirst="0" w:colLast="0"/>
      <w:bookmarkEnd w:id="17"/>
    </w:p>
    <w:p w14:paraId="6A2329BA" w14:textId="77777777" w:rsidR="00634CDF" w:rsidRDefault="00F0051D">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r>
        <w:rPr>
          <w:rFonts w:ascii="Arial" w:eastAsia="Arial" w:hAnsi="Arial" w:cs="Arial"/>
          <w:sz w:val="20"/>
          <w:szCs w:val="20"/>
          <w:vertAlign w:val="baseline"/>
        </w:rPr>
        <w:t>En caso de que se alcanzara la superioridad para ambas variables coprincipales se probaban las variables secundarias clave y se controlaba la multiplicidad mediante el procedimiento Hochberg. No se discute explícitamente el uso de este procedimiento.</w:t>
      </w:r>
    </w:p>
    <w:p w14:paraId="6204AB72" w14:textId="77777777" w:rsidR="00634CDF" w:rsidRDefault="00634CDF">
      <w:pPr>
        <w:pBdr>
          <w:top w:val="nil"/>
          <w:left w:val="nil"/>
          <w:bottom w:val="nil"/>
          <w:right w:val="nil"/>
          <w:between w:val="nil"/>
        </w:pBdr>
        <w:spacing w:line="240" w:lineRule="auto"/>
        <w:ind w:left="0" w:hanging="2"/>
        <w:jc w:val="right"/>
        <w:rPr>
          <w:rFonts w:ascii="Arial" w:eastAsia="Arial" w:hAnsi="Arial" w:cs="Arial"/>
          <w:color w:val="0000FF"/>
          <w:sz w:val="20"/>
          <w:szCs w:val="20"/>
          <w:u w:val="single"/>
          <w:vertAlign w:val="baseline"/>
        </w:rPr>
      </w:pPr>
    </w:p>
    <w:p w14:paraId="68321D50"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color w:val="000000"/>
          <w:sz w:val="20"/>
          <w:szCs w:val="20"/>
          <w:vertAlign w:val="baseline"/>
        </w:rPr>
        <w:t xml:space="preserve">5.2.a Resultados de los ensayos clínicos </w:t>
      </w:r>
    </w:p>
    <w:p w14:paraId="659B6B4A"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8"/>
          <w:szCs w:val="18"/>
          <w:vertAlign w:val="baseline"/>
        </w:rPr>
      </w:pPr>
    </w:p>
    <w:p w14:paraId="166FDEEF"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8"/>
          <w:szCs w:val="18"/>
          <w:u w:val="single"/>
          <w:vertAlign w:val="baseline"/>
        </w:rPr>
      </w:pPr>
    </w:p>
    <w:p w14:paraId="5CC843A0" w14:textId="0B3E377F"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rFonts w:ascii="Arial" w:eastAsia="Arial" w:hAnsi="Arial" w:cs="Arial"/>
          <w:color w:val="000000"/>
          <w:sz w:val="20"/>
          <w:szCs w:val="20"/>
          <w:vertAlign w:val="baseline"/>
        </w:rPr>
        <w:t xml:space="preserve">A </w:t>
      </w:r>
      <w:r w:rsidR="00575EC5">
        <w:rPr>
          <w:rFonts w:ascii="Arial" w:eastAsia="Arial" w:hAnsi="Arial" w:cs="Arial"/>
          <w:color w:val="000000"/>
          <w:sz w:val="20"/>
          <w:szCs w:val="20"/>
          <w:vertAlign w:val="baseline"/>
        </w:rPr>
        <w:t>continuación,</w:t>
      </w:r>
      <w:r>
        <w:rPr>
          <w:rFonts w:ascii="Arial" w:eastAsia="Arial" w:hAnsi="Arial" w:cs="Arial"/>
          <w:color w:val="000000"/>
          <w:sz w:val="20"/>
          <w:szCs w:val="20"/>
          <w:vertAlign w:val="baseline"/>
        </w:rPr>
        <w:t xml:space="preserve"> se reflejan los principales resultados de eficacia de los estudios fase III pivotales publicados hasta el momento (</w:t>
      </w:r>
      <w:r>
        <w:rPr>
          <w:rFonts w:ascii="Arial" w:eastAsia="Arial" w:hAnsi="Arial" w:cs="Arial"/>
          <w:sz w:val="20"/>
          <w:szCs w:val="20"/>
          <w:vertAlign w:val="baseline"/>
        </w:rPr>
        <w:t>16-18</w:t>
      </w:r>
      <w:r>
        <w:rPr>
          <w:rFonts w:ascii="Arial" w:eastAsia="Arial" w:hAnsi="Arial" w:cs="Arial"/>
          <w:color w:val="000000"/>
          <w:sz w:val="20"/>
          <w:szCs w:val="20"/>
          <w:vertAlign w:val="baseline"/>
        </w:rPr>
        <w:t>).</w:t>
      </w:r>
    </w:p>
    <w:p w14:paraId="09D731F0" w14:textId="77777777" w:rsidR="00634CDF" w:rsidRDefault="00634CDF">
      <w:pPr>
        <w:pBdr>
          <w:top w:val="nil"/>
          <w:left w:val="nil"/>
          <w:bottom w:val="nil"/>
          <w:right w:val="nil"/>
          <w:between w:val="nil"/>
        </w:pBdr>
        <w:spacing w:line="240" w:lineRule="auto"/>
        <w:ind w:left="0" w:hanging="2"/>
        <w:jc w:val="both"/>
        <w:rPr>
          <w:rFonts w:ascii="Arial" w:eastAsia="Arial" w:hAnsi="Arial" w:cs="Arial"/>
          <w:sz w:val="20"/>
          <w:szCs w:val="20"/>
          <w:shd w:val="clear" w:color="auto" w:fill="FFCC99"/>
          <w:vertAlign w:val="baseline"/>
        </w:rPr>
      </w:pPr>
    </w:p>
    <w:p w14:paraId="1FA36B61" w14:textId="77777777" w:rsidR="00634CDF" w:rsidRDefault="00634CDF">
      <w:pPr>
        <w:pBdr>
          <w:top w:val="nil"/>
          <w:left w:val="nil"/>
          <w:bottom w:val="nil"/>
          <w:right w:val="nil"/>
          <w:between w:val="nil"/>
        </w:pBdr>
        <w:spacing w:line="240" w:lineRule="auto"/>
        <w:ind w:left="0" w:hanging="2"/>
        <w:jc w:val="both"/>
        <w:rPr>
          <w:rFonts w:ascii="Arial" w:eastAsia="Arial" w:hAnsi="Arial" w:cs="Arial"/>
          <w:sz w:val="20"/>
          <w:szCs w:val="20"/>
          <w:shd w:val="clear" w:color="auto" w:fill="FFCC99"/>
          <w:vertAlign w:val="baseline"/>
        </w:rPr>
      </w:pPr>
    </w:p>
    <w:p w14:paraId="5B5B1BA3"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51402D48" w14:textId="77777777" w:rsidR="00634CDF" w:rsidRDefault="00F0051D">
      <w:pPr>
        <w:pBdr>
          <w:top w:val="nil"/>
          <w:left w:val="nil"/>
          <w:bottom w:val="nil"/>
          <w:right w:val="nil"/>
          <w:between w:val="nil"/>
        </w:pBdr>
        <w:spacing w:line="240" w:lineRule="auto"/>
        <w:ind w:left="0" w:hanging="2"/>
        <w:jc w:val="both"/>
        <w:rPr>
          <w:b/>
          <w:color w:val="000000"/>
          <w:vertAlign w:val="baseline"/>
        </w:rPr>
      </w:pPr>
      <w:r>
        <w:rPr>
          <w:rFonts w:ascii="Arial" w:eastAsia="Arial" w:hAnsi="Arial" w:cs="Arial"/>
          <w:b/>
          <w:color w:val="000000"/>
          <w:sz w:val="18"/>
          <w:szCs w:val="18"/>
          <w:u w:val="single"/>
          <w:vertAlign w:val="baseline"/>
        </w:rPr>
        <w:t>HIPERCOLESTEROLEMIA PRIMARIA (FAMILIAR HETEROCIGÓTICA)</w:t>
      </w:r>
    </w:p>
    <w:p w14:paraId="261600A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80"/>
          <w:vertAlign w:val="baseline"/>
        </w:rPr>
      </w:pPr>
    </w:p>
    <w:tbl>
      <w:tblPr>
        <w:tblStyle w:val="af1"/>
        <w:tblW w:w="8907" w:type="dxa"/>
        <w:tblInd w:w="-5" w:type="dxa"/>
        <w:tblLayout w:type="fixed"/>
        <w:tblLook w:val="0000" w:firstRow="0" w:lastRow="0" w:firstColumn="0" w:lastColumn="0" w:noHBand="0" w:noVBand="0"/>
      </w:tblPr>
      <w:tblGrid>
        <w:gridCol w:w="2637"/>
        <w:gridCol w:w="1410"/>
        <w:gridCol w:w="1275"/>
        <w:gridCol w:w="1755"/>
        <w:gridCol w:w="1170"/>
        <w:gridCol w:w="660"/>
      </w:tblGrid>
      <w:tr w:rsidR="00634CDF" w14:paraId="5E0ABE84" w14:textId="77777777">
        <w:tc>
          <w:tcPr>
            <w:tcW w:w="8907" w:type="dxa"/>
            <w:gridSpan w:val="6"/>
            <w:tcBorders>
              <w:top w:val="single" w:sz="4" w:space="0" w:color="000000"/>
              <w:left w:val="single" w:sz="4" w:space="0" w:color="000000"/>
              <w:bottom w:val="single" w:sz="4" w:space="0" w:color="000000"/>
              <w:right w:val="single" w:sz="4" w:space="0" w:color="000000"/>
            </w:tcBorders>
            <w:shd w:val="clear" w:color="auto" w:fill="CCFFCC"/>
          </w:tcPr>
          <w:p w14:paraId="35246DF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i/>
                <w:color w:val="000000"/>
                <w:sz w:val="18"/>
                <w:szCs w:val="18"/>
                <w:vertAlign w:val="baseline"/>
              </w:rPr>
              <w:t xml:space="preserve">Tabla </w:t>
            </w:r>
            <w:r>
              <w:rPr>
                <w:rFonts w:ascii="Arial" w:eastAsia="Arial" w:hAnsi="Arial" w:cs="Arial"/>
                <w:b/>
                <w:i/>
                <w:sz w:val="18"/>
                <w:szCs w:val="18"/>
                <w:vertAlign w:val="baseline"/>
              </w:rPr>
              <w:t>10</w:t>
            </w:r>
            <w:r>
              <w:rPr>
                <w:rFonts w:ascii="Arial" w:eastAsia="Arial" w:hAnsi="Arial" w:cs="Arial"/>
                <w:b/>
                <w:i/>
                <w:color w:val="000000"/>
                <w:sz w:val="18"/>
                <w:szCs w:val="18"/>
                <w:vertAlign w:val="baseline"/>
              </w:rPr>
              <w:t xml:space="preserve">.  </w:t>
            </w:r>
            <w:r>
              <w:rPr>
                <w:rFonts w:ascii="Arial" w:eastAsia="Arial" w:hAnsi="Arial" w:cs="Arial"/>
                <w:b/>
                <w:sz w:val="18"/>
                <w:szCs w:val="18"/>
                <w:vertAlign w:val="baseline"/>
              </w:rPr>
              <w:t>T</w:t>
            </w:r>
            <w:r>
              <w:rPr>
                <w:rFonts w:ascii="Arial" w:eastAsia="Arial" w:hAnsi="Arial" w:cs="Arial"/>
                <w:b/>
                <w:color w:val="000000"/>
                <w:sz w:val="18"/>
                <w:szCs w:val="18"/>
                <w:vertAlign w:val="baseline"/>
              </w:rPr>
              <w:t>abla de resultados de eficacia:</w:t>
            </w:r>
          </w:p>
          <w:p w14:paraId="519BB8B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t xml:space="preserve"> ORION-9 </w:t>
            </w:r>
            <w:r>
              <w:rPr>
                <w:rFonts w:ascii="Arial" w:eastAsia="Arial" w:hAnsi="Arial" w:cs="Arial"/>
                <w:b/>
                <w:color w:val="000000"/>
                <w:sz w:val="16"/>
                <w:szCs w:val="16"/>
                <w:vertAlign w:val="baseline"/>
              </w:rPr>
              <w:t>(</w:t>
            </w:r>
            <w:r>
              <w:rPr>
                <w:rFonts w:ascii="Arial" w:eastAsia="Arial" w:hAnsi="Arial" w:cs="Arial"/>
                <w:b/>
                <w:sz w:val="16"/>
                <w:szCs w:val="16"/>
                <w:vertAlign w:val="baseline"/>
              </w:rPr>
              <w:t>16,17</w:t>
            </w:r>
            <w:r>
              <w:rPr>
                <w:rFonts w:ascii="Arial" w:eastAsia="Arial" w:hAnsi="Arial" w:cs="Arial"/>
                <w:b/>
                <w:color w:val="000000"/>
                <w:sz w:val="16"/>
                <w:szCs w:val="16"/>
                <w:vertAlign w:val="baseline"/>
              </w:rPr>
              <w:t>)</w:t>
            </w:r>
          </w:p>
        </w:tc>
      </w:tr>
      <w:tr w:rsidR="00634CDF" w14:paraId="5D6A5227" w14:textId="77777777">
        <w:tc>
          <w:tcPr>
            <w:tcW w:w="8907" w:type="dxa"/>
            <w:gridSpan w:val="6"/>
            <w:tcBorders>
              <w:top w:val="single" w:sz="4" w:space="0" w:color="000000"/>
              <w:left w:val="single" w:sz="4" w:space="0" w:color="000000"/>
              <w:bottom w:val="single" w:sz="4" w:space="0" w:color="000000"/>
              <w:right w:val="single" w:sz="4" w:space="0" w:color="000000"/>
            </w:tcBorders>
          </w:tcPr>
          <w:p w14:paraId="5D3BACF6"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 xml:space="preserve">Breve descripción </w:t>
            </w:r>
            <w:r>
              <w:rPr>
                <w:rFonts w:ascii="Arial" w:eastAsia="Arial" w:hAnsi="Arial" w:cs="Arial"/>
                <w:color w:val="000000"/>
                <w:sz w:val="16"/>
                <w:szCs w:val="16"/>
                <w:vertAlign w:val="baseline"/>
              </w:rPr>
              <w:t>del ensayo, haciendo constar los aspectos más relevantes sobre:</w:t>
            </w:r>
          </w:p>
          <w:p w14:paraId="55673F7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-Nº de pacientes: 617 pacientes fueron seleccionados y 482 se aleatorizaron. 242 pacientes al grupo inclisiran y 240 al grupo placebo.</w:t>
            </w:r>
          </w:p>
          <w:p w14:paraId="74FBB4B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-Diseño: Fase III, doble ciego, controlado con placebo, de grupos paralelos, multicéntrico.</w:t>
            </w:r>
          </w:p>
          <w:p w14:paraId="7750B88E" w14:textId="456E16A5" w:rsidR="00634CDF" w:rsidRDefault="00F0051D" w:rsidP="00575EC5">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-Tratamiento grupo activo y tratamiento grupo control: aleatorización 1:1 con inclisiran sódico s.c. 300 mg (correspondiente a 284 mg de inclisiran) o placebo los días 1, 90, 270 y 450. Tratamiento en monoterapia o en combinación con estatinas o ezetimiba</w:t>
            </w:r>
            <w:r w:rsidR="00575EC5" w:rsidRPr="000D6498">
              <w:rPr>
                <w:rFonts w:ascii="Arial" w:eastAsia="Arial" w:hAnsi="Arial" w:cs="Arial"/>
                <w:color w:val="000000"/>
                <w:sz w:val="16"/>
                <w:szCs w:val="16"/>
                <w:vertAlign w:val="baseline"/>
              </w:rPr>
              <w:t xml:space="preserve">. </w:t>
            </w:r>
            <w:r>
              <w:rPr>
                <w:rFonts w:ascii="Arial" w:eastAsia="Arial" w:hAnsi="Arial" w:cs="Arial"/>
                <w:color w:val="000000"/>
                <w:sz w:val="16"/>
                <w:szCs w:val="16"/>
                <w:vertAlign w:val="baseline"/>
              </w:rPr>
              <w:t xml:space="preserve">La asignación del tratamiento se </w:t>
            </w:r>
            <w:r w:rsidRPr="000D6498">
              <w:rPr>
                <w:rFonts w:ascii="Arial" w:eastAsia="Arial" w:hAnsi="Arial" w:cs="Arial"/>
                <w:color w:val="000000"/>
                <w:sz w:val="16"/>
                <w:szCs w:val="16"/>
                <w:vertAlign w:val="baseline"/>
              </w:rPr>
              <w:t>estratificó</w:t>
            </w:r>
            <w:r>
              <w:rPr>
                <w:rFonts w:ascii="Arial" w:eastAsia="Arial" w:hAnsi="Arial" w:cs="Arial"/>
                <w:color w:val="000000"/>
                <w:sz w:val="16"/>
                <w:szCs w:val="16"/>
                <w:vertAlign w:val="baseline"/>
              </w:rPr>
              <w:t xml:space="preserve"> según país y uso actual de estatinas</w:t>
            </w:r>
            <w:r w:rsidR="00575EC5">
              <w:rPr>
                <w:rFonts w:ascii="Arial" w:eastAsia="Arial" w:hAnsi="Arial" w:cs="Arial"/>
                <w:color w:val="000000"/>
                <w:sz w:val="16"/>
                <w:szCs w:val="16"/>
                <w:vertAlign w:val="baseline"/>
              </w:rPr>
              <w:t xml:space="preserve"> u otro tratamiento modificador </w:t>
            </w:r>
            <w:r>
              <w:rPr>
                <w:rFonts w:ascii="Arial" w:eastAsia="Arial" w:hAnsi="Arial" w:cs="Arial"/>
                <w:color w:val="000000"/>
                <w:sz w:val="16"/>
                <w:szCs w:val="16"/>
                <w:vertAlign w:val="baseline"/>
              </w:rPr>
              <w:t xml:space="preserve">de lípidos. Se realizó análisis de </w:t>
            </w:r>
            <w:r w:rsidRPr="000D6498">
              <w:rPr>
                <w:rFonts w:ascii="Arial" w:eastAsia="Arial" w:hAnsi="Arial" w:cs="Arial"/>
                <w:color w:val="000000"/>
                <w:sz w:val="16"/>
                <w:szCs w:val="16"/>
                <w:vertAlign w:val="baseline"/>
              </w:rPr>
              <w:t>subgrupos</w:t>
            </w:r>
            <w:r>
              <w:rPr>
                <w:rFonts w:ascii="Arial" w:eastAsia="Arial" w:hAnsi="Arial" w:cs="Arial"/>
                <w:color w:val="000000"/>
                <w:sz w:val="16"/>
                <w:szCs w:val="16"/>
                <w:vertAlign w:val="baseline"/>
              </w:rPr>
              <w:t xml:space="preserve"> preespecificados según genotipo (presencia o ausencia de variante monogénica y según presencia o ausencia de variantes en LDLR, APOB y PCSK9).</w:t>
            </w:r>
          </w:p>
          <w:p w14:paraId="6EC504F6"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-Criterios de inclusión: pacientes mayores de 18 años con hipercolesterolemia familiar confirmada (mediante test genético o criterios fenotípicos Simon Broome), nivel de LDL al menos de 100 mg/dL a pesar de máxima dosis tolerada de estatina asociada o no a ezetimiba. Tasa de filtrado glomerular mayor de 30 mL/min. Triglicéridos menores 400 mg/dL. Pacientes en tratamiento con estatinas debían haber recibido dosis máxima tolerada. definida como la máxima dosis de estatina que </w:t>
            </w:r>
            <w:r>
              <w:rPr>
                <w:rFonts w:ascii="Arial" w:eastAsia="Arial" w:hAnsi="Arial" w:cs="Arial"/>
                <w:color w:val="000000"/>
                <w:sz w:val="16"/>
                <w:szCs w:val="16"/>
                <w:vertAlign w:val="baseline"/>
              </w:rPr>
              <w:lastRenderedPageBreak/>
              <w:t>puede tolerarse y tomar regularmente sin eventos adversos intolerable. Se había de documentar intolerancia a todas las dosis de al menos dos estatinas diferentes.</w:t>
            </w:r>
          </w:p>
          <w:p w14:paraId="175C486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-Criterios de exclusión: pacientes en tratamiento con anticuerpos monoclonales anti PCKS9. Fallo cardiaco NYHA clase IV o fracción de eyección VI menor de 25%, arritmia cardiaca no controlada o eventos cardiovascular mayor en los 3 meses previos a la aleatorización, hipertensión severa no controlada, enfermedad hepática activa.</w:t>
            </w:r>
          </w:p>
          <w:p w14:paraId="4A536F9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-Pérdidas: </w:t>
            </w:r>
            <w:r>
              <w:rPr>
                <w:rFonts w:ascii="Arial" w:eastAsia="Arial" w:hAnsi="Arial" w:cs="Arial"/>
                <w:sz w:val="16"/>
                <w:szCs w:val="16"/>
                <w:vertAlign w:val="baseline"/>
              </w:rPr>
              <w:t>Se aleatorizaron 242 pacientes para el grupo inclisiran y 240, para el grupo placebo. Finalizaron el estudio 235 y 231 pacientes, respectivamente.</w:t>
            </w:r>
            <w:r>
              <w:rPr>
                <w:rFonts w:ascii="Arial" w:eastAsia="Arial" w:hAnsi="Arial" w:cs="Arial"/>
                <w:color w:val="000000"/>
                <w:sz w:val="16"/>
                <w:szCs w:val="16"/>
                <w:vertAlign w:val="baseline"/>
              </w:rPr>
              <w:t xml:space="preserve"> </w:t>
            </w:r>
          </w:p>
          <w:p w14:paraId="7DEBCBB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-Tipo de análisis: por ITT. Se realizaron análisis adicionales con la población FAS (“full analysis set”) todos los pacientes aleatorizados que recibieron al menos una dosis de tratamiento) y en la población ITT modificada (todos los sujetos de la población FAS con medida disponible LDL basal y en el día 510).</w:t>
            </w:r>
          </w:p>
          <w:p w14:paraId="59F3149B" w14:textId="3BD5E443"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Cálculo de tamaño </w:t>
            </w:r>
            <w:r w:rsidR="000D6498">
              <w:rPr>
                <w:rFonts w:ascii="Arial" w:eastAsia="Arial" w:hAnsi="Arial" w:cs="Arial"/>
                <w:color w:val="000000"/>
                <w:sz w:val="16"/>
                <w:szCs w:val="16"/>
                <w:vertAlign w:val="baseline"/>
              </w:rPr>
              <w:t>maestral</w:t>
            </w:r>
            <w:r>
              <w:rPr>
                <w:rFonts w:ascii="Arial" w:eastAsia="Arial" w:hAnsi="Arial" w:cs="Arial"/>
                <w:color w:val="000000"/>
                <w:sz w:val="16"/>
                <w:szCs w:val="16"/>
                <w:vertAlign w:val="baseline"/>
              </w:rPr>
              <w:t>: Se calculó asumiendo que la disminución media (+/- DE) con respecto al nivel basal de LDL sería al menos de 30 (+/- 20) mg/dL superior en el grupo de inclisiran respecto al placebo. Se estimaron 380 pacientes necesarios para evaluar la eficacia entre grupos asumiendo una tasa de retirada del 5%, un nivel alfa de 0,05 y una potencia de más del 90% para detectar una reducción del 30% desde el basal de LDL.</w:t>
            </w:r>
          </w:p>
        </w:tc>
      </w:tr>
      <w:tr w:rsidR="00634CDF" w14:paraId="3DC0B975" w14:textId="77777777">
        <w:trPr>
          <w:trHeight w:val="230"/>
        </w:trPr>
        <w:tc>
          <w:tcPr>
            <w:tcW w:w="8907" w:type="dxa"/>
            <w:gridSpan w:val="6"/>
            <w:tcBorders>
              <w:top w:val="single" w:sz="4" w:space="0" w:color="000000"/>
              <w:left w:val="single" w:sz="4" w:space="0" w:color="000000"/>
              <w:bottom w:val="single" w:sz="4" w:space="0" w:color="000000"/>
              <w:right w:val="single" w:sz="4" w:space="0" w:color="000000"/>
            </w:tcBorders>
            <w:shd w:val="clear" w:color="auto" w:fill="CCFFCC"/>
          </w:tcPr>
          <w:p w14:paraId="52DE85D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lastRenderedPageBreak/>
              <w:t xml:space="preserve">Resultados  </w:t>
            </w:r>
          </w:p>
        </w:tc>
      </w:tr>
      <w:tr w:rsidR="00634CDF" w14:paraId="1FDC2234" w14:textId="77777777">
        <w:trPr>
          <w:trHeight w:val="230"/>
        </w:trPr>
        <w:tc>
          <w:tcPr>
            <w:tcW w:w="2637" w:type="dxa"/>
            <w:tcBorders>
              <w:top w:val="single" w:sz="4" w:space="0" w:color="000000"/>
              <w:left w:val="single" w:sz="4" w:space="0" w:color="000000"/>
              <w:bottom w:val="single" w:sz="4" w:space="0" w:color="000000"/>
            </w:tcBorders>
          </w:tcPr>
          <w:p w14:paraId="2597941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t>Variable  evaluada en el estudio</w:t>
            </w:r>
          </w:p>
        </w:tc>
        <w:tc>
          <w:tcPr>
            <w:tcW w:w="1410" w:type="dxa"/>
            <w:tcBorders>
              <w:top w:val="single" w:sz="4" w:space="0" w:color="000000"/>
              <w:left w:val="single" w:sz="4" w:space="0" w:color="000000"/>
              <w:bottom w:val="single" w:sz="4" w:space="0" w:color="000000"/>
            </w:tcBorders>
          </w:tcPr>
          <w:p w14:paraId="431A4234"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Inclisiran</w:t>
            </w:r>
          </w:p>
          <w:p w14:paraId="616A8FAB"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N=242</w:t>
            </w:r>
          </w:p>
        </w:tc>
        <w:tc>
          <w:tcPr>
            <w:tcW w:w="1275" w:type="dxa"/>
            <w:tcBorders>
              <w:top w:val="single" w:sz="4" w:space="0" w:color="000000"/>
              <w:left w:val="single" w:sz="4" w:space="0" w:color="000000"/>
              <w:bottom w:val="single" w:sz="4" w:space="0" w:color="000000"/>
            </w:tcBorders>
          </w:tcPr>
          <w:p w14:paraId="50167799"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Placebo</w:t>
            </w:r>
          </w:p>
          <w:p w14:paraId="08F718AE"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N=240</w:t>
            </w:r>
          </w:p>
        </w:tc>
        <w:tc>
          <w:tcPr>
            <w:tcW w:w="1755" w:type="dxa"/>
            <w:tcBorders>
              <w:top w:val="single" w:sz="4" w:space="0" w:color="000000"/>
              <w:left w:val="single" w:sz="4" w:space="0" w:color="000000"/>
              <w:bottom w:val="single" w:sz="4" w:space="0" w:color="000000"/>
            </w:tcBorders>
          </w:tcPr>
          <w:p w14:paraId="0A7A7480" w14:textId="77777777" w:rsidR="00634CDF" w:rsidRPr="003C1839" w:rsidRDefault="00F0051D">
            <w:pPr>
              <w:pBdr>
                <w:top w:val="nil"/>
                <w:left w:val="nil"/>
                <w:bottom w:val="nil"/>
                <w:right w:val="nil"/>
                <w:between w:val="nil"/>
              </w:pBdr>
              <w:tabs>
                <w:tab w:val="left" w:pos="1673"/>
              </w:tabs>
              <w:spacing w:line="240" w:lineRule="auto"/>
              <w:ind w:left="0" w:hanging="2"/>
              <w:rPr>
                <w:b/>
                <w:color w:val="000000"/>
                <w:vertAlign w:val="baseline"/>
              </w:rPr>
            </w:pPr>
            <w:r w:rsidRPr="003C1839">
              <w:rPr>
                <w:rFonts w:ascii="Arial" w:eastAsia="Arial" w:hAnsi="Arial" w:cs="Arial"/>
                <w:b/>
                <w:color w:val="000000"/>
                <w:sz w:val="16"/>
                <w:szCs w:val="16"/>
                <w:vertAlign w:val="baseline"/>
              </w:rPr>
              <w:t>Diferencia en el % de cambio (IC95%)</w:t>
            </w:r>
          </w:p>
          <w:p w14:paraId="16D40933" w14:textId="77777777" w:rsidR="00634CDF" w:rsidRDefault="00634CDF">
            <w:pPr>
              <w:pBdr>
                <w:top w:val="nil"/>
                <w:left w:val="nil"/>
                <w:bottom w:val="nil"/>
                <w:right w:val="nil"/>
                <w:between w:val="nil"/>
              </w:pBdr>
              <w:tabs>
                <w:tab w:val="left" w:pos="1673"/>
              </w:tabs>
              <w:spacing w:line="240" w:lineRule="auto"/>
              <w:ind w:left="0" w:hanging="2"/>
              <w:rPr>
                <w:rFonts w:ascii="Arial" w:eastAsia="Arial" w:hAnsi="Arial" w:cs="Arial"/>
                <w:color w:val="000000"/>
                <w:sz w:val="16"/>
                <w:szCs w:val="16"/>
                <w:vertAlign w:val="baseline"/>
              </w:rPr>
            </w:pPr>
          </w:p>
        </w:tc>
        <w:tc>
          <w:tcPr>
            <w:tcW w:w="1170" w:type="dxa"/>
            <w:tcBorders>
              <w:top w:val="single" w:sz="4" w:space="0" w:color="000000"/>
              <w:left w:val="single" w:sz="4" w:space="0" w:color="000000"/>
              <w:bottom w:val="single" w:sz="4" w:space="0" w:color="000000"/>
            </w:tcBorders>
          </w:tcPr>
          <w:p w14:paraId="5F71B3EE" w14:textId="77777777" w:rsidR="00634CDF" w:rsidRPr="003C1839" w:rsidRDefault="00F0051D">
            <w:pPr>
              <w:pBdr>
                <w:top w:val="nil"/>
                <w:left w:val="nil"/>
                <w:bottom w:val="nil"/>
                <w:right w:val="nil"/>
                <w:between w:val="nil"/>
              </w:pBdr>
              <w:tabs>
                <w:tab w:val="left" w:pos="1673"/>
              </w:tabs>
              <w:spacing w:line="240" w:lineRule="auto"/>
              <w:ind w:left="0" w:hanging="2"/>
              <w:jc w:val="both"/>
              <w:rPr>
                <w:b/>
                <w:color w:val="000000"/>
                <w:vertAlign w:val="baseline"/>
              </w:rPr>
            </w:pPr>
            <w:r w:rsidRPr="003C1839">
              <w:rPr>
                <w:rFonts w:ascii="Arial" w:eastAsia="Arial" w:hAnsi="Arial" w:cs="Arial"/>
                <w:b/>
                <w:color w:val="000000"/>
                <w:sz w:val="16"/>
                <w:szCs w:val="16"/>
                <w:vertAlign w:val="baseline"/>
              </w:rPr>
              <w:t>p</w:t>
            </w:r>
          </w:p>
        </w:tc>
        <w:tc>
          <w:tcPr>
            <w:tcW w:w="660" w:type="dxa"/>
            <w:tcBorders>
              <w:top w:val="single" w:sz="4" w:space="0" w:color="000000"/>
              <w:left w:val="single" w:sz="4" w:space="0" w:color="000000"/>
              <w:bottom w:val="single" w:sz="4" w:space="0" w:color="000000"/>
              <w:right w:val="single" w:sz="4" w:space="0" w:color="000000"/>
            </w:tcBorders>
          </w:tcPr>
          <w:p w14:paraId="28109977"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r>
      <w:tr w:rsidR="00634CDF" w14:paraId="5ECFEBE1" w14:textId="77777777">
        <w:trPr>
          <w:trHeight w:val="230"/>
        </w:trPr>
        <w:tc>
          <w:tcPr>
            <w:tcW w:w="2637" w:type="dxa"/>
            <w:tcBorders>
              <w:top w:val="single" w:sz="4" w:space="0" w:color="000000"/>
              <w:left w:val="single" w:sz="4" w:space="0" w:color="000000"/>
              <w:bottom w:val="single" w:sz="4" w:space="0" w:color="000000"/>
            </w:tcBorders>
          </w:tcPr>
          <w:p w14:paraId="5B18F2A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Resultado principal (variables coprincipales)</w:t>
            </w:r>
          </w:p>
          <w:p w14:paraId="6722526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xml:space="preserve">           -% de cambio respecto al basal en nivel de LDL el día 510 (IC95%).</w:t>
            </w:r>
          </w:p>
          <w:p w14:paraId="2AC1044E"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49CEDC9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Cambio porcentual medio desde el nivel basal tras el día 90 y hasta el día 540/media del % de cambio  respecto al nivel basal  entre los días 90 y 540 (IC95%).</w:t>
            </w:r>
          </w:p>
        </w:tc>
        <w:tc>
          <w:tcPr>
            <w:tcW w:w="1410" w:type="dxa"/>
            <w:tcBorders>
              <w:top w:val="single" w:sz="4" w:space="0" w:color="000000"/>
              <w:left w:val="single" w:sz="4" w:space="0" w:color="000000"/>
              <w:bottom w:val="single" w:sz="4" w:space="0" w:color="000000"/>
            </w:tcBorders>
          </w:tcPr>
          <w:p w14:paraId="1FF20FF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w:t>
            </w:r>
          </w:p>
          <w:p w14:paraId="245B0831"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5355FFA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-39,7 </w:t>
            </w:r>
          </w:p>
          <w:p w14:paraId="253D072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(-43,7 a -35,7)</w:t>
            </w:r>
          </w:p>
          <w:p w14:paraId="31473A95"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149F2572"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386C4C8C"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2DC1714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-38,1 </w:t>
            </w:r>
          </w:p>
          <w:p w14:paraId="712453A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(-41,1 a -35,1)</w:t>
            </w:r>
          </w:p>
        </w:tc>
        <w:tc>
          <w:tcPr>
            <w:tcW w:w="1275" w:type="dxa"/>
            <w:tcBorders>
              <w:top w:val="single" w:sz="4" w:space="0" w:color="000000"/>
              <w:left w:val="single" w:sz="4" w:space="0" w:color="000000"/>
              <w:bottom w:val="single" w:sz="4" w:space="0" w:color="000000"/>
            </w:tcBorders>
          </w:tcPr>
          <w:p w14:paraId="19AA7F8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CEBC8C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C82F0A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8,2 </w:t>
            </w:r>
          </w:p>
          <w:p w14:paraId="06573FD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(4,3 a 12,2)</w:t>
            </w:r>
          </w:p>
          <w:p w14:paraId="5C39CB2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033E7D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2521E4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360C80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6,2 </w:t>
            </w:r>
          </w:p>
          <w:p w14:paraId="22E6E23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 (3,3 a 9,2)</w:t>
            </w:r>
          </w:p>
        </w:tc>
        <w:tc>
          <w:tcPr>
            <w:tcW w:w="1755" w:type="dxa"/>
            <w:tcBorders>
              <w:top w:val="single" w:sz="4" w:space="0" w:color="000000"/>
              <w:left w:val="single" w:sz="4" w:space="0" w:color="000000"/>
              <w:bottom w:val="single" w:sz="4" w:space="0" w:color="000000"/>
            </w:tcBorders>
          </w:tcPr>
          <w:p w14:paraId="0E81A69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EDF8D7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143266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-47,9  </w:t>
            </w:r>
          </w:p>
          <w:p w14:paraId="0825609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(-53,5 a -42,3)</w:t>
            </w:r>
          </w:p>
          <w:p w14:paraId="1CF8320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8A4882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B08328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487F62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-44,3  </w:t>
            </w:r>
          </w:p>
          <w:p w14:paraId="4EFB397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(-48,5 a -40,1)</w:t>
            </w:r>
          </w:p>
        </w:tc>
        <w:tc>
          <w:tcPr>
            <w:tcW w:w="1170" w:type="dxa"/>
            <w:tcBorders>
              <w:top w:val="single" w:sz="4" w:space="0" w:color="000000"/>
              <w:left w:val="single" w:sz="4" w:space="0" w:color="000000"/>
              <w:bottom w:val="single" w:sz="4" w:space="0" w:color="000000"/>
            </w:tcBorders>
          </w:tcPr>
          <w:p w14:paraId="16D786E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55E55F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F155BC4" w14:textId="48A0E4B7" w:rsidR="00634CDF" w:rsidRPr="000D6498" w:rsidRDefault="000D6498">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r w:rsidRPr="000D6498">
              <w:rPr>
                <w:rFonts w:ascii="Arial" w:eastAsia="Arial" w:hAnsi="Arial" w:cs="Arial"/>
                <w:color w:val="000000"/>
                <w:sz w:val="16"/>
                <w:szCs w:val="16"/>
                <w:vertAlign w:val="baseline"/>
              </w:rPr>
              <w:t>&lt;</w:t>
            </w:r>
            <w:r w:rsidR="00F0051D">
              <w:rPr>
                <w:rFonts w:ascii="Arial" w:eastAsia="Arial" w:hAnsi="Arial" w:cs="Arial"/>
                <w:color w:val="000000"/>
                <w:sz w:val="16"/>
                <w:szCs w:val="16"/>
                <w:vertAlign w:val="baseline"/>
              </w:rPr>
              <w:t>0,0001</w:t>
            </w:r>
          </w:p>
          <w:p w14:paraId="216E696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3CDC61F" w14:textId="4AEF2DEF"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A6ADD9D" w14:textId="322CF312" w:rsidR="000D6498" w:rsidRPr="000D6498" w:rsidRDefault="000D6498" w:rsidP="000D6498">
            <w:pPr>
              <w:pStyle w:val="WW-normal"/>
              <w:ind w:leftChars="0" w:left="0" w:firstLineChars="0" w:firstLine="0"/>
              <w:rPr>
                <w:rFonts w:eastAsia="Arial"/>
              </w:rPr>
            </w:pPr>
          </w:p>
          <w:p w14:paraId="28364DDC" w14:textId="02D5059A" w:rsidR="00634CDF" w:rsidRDefault="000D6498">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sidR="00F0051D">
              <w:rPr>
                <w:rFonts w:ascii="Arial" w:eastAsia="Arial" w:hAnsi="Arial" w:cs="Arial"/>
                <w:color w:val="000000"/>
                <w:sz w:val="16"/>
                <w:szCs w:val="16"/>
                <w:vertAlign w:val="baseline"/>
              </w:rPr>
              <w:t>0,0001</w:t>
            </w:r>
          </w:p>
        </w:tc>
        <w:tc>
          <w:tcPr>
            <w:tcW w:w="660" w:type="dxa"/>
            <w:tcBorders>
              <w:top w:val="single" w:sz="4" w:space="0" w:color="000000"/>
              <w:left w:val="single" w:sz="4" w:space="0" w:color="000000"/>
              <w:bottom w:val="single" w:sz="4" w:space="0" w:color="000000"/>
              <w:right w:val="single" w:sz="4" w:space="0" w:color="000000"/>
            </w:tcBorders>
          </w:tcPr>
          <w:p w14:paraId="4655A60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r>
      <w:tr w:rsidR="00634CDF" w14:paraId="11DA8413" w14:textId="77777777">
        <w:trPr>
          <w:trHeight w:val="230"/>
        </w:trPr>
        <w:tc>
          <w:tcPr>
            <w:tcW w:w="2637" w:type="dxa"/>
            <w:tcBorders>
              <w:top w:val="single" w:sz="4" w:space="0" w:color="000000"/>
              <w:left w:val="single" w:sz="4" w:space="0" w:color="000000"/>
              <w:bottom w:val="single" w:sz="4" w:space="0" w:color="000000"/>
            </w:tcBorders>
          </w:tcPr>
          <w:p w14:paraId="6999088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Resultados secundarios de interés</w:t>
            </w:r>
          </w:p>
          <w:p w14:paraId="2EEA060E" w14:textId="281B3913"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xml:space="preserve">          -Cambio medio en nivel de LDL (reducción) absoluta el día 510 (mg/dL)</w:t>
            </w:r>
            <w:r w:rsidR="000D6498">
              <w:rPr>
                <w:rFonts w:ascii="Arial" w:eastAsia="Arial" w:hAnsi="Arial" w:cs="Arial"/>
                <w:i/>
                <w:color w:val="000000"/>
                <w:sz w:val="16"/>
                <w:szCs w:val="16"/>
                <w:vertAlign w:val="baseline"/>
              </w:rPr>
              <w:t xml:space="preserve"> </w:t>
            </w:r>
            <w:r>
              <w:rPr>
                <w:rFonts w:ascii="Arial" w:eastAsia="Arial" w:hAnsi="Arial" w:cs="Arial"/>
                <w:i/>
                <w:color w:val="000000"/>
                <w:sz w:val="16"/>
                <w:szCs w:val="16"/>
                <w:vertAlign w:val="baseline"/>
              </w:rPr>
              <w:t>(IC95%).</w:t>
            </w:r>
          </w:p>
          <w:p w14:paraId="62F71216"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3B7DCF6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cambio medio en nivel de LDL entre el día 90 y el 540</w:t>
            </w:r>
            <w:r>
              <w:rPr>
                <w:rFonts w:ascii="Arial" w:eastAsia="Arial" w:hAnsi="Arial" w:cs="Arial"/>
                <w:color w:val="000000"/>
                <w:sz w:val="16"/>
                <w:szCs w:val="16"/>
                <w:vertAlign w:val="baseline"/>
              </w:rPr>
              <w:t xml:space="preserve"> (mg/dL)</w:t>
            </w:r>
          </w:p>
          <w:p w14:paraId="6489799A"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090B0016"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xml:space="preserve">  -% de cambio respecto al basal en nivel de PCSK9 el día 510 (IC95%).</w:t>
            </w:r>
          </w:p>
          <w:p w14:paraId="060EF821"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0751BCF1" w14:textId="49CF535A"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colesterol total al  í</w:t>
            </w:r>
            <w:r w:rsidR="003C1839">
              <w:rPr>
                <w:rFonts w:ascii="Arial" w:eastAsia="Arial" w:hAnsi="Arial" w:cs="Arial"/>
                <w:i/>
                <w:color w:val="000000"/>
                <w:sz w:val="16"/>
                <w:szCs w:val="16"/>
                <w:vertAlign w:val="baseline"/>
              </w:rPr>
              <w:t>d</w:t>
            </w:r>
            <w:r>
              <w:rPr>
                <w:rFonts w:ascii="Arial" w:eastAsia="Arial" w:hAnsi="Arial" w:cs="Arial"/>
                <w:i/>
                <w:color w:val="000000"/>
                <w:sz w:val="16"/>
                <w:szCs w:val="16"/>
                <w:vertAlign w:val="baseline"/>
              </w:rPr>
              <w:t>a 510</w:t>
            </w:r>
          </w:p>
          <w:p w14:paraId="65CA30C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ApoB al  día 510</w:t>
            </w:r>
          </w:p>
          <w:p w14:paraId="18BF451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Colesterol No-HDL al  día 510</w:t>
            </w:r>
          </w:p>
          <w:p w14:paraId="7CC9B580"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TG (mediana) al  día 510</w:t>
            </w:r>
          </w:p>
          <w:p w14:paraId="6144FA44"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Lp a (mediana) al día 540</w:t>
            </w:r>
          </w:p>
          <w:p w14:paraId="2E41EBD4"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HDL al  día 510</w:t>
            </w:r>
          </w:p>
          <w:p w14:paraId="3200F7C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xml:space="preserve">-% pacientes que alcanzaron niveles &lt;25 mg/dL </w:t>
            </w:r>
          </w:p>
          <w:p w14:paraId="6A2EB6B4"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xml:space="preserve">-% pacientes que alcanzaron niveles &lt;50 mg/dL </w:t>
            </w:r>
          </w:p>
          <w:p w14:paraId="1D240BA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lastRenderedPageBreak/>
              <w:t xml:space="preserve">-% pacientes que alcanzaron niveles &lt;70 mg/dL </w:t>
            </w:r>
          </w:p>
          <w:p w14:paraId="0AE0E87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xml:space="preserve">-% pacientes que alcanzaron niveles &lt;100 mg/dL </w:t>
            </w:r>
          </w:p>
          <w:p w14:paraId="7142869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xml:space="preserve">-% pacientes que alcanzaron niveles </w:t>
            </w:r>
            <w:r>
              <w:rPr>
                <w:rFonts w:ascii="Arial" w:eastAsia="Arial" w:hAnsi="Arial" w:cs="Arial"/>
                <w:i/>
                <w:color w:val="000000"/>
                <w:sz w:val="20"/>
                <w:szCs w:val="20"/>
                <w:vertAlign w:val="baseline"/>
              </w:rPr>
              <w:t>&gt;</w:t>
            </w:r>
            <w:r>
              <w:rPr>
                <w:rFonts w:ascii="Arial" w:eastAsia="Arial" w:hAnsi="Arial" w:cs="Arial"/>
                <w:i/>
                <w:color w:val="000000"/>
                <w:sz w:val="16"/>
                <w:szCs w:val="16"/>
                <w:vertAlign w:val="baseline"/>
              </w:rPr>
              <w:t xml:space="preserve"> 100 mg/dL </w:t>
            </w:r>
          </w:p>
          <w:p w14:paraId="2032A155" w14:textId="77777777" w:rsidR="00634CDF" w:rsidRDefault="00782245">
            <w:pPr>
              <w:pBdr>
                <w:top w:val="nil"/>
                <w:left w:val="nil"/>
                <w:bottom w:val="nil"/>
                <w:right w:val="nil"/>
                <w:between w:val="nil"/>
              </w:pBdr>
              <w:spacing w:before="240" w:after="240" w:line="240" w:lineRule="auto"/>
              <w:ind w:left="0" w:hanging="2"/>
              <w:jc w:val="center"/>
              <w:rPr>
                <w:color w:val="000000"/>
                <w:vertAlign w:val="baseline"/>
              </w:rPr>
            </w:pPr>
            <w:sdt>
              <w:sdtPr>
                <w:tag w:val="goog_rdk_9"/>
                <w:id w:val="989446553"/>
              </w:sdtPr>
              <w:sdtEndPr/>
              <w:sdtContent>
                <w:r w:rsidR="00F0051D">
                  <w:rPr>
                    <w:rFonts w:ascii="Arial Unicode MS" w:eastAsia="Arial Unicode MS" w:hAnsi="Arial Unicode MS" w:cs="Arial Unicode MS"/>
                    <w:i/>
                    <w:color w:val="000000"/>
                    <w:sz w:val="16"/>
                    <w:szCs w:val="16"/>
                    <w:vertAlign w:val="baseline"/>
                  </w:rPr>
                  <w:t>-% pacientes con reducción C-LDL ≥50% con respecto al basal (en cualquier momento del estudio)</w:t>
                </w:r>
              </w:sdtContent>
            </w:sdt>
          </w:p>
          <w:p w14:paraId="5163F632"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pacientes que logran nivel objetivo (</w:t>
            </w:r>
            <w:r>
              <w:rPr>
                <w:rFonts w:ascii="Arial" w:eastAsia="Arial" w:hAnsi="Arial" w:cs="Arial"/>
                <w:color w:val="000000"/>
                <w:sz w:val="16"/>
                <w:szCs w:val="16"/>
                <w:vertAlign w:val="baseline"/>
              </w:rPr>
              <w:t>LDL</w:t>
            </w:r>
            <w:r>
              <w:rPr>
                <w:rFonts w:ascii="Arial" w:eastAsia="Arial" w:hAnsi="Arial" w:cs="Arial"/>
                <w:i/>
                <w:color w:val="000000"/>
                <w:sz w:val="16"/>
                <w:szCs w:val="16"/>
                <w:vertAlign w:val="baseline"/>
              </w:rPr>
              <w:t xml:space="preserve">&lt;70 mg/dL) según riesgo CV al día 510 </w:t>
            </w:r>
          </w:p>
          <w:p w14:paraId="02E8BE7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pacientes que logran nivel objetivo (</w:t>
            </w:r>
            <w:r>
              <w:rPr>
                <w:rFonts w:ascii="Arial" w:eastAsia="Arial" w:hAnsi="Arial" w:cs="Arial"/>
                <w:color w:val="000000"/>
                <w:sz w:val="16"/>
                <w:szCs w:val="16"/>
                <w:vertAlign w:val="baseline"/>
              </w:rPr>
              <w:t>LDL</w:t>
            </w:r>
            <w:r>
              <w:rPr>
                <w:rFonts w:ascii="Arial" w:eastAsia="Arial" w:hAnsi="Arial" w:cs="Arial"/>
                <w:i/>
                <w:color w:val="000000"/>
                <w:sz w:val="16"/>
                <w:szCs w:val="16"/>
                <w:vertAlign w:val="baseline"/>
              </w:rPr>
              <w:t xml:space="preserve">&lt;100 mg/dL) según riesgo CV al día 510 </w:t>
            </w:r>
          </w:p>
          <w:p w14:paraId="35DFE76C"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p w14:paraId="69BDEE4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Resultados por subgrupos según genética</w:t>
            </w:r>
          </w:p>
          <w:p w14:paraId="366C0F8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xml:space="preserve">         -(n) y % de cambio respecto al basal en nivel de LDL el día 510 (IC95%) </w:t>
            </w:r>
          </w:p>
          <w:p w14:paraId="6A9CD581"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1DB7B4C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2B9F9E0C" w14:textId="77777777" w:rsidR="00634CDF" w:rsidRDefault="00F0051D">
            <w:pPr>
              <w:numPr>
                <w:ilvl w:val="0"/>
                <w:numId w:val="11"/>
              </w:num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Dos variantes</w:t>
            </w:r>
          </w:p>
          <w:p w14:paraId="257F0515"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14F2BE7D"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3F827C4E"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0BE78D56" w14:textId="77777777" w:rsidR="00634CDF" w:rsidRDefault="00F0051D">
            <w:pPr>
              <w:numPr>
                <w:ilvl w:val="0"/>
                <w:numId w:val="11"/>
              </w:num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xml:space="preserve">Variantes LDLR </w:t>
            </w:r>
          </w:p>
          <w:p w14:paraId="4D25DD4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40A6E01C"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5CF05A8D"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0BCEBEE6" w14:textId="77777777" w:rsidR="00634CDF" w:rsidRDefault="00F0051D">
            <w:pPr>
              <w:numPr>
                <w:ilvl w:val="0"/>
                <w:numId w:val="11"/>
              </w:num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Variantes APOB</w:t>
            </w:r>
          </w:p>
          <w:p w14:paraId="157E31B5"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2545B06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7D8DAD2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3F394295" w14:textId="77777777" w:rsidR="00634CDF" w:rsidRDefault="00F0051D">
            <w:pPr>
              <w:numPr>
                <w:ilvl w:val="0"/>
                <w:numId w:val="11"/>
              </w:num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No variante</w:t>
            </w:r>
          </w:p>
          <w:p w14:paraId="12BC20A1"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563C7370"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68257D4E"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01450F94"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51734601" w14:textId="77777777" w:rsidR="00634CDF" w:rsidRDefault="00F0051D">
            <w:pPr>
              <w:numPr>
                <w:ilvl w:val="0"/>
                <w:numId w:val="11"/>
              </w:num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No test genético</w:t>
            </w:r>
          </w:p>
          <w:p w14:paraId="4E5178C5"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2692EBCB" w14:textId="77777777" w:rsidR="00634CDF" w:rsidRDefault="00F0051D">
            <w:pPr>
              <w:ind w:left="0" w:hanging="2"/>
              <w:jc w:val="both"/>
              <w:rPr>
                <w:vertAlign w:val="baseline"/>
              </w:rPr>
            </w:pPr>
            <w:r>
              <w:rPr>
                <w:rFonts w:ascii="Arial" w:eastAsia="Arial" w:hAnsi="Arial" w:cs="Arial"/>
                <w:i/>
                <w:sz w:val="16"/>
                <w:szCs w:val="16"/>
                <w:vertAlign w:val="baseline"/>
              </w:rPr>
              <w:t>Variables exploratorias</w:t>
            </w:r>
          </w:p>
          <w:p w14:paraId="6D6C967F" w14:textId="77777777" w:rsidR="00634CDF" w:rsidRDefault="00F0051D">
            <w:pPr>
              <w:ind w:left="0" w:hanging="2"/>
              <w:jc w:val="both"/>
              <w:rPr>
                <w:vertAlign w:val="baseline"/>
              </w:rPr>
            </w:pPr>
            <w:r>
              <w:rPr>
                <w:rFonts w:ascii="Arial" w:eastAsia="Arial" w:hAnsi="Arial" w:cs="Arial"/>
                <w:i/>
                <w:sz w:val="16"/>
                <w:szCs w:val="16"/>
                <w:vertAlign w:val="baseline"/>
              </w:rPr>
              <w:t>% MACE</w:t>
            </w:r>
          </w:p>
          <w:p w14:paraId="79D67879" w14:textId="77777777" w:rsidR="00634CDF" w:rsidRDefault="00634CDF">
            <w:pPr>
              <w:ind w:left="0" w:hanging="2"/>
              <w:jc w:val="both"/>
              <w:rPr>
                <w:rFonts w:ascii="Arial" w:eastAsia="Arial" w:hAnsi="Arial" w:cs="Arial"/>
                <w:sz w:val="16"/>
                <w:szCs w:val="16"/>
                <w:vertAlign w:val="baseline"/>
              </w:rPr>
            </w:pPr>
          </w:p>
          <w:p w14:paraId="33D8C15B" w14:textId="77777777" w:rsidR="00634CDF" w:rsidRDefault="00F0051D">
            <w:pPr>
              <w:ind w:left="0" w:hanging="2"/>
              <w:jc w:val="both"/>
              <w:rPr>
                <w:vertAlign w:val="baseline"/>
              </w:rPr>
            </w:pPr>
            <w:r>
              <w:rPr>
                <w:rFonts w:ascii="Arial" w:eastAsia="Arial" w:hAnsi="Arial" w:cs="Arial"/>
                <w:i/>
                <w:sz w:val="16"/>
                <w:szCs w:val="16"/>
                <w:vertAlign w:val="baseline"/>
              </w:rPr>
              <w:t>Muerte cardiovascular</w:t>
            </w:r>
          </w:p>
          <w:p w14:paraId="1D7E7C3A" w14:textId="77777777" w:rsidR="00634CDF" w:rsidRDefault="00634CDF">
            <w:pPr>
              <w:ind w:left="0" w:hanging="2"/>
              <w:jc w:val="both"/>
              <w:rPr>
                <w:rFonts w:ascii="Arial" w:eastAsia="Arial" w:hAnsi="Arial" w:cs="Arial"/>
                <w:sz w:val="16"/>
                <w:szCs w:val="16"/>
                <w:vertAlign w:val="baseline"/>
              </w:rPr>
            </w:pPr>
          </w:p>
          <w:p w14:paraId="18709171" w14:textId="77777777" w:rsidR="00634CDF" w:rsidRDefault="00F0051D">
            <w:pPr>
              <w:ind w:left="0" w:hanging="2"/>
              <w:jc w:val="both"/>
              <w:rPr>
                <w:vertAlign w:val="baseline"/>
              </w:rPr>
            </w:pPr>
            <w:r>
              <w:rPr>
                <w:rFonts w:ascii="Arial" w:eastAsia="Arial" w:hAnsi="Arial" w:cs="Arial"/>
                <w:i/>
                <w:sz w:val="16"/>
                <w:szCs w:val="16"/>
                <w:vertAlign w:val="baseline"/>
              </w:rPr>
              <w:t>Paro cardiaco reanimado</w:t>
            </w:r>
          </w:p>
          <w:p w14:paraId="318863C2" w14:textId="77777777" w:rsidR="00634CDF" w:rsidRDefault="00634CDF">
            <w:pPr>
              <w:ind w:left="0" w:hanging="2"/>
              <w:jc w:val="both"/>
              <w:rPr>
                <w:rFonts w:ascii="Arial" w:eastAsia="Arial" w:hAnsi="Arial" w:cs="Arial"/>
                <w:sz w:val="16"/>
                <w:szCs w:val="16"/>
                <w:vertAlign w:val="baseline"/>
              </w:rPr>
            </w:pPr>
          </w:p>
          <w:p w14:paraId="5867DCCC" w14:textId="77777777" w:rsidR="00634CDF" w:rsidRDefault="00F0051D">
            <w:pPr>
              <w:ind w:left="0" w:hanging="2"/>
              <w:jc w:val="both"/>
              <w:rPr>
                <w:vertAlign w:val="baseline"/>
              </w:rPr>
            </w:pPr>
            <w:r>
              <w:rPr>
                <w:rFonts w:ascii="Arial" w:eastAsia="Arial" w:hAnsi="Arial" w:cs="Arial"/>
                <w:i/>
                <w:sz w:val="16"/>
                <w:szCs w:val="16"/>
                <w:vertAlign w:val="baseline"/>
              </w:rPr>
              <w:t>Infarto miocardio no mortal</w:t>
            </w:r>
          </w:p>
          <w:p w14:paraId="238E575A" w14:textId="77777777" w:rsidR="00634CDF" w:rsidRDefault="00634CDF">
            <w:pPr>
              <w:ind w:left="0" w:hanging="2"/>
              <w:jc w:val="both"/>
              <w:rPr>
                <w:rFonts w:ascii="Arial" w:eastAsia="Arial" w:hAnsi="Arial" w:cs="Arial"/>
                <w:sz w:val="16"/>
                <w:szCs w:val="16"/>
                <w:vertAlign w:val="baseline"/>
              </w:rPr>
            </w:pPr>
          </w:p>
          <w:p w14:paraId="26B9D7FC" w14:textId="77777777" w:rsidR="00634CDF" w:rsidRDefault="00F0051D">
            <w:pPr>
              <w:ind w:left="0" w:hanging="2"/>
              <w:jc w:val="both"/>
              <w:rPr>
                <w:vertAlign w:val="baseline"/>
              </w:rPr>
            </w:pPr>
            <w:r>
              <w:rPr>
                <w:rFonts w:ascii="Arial" w:eastAsia="Arial" w:hAnsi="Arial" w:cs="Arial"/>
                <w:i/>
                <w:sz w:val="16"/>
                <w:szCs w:val="16"/>
                <w:vertAlign w:val="baseline"/>
              </w:rPr>
              <w:t>Ictus (isquémico o hemorrágico)</w:t>
            </w:r>
          </w:p>
          <w:p w14:paraId="429FB28B" w14:textId="77777777" w:rsidR="00634CDF" w:rsidRDefault="00634CDF">
            <w:pPr>
              <w:pBdr>
                <w:top w:val="nil"/>
                <w:left w:val="nil"/>
                <w:bottom w:val="nil"/>
                <w:right w:val="nil"/>
                <w:between w:val="nil"/>
              </w:pBdr>
              <w:spacing w:line="240" w:lineRule="auto"/>
              <w:ind w:left="0" w:hanging="2"/>
              <w:jc w:val="both"/>
              <w:rPr>
                <w:rFonts w:ascii="Arial" w:eastAsia="Arial" w:hAnsi="Arial" w:cs="Arial"/>
                <w:sz w:val="16"/>
                <w:szCs w:val="16"/>
                <w:vertAlign w:val="baseline"/>
              </w:rPr>
            </w:pPr>
          </w:p>
          <w:p w14:paraId="039149BA"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c>
          <w:tcPr>
            <w:tcW w:w="1410" w:type="dxa"/>
            <w:tcBorders>
              <w:top w:val="single" w:sz="4" w:space="0" w:color="000000"/>
              <w:left w:val="single" w:sz="4" w:space="0" w:color="000000"/>
              <w:bottom w:val="single" w:sz="4" w:space="0" w:color="000000"/>
            </w:tcBorders>
          </w:tcPr>
          <w:p w14:paraId="77C6262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7B1BDB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8C80DE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-59 </w:t>
            </w:r>
          </w:p>
          <w:p w14:paraId="3DC9B9B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(-64,8 a -53,2)</w:t>
            </w:r>
          </w:p>
          <w:p w14:paraId="7EE5C1A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F42CAE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06FED3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-56,9</w:t>
            </w:r>
          </w:p>
          <w:p w14:paraId="70EB5DB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078464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12CB5D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-60,7</w:t>
            </w:r>
          </w:p>
          <w:p w14:paraId="5B48946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 (-64,4 a -57)</w:t>
            </w:r>
          </w:p>
          <w:p w14:paraId="0A712B9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2A1742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6F2D10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C496B2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-25,1</w:t>
            </w:r>
          </w:p>
          <w:p w14:paraId="07A0BC2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C5F80E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6E1227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5F4156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-33,1</w:t>
            </w:r>
          </w:p>
          <w:p w14:paraId="2FE713E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EF2360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D100A4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-39,9</w:t>
            </w:r>
          </w:p>
          <w:p w14:paraId="2B672E2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063026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1613BD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A42311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-11,1</w:t>
            </w:r>
          </w:p>
          <w:p w14:paraId="0862858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6A9E9D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F7C5D0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-13,5</w:t>
            </w:r>
          </w:p>
          <w:p w14:paraId="6109CEC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04E7E3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E4DAAB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8,6</w:t>
            </w:r>
          </w:p>
          <w:p w14:paraId="349C514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BE60BC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735F5B2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0,8</w:t>
            </w:r>
          </w:p>
          <w:p w14:paraId="2C38393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3F8A5D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4FDEF6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19</w:t>
            </w:r>
          </w:p>
          <w:p w14:paraId="4CD74B1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A6996F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FD240A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006165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lastRenderedPageBreak/>
              <w:t>40,9</w:t>
            </w:r>
          </w:p>
          <w:p w14:paraId="0494B84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86DD14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803AB9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FD9C89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65,3</w:t>
            </w:r>
          </w:p>
          <w:p w14:paraId="30F05C4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0112EC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E3CE62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30,2</w:t>
            </w:r>
          </w:p>
          <w:p w14:paraId="0156602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9B386E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74BBB8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(n=241)</w:t>
            </w:r>
          </w:p>
          <w:p w14:paraId="1F667E1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66</w:t>
            </w:r>
          </w:p>
          <w:p w14:paraId="3A0013D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00616F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4ACD9B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(31/59)</w:t>
            </w:r>
          </w:p>
          <w:p w14:paraId="26298B0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52,5</w:t>
            </w:r>
          </w:p>
          <w:p w14:paraId="22C7C9C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59504F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0ECC64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(115/172)</w:t>
            </w:r>
          </w:p>
          <w:p w14:paraId="3680963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66,9</w:t>
            </w:r>
          </w:p>
          <w:p w14:paraId="7E0FD428" w14:textId="77777777" w:rsidR="00634CDF" w:rsidRDefault="00F0051D">
            <w:pPr>
              <w:pBdr>
                <w:top w:val="nil"/>
                <w:left w:val="nil"/>
                <w:bottom w:val="nil"/>
                <w:right w:val="nil"/>
                <w:between w:val="nil"/>
              </w:pBdr>
              <w:spacing w:before="240" w:after="240" w:line="240" w:lineRule="auto"/>
              <w:ind w:left="0" w:hanging="2"/>
              <w:rPr>
                <w:color w:val="000000"/>
                <w:vertAlign w:val="baseline"/>
              </w:rPr>
            </w:pPr>
            <w:r>
              <w:rPr>
                <w:rFonts w:ascii="Arial" w:eastAsia="Arial" w:hAnsi="Arial" w:cs="Arial"/>
                <w:i/>
                <w:color w:val="000000"/>
                <w:sz w:val="16"/>
                <w:szCs w:val="16"/>
                <w:vertAlign w:val="baseline"/>
              </w:rPr>
              <w:t xml:space="preserve"> </w:t>
            </w:r>
          </w:p>
          <w:p w14:paraId="404AFF5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8335DF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5A7A12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ADDE3E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D7DF2F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3DF78F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F31CB8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45A657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AF37B7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9D574E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(22)</w:t>
            </w:r>
          </w:p>
          <w:p w14:paraId="5CF1A8F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-37,4</w:t>
            </w:r>
          </w:p>
          <w:p w14:paraId="3DECD62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(-49,2 a -25,7)</w:t>
            </w:r>
          </w:p>
          <w:p w14:paraId="41E0E47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BA8C56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(125)</w:t>
            </w:r>
          </w:p>
          <w:p w14:paraId="44AAC28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-37,7</w:t>
            </w:r>
          </w:p>
          <w:p w14:paraId="65F5D6D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(-43 a -32,3)</w:t>
            </w:r>
          </w:p>
          <w:p w14:paraId="233EC99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AC9AD5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(12)</w:t>
            </w:r>
          </w:p>
          <w:p w14:paraId="660C58A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-43</w:t>
            </w:r>
          </w:p>
          <w:p w14:paraId="02B2857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(-56,6 a -29,4)</w:t>
            </w:r>
          </w:p>
          <w:p w14:paraId="15B61A6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620309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(61)</w:t>
            </w:r>
          </w:p>
          <w:p w14:paraId="1BF5312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-49,2</w:t>
            </w:r>
          </w:p>
          <w:p w14:paraId="286A86C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(-54,7 a -43,6)</w:t>
            </w:r>
          </w:p>
          <w:p w14:paraId="19C10DD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E3D5FA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38C56E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(21)</w:t>
            </w:r>
          </w:p>
          <w:p w14:paraId="29ED9FD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-39,0</w:t>
            </w:r>
          </w:p>
          <w:p w14:paraId="1C1A24D2" w14:textId="77777777" w:rsidR="00634CDF" w:rsidRDefault="00F0051D">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r>
              <w:rPr>
                <w:rFonts w:ascii="Arial" w:eastAsia="Arial" w:hAnsi="Arial" w:cs="Arial"/>
                <w:color w:val="000000"/>
                <w:sz w:val="16"/>
                <w:szCs w:val="16"/>
                <w:vertAlign w:val="baseline"/>
              </w:rPr>
              <w:t>(-46,4 a -31,6)</w:t>
            </w:r>
          </w:p>
          <w:p w14:paraId="32034FB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4416585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28476C7A" w14:textId="77777777" w:rsidR="00634CDF" w:rsidRDefault="00F0051D">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r>
              <w:rPr>
                <w:rFonts w:ascii="Arial" w:eastAsia="Arial" w:hAnsi="Arial" w:cs="Arial"/>
                <w:sz w:val="16"/>
                <w:szCs w:val="16"/>
                <w:vertAlign w:val="baseline"/>
              </w:rPr>
              <w:t>4,1 (10/241)</w:t>
            </w:r>
          </w:p>
          <w:p w14:paraId="5719559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01F66B5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657F9887" w14:textId="77777777" w:rsidR="00634CDF" w:rsidRDefault="00F0051D">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r>
              <w:rPr>
                <w:rFonts w:ascii="Arial" w:eastAsia="Arial" w:hAnsi="Arial" w:cs="Arial"/>
                <w:sz w:val="16"/>
                <w:szCs w:val="16"/>
                <w:vertAlign w:val="baseline"/>
              </w:rPr>
              <w:t>0,4 (1/241)</w:t>
            </w:r>
          </w:p>
          <w:p w14:paraId="6B0B634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2EECDC1C" w14:textId="77777777" w:rsidR="00634CDF" w:rsidRDefault="00F0051D">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r>
              <w:rPr>
                <w:rFonts w:ascii="Arial" w:eastAsia="Arial" w:hAnsi="Arial" w:cs="Arial"/>
                <w:sz w:val="16"/>
                <w:szCs w:val="16"/>
                <w:vertAlign w:val="baseline"/>
              </w:rPr>
              <w:t>-</w:t>
            </w:r>
          </w:p>
          <w:p w14:paraId="4FC4E9E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504EF513" w14:textId="77777777" w:rsidR="00634CDF" w:rsidRDefault="00F0051D">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r>
              <w:rPr>
                <w:rFonts w:ascii="Arial" w:eastAsia="Arial" w:hAnsi="Arial" w:cs="Arial"/>
                <w:sz w:val="16"/>
                <w:szCs w:val="16"/>
                <w:vertAlign w:val="baseline"/>
              </w:rPr>
              <w:t>3,7 (9/241)</w:t>
            </w:r>
          </w:p>
          <w:p w14:paraId="001CBAC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69368589" w14:textId="77777777" w:rsidR="00634CDF" w:rsidRDefault="00F0051D">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r>
              <w:rPr>
                <w:rFonts w:ascii="Arial" w:eastAsia="Arial" w:hAnsi="Arial" w:cs="Arial"/>
                <w:sz w:val="16"/>
                <w:szCs w:val="16"/>
                <w:vertAlign w:val="baseline"/>
              </w:rPr>
              <w:t>-</w:t>
            </w:r>
          </w:p>
        </w:tc>
        <w:tc>
          <w:tcPr>
            <w:tcW w:w="1275" w:type="dxa"/>
            <w:tcBorders>
              <w:top w:val="single" w:sz="4" w:space="0" w:color="000000"/>
              <w:left w:val="single" w:sz="4" w:space="0" w:color="000000"/>
              <w:bottom w:val="single" w:sz="4" w:space="0" w:color="000000"/>
            </w:tcBorders>
          </w:tcPr>
          <w:p w14:paraId="6BADD4C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6C8AFC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C0B7AD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9,9 </w:t>
            </w:r>
          </w:p>
          <w:p w14:paraId="3F739FD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(4,1 a 15,8)</w:t>
            </w:r>
          </w:p>
          <w:p w14:paraId="51C87F0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3BE340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2DE5CB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5,8</w:t>
            </w:r>
          </w:p>
          <w:p w14:paraId="2796A09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89C3DE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CFF2DA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17,7 </w:t>
            </w:r>
          </w:p>
          <w:p w14:paraId="6487CAC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(13,9 a 21,4)</w:t>
            </w:r>
          </w:p>
          <w:p w14:paraId="487BA74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ACD77A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775381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6F570B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6,7</w:t>
            </w:r>
          </w:p>
          <w:p w14:paraId="40F21CA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343375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4AE252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7D3ECE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2,9</w:t>
            </w:r>
          </w:p>
          <w:p w14:paraId="683472C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F23DE6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E17483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7,4</w:t>
            </w:r>
          </w:p>
          <w:p w14:paraId="3E3B48E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369236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38023E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5EEF81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-0,7</w:t>
            </w:r>
          </w:p>
          <w:p w14:paraId="0BB05EC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831AD2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4CC5A0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3,7</w:t>
            </w:r>
          </w:p>
          <w:p w14:paraId="5EA5B1F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5A9A6F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8769E0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6,0</w:t>
            </w:r>
          </w:p>
          <w:p w14:paraId="6999660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CEB310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25C5566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w:t>
            </w:r>
          </w:p>
          <w:p w14:paraId="1E916ED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C56D0E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99905B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0,8</w:t>
            </w:r>
          </w:p>
          <w:p w14:paraId="3E7DD2A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C06B32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8137CE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EABFB3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lastRenderedPageBreak/>
              <w:t>1,3</w:t>
            </w:r>
          </w:p>
          <w:p w14:paraId="76D06D0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4F28FE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887C1A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B1DD02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8,8</w:t>
            </w:r>
          </w:p>
          <w:p w14:paraId="71C66A5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3EB4CA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4E9490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86,7</w:t>
            </w:r>
          </w:p>
          <w:p w14:paraId="14A4B7D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E2D827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2F283B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(n=239)</w:t>
            </w:r>
          </w:p>
          <w:p w14:paraId="2CB2F83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3,8</w:t>
            </w:r>
          </w:p>
          <w:p w14:paraId="68E82FF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E840D9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B0B0A7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(1/71)</w:t>
            </w:r>
          </w:p>
          <w:p w14:paraId="119C52B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1,4</w:t>
            </w:r>
          </w:p>
          <w:p w14:paraId="351D084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5D3333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260409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(14/158)</w:t>
            </w:r>
          </w:p>
          <w:p w14:paraId="419992A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8,9</w:t>
            </w:r>
          </w:p>
          <w:p w14:paraId="3B9BEF4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8385D9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56C983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219698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3F316B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FBA87A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1F2D51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BE6329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92EC2A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1EDB88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7CC568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51F4F5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D3339C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(15)</w:t>
            </w:r>
          </w:p>
          <w:p w14:paraId="513BA51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3,8</w:t>
            </w:r>
          </w:p>
          <w:p w14:paraId="78382BA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(-5,3 a 12,9)</w:t>
            </w:r>
          </w:p>
          <w:p w14:paraId="1DEEB10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909546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(131)</w:t>
            </w:r>
          </w:p>
          <w:p w14:paraId="25F7892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8,3</w:t>
            </w:r>
          </w:p>
          <w:p w14:paraId="2455443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(3,1 a 13,5)</w:t>
            </w:r>
          </w:p>
          <w:p w14:paraId="7626711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BCD059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(11)</w:t>
            </w:r>
          </w:p>
          <w:p w14:paraId="435BB53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9,1</w:t>
            </w:r>
          </w:p>
          <w:p w14:paraId="3044C10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 a 20,2)</w:t>
            </w:r>
          </w:p>
          <w:p w14:paraId="58ADD12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F3EAEE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(54)</w:t>
            </w:r>
          </w:p>
          <w:p w14:paraId="42C96C1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10</w:t>
            </w:r>
          </w:p>
          <w:p w14:paraId="4443F4A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(-3,6 a 23,6)</w:t>
            </w:r>
          </w:p>
          <w:p w14:paraId="7E0DD67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3E9F36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12C155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(29)</w:t>
            </w:r>
          </w:p>
          <w:p w14:paraId="433B200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7,8</w:t>
            </w:r>
          </w:p>
          <w:p w14:paraId="4E490875" w14:textId="3967E4B0" w:rsidR="00634CDF" w:rsidRDefault="003C1839">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(-7,1 a 22,</w:t>
            </w:r>
            <w:r w:rsidR="00F0051D">
              <w:rPr>
                <w:rFonts w:ascii="Arial" w:eastAsia="Arial" w:hAnsi="Arial" w:cs="Arial"/>
                <w:color w:val="000000"/>
                <w:sz w:val="16"/>
                <w:szCs w:val="16"/>
                <w:vertAlign w:val="baseline"/>
              </w:rPr>
              <w:t>7)</w:t>
            </w:r>
          </w:p>
          <w:p w14:paraId="62D64EC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52987C0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3EDA4B84" w14:textId="77777777" w:rsidR="00634CDF" w:rsidRDefault="00F0051D">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r>
              <w:rPr>
                <w:rFonts w:ascii="Arial" w:eastAsia="Arial" w:hAnsi="Arial" w:cs="Arial"/>
                <w:sz w:val="16"/>
                <w:szCs w:val="16"/>
                <w:vertAlign w:val="baseline"/>
              </w:rPr>
              <w:t>4,2 (10/240)</w:t>
            </w:r>
          </w:p>
          <w:p w14:paraId="578FEB4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47420B5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4BB8D3F4" w14:textId="77777777" w:rsidR="00634CDF" w:rsidRDefault="00F0051D">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r>
              <w:rPr>
                <w:rFonts w:ascii="Arial" w:eastAsia="Arial" w:hAnsi="Arial" w:cs="Arial"/>
                <w:sz w:val="16"/>
                <w:szCs w:val="16"/>
                <w:vertAlign w:val="baseline"/>
              </w:rPr>
              <w:t>0</w:t>
            </w:r>
          </w:p>
          <w:p w14:paraId="0CA813F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27124917" w14:textId="77777777" w:rsidR="00634CDF" w:rsidRDefault="00F0051D">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r>
              <w:rPr>
                <w:rFonts w:ascii="Arial" w:eastAsia="Arial" w:hAnsi="Arial" w:cs="Arial"/>
                <w:sz w:val="16"/>
                <w:szCs w:val="16"/>
                <w:vertAlign w:val="baseline"/>
              </w:rPr>
              <w:t>-</w:t>
            </w:r>
          </w:p>
          <w:p w14:paraId="038ABBD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7C5501B1" w14:textId="77777777" w:rsidR="00634CDF" w:rsidRDefault="00F0051D">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r>
              <w:rPr>
                <w:rFonts w:ascii="Arial" w:eastAsia="Arial" w:hAnsi="Arial" w:cs="Arial"/>
                <w:sz w:val="16"/>
                <w:szCs w:val="16"/>
                <w:vertAlign w:val="baseline"/>
              </w:rPr>
              <w:t>4,2 (10/242)</w:t>
            </w:r>
          </w:p>
          <w:p w14:paraId="642ED44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739317C9" w14:textId="77777777" w:rsidR="00634CDF" w:rsidRDefault="00F0051D">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r>
              <w:rPr>
                <w:rFonts w:ascii="Arial" w:eastAsia="Arial" w:hAnsi="Arial" w:cs="Arial"/>
                <w:sz w:val="16"/>
                <w:szCs w:val="16"/>
                <w:vertAlign w:val="baseline"/>
              </w:rPr>
              <w:t>-</w:t>
            </w:r>
          </w:p>
        </w:tc>
        <w:tc>
          <w:tcPr>
            <w:tcW w:w="1755" w:type="dxa"/>
            <w:tcBorders>
              <w:top w:val="single" w:sz="4" w:space="0" w:color="000000"/>
              <w:left w:val="single" w:sz="4" w:space="0" w:color="000000"/>
              <w:bottom w:val="single" w:sz="4" w:space="0" w:color="000000"/>
            </w:tcBorders>
          </w:tcPr>
          <w:p w14:paraId="6D04725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EA3DC1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F3FE9E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-68,9 </w:t>
            </w:r>
          </w:p>
          <w:p w14:paraId="61FDF51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(-77,1 a -60,7)</w:t>
            </w:r>
          </w:p>
          <w:p w14:paraId="66AFBAC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E9D858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C18D4C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-62,6</w:t>
            </w:r>
          </w:p>
          <w:p w14:paraId="5FA7A17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CE9737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2FEBED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-78,4 </w:t>
            </w:r>
          </w:p>
          <w:p w14:paraId="61ED3E6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(-83,7 a -73)</w:t>
            </w:r>
          </w:p>
          <w:p w14:paraId="6580345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2649A3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87C003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820796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-31,8</w:t>
            </w:r>
          </w:p>
          <w:p w14:paraId="10DF0D5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(-35,6 a -27,9)</w:t>
            </w:r>
          </w:p>
          <w:p w14:paraId="5810564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5CA525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DC65D3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-36,1</w:t>
            </w:r>
          </w:p>
          <w:p w14:paraId="7DF350A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(-39,9 a -32,1)</w:t>
            </w:r>
          </w:p>
          <w:p w14:paraId="7A6B48E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0D7AA9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-42,4</w:t>
            </w:r>
          </w:p>
          <w:p w14:paraId="6CB84E6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(-47,3 a -37,4)</w:t>
            </w:r>
          </w:p>
          <w:p w14:paraId="75A3ABD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303485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FFC171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-10,4</w:t>
            </w:r>
          </w:p>
          <w:p w14:paraId="150E982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BEF34D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2CA991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-17,2</w:t>
            </w:r>
          </w:p>
          <w:p w14:paraId="416096D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186D35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C66EE1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2,6</w:t>
            </w:r>
          </w:p>
          <w:p w14:paraId="33C91D1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56D8CF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6C5AD8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89E1C8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4B9721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95B7AC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5831A7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19BE56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4BBAE6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F1D878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AE5C43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BA4B72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913899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D93578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8929E4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BCFE74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1E7AF6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041203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D7DCC5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E15618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54B40C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301BA4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453624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DECF6C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6C4461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2C1249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6A4841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06CA07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25549A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CF763B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9B9010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9684CB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154020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EDE1EE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A5480C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6DC10E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3814EE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2BBC2D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82F69D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DFAF5A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FAEDE2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28CAFB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-41,2 </w:t>
            </w:r>
          </w:p>
          <w:p w14:paraId="5A3DF8D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(-57,2 a -25,3)</w:t>
            </w:r>
          </w:p>
          <w:p w14:paraId="16811A0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1CFDC3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E406F9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904E71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-46,0</w:t>
            </w:r>
          </w:p>
          <w:p w14:paraId="6C21456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(-53,3 a -38,6)</w:t>
            </w:r>
          </w:p>
          <w:p w14:paraId="53704C2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627000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139411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-52,1</w:t>
            </w:r>
          </w:p>
          <w:p w14:paraId="3C8412A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(-68,8 a -35,4)</w:t>
            </w:r>
          </w:p>
          <w:p w14:paraId="31CCB37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50E90F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ADB087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-59,2 </w:t>
            </w:r>
          </w:p>
          <w:p w14:paraId="6FE005A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(-72,8 a -45,5)</w:t>
            </w:r>
          </w:p>
          <w:p w14:paraId="0044FA6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146560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25FD90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-46,8 </w:t>
            </w:r>
          </w:p>
          <w:p w14:paraId="22160BD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(-64,5 a -21,9)</w:t>
            </w:r>
          </w:p>
          <w:p w14:paraId="42D1A56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c>
          <w:tcPr>
            <w:tcW w:w="1170" w:type="dxa"/>
            <w:tcBorders>
              <w:top w:val="single" w:sz="4" w:space="0" w:color="000000"/>
              <w:left w:val="single" w:sz="4" w:space="0" w:color="000000"/>
              <w:bottom w:val="single" w:sz="4" w:space="0" w:color="000000"/>
            </w:tcBorders>
          </w:tcPr>
          <w:p w14:paraId="7FC2456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AECEE49" w14:textId="0817F9BC" w:rsidR="00634CDF" w:rsidRDefault="000D6498">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sidR="00F0051D">
              <w:rPr>
                <w:rFonts w:ascii="Arial" w:eastAsia="Arial" w:hAnsi="Arial" w:cs="Arial"/>
                <w:color w:val="000000"/>
                <w:sz w:val="16"/>
                <w:szCs w:val="16"/>
                <w:vertAlign w:val="baseline"/>
              </w:rPr>
              <w:t>0,0001</w:t>
            </w:r>
          </w:p>
          <w:p w14:paraId="4E7E422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88D39EE" w14:textId="77777777" w:rsidR="000D6498" w:rsidRDefault="000D6498">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E8072D8" w14:textId="77777777" w:rsidR="000D6498" w:rsidRDefault="000D6498">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A91A708" w14:textId="77777777" w:rsidR="000D6498" w:rsidRDefault="000D6498">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CBCD7FD" w14:textId="18DB27C6" w:rsidR="00634CDF" w:rsidRDefault="000D6498">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sidR="00F0051D">
              <w:rPr>
                <w:rFonts w:ascii="Arial" w:eastAsia="Arial" w:hAnsi="Arial" w:cs="Arial"/>
                <w:color w:val="000000"/>
                <w:sz w:val="16"/>
                <w:szCs w:val="16"/>
                <w:vertAlign w:val="baseline"/>
              </w:rPr>
              <w:t>0,0001</w:t>
            </w:r>
          </w:p>
          <w:p w14:paraId="53B6EE7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BE7E24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9E00EA9" w14:textId="2B2A02CC" w:rsidR="00634CDF" w:rsidRDefault="000D6498">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sidR="00F0051D">
              <w:rPr>
                <w:rFonts w:ascii="Arial" w:eastAsia="Arial" w:hAnsi="Arial" w:cs="Arial"/>
                <w:color w:val="000000"/>
                <w:sz w:val="16"/>
                <w:szCs w:val="16"/>
                <w:vertAlign w:val="baseline"/>
              </w:rPr>
              <w:t>0,0001</w:t>
            </w:r>
          </w:p>
          <w:p w14:paraId="5165B49C" w14:textId="4B4BFBAC" w:rsidR="000D6498" w:rsidRPr="000D6498" w:rsidRDefault="000D6498" w:rsidP="000D6498">
            <w:pPr>
              <w:pStyle w:val="WW-normal"/>
              <w:ind w:leftChars="0" w:left="0" w:firstLineChars="0" w:firstLine="0"/>
              <w:rPr>
                <w:rFonts w:eastAsia="Arial"/>
              </w:rPr>
            </w:pPr>
          </w:p>
          <w:p w14:paraId="34301516" w14:textId="678040BF"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E40D660" w14:textId="77777777" w:rsidR="000D6498" w:rsidRPr="000D6498" w:rsidRDefault="000D6498" w:rsidP="000D6498">
            <w:pPr>
              <w:pStyle w:val="WW-normal"/>
              <w:ind w:left="0" w:hanging="2"/>
              <w:rPr>
                <w:rFonts w:eastAsia="Arial"/>
              </w:rPr>
            </w:pPr>
          </w:p>
          <w:p w14:paraId="3B540410" w14:textId="77777777" w:rsidR="000D6498" w:rsidRDefault="000D6498" w:rsidP="000D6498">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33A5CEDA" w14:textId="3DD1F941"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AFD3D3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0222D6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A350B7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FACB795" w14:textId="77777777" w:rsidR="000D6498" w:rsidRDefault="000D6498" w:rsidP="000D6498">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685D6B2F" w14:textId="52992C57" w:rsidR="00634CDF" w:rsidRDefault="00634CDF" w:rsidP="000D6498">
            <w:pPr>
              <w:pBdr>
                <w:top w:val="nil"/>
                <w:left w:val="nil"/>
                <w:bottom w:val="nil"/>
                <w:right w:val="nil"/>
                <w:between w:val="nil"/>
              </w:pBdr>
              <w:spacing w:line="240" w:lineRule="auto"/>
              <w:ind w:leftChars="0" w:left="0" w:firstLineChars="0" w:firstLine="0"/>
              <w:rPr>
                <w:rFonts w:ascii="Arial" w:eastAsia="Arial" w:hAnsi="Arial" w:cs="Arial"/>
                <w:color w:val="000000"/>
                <w:sz w:val="16"/>
                <w:szCs w:val="16"/>
                <w:vertAlign w:val="baseline"/>
              </w:rPr>
            </w:pPr>
          </w:p>
          <w:p w14:paraId="62E5D39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435EAA2" w14:textId="77777777" w:rsidR="000D6498" w:rsidRDefault="000D6498" w:rsidP="000D6498">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25F28C84" w14:textId="37B7F0D0"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5055CD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9C6DF5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c>
          <w:tcPr>
            <w:tcW w:w="660" w:type="dxa"/>
            <w:tcBorders>
              <w:top w:val="single" w:sz="4" w:space="0" w:color="000000"/>
              <w:left w:val="single" w:sz="4" w:space="0" w:color="000000"/>
              <w:bottom w:val="single" w:sz="4" w:space="0" w:color="000000"/>
              <w:right w:val="single" w:sz="4" w:space="0" w:color="000000"/>
            </w:tcBorders>
          </w:tcPr>
          <w:p w14:paraId="7D72305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0B66F5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r>
      <w:tr w:rsidR="00634CDF" w14:paraId="098A320D" w14:textId="77777777">
        <w:trPr>
          <w:trHeight w:val="230"/>
        </w:trPr>
        <w:tc>
          <w:tcPr>
            <w:tcW w:w="8907" w:type="dxa"/>
            <w:gridSpan w:val="6"/>
            <w:tcBorders>
              <w:top w:val="single" w:sz="4" w:space="0" w:color="000000"/>
              <w:left w:val="single" w:sz="4" w:space="0" w:color="000000"/>
              <w:bottom w:val="single" w:sz="4" w:space="0" w:color="000000"/>
              <w:right w:val="single" w:sz="4" w:space="0" w:color="000000"/>
            </w:tcBorders>
            <w:shd w:val="clear" w:color="auto" w:fill="E6E6E6"/>
          </w:tcPr>
          <w:p w14:paraId="07097F1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lastRenderedPageBreak/>
              <w:t>-Calculadoras para variables binarias: RAR y NNT y sus IC 95 %.</w:t>
            </w:r>
            <w:r>
              <w:rPr>
                <w:rFonts w:ascii="Arial" w:eastAsia="Arial" w:hAnsi="Arial" w:cs="Arial"/>
                <w:b/>
                <w:color w:val="000000"/>
                <w:sz w:val="16"/>
                <w:szCs w:val="16"/>
                <w:vertAlign w:val="baseline"/>
              </w:rPr>
              <w:t>CASPe</w:t>
            </w:r>
            <w:r>
              <w:rPr>
                <w:rFonts w:ascii="Arial" w:eastAsia="Arial" w:hAnsi="Arial" w:cs="Arial"/>
                <w:color w:val="000000"/>
                <w:sz w:val="16"/>
                <w:szCs w:val="16"/>
                <w:vertAlign w:val="baseline"/>
              </w:rPr>
              <w:t>.</w:t>
            </w:r>
            <w:r>
              <w:rPr>
                <w:rFonts w:ascii="Arial" w:eastAsia="Arial" w:hAnsi="Arial" w:cs="Arial"/>
                <w:b/>
                <w:color w:val="000000"/>
                <w:sz w:val="16"/>
                <w:szCs w:val="16"/>
                <w:vertAlign w:val="baseline"/>
              </w:rPr>
              <w:t xml:space="preserve"> </w:t>
            </w:r>
            <w:r>
              <w:rPr>
                <w:rFonts w:ascii="Arial" w:eastAsia="Arial" w:hAnsi="Arial" w:cs="Arial"/>
                <w:b/>
                <w:color w:val="000000"/>
                <w:sz w:val="16"/>
                <w:szCs w:val="16"/>
                <w:u w:val="single"/>
                <w:vertAlign w:val="baseline"/>
              </w:rPr>
              <w:t>Pulse aquí</w:t>
            </w:r>
            <w:r>
              <w:rPr>
                <w:rFonts w:ascii="Arial" w:eastAsia="Arial" w:hAnsi="Arial" w:cs="Arial"/>
                <w:b/>
                <w:color w:val="000000"/>
                <w:sz w:val="16"/>
                <w:szCs w:val="16"/>
                <w:vertAlign w:val="baseline"/>
              </w:rPr>
              <w:t xml:space="preserve"> ;</w:t>
            </w: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SIGN</w:t>
            </w:r>
            <w:r>
              <w:rPr>
                <w:rFonts w:ascii="Arial" w:eastAsia="Arial" w:hAnsi="Arial" w:cs="Arial"/>
                <w:color w:val="000000"/>
                <w:sz w:val="16"/>
                <w:szCs w:val="16"/>
                <w:vertAlign w:val="baseline"/>
              </w:rPr>
              <w:t>:</w:t>
            </w:r>
            <w:r>
              <w:rPr>
                <w:rFonts w:ascii="Arial" w:eastAsia="Arial" w:hAnsi="Arial" w:cs="Arial"/>
                <w:b/>
                <w:color w:val="000000"/>
                <w:sz w:val="16"/>
                <w:szCs w:val="16"/>
                <w:vertAlign w:val="baseline"/>
              </w:rPr>
              <w:t xml:space="preserve"> </w:t>
            </w:r>
            <w:r>
              <w:rPr>
                <w:rFonts w:ascii="Arial" w:eastAsia="Arial" w:hAnsi="Arial" w:cs="Arial"/>
                <w:b/>
                <w:color w:val="000000"/>
                <w:sz w:val="16"/>
                <w:szCs w:val="16"/>
                <w:u w:val="single"/>
                <w:vertAlign w:val="baseline"/>
              </w:rPr>
              <w:t>Pulse aquí</w:t>
            </w:r>
            <w:r>
              <w:rPr>
                <w:rFonts w:ascii="Arial" w:eastAsia="Arial" w:hAnsi="Arial" w:cs="Arial"/>
                <w:b/>
                <w:color w:val="000000"/>
                <w:sz w:val="16"/>
                <w:szCs w:val="16"/>
                <w:vertAlign w:val="baseline"/>
              </w:rPr>
              <w:t>.</w:t>
            </w:r>
          </w:p>
          <w:p w14:paraId="125DFD1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-Calculadora para variables continuas: </w:t>
            </w:r>
            <w:r>
              <w:rPr>
                <w:rFonts w:ascii="Arial" w:eastAsia="Arial" w:hAnsi="Arial" w:cs="Arial"/>
                <w:b/>
                <w:color w:val="000000"/>
                <w:sz w:val="16"/>
                <w:szCs w:val="16"/>
                <w:vertAlign w:val="baseline"/>
              </w:rPr>
              <w:t>R.Saracho</w:t>
            </w:r>
            <w:r>
              <w:rPr>
                <w:rFonts w:ascii="Arial" w:eastAsia="Arial" w:hAnsi="Arial" w:cs="Arial"/>
                <w:color w:val="000000"/>
                <w:sz w:val="16"/>
                <w:szCs w:val="16"/>
                <w:vertAlign w:val="baseline"/>
              </w:rPr>
              <w:t xml:space="preserve">. </w:t>
            </w:r>
            <w:r>
              <w:rPr>
                <w:rFonts w:ascii="Arial" w:eastAsia="Arial" w:hAnsi="Arial" w:cs="Arial"/>
                <w:b/>
                <w:color w:val="000000"/>
                <w:sz w:val="16"/>
                <w:szCs w:val="16"/>
                <w:u w:val="single"/>
                <w:vertAlign w:val="baseline"/>
              </w:rPr>
              <w:t>Pulse aquí</w:t>
            </w:r>
          </w:p>
          <w:p w14:paraId="3AC3EDE5" w14:textId="77777777" w:rsidR="00634CDF" w:rsidRDefault="00F0051D">
            <w:pPr>
              <w:pBdr>
                <w:top w:val="nil"/>
                <w:left w:val="nil"/>
                <w:bottom w:val="nil"/>
                <w:right w:val="nil"/>
                <w:between w:val="nil"/>
              </w:pBdr>
              <w:spacing w:line="240" w:lineRule="auto"/>
              <w:ind w:left="0" w:hanging="2"/>
              <w:rPr>
                <w:rFonts w:ascii="Arial" w:eastAsia="Arial" w:hAnsi="Arial" w:cs="Arial"/>
                <w:color w:val="000080"/>
                <w:sz w:val="20"/>
                <w:szCs w:val="20"/>
                <w:vertAlign w:val="baseline"/>
              </w:rPr>
            </w:pPr>
            <w:r>
              <w:rPr>
                <w:rFonts w:ascii="Arial" w:eastAsia="Arial" w:hAnsi="Arial" w:cs="Arial"/>
                <w:b/>
                <w:color w:val="000000"/>
                <w:sz w:val="16"/>
                <w:szCs w:val="16"/>
                <w:u w:val="single"/>
                <w:vertAlign w:val="baseline"/>
              </w:rPr>
              <w:t>-</w:t>
            </w:r>
            <w:r>
              <w:rPr>
                <w:rFonts w:ascii="Arial" w:eastAsia="Arial" w:hAnsi="Arial" w:cs="Arial"/>
                <w:b/>
                <w:color w:val="000000"/>
                <w:sz w:val="16"/>
                <w:szCs w:val="16"/>
                <w:vertAlign w:val="baseline"/>
              </w:rPr>
              <w:t>Otras calculadoras/programas en página GENESIS:</w:t>
            </w:r>
            <w:r>
              <w:rPr>
                <w:rFonts w:ascii="Arial" w:eastAsia="Arial" w:hAnsi="Arial" w:cs="Arial"/>
                <w:b/>
                <w:color w:val="000000"/>
                <w:sz w:val="16"/>
                <w:szCs w:val="16"/>
                <w:u w:val="single"/>
                <w:vertAlign w:val="baseline"/>
              </w:rPr>
              <w:t xml:space="preserve"> </w:t>
            </w:r>
            <w:hyperlink r:id="rId14">
              <w:r>
                <w:rPr>
                  <w:rFonts w:ascii="Arial" w:eastAsia="Arial" w:hAnsi="Arial" w:cs="Arial"/>
                  <w:color w:val="0000FF"/>
                  <w:sz w:val="16"/>
                  <w:szCs w:val="16"/>
                  <w:u w:val="single"/>
                  <w:vertAlign w:val="baseline"/>
                </w:rPr>
                <w:t>http://gruposdetrabajo.sefh.es/genesis/genesis/Enlaces/Calculadoras.htm</w:t>
              </w:r>
            </w:hyperlink>
          </w:p>
        </w:tc>
      </w:tr>
    </w:tbl>
    <w:p w14:paraId="15AED79F"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3866288E" w14:textId="77777777" w:rsidR="004E4268" w:rsidRDefault="004E4268">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01504F3" w14:textId="77777777" w:rsidR="004E4268" w:rsidRDefault="004E4268">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C58A53E" w14:textId="77777777" w:rsidR="004E4268" w:rsidRDefault="004E4268">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34B45627" w14:textId="77777777" w:rsidR="004E4268" w:rsidRDefault="004E4268">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93CF158" w14:textId="77777777" w:rsidR="004E4268" w:rsidRDefault="004E4268">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3AF1B96C" w14:textId="77777777" w:rsidR="004E4268" w:rsidRDefault="004E4268">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E17979B" w14:textId="77777777" w:rsidR="004E4268" w:rsidRDefault="004E4268">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BAFC55F" w14:textId="77777777" w:rsidR="004E4268" w:rsidRDefault="004E4268">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511383AD" w14:textId="77777777" w:rsidR="004E4268" w:rsidRDefault="004E4268">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6F929965" w14:textId="2197A14B"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Figura </w:t>
      </w:r>
      <w:r>
        <w:rPr>
          <w:rFonts w:ascii="Arial" w:eastAsia="Arial" w:hAnsi="Arial" w:cs="Arial"/>
          <w:sz w:val="20"/>
          <w:szCs w:val="20"/>
          <w:vertAlign w:val="baseline"/>
        </w:rPr>
        <w:t>3</w:t>
      </w:r>
      <w:r>
        <w:rPr>
          <w:rFonts w:ascii="Arial" w:eastAsia="Arial" w:hAnsi="Arial" w:cs="Arial"/>
          <w:color w:val="000000"/>
          <w:sz w:val="20"/>
          <w:szCs w:val="20"/>
          <w:vertAlign w:val="baseline"/>
        </w:rPr>
        <w:t xml:space="preserve"> (</w:t>
      </w:r>
      <w:r>
        <w:rPr>
          <w:rFonts w:ascii="Arial" w:eastAsia="Arial" w:hAnsi="Arial" w:cs="Arial"/>
          <w:sz w:val="20"/>
          <w:szCs w:val="20"/>
          <w:vertAlign w:val="baseline"/>
        </w:rPr>
        <w:t>t</w:t>
      </w:r>
      <w:r>
        <w:rPr>
          <w:rFonts w:ascii="Arial" w:eastAsia="Arial" w:hAnsi="Arial" w:cs="Arial"/>
          <w:color w:val="000000"/>
          <w:sz w:val="20"/>
          <w:szCs w:val="20"/>
          <w:vertAlign w:val="baseline"/>
        </w:rPr>
        <w:t xml:space="preserve">omada del </w:t>
      </w:r>
      <w:r>
        <w:rPr>
          <w:rFonts w:ascii="Arial" w:eastAsia="Arial" w:hAnsi="Arial" w:cs="Arial"/>
          <w:sz w:val="20"/>
          <w:szCs w:val="20"/>
          <w:vertAlign w:val="baseline"/>
        </w:rPr>
        <w:t>EPAR</w:t>
      </w:r>
      <w:r>
        <w:rPr>
          <w:rFonts w:ascii="Arial" w:eastAsia="Arial" w:hAnsi="Arial" w:cs="Arial"/>
          <w:color w:val="000000"/>
          <w:sz w:val="20"/>
          <w:szCs w:val="20"/>
          <w:vertAlign w:val="baseline"/>
        </w:rPr>
        <w:t xml:space="preserve">). Análisis de subgrupos de la variable principal porcentaje de </w:t>
      </w:r>
      <w:r>
        <w:rPr>
          <w:rFonts w:ascii="Arial" w:eastAsia="Arial" w:hAnsi="Arial" w:cs="Arial"/>
          <w:sz w:val="20"/>
          <w:szCs w:val="20"/>
          <w:vertAlign w:val="baseline"/>
        </w:rPr>
        <w:t xml:space="preserve">reducción </w:t>
      </w:r>
      <w:r>
        <w:rPr>
          <w:rFonts w:ascii="Arial" w:eastAsia="Arial" w:hAnsi="Arial" w:cs="Arial"/>
          <w:color w:val="000000"/>
          <w:sz w:val="20"/>
          <w:szCs w:val="20"/>
          <w:vertAlign w:val="baseline"/>
        </w:rPr>
        <w:t>respecto al basal de LDL el día 510</w:t>
      </w:r>
      <w:r w:rsidR="000D6498">
        <w:rPr>
          <w:rFonts w:ascii="Arial" w:eastAsia="Arial" w:hAnsi="Arial" w:cs="Arial"/>
          <w:color w:val="000000"/>
          <w:sz w:val="20"/>
          <w:szCs w:val="20"/>
          <w:vertAlign w:val="baseline"/>
        </w:rPr>
        <w:t>.</w:t>
      </w:r>
    </w:p>
    <w:p w14:paraId="66139F17"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noProof/>
          <w:color w:val="000000"/>
          <w:vertAlign w:val="baseline"/>
          <w:lang w:eastAsia="es-ES"/>
        </w:rPr>
        <w:drawing>
          <wp:inline distT="0" distB="0" distL="114300" distR="114300" wp14:anchorId="2A9F955E" wp14:editId="47321303">
            <wp:extent cx="5430203" cy="5467459"/>
            <wp:effectExtent l="0" t="0" r="0" b="0"/>
            <wp:docPr id="108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5"/>
                    <a:srcRect/>
                    <a:stretch>
                      <a:fillRect/>
                    </a:stretch>
                  </pic:blipFill>
                  <pic:spPr>
                    <a:xfrm>
                      <a:off x="0" y="0"/>
                      <a:ext cx="5430203" cy="5467459"/>
                    </a:xfrm>
                    <a:prstGeom prst="rect">
                      <a:avLst/>
                    </a:prstGeom>
                    <a:ln/>
                  </pic:spPr>
                </pic:pic>
              </a:graphicData>
            </a:graphic>
          </wp:inline>
        </w:drawing>
      </w:r>
    </w:p>
    <w:p w14:paraId="19CB28AC"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1E416DE"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3990AA6" w14:textId="77777777" w:rsidR="004E4268" w:rsidRDefault="004E4268">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0718850C" w14:textId="77777777" w:rsidR="004E4268" w:rsidRDefault="004E4268">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62D933A" w14:textId="77777777" w:rsidR="004E4268" w:rsidRDefault="004E4268">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CF2AB7C" w14:textId="77777777" w:rsidR="004E4268" w:rsidRDefault="004E4268">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0C50E4CD" w14:textId="77777777" w:rsidR="004E4268" w:rsidRDefault="004E4268">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016AABCE" w14:textId="77777777" w:rsidR="004E4268" w:rsidRDefault="004E4268">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55BB4193" w14:textId="77777777" w:rsidR="004E4268" w:rsidRDefault="004E4268">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5D727469" w14:textId="77777777" w:rsidR="004E4268" w:rsidRDefault="004E4268">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759CEB07" w14:textId="076A74EE" w:rsidR="004E4268" w:rsidRDefault="004E4268" w:rsidP="00102A89">
      <w:pPr>
        <w:pBdr>
          <w:top w:val="nil"/>
          <w:left w:val="nil"/>
          <w:bottom w:val="nil"/>
          <w:right w:val="nil"/>
          <w:between w:val="nil"/>
        </w:pBdr>
        <w:spacing w:line="240" w:lineRule="auto"/>
        <w:ind w:leftChars="0" w:left="0" w:firstLineChars="0" w:firstLine="0"/>
        <w:jc w:val="both"/>
        <w:rPr>
          <w:rFonts w:ascii="Arial" w:eastAsia="Arial" w:hAnsi="Arial" w:cs="Arial"/>
          <w:color w:val="000000"/>
          <w:sz w:val="20"/>
          <w:szCs w:val="20"/>
          <w:vertAlign w:val="baseline"/>
        </w:rPr>
      </w:pPr>
    </w:p>
    <w:p w14:paraId="464E07F5" w14:textId="1D94EEE1"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Figura </w:t>
      </w:r>
      <w:r>
        <w:rPr>
          <w:rFonts w:ascii="Arial" w:eastAsia="Arial" w:hAnsi="Arial" w:cs="Arial"/>
          <w:sz w:val="20"/>
          <w:szCs w:val="20"/>
          <w:vertAlign w:val="baseline"/>
        </w:rPr>
        <w:t>4</w:t>
      </w:r>
      <w:r>
        <w:rPr>
          <w:rFonts w:ascii="Arial" w:eastAsia="Arial" w:hAnsi="Arial" w:cs="Arial"/>
          <w:color w:val="000000"/>
          <w:sz w:val="20"/>
          <w:szCs w:val="20"/>
          <w:vertAlign w:val="baseline"/>
        </w:rPr>
        <w:t xml:space="preserve"> (tomada del </w:t>
      </w:r>
      <w:r>
        <w:rPr>
          <w:rFonts w:ascii="Arial" w:eastAsia="Arial" w:hAnsi="Arial" w:cs="Arial"/>
          <w:sz w:val="20"/>
          <w:szCs w:val="20"/>
          <w:vertAlign w:val="baseline"/>
        </w:rPr>
        <w:t>EPAR</w:t>
      </w:r>
      <w:r>
        <w:rPr>
          <w:rFonts w:ascii="Arial" w:eastAsia="Arial" w:hAnsi="Arial" w:cs="Arial"/>
          <w:color w:val="000000"/>
          <w:sz w:val="20"/>
          <w:szCs w:val="20"/>
          <w:vertAlign w:val="baseline"/>
        </w:rPr>
        <w:t xml:space="preserve">). Análisis subgrupos variable principal media del </w:t>
      </w:r>
      <w:r>
        <w:rPr>
          <w:rFonts w:ascii="Arial" w:eastAsia="Arial" w:hAnsi="Arial" w:cs="Arial"/>
          <w:sz w:val="20"/>
          <w:szCs w:val="20"/>
          <w:vertAlign w:val="baseline"/>
        </w:rPr>
        <w:t>porcentaje</w:t>
      </w:r>
      <w:r>
        <w:rPr>
          <w:rFonts w:ascii="Arial" w:eastAsia="Arial" w:hAnsi="Arial" w:cs="Arial"/>
          <w:color w:val="000000"/>
          <w:sz w:val="20"/>
          <w:szCs w:val="20"/>
          <w:vertAlign w:val="baseline"/>
        </w:rPr>
        <w:t xml:space="preserve"> de </w:t>
      </w:r>
      <w:r w:rsidR="000D6498">
        <w:rPr>
          <w:rFonts w:ascii="Arial" w:eastAsia="Arial" w:hAnsi="Arial" w:cs="Arial"/>
          <w:color w:val="000000"/>
          <w:sz w:val="20"/>
          <w:szCs w:val="20"/>
          <w:vertAlign w:val="baseline"/>
        </w:rPr>
        <w:t>cambio respecto</w:t>
      </w:r>
      <w:r>
        <w:rPr>
          <w:rFonts w:ascii="Arial" w:eastAsia="Arial" w:hAnsi="Arial" w:cs="Arial"/>
          <w:color w:val="000000"/>
          <w:sz w:val="20"/>
          <w:szCs w:val="20"/>
          <w:vertAlign w:val="baseline"/>
        </w:rPr>
        <w:t xml:space="preserve"> al nivel </w:t>
      </w:r>
      <w:r w:rsidR="000D6498">
        <w:rPr>
          <w:rFonts w:ascii="Arial" w:eastAsia="Arial" w:hAnsi="Arial" w:cs="Arial"/>
          <w:color w:val="000000"/>
          <w:sz w:val="20"/>
          <w:szCs w:val="20"/>
          <w:vertAlign w:val="baseline"/>
        </w:rPr>
        <w:t>basal entre</w:t>
      </w:r>
      <w:r>
        <w:rPr>
          <w:rFonts w:ascii="Arial" w:eastAsia="Arial" w:hAnsi="Arial" w:cs="Arial"/>
          <w:color w:val="000000"/>
          <w:sz w:val="20"/>
          <w:szCs w:val="20"/>
          <w:vertAlign w:val="baseline"/>
        </w:rPr>
        <w:t xml:space="preserve"> los días 90 y 540.</w:t>
      </w:r>
    </w:p>
    <w:p w14:paraId="3A941C85"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5F16DDFA"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18"/>
          <w:szCs w:val="18"/>
          <w:u w:val="single"/>
          <w:vertAlign w:val="baseline"/>
        </w:rPr>
      </w:pPr>
      <w:r>
        <w:rPr>
          <w:noProof/>
          <w:color w:val="000000"/>
          <w:vertAlign w:val="baseline"/>
          <w:lang w:eastAsia="es-ES"/>
        </w:rPr>
        <w:drawing>
          <wp:inline distT="0" distB="0" distL="114300" distR="114300" wp14:anchorId="67102817" wp14:editId="71DED790">
            <wp:extent cx="5420678" cy="5654731"/>
            <wp:effectExtent l="0" t="0" r="0" b="0"/>
            <wp:docPr id="108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6"/>
                    <a:srcRect/>
                    <a:stretch>
                      <a:fillRect/>
                    </a:stretch>
                  </pic:blipFill>
                  <pic:spPr>
                    <a:xfrm>
                      <a:off x="0" y="0"/>
                      <a:ext cx="5420678" cy="5654731"/>
                    </a:xfrm>
                    <a:prstGeom prst="rect">
                      <a:avLst/>
                    </a:prstGeom>
                    <a:ln/>
                  </pic:spPr>
                </pic:pic>
              </a:graphicData>
            </a:graphic>
          </wp:inline>
        </w:drawing>
      </w:r>
    </w:p>
    <w:p w14:paraId="0B4E9A7D" w14:textId="77777777" w:rsidR="00634CDF" w:rsidRDefault="00634CDF">
      <w:pPr>
        <w:pBdr>
          <w:top w:val="nil"/>
          <w:left w:val="nil"/>
          <w:bottom w:val="nil"/>
          <w:right w:val="nil"/>
          <w:between w:val="nil"/>
        </w:pBdr>
        <w:spacing w:line="240" w:lineRule="auto"/>
        <w:ind w:left="0" w:hanging="2"/>
        <w:jc w:val="both"/>
        <w:rPr>
          <w:rFonts w:ascii="Arial" w:eastAsia="Arial" w:hAnsi="Arial" w:cs="Arial"/>
          <w:b/>
          <w:sz w:val="18"/>
          <w:szCs w:val="18"/>
          <w:u w:val="single"/>
          <w:vertAlign w:val="baseline"/>
        </w:rPr>
      </w:pPr>
    </w:p>
    <w:p w14:paraId="618958A4" w14:textId="77777777" w:rsidR="00634CDF" w:rsidRDefault="00F0051D">
      <w:pPr>
        <w:pBdr>
          <w:top w:val="nil"/>
          <w:left w:val="nil"/>
          <w:bottom w:val="nil"/>
          <w:right w:val="nil"/>
          <w:between w:val="nil"/>
        </w:pBdr>
        <w:spacing w:line="240" w:lineRule="auto"/>
        <w:ind w:left="0" w:hanging="2"/>
        <w:jc w:val="both"/>
        <w:rPr>
          <w:b/>
          <w:color w:val="000000"/>
          <w:vertAlign w:val="baseline"/>
        </w:rPr>
      </w:pPr>
      <w:r>
        <w:rPr>
          <w:rFonts w:ascii="Arial" w:eastAsia="Arial" w:hAnsi="Arial" w:cs="Arial"/>
          <w:b/>
          <w:color w:val="000000"/>
          <w:sz w:val="18"/>
          <w:szCs w:val="18"/>
          <w:u w:val="single"/>
          <w:vertAlign w:val="baseline"/>
        </w:rPr>
        <w:t>ENFERMEDAD CARDIOVASCULAR ATEROSCLERÓTICA ESTABLECIDA</w:t>
      </w:r>
    </w:p>
    <w:p w14:paraId="6D1A845C"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80"/>
          <w:vertAlign w:val="baseline"/>
        </w:rPr>
      </w:pPr>
    </w:p>
    <w:tbl>
      <w:tblPr>
        <w:tblStyle w:val="af2"/>
        <w:tblW w:w="8912" w:type="dxa"/>
        <w:tblInd w:w="-5" w:type="dxa"/>
        <w:tblLayout w:type="fixed"/>
        <w:tblLook w:val="0000" w:firstRow="0" w:lastRow="0" w:firstColumn="0" w:lastColumn="0" w:noHBand="0" w:noVBand="0"/>
      </w:tblPr>
      <w:tblGrid>
        <w:gridCol w:w="2637"/>
        <w:gridCol w:w="1426"/>
        <w:gridCol w:w="1260"/>
        <w:gridCol w:w="1859"/>
        <w:gridCol w:w="1040"/>
        <w:gridCol w:w="690"/>
      </w:tblGrid>
      <w:tr w:rsidR="00634CDF" w14:paraId="043E124F" w14:textId="77777777">
        <w:tc>
          <w:tcPr>
            <w:tcW w:w="8912" w:type="dxa"/>
            <w:gridSpan w:val="6"/>
            <w:tcBorders>
              <w:top w:val="single" w:sz="4" w:space="0" w:color="000000"/>
              <w:left w:val="single" w:sz="4" w:space="0" w:color="000000"/>
              <w:bottom w:val="single" w:sz="4" w:space="0" w:color="000000"/>
              <w:right w:val="single" w:sz="4" w:space="0" w:color="000000"/>
            </w:tcBorders>
            <w:shd w:val="clear" w:color="auto" w:fill="CCFFCC"/>
          </w:tcPr>
          <w:p w14:paraId="2D54B62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i/>
                <w:color w:val="000000"/>
                <w:sz w:val="18"/>
                <w:szCs w:val="18"/>
                <w:vertAlign w:val="baseline"/>
              </w:rPr>
              <w:t>Tabla 1</w:t>
            </w:r>
            <w:r>
              <w:rPr>
                <w:rFonts w:ascii="Arial" w:eastAsia="Arial" w:hAnsi="Arial" w:cs="Arial"/>
                <w:b/>
                <w:i/>
                <w:sz w:val="18"/>
                <w:szCs w:val="18"/>
                <w:vertAlign w:val="baseline"/>
              </w:rPr>
              <w:t>1</w:t>
            </w:r>
            <w:r>
              <w:rPr>
                <w:rFonts w:ascii="Arial" w:eastAsia="Arial" w:hAnsi="Arial" w:cs="Arial"/>
                <w:b/>
                <w:i/>
                <w:color w:val="000000"/>
                <w:sz w:val="18"/>
                <w:szCs w:val="18"/>
                <w:vertAlign w:val="baseline"/>
              </w:rPr>
              <w:t xml:space="preserve">.  </w:t>
            </w:r>
            <w:r>
              <w:rPr>
                <w:rFonts w:ascii="Arial" w:eastAsia="Arial" w:hAnsi="Arial" w:cs="Arial"/>
                <w:b/>
                <w:sz w:val="18"/>
                <w:szCs w:val="18"/>
                <w:vertAlign w:val="baseline"/>
              </w:rPr>
              <w:t>T</w:t>
            </w:r>
            <w:r>
              <w:rPr>
                <w:rFonts w:ascii="Arial" w:eastAsia="Arial" w:hAnsi="Arial" w:cs="Arial"/>
                <w:b/>
                <w:color w:val="000000"/>
                <w:sz w:val="18"/>
                <w:szCs w:val="18"/>
                <w:vertAlign w:val="baseline"/>
              </w:rPr>
              <w:t>abla de resultados de eficacia:</w:t>
            </w:r>
          </w:p>
          <w:p w14:paraId="25DC01C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t xml:space="preserve"> ORION-10 (16,18)</w:t>
            </w:r>
          </w:p>
        </w:tc>
      </w:tr>
      <w:tr w:rsidR="00634CDF" w14:paraId="04D9B0C2" w14:textId="77777777">
        <w:tc>
          <w:tcPr>
            <w:tcW w:w="8912" w:type="dxa"/>
            <w:gridSpan w:val="6"/>
            <w:tcBorders>
              <w:top w:val="single" w:sz="4" w:space="0" w:color="000000"/>
              <w:left w:val="single" w:sz="4" w:space="0" w:color="000000"/>
              <w:bottom w:val="single" w:sz="4" w:space="0" w:color="000000"/>
              <w:right w:val="single" w:sz="4" w:space="0" w:color="000000"/>
            </w:tcBorders>
          </w:tcPr>
          <w:p w14:paraId="5C510556" w14:textId="5B554F23"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-Nº de pacientes: 2</w:t>
            </w:r>
            <w:r w:rsidR="000D6498">
              <w:rPr>
                <w:rFonts w:ascii="Arial" w:eastAsia="Arial" w:hAnsi="Arial" w:cs="Arial"/>
                <w:color w:val="000000"/>
                <w:sz w:val="16"/>
                <w:szCs w:val="16"/>
                <w:vertAlign w:val="baseline"/>
              </w:rPr>
              <w:t>.</w:t>
            </w:r>
            <w:r>
              <w:rPr>
                <w:rFonts w:ascii="Arial" w:eastAsia="Arial" w:hAnsi="Arial" w:cs="Arial"/>
                <w:color w:val="000000"/>
                <w:sz w:val="16"/>
                <w:szCs w:val="16"/>
                <w:vertAlign w:val="baseline"/>
              </w:rPr>
              <w:t>329 pacientes fueron seleccionados y 1</w:t>
            </w:r>
            <w:r w:rsidR="000D6498">
              <w:rPr>
                <w:rFonts w:ascii="Arial" w:eastAsia="Arial" w:hAnsi="Arial" w:cs="Arial"/>
                <w:color w:val="000000"/>
                <w:sz w:val="16"/>
                <w:szCs w:val="16"/>
                <w:vertAlign w:val="baseline"/>
              </w:rPr>
              <w:t>.</w:t>
            </w:r>
            <w:r>
              <w:rPr>
                <w:rFonts w:ascii="Arial" w:eastAsia="Arial" w:hAnsi="Arial" w:cs="Arial"/>
                <w:color w:val="000000"/>
                <w:sz w:val="16"/>
                <w:szCs w:val="16"/>
                <w:vertAlign w:val="baseline"/>
              </w:rPr>
              <w:t>561 se aleatorizaron. 781 pacientes al grupo inclisiran y 780 al grupo placebo.</w:t>
            </w:r>
          </w:p>
          <w:p w14:paraId="2B46ADA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-Diseño: Fase III, doble ciego, controlado con placebo, grupos paralelos, multicéntrico en EEUU.</w:t>
            </w:r>
          </w:p>
          <w:p w14:paraId="517FB6D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-Tratamiento grupo activo y tratamiento grupo control: aleatorización 1:1 con inclisiran sódico s.c. 300 mg o placebo los días 1, 90, 270 y 450. Tratamiento en combinación con estatinas o ezetimiba o monoterapia. La asignación del tratamiento se estratificó según uso actual de estatinas u otro tratamiento modificador de lípidos. </w:t>
            </w:r>
          </w:p>
          <w:p w14:paraId="2B96C05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-Criterios de inclusión: pacientes mayores de 18 años con enfermedad cardiovascular aterosclerótica (enfermedad arterial periférica, enfermedad coronaria, enfermedad cerebrovascular) nivel de LDL al menos de 70 mg/dL a pesar de máxima dosis tolerada de estatina asociada o no a ezetimibe. Triglicéridos menores de 400 mg/dL, tasa de filtrado glomerular mayor de 30 mL/min/1,73m2. Los pacientes con estatinas tenían que recibir dosis máxima. Los sujetos que no recibieran estatinas tendrían que documentar intolerancia a todas las dosis de, al menos, dos estatinas diferentes.</w:t>
            </w:r>
          </w:p>
          <w:p w14:paraId="515D4F6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lastRenderedPageBreak/>
              <w:t>-Criterios de exclusión: pacientes en tratamiento con anticuerpos monoclonales anti PCKS9. Fallo cardiaco NYHA clase IV o fracción de eyección VI menor de 25%, arritmia cardiaca no controlada, hipertensión severa no controlada, enfermedad hepática activa, evento adverso cardiovascular mayor en los tres meses previos.</w:t>
            </w:r>
          </w:p>
          <w:p w14:paraId="03BAEF3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-Pérdidas: De los </w:t>
            </w:r>
            <w:r>
              <w:rPr>
                <w:rFonts w:ascii="Arial" w:eastAsia="Arial" w:hAnsi="Arial" w:cs="Arial"/>
                <w:sz w:val="16"/>
                <w:szCs w:val="16"/>
                <w:vertAlign w:val="baseline"/>
              </w:rPr>
              <w:t>781 pacientes al grupo inclisiran y 780 al grupo placebo, terminaron el estudio 721 y 694 pacientes, respectivamente.</w:t>
            </w:r>
            <w:r>
              <w:rPr>
                <w:rFonts w:ascii="Arial" w:eastAsia="Arial" w:hAnsi="Arial" w:cs="Arial"/>
                <w:color w:val="000000"/>
                <w:sz w:val="16"/>
                <w:szCs w:val="16"/>
                <w:vertAlign w:val="baseline"/>
              </w:rPr>
              <w:t xml:space="preserve"> </w:t>
            </w:r>
          </w:p>
          <w:p w14:paraId="3576F20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-Tipo de análisis: por ITT</w:t>
            </w:r>
          </w:p>
          <w:p w14:paraId="2F30F95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Cálculo de tamaño muestral: Se calculó asumiendo que la disminución media (+/- DE) con respecto al nivel basal de LDL sería al menos de 30 (+/- 20) mg/dL superior en el grupo de inclisiran respecto al placebo. Se estimaron 1425 pacientes necesarios para evaluar la eficacia entre grupos asumiendo una tasa de retirada del 5% y una potencia de mayor del 90% para detectar una reducción del 30% desde el basal del LDL con nivel de significancia del 0,025.</w:t>
            </w:r>
          </w:p>
        </w:tc>
      </w:tr>
      <w:tr w:rsidR="00634CDF" w14:paraId="040C7115" w14:textId="77777777">
        <w:trPr>
          <w:trHeight w:val="230"/>
        </w:trPr>
        <w:tc>
          <w:tcPr>
            <w:tcW w:w="8912" w:type="dxa"/>
            <w:gridSpan w:val="6"/>
            <w:tcBorders>
              <w:top w:val="single" w:sz="4" w:space="0" w:color="000000"/>
              <w:left w:val="single" w:sz="4" w:space="0" w:color="000000"/>
              <w:bottom w:val="single" w:sz="4" w:space="0" w:color="000000"/>
              <w:right w:val="single" w:sz="4" w:space="0" w:color="000000"/>
            </w:tcBorders>
            <w:shd w:val="clear" w:color="auto" w:fill="CCFFCC"/>
          </w:tcPr>
          <w:p w14:paraId="2E5EC08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lastRenderedPageBreak/>
              <w:t xml:space="preserve">Resultados  </w:t>
            </w:r>
          </w:p>
        </w:tc>
      </w:tr>
      <w:tr w:rsidR="00634CDF" w14:paraId="7722726D" w14:textId="77777777" w:rsidTr="00D61B84">
        <w:trPr>
          <w:trHeight w:val="230"/>
        </w:trPr>
        <w:tc>
          <w:tcPr>
            <w:tcW w:w="2637" w:type="dxa"/>
            <w:tcBorders>
              <w:top w:val="single" w:sz="4" w:space="0" w:color="000000"/>
              <w:left w:val="single" w:sz="4" w:space="0" w:color="000000"/>
              <w:bottom w:val="single" w:sz="4" w:space="0" w:color="000000"/>
            </w:tcBorders>
          </w:tcPr>
          <w:p w14:paraId="6C5AE008"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t>Variable  evaluada en el estudio</w:t>
            </w:r>
          </w:p>
        </w:tc>
        <w:tc>
          <w:tcPr>
            <w:tcW w:w="1426" w:type="dxa"/>
            <w:tcBorders>
              <w:top w:val="single" w:sz="4" w:space="0" w:color="000000"/>
              <w:left w:val="single" w:sz="4" w:space="0" w:color="000000"/>
              <w:bottom w:val="single" w:sz="4" w:space="0" w:color="000000"/>
            </w:tcBorders>
          </w:tcPr>
          <w:p w14:paraId="755195F4" w14:textId="77777777" w:rsidR="00634CDF" w:rsidRDefault="00F0051D">
            <w:pPr>
              <w:pBdr>
                <w:top w:val="nil"/>
                <w:left w:val="nil"/>
                <w:bottom w:val="nil"/>
                <w:right w:val="nil"/>
                <w:between w:val="nil"/>
              </w:pBdr>
              <w:tabs>
                <w:tab w:val="left" w:pos="1673"/>
              </w:tabs>
              <w:spacing w:line="240" w:lineRule="auto"/>
              <w:ind w:left="0" w:hanging="2"/>
              <w:jc w:val="center"/>
              <w:rPr>
                <w:color w:val="000000"/>
                <w:vertAlign w:val="baseline"/>
              </w:rPr>
            </w:pPr>
            <w:r>
              <w:rPr>
                <w:rFonts w:ascii="Arial" w:eastAsia="Arial" w:hAnsi="Arial" w:cs="Arial"/>
                <w:b/>
                <w:i/>
                <w:color w:val="000000"/>
                <w:sz w:val="16"/>
                <w:szCs w:val="16"/>
                <w:vertAlign w:val="baseline"/>
              </w:rPr>
              <w:t>Inclisiran</w:t>
            </w:r>
          </w:p>
          <w:p w14:paraId="55F2A601" w14:textId="77777777" w:rsidR="00634CDF" w:rsidRDefault="00F0051D">
            <w:pPr>
              <w:pBdr>
                <w:top w:val="nil"/>
                <w:left w:val="nil"/>
                <w:bottom w:val="nil"/>
                <w:right w:val="nil"/>
                <w:between w:val="nil"/>
              </w:pBdr>
              <w:tabs>
                <w:tab w:val="left" w:pos="1673"/>
              </w:tabs>
              <w:spacing w:line="240" w:lineRule="auto"/>
              <w:ind w:left="0" w:hanging="2"/>
              <w:jc w:val="center"/>
              <w:rPr>
                <w:color w:val="000000"/>
                <w:vertAlign w:val="baseline"/>
              </w:rPr>
            </w:pPr>
            <w:r>
              <w:rPr>
                <w:rFonts w:ascii="Arial" w:eastAsia="Arial" w:hAnsi="Arial" w:cs="Arial"/>
                <w:b/>
                <w:i/>
                <w:color w:val="000000"/>
                <w:sz w:val="16"/>
                <w:szCs w:val="16"/>
                <w:vertAlign w:val="baseline"/>
              </w:rPr>
              <w:t>N=781</w:t>
            </w:r>
          </w:p>
        </w:tc>
        <w:tc>
          <w:tcPr>
            <w:tcW w:w="1260" w:type="dxa"/>
            <w:tcBorders>
              <w:top w:val="single" w:sz="4" w:space="0" w:color="000000"/>
              <w:left w:val="single" w:sz="4" w:space="0" w:color="000000"/>
              <w:bottom w:val="single" w:sz="4" w:space="0" w:color="000000"/>
            </w:tcBorders>
          </w:tcPr>
          <w:p w14:paraId="58D751A6" w14:textId="77777777" w:rsidR="00634CDF" w:rsidRDefault="00F0051D">
            <w:pPr>
              <w:pBdr>
                <w:top w:val="nil"/>
                <w:left w:val="nil"/>
                <w:bottom w:val="nil"/>
                <w:right w:val="nil"/>
                <w:between w:val="nil"/>
              </w:pBdr>
              <w:tabs>
                <w:tab w:val="left" w:pos="1673"/>
              </w:tabs>
              <w:spacing w:line="240" w:lineRule="auto"/>
              <w:ind w:left="0" w:hanging="2"/>
              <w:jc w:val="center"/>
              <w:rPr>
                <w:color w:val="000000"/>
                <w:vertAlign w:val="baseline"/>
              </w:rPr>
            </w:pPr>
            <w:r>
              <w:rPr>
                <w:rFonts w:ascii="Arial" w:eastAsia="Arial" w:hAnsi="Arial" w:cs="Arial"/>
                <w:b/>
                <w:i/>
                <w:color w:val="000000"/>
                <w:sz w:val="16"/>
                <w:szCs w:val="16"/>
                <w:vertAlign w:val="baseline"/>
              </w:rPr>
              <w:t>Placebo</w:t>
            </w:r>
          </w:p>
          <w:p w14:paraId="57642C9D" w14:textId="77777777" w:rsidR="00634CDF" w:rsidRDefault="00F0051D">
            <w:pPr>
              <w:pBdr>
                <w:top w:val="nil"/>
                <w:left w:val="nil"/>
                <w:bottom w:val="nil"/>
                <w:right w:val="nil"/>
                <w:between w:val="nil"/>
              </w:pBdr>
              <w:tabs>
                <w:tab w:val="left" w:pos="1673"/>
              </w:tabs>
              <w:spacing w:line="240" w:lineRule="auto"/>
              <w:ind w:left="0" w:hanging="2"/>
              <w:jc w:val="center"/>
              <w:rPr>
                <w:color w:val="000000"/>
                <w:vertAlign w:val="baseline"/>
              </w:rPr>
            </w:pPr>
            <w:r>
              <w:rPr>
                <w:rFonts w:ascii="Arial" w:eastAsia="Arial" w:hAnsi="Arial" w:cs="Arial"/>
                <w:b/>
                <w:i/>
                <w:color w:val="000000"/>
                <w:sz w:val="16"/>
                <w:szCs w:val="16"/>
                <w:vertAlign w:val="baseline"/>
              </w:rPr>
              <w:t>N=780</w:t>
            </w:r>
          </w:p>
        </w:tc>
        <w:tc>
          <w:tcPr>
            <w:tcW w:w="1859" w:type="dxa"/>
            <w:tcBorders>
              <w:top w:val="single" w:sz="4" w:space="0" w:color="000000"/>
              <w:left w:val="single" w:sz="4" w:space="0" w:color="000000"/>
              <w:bottom w:val="single" w:sz="4" w:space="0" w:color="000000"/>
            </w:tcBorders>
          </w:tcPr>
          <w:p w14:paraId="39105EAC" w14:textId="1435EA13" w:rsidR="00634CDF" w:rsidRPr="00E2604B" w:rsidRDefault="00E2604B">
            <w:pPr>
              <w:pBdr>
                <w:top w:val="nil"/>
                <w:left w:val="nil"/>
                <w:bottom w:val="nil"/>
                <w:right w:val="nil"/>
                <w:between w:val="nil"/>
              </w:pBdr>
              <w:tabs>
                <w:tab w:val="left" w:pos="1673"/>
              </w:tabs>
              <w:spacing w:line="240" w:lineRule="auto"/>
              <w:ind w:left="0" w:hanging="2"/>
              <w:rPr>
                <w:b/>
                <w:color w:val="000000"/>
                <w:vertAlign w:val="baseline"/>
              </w:rPr>
            </w:pPr>
            <w:r w:rsidRPr="00E2604B">
              <w:rPr>
                <w:rFonts w:ascii="Arial" w:eastAsia="Arial" w:hAnsi="Arial" w:cs="Arial"/>
                <w:b/>
                <w:color w:val="000000"/>
                <w:sz w:val="16"/>
                <w:szCs w:val="16"/>
                <w:vertAlign w:val="baseline"/>
              </w:rPr>
              <w:t>D</w:t>
            </w:r>
            <w:r w:rsidR="00F0051D" w:rsidRPr="00E2604B">
              <w:rPr>
                <w:rFonts w:ascii="Arial" w:eastAsia="Arial" w:hAnsi="Arial" w:cs="Arial"/>
                <w:b/>
                <w:color w:val="000000"/>
                <w:sz w:val="16"/>
                <w:szCs w:val="16"/>
                <w:vertAlign w:val="baseline"/>
              </w:rPr>
              <w:t>iferencia en el % de cambio</w:t>
            </w:r>
          </w:p>
          <w:p w14:paraId="440CCBF1" w14:textId="77777777" w:rsidR="00634CDF" w:rsidRDefault="00634CDF">
            <w:pPr>
              <w:pBdr>
                <w:top w:val="nil"/>
                <w:left w:val="nil"/>
                <w:bottom w:val="nil"/>
                <w:right w:val="nil"/>
                <w:between w:val="nil"/>
              </w:pBdr>
              <w:tabs>
                <w:tab w:val="left" w:pos="1673"/>
              </w:tabs>
              <w:spacing w:line="240" w:lineRule="auto"/>
              <w:ind w:left="0" w:hanging="2"/>
              <w:rPr>
                <w:rFonts w:ascii="Arial" w:eastAsia="Arial" w:hAnsi="Arial" w:cs="Arial"/>
                <w:color w:val="000000"/>
                <w:sz w:val="16"/>
                <w:szCs w:val="16"/>
                <w:vertAlign w:val="baseline"/>
              </w:rPr>
            </w:pPr>
          </w:p>
        </w:tc>
        <w:tc>
          <w:tcPr>
            <w:tcW w:w="1040" w:type="dxa"/>
            <w:tcBorders>
              <w:top w:val="single" w:sz="4" w:space="0" w:color="000000"/>
              <w:left w:val="single" w:sz="4" w:space="0" w:color="000000"/>
              <w:bottom w:val="single" w:sz="4" w:space="0" w:color="000000"/>
            </w:tcBorders>
          </w:tcPr>
          <w:p w14:paraId="39F8C620" w14:textId="745F19AD" w:rsidR="00634CDF" w:rsidRPr="00E2604B" w:rsidRDefault="00634CDF" w:rsidP="00E2604B">
            <w:pPr>
              <w:pBdr>
                <w:top w:val="nil"/>
                <w:left w:val="nil"/>
                <w:bottom w:val="nil"/>
                <w:right w:val="nil"/>
                <w:between w:val="nil"/>
              </w:pBdr>
              <w:tabs>
                <w:tab w:val="left" w:pos="1673"/>
              </w:tabs>
              <w:spacing w:line="240" w:lineRule="auto"/>
              <w:ind w:leftChars="0" w:left="0" w:firstLineChars="0" w:firstLine="0"/>
              <w:jc w:val="both"/>
              <w:rPr>
                <w:b/>
                <w:color w:val="000000"/>
                <w:vertAlign w:val="baseline"/>
              </w:rPr>
            </w:pPr>
          </w:p>
        </w:tc>
        <w:tc>
          <w:tcPr>
            <w:tcW w:w="690" w:type="dxa"/>
            <w:tcBorders>
              <w:top w:val="single" w:sz="4" w:space="0" w:color="000000"/>
              <w:left w:val="single" w:sz="4" w:space="0" w:color="000000"/>
              <w:bottom w:val="single" w:sz="4" w:space="0" w:color="000000"/>
              <w:right w:val="single" w:sz="4" w:space="0" w:color="000000"/>
            </w:tcBorders>
          </w:tcPr>
          <w:p w14:paraId="17D590D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r>
      <w:tr w:rsidR="00634CDF" w14:paraId="4C208F8E" w14:textId="77777777" w:rsidTr="00D61B84">
        <w:trPr>
          <w:trHeight w:val="230"/>
        </w:trPr>
        <w:tc>
          <w:tcPr>
            <w:tcW w:w="2637" w:type="dxa"/>
            <w:tcBorders>
              <w:top w:val="single" w:sz="4" w:space="0" w:color="000000"/>
              <w:left w:val="single" w:sz="4" w:space="0" w:color="000000"/>
              <w:bottom w:val="single" w:sz="4" w:space="0" w:color="000000"/>
            </w:tcBorders>
          </w:tcPr>
          <w:p w14:paraId="7F8CB62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xml:space="preserve">Resultado principal </w:t>
            </w:r>
          </w:p>
          <w:p w14:paraId="54341DF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xml:space="preserve">           -% de cambio respecto al basal en nivel de LDL el día 510 </w:t>
            </w:r>
          </w:p>
          <w:p w14:paraId="6E6EE1C0"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2ED76C1A"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195AE3E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Cambio porcentual medio desde el nivel basal en nivel de LDL tras el día 90 y hasta el día 540/media del % de cambio  respecto al nivel basal  entre los días 90 y 540</w:t>
            </w:r>
          </w:p>
        </w:tc>
        <w:tc>
          <w:tcPr>
            <w:tcW w:w="1426" w:type="dxa"/>
            <w:tcBorders>
              <w:top w:val="single" w:sz="4" w:space="0" w:color="000000"/>
              <w:left w:val="single" w:sz="4" w:space="0" w:color="000000"/>
              <w:bottom w:val="single" w:sz="4" w:space="0" w:color="000000"/>
            </w:tcBorders>
          </w:tcPr>
          <w:p w14:paraId="4EE6198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w:t>
            </w:r>
          </w:p>
          <w:p w14:paraId="6C6EB04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  -51,3 </w:t>
            </w:r>
          </w:p>
          <w:p w14:paraId="6D6E6CC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04F592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F1CA8D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986920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A9DFB4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      -51,3 </w:t>
            </w:r>
          </w:p>
          <w:p w14:paraId="29BDA49E"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1260" w:type="dxa"/>
            <w:tcBorders>
              <w:top w:val="single" w:sz="4" w:space="0" w:color="000000"/>
              <w:left w:val="single" w:sz="4" w:space="0" w:color="000000"/>
              <w:bottom w:val="single" w:sz="4" w:space="0" w:color="000000"/>
            </w:tcBorders>
          </w:tcPr>
          <w:p w14:paraId="6B61025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3A46FC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w:t>
            </w:r>
          </w:p>
          <w:p w14:paraId="5660A53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4AF283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EA69BC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8B2D3F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F79BCA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2,5</w:t>
            </w:r>
          </w:p>
          <w:p w14:paraId="3C477FC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c>
          <w:tcPr>
            <w:tcW w:w="1859" w:type="dxa"/>
            <w:tcBorders>
              <w:top w:val="single" w:sz="4" w:space="0" w:color="000000"/>
              <w:left w:val="single" w:sz="4" w:space="0" w:color="000000"/>
              <w:bottom w:val="single" w:sz="4" w:space="0" w:color="000000"/>
            </w:tcBorders>
          </w:tcPr>
          <w:p w14:paraId="1DFCD93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826057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-52,3</w:t>
            </w:r>
          </w:p>
          <w:p w14:paraId="35ACBB6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(-55,7 a -48,8)</w:t>
            </w:r>
          </w:p>
          <w:p w14:paraId="3E9E9DC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617FE6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187EC8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-53,8  </w:t>
            </w:r>
          </w:p>
          <w:p w14:paraId="168A67A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(-56,2  a -51,3)</w:t>
            </w:r>
          </w:p>
        </w:tc>
        <w:tc>
          <w:tcPr>
            <w:tcW w:w="1040" w:type="dxa"/>
            <w:tcBorders>
              <w:top w:val="single" w:sz="4" w:space="0" w:color="000000"/>
              <w:left w:val="single" w:sz="4" w:space="0" w:color="000000"/>
              <w:bottom w:val="single" w:sz="4" w:space="0" w:color="000000"/>
            </w:tcBorders>
          </w:tcPr>
          <w:p w14:paraId="3F458EC1" w14:textId="77777777" w:rsidR="00D61B84" w:rsidRDefault="00D61B84" w:rsidP="00D61B84">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3B46A45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01B37F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F3F6FA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FAA25F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D80451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CEA3CEA" w14:textId="77777777" w:rsidR="00D61B84" w:rsidRDefault="00D61B84" w:rsidP="00D61B84">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4CE71F3A" w14:textId="7BE009F0" w:rsidR="00634CDF" w:rsidRDefault="00634CDF">
            <w:pPr>
              <w:pBdr>
                <w:top w:val="nil"/>
                <w:left w:val="nil"/>
                <w:bottom w:val="nil"/>
                <w:right w:val="nil"/>
                <w:between w:val="nil"/>
              </w:pBdr>
              <w:spacing w:line="240" w:lineRule="auto"/>
              <w:ind w:left="0" w:hanging="2"/>
              <w:jc w:val="center"/>
              <w:rPr>
                <w:color w:val="000000"/>
                <w:vertAlign w:val="baseline"/>
              </w:rPr>
            </w:pPr>
          </w:p>
        </w:tc>
        <w:tc>
          <w:tcPr>
            <w:tcW w:w="690" w:type="dxa"/>
            <w:tcBorders>
              <w:top w:val="single" w:sz="4" w:space="0" w:color="000000"/>
              <w:left w:val="single" w:sz="4" w:space="0" w:color="000000"/>
              <w:bottom w:val="single" w:sz="4" w:space="0" w:color="000000"/>
              <w:right w:val="single" w:sz="4" w:space="0" w:color="000000"/>
            </w:tcBorders>
          </w:tcPr>
          <w:p w14:paraId="59A5E3C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r>
      <w:tr w:rsidR="00634CDF" w14:paraId="6DB7C9B3" w14:textId="77777777" w:rsidTr="00D61B84">
        <w:trPr>
          <w:trHeight w:val="2289"/>
        </w:trPr>
        <w:tc>
          <w:tcPr>
            <w:tcW w:w="2637" w:type="dxa"/>
            <w:tcBorders>
              <w:top w:val="single" w:sz="4" w:space="0" w:color="000000"/>
              <w:left w:val="single" w:sz="4" w:space="0" w:color="000000"/>
              <w:bottom w:val="single" w:sz="4" w:space="0" w:color="000000"/>
            </w:tcBorders>
          </w:tcPr>
          <w:p w14:paraId="183005E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Resultados secundarios de interés</w:t>
            </w:r>
          </w:p>
          <w:p w14:paraId="055EC45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xml:space="preserve">          -Cambio medio en nivel de LDL (reducción) absoluta el día 510 (mg/dL)</w:t>
            </w:r>
          </w:p>
          <w:p w14:paraId="1F9FD0A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5115026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cambio medio en nivel de LDL entre el día 90 y el 540</w:t>
            </w:r>
            <w:r>
              <w:rPr>
                <w:rFonts w:ascii="Arial" w:eastAsia="Arial" w:hAnsi="Arial" w:cs="Arial"/>
                <w:color w:val="000000"/>
                <w:sz w:val="16"/>
                <w:szCs w:val="16"/>
                <w:vertAlign w:val="baseline"/>
              </w:rPr>
              <w:t xml:space="preserve"> (mg/dL)</w:t>
            </w:r>
          </w:p>
          <w:p w14:paraId="2E09A11A"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4276361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xml:space="preserve">  -% de cambio respecto al basal en nivel de PCSK9 el día 510 </w:t>
            </w:r>
          </w:p>
          <w:p w14:paraId="4C04F8ED"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75CE724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colesterol total al  día 510</w:t>
            </w:r>
          </w:p>
          <w:p w14:paraId="0C02703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ApoB al  día 510</w:t>
            </w:r>
          </w:p>
          <w:p w14:paraId="549711B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Colesterol No-HDL al  día 510</w:t>
            </w:r>
          </w:p>
          <w:p w14:paraId="42908F3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TG (mediana) al día 510</w:t>
            </w:r>
          </w:p>
          <w:p w14:paraId="3ED35872"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Lp a (mediana) al día 540</w:t>
            </w:r>
          </w:p>
          <w:p w14:paraId="4CF4E5F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HDL al  día 510</w:t>
            </w:r>
          </w:p>
          <w:p w14:paraId="6A279C7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xml:space="preserve">-% pacientes que alcanzaron niveles &lt;25 mg/dL </w:t>
            </w:r>
          </w:p>
          <w:p w14:paraId="0CAB13C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xml:space="preserve">-% pacientes que alcanzaron niveles &lt;50 mg/dL </w:t>
            </w:r>
          </w:p>
          <w:p w14:paraId="1A22346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xml:space="preserve">-% pacientes que alcanzaron niveles &lt;70 mg/dL </w:t>
            </w:r>
          </w:p>
          <w:p w14:paraId="2D41F47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xml:space="preserve">-% pacientes que alcanzaron niveles &lt;100 mg/dL </w:t>
            </w:r>
          </w:p>
          <w:p w14:paraId="564D56C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lastRenderedPageBreak/>
              <w:t xml:space="preserve">-% pacientes que alcanza niveles </w:t>
            </w:r>
            <w:sdt>
              <w:sdtPr>
                <w:tag w:val="goog_rdk_10"/>
                <w:id w:val="-334296081"/>
              </w:sdtPr>
              <w:sdtEndPr/>
              <w:sdtContent>
                <w:r>
                  <w:rPr>
                    <w:rFonts w:ascii="Arial Unicode MS" w:eastAsia="Arial Unicode MS" w:hAnsi="Arial Unicode MS" w:cs="Arial Unicode MS"/>
                    <w:i/>
                    <w:color w:val="000000"/>
                    <w:sz w:val="20"/>
                    <w:szCs w:val="20"/>
                    <w:vertAlign w:val="baseline"/>
                  </w:rPr>
                  <w:t>≥</w:t>
                </w:r>
              </w:sdtContent>
            </w:sdt>
            <w:r>
              <w:rPr>
                <w:rFonts w:ascii="Arial" w:eastAsia="Arial" w:hAnsi="Arial" w:cs="Arial"/>
                <w:i/>
                <w:color w:val="000000"/>
                <w:sz w:val="16"/>
                <w:szCs w:val="16"/>
                <w:vertAlign w:val="baseline"/>
              </w:rPr>
              <w:t xml:space="preserve"> 100 mg/dL </w:t>
            </w:r>
          </w:p>
          <w:p w14:paraId="7006AAF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pacientes que consigue objetivo de LDL&lt;70 mg/dL en el día 510</w:t>
            </w:r>
          </w:p>
          <w:p w14:paraId="4AD9B90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1D9CC9D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Variables exploratorias</w:t>
            </w:r>
          </w:p>
          <w:p w14:paraId="22F7233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MACE</w:t>
            </w:r>
          </w:p>
          <w:p w14:paraId="7E0E584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075DAC8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Muerte cardiovascular</w:t>
            </w:r>
          </w:p>
          <w:p w14:paraId="2FB19AB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4B89B4E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Paro cardiaco reanimado</w:t>
            </w:r>
          </w:p>
          <w:p w14:paraId="7CEEBC63"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6DBE2F6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Infarto miocardio no mortal</w:t>
            </w:r>
          </w:p>
          <w:p w14:paraId="342E6667"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731B565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Ictus (isquémico o hemorrágico)</w:t>
            </w:r>
          </w:p>
        </w:tc>
        <w:tc>
          <w:tcPr>
            <w:tcW w:w="1426" w:type="dxa"/>
            <w:tcBorders>
              <w:top w:val="single" w:sz="4" w:space="0" w:color="000000"/>
              <w:left w:val="single" w:sz="4" w:space="0" w:color="000000"/>
              <w:bottom w:val="single" w:sz="4" w:space="0" w:color="000000"/>
            </w:tcBorders>
          </w:tcPr>
          <w:p w14:paraId="7ACCD23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EA8D32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-56,2 </w:t>
            </w:r>
          </w:p>
          <w:p w14:paraId="4DB97D4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007B4C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2B01C8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-53,7</w:t>
            </w:r>
          </w:p>
          <w:p w14:paraId="59432AC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0CCF5E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2035293"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6483A43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-69,8</w:t>
            </w:r>
          </w:p>
          <w:p w14:paraId="293F12D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3C1B10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8B1DA0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A05E8B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-33,6</w:t>
            </w:r>
          </w:p>
          <w:p w14:paraId="1FBE0B8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8CCF95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A87048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-44,8</w:t>
            </w:r>
          </w:p>
          <w:p w14:paraId="38C6960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576473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597A79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-47,4</w:t>
            </w:r>
          </w:p>
          <w:p w14:paraId="7604D05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1B9E2A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3386E3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-14,9</w:t>
            </w:r>
          </w:p>
          <w:p w14:paraId="66EA10F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C9AE3A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D1B349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-21,9</w:t>
            </w:r>
          </w:p>
          <w:p w14:paraId="37BC3E1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BA6168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DB9FDC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34A580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7,5</w:t>
            </w:r>
          </w:p>
          <w:p w14:paraId="761F9AA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57C9C2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88094D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20,5</w:t>
            </w:r>
          </w:p>
          <w:p w14:paraId="47D9ABF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4A698E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6452AB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68482E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61,8</w:t>
            </w:r>
          </w:p>
          <w:p w14:paraId="449F8CC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7E8572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763669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74,4</w:t>
            </w:r>
          </w:p>
          <w:p w14:paraId="6B64051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7238FA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A4AED4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83,4</w:t>
            </w:r>
          </w:p>
          <w:p w14:paraId="177DC77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F5AC23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7D91CC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5,1</w:t>
            </w:r>
          </w:p>
          <w:p w14:paraId="0F3200F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C5BFB8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FCDC7FB" w14:textId="77777777" w:rsidR="00634CDF" w:rsidRDefault="00F0051D">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r>
              <w:rPr>
                <w:rFonts w:ascii="Arial" w:eastAsia="Arial" w:hAnsi="Arial" w:cs="Arial"/>
                <w:color w:val="000000"/>
                <w:sz w:val="16"/>
                <w:szCs w:val="16"/>
                <w:vertAlign w:val="baseline"/>
              </w:rPr>
              <w:t>(581/691) 84,1</w:t>
            </w:r>
          </w:p>
          <w:p w14:paraId="547DC2C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77A5F08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340A747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(581/781) 74,4</w:t>
            </w:r>
          </w:p>
          <w:p w14:paraId="1023D7D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A1B692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89E038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0F9AC95" w14:textId="77777777" w:rsidR="00634CDF" w:rsidRDefault="00F0051D">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r>
              <w:rPr>
                <w:rFonts w:ascii="Arial" w:eastAsia="Arial" w:hAnsi="Arial" w:cs="Arial"/>
                <w:color w:val="000000"/>
                <w:sz w:val="16"/>
                <w:szCs w:val="16"/>
                <w:vertAlign w:val="baseline"/>
              </w:rPr>
              <w:t>7,4</w:t>
            </w:r>
          </w:p>
          <w:p w14:paraId="055E8A8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16F4171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D266A0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0,9</w:t>
            </w:r>
          </w:p>
          <w:p w14:paraId="35BDC67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C72C8C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0,1</w:t>
            </w:r>
          </w:p>
          <w:p w14:paraId="6A8E1B9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8C555C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5,1</w:t>
            </w:r>
          </w:p>
          <w:p w14:paraId="7577CE8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03A6C0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1,5</w:t>
            </w:r>
          </w:p>
        </w:tc>
        <w:tc>
          <w:tcPr>
            <w:tcW w:w="1260" w:type="dxa"/>
            <w:tcBorders>
              <w:top w:val="single" w:sz="4" w:space="0" w:color="000000"/>
              <w:left w:val="single" w:sz="4" w:space="0" w:color="000000"/>
              <w:bottom w:val="single" w:sz="4" w:space="0" w:color="000000"/>
            </w:tcBorders>
          </w:tcPr>
          <w:p w14:paraId="2C4F2CE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479492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-2,1</w:t>
            </w:r>
          </w:p>
          <w:p w14:paraId="6BF8CE8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31753F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0FD764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-0,4</w:t>
            </w:r>
          </w:p>
          <w:p w14:paraId="46B0A26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152D38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189F64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4B8DA0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13,5</w:t>
            </w:r>
          </w:p>
          <w:p w14:paraId="42912F9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6DC512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D2345E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D3E646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0,4</w:t>
            </w:r>
          </w:p>
          <w:p w14:paraId="4D9D711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C0884B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DD8B9B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-1,7</w:t>
            </w:r>
          </w:p>
          <w:p w14:paraId="5E58D19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06E0F6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95107E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-0,1</w:t>
            </w:r>
          </w:p>
          <w:p w14:paraId="64A918E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62E77D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FB960D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-2,3</w:t>
            </w:r>
          </w:p>
          <w:p w14:paraId="05C4956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1A4A24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3F356E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3,7</w:t>
            </w:r>
          </w:p>
          <w:p w14:paraId="295A1AE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0C7369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584E49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6424A2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2,4</w:t>
            </w:r>
          </w:p>
          <w:p w14:paraId="382287C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FBF316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4D66BE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0,5</w:t>
            </w:r>
          </w:p>
          <w:p w14:paraId="30F519B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5E9255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C49CDC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668F37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2,4</w:t>
            </w:r>
          </w:p>
          <w:p w14:paraId="1351B6D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0E0F57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13553B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15,3</w:t>
            </w:r>
          </w:p>
          <w:p w14:paraId="45D833A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24311D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20F71F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49,6</w:t>
            </w:r>
          </w:p>
          <w:p w14:paraId="1592FD6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310EE0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B885B8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35,8</w:t>
            </w:r>
          </w:p>
          <w:p w14:paraId="392D4EB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A30E31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0850727" w14:textId="77777777" w:rsidR="00634CDF" w:rsidRDefault="00F0051D">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r>
              <w:rPr>
                <w:rFonts w:ascii="Arial" w:eastAsia="Arial" w:hAnsi="Arial" w:cs="Arial"/>
                <w:color w:val="000000"/>
                <w:sz w:val="16"/>
                <w:szCs w:val="16"/>
                <w:vertAlign w:val="baseline"/>
              </w:rPr>
              <w:t>(119/666) 17,9</w:t>
            </w:r>
          </w:p>
          <w:p w14:paraId="6A70518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71F4E3F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5ADA437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(119/780)15,3</w:t>
            </w:r>
          </w:p>
          <w:p w14:paraId="025BD44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7EB4E4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927EE1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BE6AEF8" w14:textId="77777777" w:rsidR="00634CDF" w:rsidRDefault="00F0051D">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r>
              <w:rPr>
                <w:rFonts w:ascii="Arial" w:eastAsia="Arial" w:hAnsi="Arial" w:cs="Arial"/>
                <w:color w:val="000000"/>
                <w:sz w:val="16"/>
                <w:szCs w:val="16"/>
                <w:vertAlign w:val="baseline"/>
              </w:rPr>
              <w:t>10,2</w:t>
            </w:r>
          </w:p>
          <w:p w14:paraId="6BD3312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201206A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E95176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0,6</w:t>
            </w:r>
          </w:p>
          <w:p w14:paraId="68AF4D6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839BF8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0,1</w:t>
            </w:r>
          </w:p>
          <w:p w14:paraId="4A75D76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5D5E5E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8,2</w:t>
            </w:r>
          </w:p>
          <w:p w14:paraId="19E0E9E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47A958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1,3</w:t>
            </w:r>
          </w:p>
          <w:p w14:paraId="4DC7BFA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c>
          <w:tcPr>
            <w:tcW w:w="1859" w:type="dxa"/>
            <w:tcBorders>
              <w:top w:val="single" w:sz="4" w:space="0" w:color="000000"/>
              <w:left w:val="single" w:sz="4" w:space="0" w:color="000000"/>
              <w:bottom w:val="single" w:sz="4" w:space="0" w:color="000000"/>
            </w:tcBorders>
          </w:tcPr>
          <w:p w14:paraId="031122F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376624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-54,1 </w:t>
            </w:r>
          </w:p>
          <w:p w14:paraId="2FA3FDE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(-57,4 a -50,9)</w:t>
            </w:r>
          </w:p>
          <w:p w14:paraId="415070C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603E87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-53,3</w:t>
            </w:r>
          </w:p>
          <w:p w14:paraId="1EFA43C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(-55,8 a -50,8)</w:t>
            </w:r>
          </w:p>
          <w:p w14:paraId="0207BAC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D95640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72BEE9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-83,3</w:t>
            </w:r>
          </w:p>
          <w:p w14:paraId="1B6CD35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(-89,3 a -77,3)</w:t>
            </w:r>
          </w:p>
          <w:p w14:paraId="38F3E10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F0CCD7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9342F9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-33,1</w:t>
            </w:r>
          </w:p>
          <w:p w14:paraId="5212A55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(-36,8 a -32,7)</w:t>
            </w:r>
          </w:p>
          <w:p w14:paraId="305F0E7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9BAED1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-43,1</w:t>
            </w:r>
          </w:p>
          <w:p w14:paraId="2326102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(-45,5 a -40,7)</w:t>
            </w:r>
          </w:p>
          <w:p w14:paraId="064673A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7CE713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-47,4</w:t>
            </w:r>
          </w:p>
          <w:p w14:paraId="25DAAF7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(-50,2 a -44,5)</w:t>
            </w:r>
          </w:p>
          <w:p w14:paraId="51892EB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6D1B97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-12,6</w:t>
            </w:r>
          </w:p>
          <w:p w14:paraId="06C59AD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5D13CC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715C45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-25,6</w:t>
            </w:r>
          </w:p>
          <w:p w14:paraId="0919DE8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079A46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5A3C27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668A6B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5,1</w:t>
            </w:r>
          </w:p>
          <w:p w14:paraId="37D0F05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5A0C0A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O.R. (IC95%)</w:t>
            </w:r>
          </w:p>
          <w:p w14:paraId="630B7CF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39,1(15 a 101,6)</w:t>
            </w:r>
          </w:p>
          <w:p w14:paraId="4AC6EA3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C137CC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2A66E0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5D7E1E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53,6 (34 a 84,7)</w:t>
            </w:r>
          </w:p>
          <w:p w14:paraId="260323B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17D8BB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866488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19,2 (14,7 a 25,2)</w:t>
            </w:r>
          </w:p>
          <w:p w14:paraId="76F8EA0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6364AC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BE0B93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9,6(7 a 13,4)</w:t>
            </w:r>
          </w:p>
          <w:p w14:paraId="672F7BC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3AB7B1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49E3BB6" w14:textId="000203BE"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0,1 (0,1</w:t>
            </w:r>
            <w:r w:rsidR="003B77DC">
              <w:rPr>
                <w:rFonts w:ascii="Arial" w:eastAsia="Arial" w:hAnsi="Arial" w:cs="Arial"/>
                <w:color w:val="000000"/>
                <w:sz w:val="16"/>
                <w:szCs w:val="16"/>
                <w:vertAlign w:val="baseline"/>
              </w:rPr>
              <w:t xml:space="preserve"> </w:t>
            </w:r>
            <w:r>
              <w:rPr>
                <w:rFonts w:ascii="Arial" w:eastAsia="Arial" w:hAnsi="Arial" w:cs="Arial"/>
                <w:color w:val="000000"/>
                <w:sz w:val="16"/>
                <w:szCs w:val="16"/>
                <w:vertAlign w:val="baseline"/>
              </w:rPr>
              <w:t>a 0,1)</w:t>
            </w:r>
          </w:p>
          <w:p w14:paraId="45656F7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F72D4F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361F22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F93D93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60140B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19,2 (14,7 a 25,2)</w:t>
            </w:r>
          </w:p>
        </w:tc>
        <w:tc>
          <w:tcPr>
            <w:tcW w:w="1040" w:type="dxa"/>
            <w:tcBorders>
              <w:top w:val="single" w:sz="4" w:space="0" w:color="000000"/>
              <w:left w:val="single" w:sz="4" w:space="0" w:color="000000"/>
              <w:bottom w:val="single" w:sz="4" w:space="0" w:color="000000"/>
            </w:tcBorders>
          </w:tcPr>
          <w:p w14:paraId="491D753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8B95323" w14:textId="77777777" w:rsidR="00D61B84" w:rsidRDefault="00D61B84" w:rsidP="00D61B84">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627138B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C98B19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120EA17" w14:textId="77777777" w:rsidR="00D61B84" w:rsidRDefault="00D61B84" w:rsidP="00D61B84">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369DB8A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BC1B2D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0F5AEB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F6C7DA5" w14:textId="7A454246" w:rsidR="00D61B84" w:rsidRDefault="00D61B84" w:rsidP="00D61B84">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4E0C81AC" w14:textId="29A7A5E3" w:rsidR="00D61B84" w:rsidRDefault="00D61B84" w:rsidP="00D61B84">
            <w:pPr>
              <w:pStyle w:val="WW-normal"/>
              <w:ind w:left="0" w:hanging="2"/>
            </w:pPr>
          </w:p>
          <w:p w14:paraId="1F93CCFC" w14:textId="77777777" w:rsidR="00D61B84" w:rsidRPr="00D61B84" w:rsidRDefault="00D61B84" w:rsidP="00D61B84">
            <w:pPr>
              <w:pStyle w:val="WW-normal"/>
              <w:ind w:left="0" w:hanging="2"/>
            </w:pPr>
          </w:p>
          <w:p w14:paraId="299996B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7394C06" w14:textId="77777777" w:rsidR="00D61B84" w:rsidRDefault="00D61B84" w:rsidP="00D61B84">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7F33607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108A13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E99D07C" w14:textId="77777777" w:rsidR="00D61B84" w:rsidRDefault="00D61B84" w:rsidP="00D61B84">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3E2E257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B6131D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C29B628" w14:textId="77777777" w:rsidR="00D61B84" w:rsidRDefault="00D61B84" w:rsidP="00D61B84">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2AC28BA8" w14:textId="2D0822BF" w:rsidR="00634CDF" w:rsidRDefault="00634CDF">
            <w:pPr>
              <w:pBdr>
                <w:top w:val="nil"/>
                <w:left w:val="nil"/>
                <w:bottom w:val="nil"/>
                <w:right w:val="nil"/>
                <w:between w:val="nil"/>
              </w:pBdr>
              <w:spacing w:line="240" w:lineRule="auto"/>
              <w:ind w:left="0" w:hanging="2"/>
              <w:jc w:val="center"/>
              <w:rPr>
                <w:color w:val="000000"/>
                <w:vertAlign w:val="baseline"/>
              </w:rPr>
            </w:pPr>
          </w:p>
        </w:tc>
        <w:tc>
          <w:tcPr>
            <w:tcW w:w="690" w:type="dxa"/>
            <w:tcBorders>
              <w:top w:val="single" w:sz="4" w:space="0" w:color="000000"/>
              <w:left w:val="single" w:sz="4" w:space="0" w:color="000000"/>
              <w:bottom w:val="single" w:sz="4" w:space="0" w:color="000000"/>
              <w:right w:val="single" w:sz="4" w:space="0" w:color="000000"/>
            </w:tcBorders>
          </w:tcPr>
          <w:p w14:paraId="0474717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232B0D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r>
    </w:tbl>
    <w:p w14:paraId="3EC1D9CE"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80"/>
          <w:vertAlign w:val="baseline"/>
        </w:rPr>
      </w:pPr>
    </w:p>
    <w:p w14:paraId="2DCD9578"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Figura </w:t>
      </w:r>
      <w:r>
        <w:rPr>
          <w:rFonts w:ascii="Arial" w:eastAsia="Arial" w:hAnsi="Arial" w:cs="Arial"/>
          <w:sz w:val="20"/>
          <w:szCs w:val="20"/>
          <w:vertAlign w:val="baseline"/>
        </w:rPr>
        <w:t>5</w:t>
      </w:r>
      <w:r>
        <w:rPr>
          <w:rFonts w:ascii="Arial" w:eastAsia="Arial" w:hAnsi="Arial" w:cs="Arial"/>
          <w:color w:val="000000"/>
          <w:sz w:val="20"/>
          <w:szCs w:val="20"/>
          <w:vertAlign w:val="baseline"/>
        </w:rPr>
        <w:t xml:space="preserve"> (</w:t>
      </w:r>
      <w:r>
        <w:rPr>
          <w:rFonts w:ascii="Arial" w:eastAsia="Arial" w:hAnsi="Arial" w:cs="Arial"/>
          <w:sz w:val="20"/>
          <w:szCs w:val="20"/>
          <w:vertAlign w:val="baseline"/>
        </w:rPr>
        <w:t>d</w:t>
      </w:r>
      <w:r>
        <w:rPr>
          <w:rFonts w:ascii="Arial" w:eastAsia="Arial" w:hAnsi="Arial" w:cs="Arial"/>
          <w:color w:val="000000"/>
          <w:sz w:val="20"/>
          <w:szCs w:val="20"/>
          <w:vertAlign w:val="baseline"/>
        </w:rPr>
        <w:t xml:space="preserve">el </w:t>
      </w:r>
      <w:r>
        <w:rPr>
          <w:rFonts w:ascii="Arial" w:eastAsia="Arial" w:hAnsi="Arial" w:cs="Arial"/>
          <w:sz w:val="20"/>
          <w:szCs w:val="20"/>
          <w:vertAlign w:val="baseline"/>
        </w:rPr>
        <w:t>EPAR</w:t>
      </w:r>
      <w:r>
        <w:rPr>
          <w:rFonts w:ascii="Arial" w:eastAsia="Arial" w:hAnsi="Arial" w:cs="Arial"/>
          <w:color w:val="000000"/>
          <w:sz w:val="20"/>
          <w:szCs w:val="20"/>
          <w:vertAlign w:val="baseline"/>
        </w:rPr>
        <w:t xml:space="preserve">). Análisis de subgrupos variable principal </w:t>
      </w:r>
      <w:r>
        <w:rPr>
          <w:rFonts w:ascii="Arial" w:eastAsia="Arial" w:hAnsi="Arial" w:cs="Arial"/>
          <w:sz w:val="20"/>
          <w:szCs w:val="20"/>
          <w:vertAlign w:val="baseline"/>
        </w:rPr>
        <w:t>porcentaje</w:t>
      </w:r>
      <w:r>
        <w:rPr>
          <w:rFonts w:ascii="Arial" w:eastAsia="Arial" w:hAnsi="Arial" w:cs="Arial"/>
          <w:color w:val="000000"/>
          <w:sz w:val="20"/>
          <w:szCs w:val="20"/>
          <w:vertAlign w:val="baseline"/>
        </w:rPr>
        <w:t xml:space="preserve"> de cambio respecto al basal en nivel de LDL el día 510 </w:t>
      </w:r>
    </w:p>
    <w:p w14:paraId="42EBEA12"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6F7F8755"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noProof/>
          <w:color w:val="000000"/>
          <w:vertAlign w:val="baseline"/>
          <w:lang w:eastAsia="es-ES"/>
        </w:rPr>
        <w:drawing>
          <wp:inline distT="0" distB="0" distL="114300" distR="114300" wp14:anchorId="2BB27C89" wp14:editId="79606164">
            <wp:extent cx="5548630" cy="5565140"/>
            <wp:effectExtent l="0" t="0" r="0" b="0"/>
            <wp:docPr id="108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7"/>
                    <a:srcRect/>
                    <a:stretch>
                      <a:fillRect/>
                    </a:stretch>
                  </pic:blipFill>
                  <pic:spPr>
                    <a:xfrm>
                      <a:off x="0" y="0"/>
                      <a:ext cx="5548630" cy="5565140"/>
                    </a:xfrm>
                    <a:prstGeom prst="rect">
                      <a:avLst/>
                    </a:prstGeom>
                    <a:ln/>
                  </pic:spPr>
                </pic:pic>
              </a:graphicData>
            </a:graphic>
          </wp:inline>
        </w:drawing>
      </w:r>
    </w:p>
    <w:p w14:paraId="0A77BD12"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5D79CBF1" w14:textId="77777777" w:rsidR="00E2604B" w:rsidRDefault="00E2604B">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53B5479D" w14:textId="77777777" w:rsidR="00E2604B" w:rsidRDefault="00E2604B">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D527714" w14:textId="77777777" w:rsidR="00E2604B" w:rsidRDefault="00E2604B">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E9D1250" w14:textId="0F117F6F"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Figura </w:t>
      </w:r>
      <w:r>
        <w:rPr>
          <w:rFonts w:ascii="Arial" w:eastAsia="Arial" w:hAnsi="Arial" w:cs="Arial"/>
          <w:sz w:val="20"/>
          <w:szCs w:val="20"/>
          <w:vertAlign w:val="baseline"/>
        </w:rPr>
        <w:t>6</w:t>
      </w:r>
      <w:r>
        <w:rPr>
          <w:rFonts w:ascii="Arial" w:eastAsia="Arial" w:hAnsi="Arial" w:cs="Arial"/>
          <w:color w:val="000000"/>
          <w:sz w:val="20"/>
          <w:szCs w:val="20"/>
          <w:vertAlign w:val="baseline"/>
        </w:rPr>
        <w:t xml:space="preserve"> (del </w:t>
      </w:r>
      <w:r>
        <w:rPr>
          <w:rFonts w:ascii="Arial" w:eastAsia="Arial" w:hAnsi="Arial" w:cs="Arial"/>
          <w:sz w:val="20"/>
          <w:szCs w:val="20"/>
          <w:vertAlign w:val="baseline"/>
        </w:rPr>
        <w:t>EPAR</w:t>
      </w:r>
      <w:r>
        <w:rPr>
          <w:rFonts w:ascii="Arial" w:eastAsia="Arial" w:hAnsi="Arial" w:cs="Arial"/>
          <w:color w:val="000000"/>
          <w:sz w:val="20"/>
          <w:szCs w:val="20"/>
          <w:vertAlign w:val="baseline"/>
        </w:rPr>
        <w:t>). Análisis de subgrupos de variable principal</w:t>
      </w:r>
      <w:r>
        <w:rPr>
          <w:rFonts w:ascii="Arial" w:eastAsia="Arial" w:hAnsi="Arial" w:cs="Arial"/>
          <w:i/>
          <w:color w:val="000000"/>
          <w:sz w:val="16"/>
          <w:szCs w:val="16"/>
          <w:vertAlign w:val="baseline"/>
        </w:rPr>
        <w:t xml:space="preserve"> </w:t>
      </w:r>
      <w:r>
        <w:rPr>
          <w:rFonts w:ascii="Arial" w:eastAsia="Arial" w:hAnsi="Arial" w:cs="Arial"/>
          <w:sz w:val="20"/>
          <w:szCs w:val="20"/>
          <w:vertAlign w:val="baseline"/>
        </w:rPr>
        <w:t>c</w:t>
      </w:r>
      <w:r>
        <w:rPr>
          <w:rFonts w:ascii="Arial" w:eastAsia="Arial" w:hAnsi="Arial" w:cs="Arial"/>
          <w:color w:val="000000"/>
          <w:sz w:val="20"/>
          <w:szCs w:val="20"/>
          <w:vertAlign w:val="baseline"/>
        </w:rPr>
        <w:t>ambio porcentual medio desde el nivel basal tras el día 90 y hasta el día 540</w:t>
      </w:r>
    </w:p>
    <w:p w14:paraId="5AD4586F"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F517E35"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noProof/>
          <w:color w:val="000000"/>
          <w:vertAlign w:val="baseline"/>
          <w:lang w:eastAsia="es-ES"/>
        </w:rPr>
        <w:drawing>
          <wp:inline distT="0" distB="0" distL="114300" distR="114300" wp14:anchorId="0185406E" wp14:editId="70055C41">
            <wp:extent cx="5551805" cy="5628640"/>
            <wp:effectExtent l="0" t="0" r="0" b="0"/>
            <wp:docPr id="108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8"/>
                    <a:srcRect/>
                    <a:stretch>
                      <a:fillRect/>
                    </a:stretch>
                  </pic:blipFill>
                  <pic:spPr>
                    <a:xfrm>
                      <a:off x="0" y="0"/>
                      <a:ext cx="5551805" cy="5628640"/>
                    </a:xfrm>
                    <a:prstGeom prst="rect">
                      <a:avLst/>
                    </a:prstGeom>
                    <a:ln/>
                  </pic:spPr>
                </pic:pic>
              </a:graphicData>
            </a:graphic>
          </wp:inline>
        </w:drawing>
      </w:r>
    </w:p>
    <w:p w14:paraId="68615700" w14:textId="4EABBA9C" w:rsidR="00634CDF" w:rsidRDefault="00634CDF" w:rsidP="00E2604B">
      <w:pPr>
        <w:pBdr>
          <w:top w:val="nil"/>
          <w:left w:val="nil"/>
          <w:bottom w:val="nil"/>
          <w:right w:val="nil"/>
          <w:between w:val="nil"/>
        </w:pBdr>
        <w:spacing w:line="240" w:lineRule="auto"/>
        <w:ind w:leftChars="0" w:left="0" w:firstLineChars="0" w:firstLine="0"/>
        <w:jc w:val="both"/>
        <w:rPr>
          <w:rFonts w:ascii="Arial" w:eastAsia="Arial" w:hAnsi="Arial" w:cs="Arial"/>
          <w:color w:val="000000"/>
          <w:sz w:val="20"/>
          <w:szCs w:val="20"/>
          <w:vertAlign w:val="baseline"/>
        </w:rPr>
      </w:pPr>
    </w:p>
    <w:p w14:paraId="7953796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26585E4" w14:textId="77777777" w:rsidR="00634CDF" w:rsidRDefault="00634CDF">
      <w:pPr>
        <w:spacing w:line="240" w:lineRule="auto"/>
        <w:ind w:left="0" w:hanging="2"/>
        <w:jc w:val="both"/>
        <w:rPr>
          <w:rFonts w:ascii="Arial" w:eastAsia="Arial" w:hAnsi="Arial" w:cs="Arial"/>
          <w:sz w:val="20"/>
          <w:szCs w:val="20"/>
          <w:vertAlign w:val="baseline"/>
        </w:rPr>
      </w:pPr>
    </w:p>
    <w:p w14:paraId="5BCE4016"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80"/>
          <w:sz w:val="20"/>
          <w:szCs w:val="20"/>
          <w:vertAlign w:val="baseline"/>
        </w:rPr>
      </w:pPr>
    </w:p>
    <w:tbl>
      <w:tblPr>
        <w:tblStyle w:val="af3"/>
        <w:tblW w:w="8907" w:type="dxa"/>
        <w:tblInd w:w="-5" w:type="dxa"/>
        <w:tblLayout w:type="fixed"/>
        <w:tblLook w:val="0000" w:firstRow="0" w:lastRow="0" w:firstColumn="0" w:lastColumn="0" w:noHBand="0" w:noVBand="0"/>
      </w:tblPr>
      <w:tblGrid>
        <w:gridCol w:w="2637"/>
        <w:gridCol w:w="1426"/>
        <w:gridCol w:w="1260"/>
        <w:gridCol w:w="1859"/>
        <w:gridCol w:w="915"/>
        <w:gridCol w:w="810"/>
      </w:tblGrid>
      <w:tr w:rsidR="00634CDF" w14:paraId="3E39458B" w14:textId="77777777">
        <w:tc>
          <w:tcPr>
            <w:tcW w:w="8907" w:type="dxa"/>
            <w:gridSpan w:val="6"/>
            <w:tcBorders>
              <w:top w:val="single" w:sz="4" w:space="0" w:color="000000"/>
              <w:left w:val="single" w:sz="4" w:space="0" w:color="000000"/>
              <w:bottom w:val="single" w:sz="4" w:space="0" w:color="000000"/>
              <w:right w:val="single" w:sz="4" w:space="0" w:color="000000"/>
            </w:tcBorders>
            <w:shd w:val="clear" w:color="auto" w:fill="CCFFCC"/>
          </w:tcPr>
          <w:p w14:paraId="127D780B" w14:textId="77777777" w:rsidR="00634CDF" w:rsidRDefault="00F0051D">
            <w:pPr>
              <w:pBdr>
                <w:top w:val="nil"/>
                <w:left w:val="nil"/>
                <w:bottom w:val="nil"/>
                <w:right w:val="nil"/>
                <w:between w:val="nil"/>
              </w:pBdr>
              <w:spacing w:line="240" w:lineRule="auto"/>
              <w:ind w:left="0" w:hanging="2"/>
              <w:rPr>
                <w:vertAlign w:val="baseline"/>
              </w:rPr>
            </w:pPr>
            <w:r>
              <w:rPr>
                <w:rFonts w:ascii="Arial" w:eastAsia="Arial" w:hAnsi="Arial" w:cs="Arial"/>
                <w:b/>
                <w:i/>
                <w:color w:val="000000"/>
                <w:sz w:val="18"/>
                <w:szCs w:val="18"/>
                <w:vertAlign w:val="baseline"/>
              </w:rPr>
              <w:t>Tabla 1</w:t>
            </w:r>
            <w:r>
              <w:rPr>
                <w:rFonts w:ascii="Arial" w:eastAsia="Arial" w:hAnsi="Arial" w:cs="Arial"/>
                <w:b/>
                <w:i/>
                <w:sz w:val="18"/>
                <w:szCs w:val="18"/>
                <w:vertAlign w:val="baseline"/>
              </w:rPr>
              <w:t>2</w:t>
            </w:r>
            <w:r>
              <w:rPr>
                <w:rFonts w:ascii="Arial" w:eastAsia="Arial" w:hAnsi="Arial" w:cs="Arial"/>
                <w:b/>
                <w:i/>
                <w:color w:val="000000"/>
                <w:sz w:val="18"/>
                <w:szCs w:val="18"/>
                <w:vertAlign w:val="baseline"/>
              </w:rPr>
              <w:t xml:space="preserve">.  </w:t>
            </w:r>
            <w:r>
              <w:rPr>
                <w:rFonts w:ascii="Arial" w:eastAsia="Arial" w:hAnsi="Arial" w:cs="Arial"/>
                <w:b/>
                <w:sz w:val="18"/>
                <w:szCs w:val="18"/>
                <w:vertAlign w:val="baseline"/>
              </w:rPr>
              <w:t>T</w:t>
            </w:r>
            <w:r>
              <w:rPr>
                <w:rFonts w:ascii="Arial" w:eastAsia="Arial" w:hAnsi="Arial" w:cs="Arial"/>
                <w:b/>
                <w:color w:val="000000"/>
                <w:sz w:val="18"/>
                <w:szCs w:val="18"/>
                <w:vertAlign w:val="baseline"/>
              </w:rPr>
              <w:t>abla de resultados de eficacia:</w:t>
            </w:r>
          </w:p>
          <w:p w14:paraId="7272EE9F" w14:textId="77777777" w:rsidR="00634CDF" w:rsidRDefault="00F0051D">
            <w:pPr>
              <w:pBdr>
                <w:top w:val="nil"/>
                <w:left w:val="nil"/>
                <w:bottom w:val="nil"/>
                <w:right w:val="nil"/>
                <w:between w:val="nil"/>
              </w:pBdr>
              <w:spacing w:line="240" w:lineRule="auto"/>
              <w:ind w:left="0" w:hanging="2"/>
              <w:rPr>
                <w:color w:val="000000"/>
                <w:shd w:val="clear" w:color="auto" w:fill="FFCC99"/>
                <w:vertAlign w:val="baseline"/>
              </w:rPr>
            </w:pPr>
            <w:r>
              <w:rPr>
                <w:rFonts w:ascii="Arial" w:eastAsia="Arial" w:hAnsi="Arial" w:cs="Arial"/>
                <w:b/>
                <w:i/>
                <w:color w:val="000000"/>
                <w:sz w:val="16"/>
                <w:szCs w:val="16"/>
                <w:vertAlign w:val="baseline"/>
              </w:rPr>
              <w:t>ORION-</w:t>
            </w:r>
            <w:r w:rsidRPr="000345B6">
              <w:rPr>
                <w:rFonts w:ascii="Arial" w:eastAsia="Arial" w:hAnsi="Arial" w:cs="Arial"/>
                <w:b/>
                <w:sz w:val="18"/>
                <w:szCs w:val="18"/>
                <w:vertAlign w:val="baseline"/>
              </w:rPr>
              <w:t>11 (16,18)</w:t>
            </w:r>
          </w:p>
        </w:tc>
      </w:tr>
      <w:tr w:rsidR="00634CDF" w14:paraId="7636FA3B" w14:textId="77777777">
        <w:tc>
          <w:tcPr>
            <w:tcW w:w="8907" w:type="dxa"/>
            <w:gridSpan w:val="6"/>
            <w:tcBorders>
              <w:top w:val="single" w:sz="4" w:space="0" w:color="000000"/>
              <w:left w:val="single" w:sz="4" w:space="0" w:color="000000"/>
              <w:bottom w:val="single" w:sz="4" w:space="0" w:color="000000"/>
              <w:right w:val="single" w:sz="4" w:space="0" w:color="000000"/>
            </w:tcBorders>
          </w:tcPr>
          <w:p w14:paraId="362DC20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-Nº de pacientes: 2381 pacientes fueron seleccionados y 1617 se aleatorizaron. 810 al grupo inclisiran y 807 al grupo placebo.</w:t>
            </w:r>
          </w:p>
          <w:p w14:paraId="1479934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-Diseño: Fase III, doble ciego, controlado con placebo, grupos paralelos, multicéntrico en Europa y Sudáfrica.</w:t>
            </w:r>
          </w:p>
          <w:p w14:paraId="1713297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-Tratamiento grupo activo y tratamiento grupo control: aleatorización 1:1 con inclisiran sódico s.c. 300 mg o placebo los días 1, 90, 270 y 450.  Tratamiento en combinación con estatinas o ezetimiba o monoterapia. La asignación del tratamiento se estratificó según uso actual de estatinas u otro tratamiento modificador de lípidos y por país.</w:t>
            </w:r>
          </w:p>
          <w:p w14:paraId="552A6F9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-Criterios de inclusión: pacientes mayores de 18 años con enfermedad cardiovascular aterosclerótica (enfermedad arterial periférica, enfermedad coronaria, enfermedad cerebrovascular) nivel de LDL al menos de 70 mg/dL a pesar de máxima </w:t>
            </w:r>
            <w:r>
              <w:rPr>
                <w:rFonts w:ascii="Arial" w:eastAsia="Arial" w:hAnsi="Arial" w:cs="Arial"/>
                <w:color w:val="000000"/>
                <w:sz w:val="16"/>
                <w:szCs w:val="16"/>
                <w:vertAlign w:val="baseline"/>
              </w:rPr>
              <w:lastRenderedPageBreak/>
              <w:t>dosis tolerada de estatina asociada o no a ezetimibe. Y pacientes con riesgo equivalente de enfermedad cardiovascular aterosclerótica con LDL mayor o igual a 100 mg/dL. Triglicéridos menores de 400 mg/dL, tasa de filtrado glomerular mayor de 30mL/min/1,73m2. Los pacientes con estatinas tenían que recibir dosis máxima. Los sujetos que no recibieran estatinas tendrían que documentar intolerancia a todas las dosis de, al menos, dos estatinas diferentes.</w:t>
            </w:r>
          </w:p>
          <w:p w14:paraId="5807673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-Criterios de exclusión: pacientes en tratamiento con anticuerpos monoclonales anti PCKS9. Fallo cardiaco NYHA clase IV o fracción de eyección VI menor de 25%, arritmia cardiaca no controlada hipertensión severa no controlada, enfermedad hepática activa, evento cardiovascular mayor en los 3 meses previos a la aleatorización</w:t>
            </w:r>
            <w:r>
              <w:rPr>
                <w:rFonts w:ascii="Arial" w:eastAsia="Arial" w:hAnsi="Arial" w:cs="Arial"/>
                <w:color w:val="000000"/>
                <w:sz w:val="20"/>
                <w:szCs w:val="20"/>
                <w:vertAlign w:val="baseline"/>
              </w:rPr>
              <w:t>.</w:t>
            </w:r>
          </w:p>
          <w:p w14:paraId="2F0EA841" w14:textId="77777777" w:rsidR="00634CDF" w:rsidRDefault="00F0051D">
            <w:pPr>
              <w:pBdr>
                <w:top w:val="nil"/>
                <w:left w:val="nil"/>
                <w:bottom w:val="nil"/>
                <w:right w:val="nil"/>
                <w:between w:val="nil"/>
              </w:pBdr>
              <w:spacing w:line="240" w:lineRule="auto"/>
              <w:ind w:left="0" w:hanging="2"/>
              <w:jc w:val="both"/>
              <w:rPr>
                <w:vertAlign w:val="baseline"/>
              </w:rPr>
            </w:pPr>
            <w:r>
              <w:rPr>
                <w:rFonts w:ascii="Arial" w:eastAsia="Arial" w:hAnsi="Arial" w:cs="Arial"/>
                <w:color w:val="000000"/>
                <w:sz w:val="16"/>
                <w:szCs w:val="16"/>
                <w:vertAlign w:val="baseline"/>
              </w:rPr>
              <w:t xml:space="preserve">-Pérdidas: De los </w:t>
            </w:r>
            <w:r>
              <w:rPr>
                <w:rFonts w:ascii="Arial" w:eastAsia="Arial" w:hAnsi="Arial" w:cs="Arial"/>
                <w:sz w:val="16"/>
                <w:szCs w:val="16"/>
                <w:vertAlign w:val="baseline"/>
              </w:rPr>
              <w:t>810 pacientes aleatorizados al grupo inclisiran y 807 al grupo placebo, 772 y 770 pacientes terminaron el estudio, respectivamente.</w:t>
            </w:r>
          </w:p>
          <w:p w14:paraId="60599D3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-Tipo de análisis: por ITT</w:t>
            </w:r>
          </w:p>
          <w:p w14:paraId="68F0BAB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Cálculo de tamaño muestral: Se calculó asumiendo que la disminución media (+/- DE) con respecto al nivel basal de LDL sería al menos de 30 (+/- 20) mg/dL superior en el grupo de inclisiran respecto al placebo. Se estimaron 1425 pacientes necesarios para evaluar la eficacia entre grupos asumiendo una tasa de retirada del 5% y una potencia de mas del 90% para detectar una reducción del 30% desde el basal del LDL con nivel de significancia del 0,025.</w:t>
            </w:r>
          </w:p>
        </w:tc>
      </w:tr>
      <w:tr w:rsidR="00634CDF" w14:paraId="1A4DEB7C" w14:textId="77777777">
        <w:trPr>
          <w:trHeight w:val="230"/>
        </w:trPr>
        <w:tc>
          <w:tcPr>
            <w:tcW w:w="8907" w:type="dxa"/>
            <w:gridSpan w:val="6"/>
            <w:tcBorders>
              <w:top w:val="single" w:sz="4" w:space="0" w:color="000000"/>
              <w:left w:val="single" w:sz="4" w:space="0" w:color="000000"/>
              <w:bottom w:val="single" w:sz="4" w:space="0" w:color="000000"/>
              <w:right w:val="single" w:sz="4" w:space="0" w:color="000000"/>
            </w:tcBorders>
            <w:shd w:val="clear" w:color="auto" w:fill="CCFFCC"/>
          </w:tcPr>
          <w:p w14:paraId="362A92C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lastRenderedPageBreak/>
              <w:t xml:space="preserve">Resultados  </w:t>
            </w:r>
          </w:p>
        </w:tc>
      </w:tr>
      <w:tr w:rsidR="00634CDF" w14:paraId="1A117DF4" w14:textId="77777777">
        <w:trPr>
          <w:trHeight w:val="230"/>
        </w:trPr>
        <w:tc>
          <w:tcPr>
            <w:tcW w:w="2637" w:type="dxa"/>
            <w:tcBorders>
              <w:top w:val="single" w:sz="4" w:space="0" w:color="000000"/>
              <w:left w:val="single" w:sz="4" w:space="0" w:color="000000"/>
              <w:bottom w:val="single" w:sz="4" w:space="0" w:color="000000"/>
            </w:tcBorders>
          </w:tcPr>
          <w:p w14:paraId="3A4FABF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t>Variable  evaluada en el estudio</w:t>
            </w:r>
          </w:p>
        </w:tc>
        <w:tc>
          <w:tcPr>
            <w:tcW w:w="1426" w:type="dxa"/>
            <w:tcBorders>
              <w:top w:val="single" w:sz="4" w:space="0" w:color="000000"/>
              <w:left w:val="single" w:sz="4" w:space="0" w:color="000000"/>
              <w:bottom w:val="single" w:sz="4" w:space="0" w:color="000000"/>
            </w:tcBorders>
          </w:tcPr>
          <w:p w14:paraId="1D8429B9" w14:textId="77777777" w:rsidR="00634CDF" w:rsidRDefault="00F0051D">
            <w:pPr>
              <w:pBdr>
                <w:top w:val="nil"/>
                <w:left w:val="nil"/>
                <w:bottom w:val="nil"/>
                <w:right w:val="nil"/>
                <w:between w:val="nil"/>
              </w:pBdr>
              <w:tabs>
                <w:tab w:val="left" w:pos="1673"/>
              </w:tabs>
              <w:spacing w:line="240" w:lineRule="auto"/>
              <w:ind w:left="0" w:hanging="2"/>
              <w:jc w:val="center"/>
              <w:rPr>
                <w:color w:val="000000"/>
                <w:vertAlign w:val="baseline"/>
              </w:rPr>
            </w:pPr>
            <w:r>
              <w:rPr>
                <w:rFonts w:ascii="Arial" w:eastAsia="Arial" w:hAnsi="Arial" w:cs="Arial"/>
                <w:b/>
                <w:i/>
                <w:color w:val="000000"/>
                <w:sz w:val="16"/>
                <w:szCs w:val="16"/>
                <w:vertAlign w:val="baseline"/>
              </w:rPr>
              <w:t>Inclisiran</w:t>
            </w:r>
          </w:p>
          <w:p w14:paraId="72416AA2" w14:textId="77777777" w:rsidR="00634CDF" w:rsidRDefault="00F0051D">
            <w:pPr>
              <w:pBdr>
                <w:top w:val="nil"/>
                <w:left w:val="nil"/>
                <w:bottom w:val="nil"/>
                <w:right w:val="nil"/>
                <w:between w:val="nil"/>
              </w:pBdr>
              <w:tabs>
                <w:tab w:val="left" w:pos="1673"/>
              </w:tabs>
              <w:spacing w:line="240" w:lineRule="auto"/>
              <w:ind w:left="0" w:hanging="2"/>
              <w:jc w:val="center"/>
              <w:rPr>
                <w:color w:val="000000"/>
                <w:vertAlign w:val="baseline"/>
              </w:rPr>
            </w:pPr>
            <w:r>
              <w:rPr>
                <w:rFonts w:ascii="Arial" w:eastAsia="Arial" w:hAnsi="Arial" w:cs="Arial"/>
                <w:b/>
                <w:i/>
                <w:color w:val="000000"/>
                <w:sz w:val="16"/>
                <w:szCs w:val="16"/>
                <w:vertAlign w:val="baseline"/>
              </w:rPr>
              <w:t>N=810</w:t>
            </w:r>
          </w:p>
        </w:tc>
        <w:tc>
          <w:tcPr>
            <w:tcW w:w="1260" w:type="dxa"/>
            <w:tcBorders>
              <w:top w:val="single" w:sz="4" w:space="0" w:color="000000"/>
              <w:left w:val="single" w:sz="4" w:space="0" w:color="000000"/>
              <w:bottom w:val="single" w:sz="4" w:space="0" w:color="000000"/>
            </w:tcBorders>
          </w:tcPr>
          <w:p w14:paraId="52A4AD2E" w14:textId="77777777" w:rsidR="00634CDF" w:rsidRDefault="00F0051D">
            <w:pPr>
              <w:pBdr>
                <w:top w:val="nil"/>
                <w:left w:val="nil"/>
                <w:bottom w:val="nil"/>
                <w:right w:val="nil"/>
                <w:between w:val="nil"/>
              </w:pBdr>
              <w:tabs>
                <w:tab w:val="left" w:pos="1673"/>
              </w:tabs>
              <w:spacing w:line="240" w:lineRule="auto"/>
              <w:ind w:left="0" w:hanging="2"/>
              <w:jc w:val="center"/>
              <w:rPr>
                <w:color w:val="000000"/>
                <w:vertAlign w:val="baseline"/>
              </w:rPr>
            </w:pPr>
            <w:r>
              <w:rPr>
                <w:rFonts w:ascii="Arial" w:eastAsia="Arial" w:hAnsi="Arial" w:cs="Arial"/>
                <w:b/>
                <w:i/>
                <w:color w:val="000000"/>
                <w:sz w:val="16"/>
                <w:szCs w:val="16"/>
                <w:vertAlign w:val="baseline"/>
              </w:rPr>
              <w:t>Placebo</w:t>
            </w:r>
          </w:p>
          <w:p w14:paraId="12949FF2" w14:textId="77777777" w:rsidR="00634CDF" w:rsidRDefault="00F0051D">
            <w:pPr>
              <w:pBdr>
                <w:top w:val="nil"/>
                <w:left w:val="nil"/>
                <w:bottom w:val="nil"/>
                <w:right w:val="nil"/>
                <w:between w:val="nil"/>
              </w:pBdr>
              <w:tabs>
                <w:tab w:val="left" w:pos="1673"/>
              </w:tabs>
              <w:spacing w:line="240" w:lineRule="auto"/>
              <w:ind w:left="0" w:hanging="2"/>
              <w:jc w:val="center"/>
              <w:rPr>
                <w:color w:val="000000"/>
                <w:vertAlign w:val="baseline"/>
              </w:rPr>
            </w:pPr>
            <w:r>
              <w:rPr>
                <w:rFonts w:ascii="Arial" w:eastAsia="Arial" w:hAnsi="Arial" w:cs="Arial"/>
                <w:b/>
                <w:i/>
                <w:color w:val="000000"/>
                <w:sz w:val="16"/>
                <w:szCs w:val="16"/>
                <w:vertAlign w:val="baseline"/>
              </w:rPr>
              <w:t>N=807</w:t>
            </w:r>
          </w:p>
        </w:tc>
        <w:tc>
          <w:tcPr>
            <w:tcW w:w="1859" w:type="dxa"/>
            <w:tcBorders>
              <w:top w:val="single" w:sz="4" w:space="0" w:color="000000"/>
              <w:left w:val="single" w:sz="4" w:space="0" w:color="000000"/>
              <w:bottom w:val="single" w:sz="4" w:space="0" w:color="000000"/>
            </w:tcBorders>
          </w:tcPr>
          <w:p w14:paraId="6AC8BF68" w14:textId="77777777" w:rsidR="00634CDF" w:rsidRDefault="00F0051D">
            <w:pPr>
              <w:pBdr>
                <w:top w:val="nil"/>
                <w:left w:val="nil"/>
                <w:bottom w:val="nil"/>
                <w:right w:val="nil"/>
                <w:between w:val="nil"/>
              </w:pBdr>
              <w:tabs>
                <w:tab w:val="left" w:pos="1673"/>
              </w:tabs>
              <w:spacing w:line="240" w:lineRule="auto"/>
              <w:ind w:left="0" w:hanging="2"/>
              <w:jc w:val="center"/>
              <w:rPr>
                <w:color w:val="000000"/>
                <w:vertAlign w:val="baseline"/>
              </w:rPr>
            </w:pPr>
            <w:r>
              <w:rPr>
                <w:rFonts w:ascii="Arial" w:eastAsia="Arial" w:hAnsi="Arial" w:cs="Arial"/>
                <w:color w:val="000000"/>
                <w:sz w:val="16"/>
                <w:szCs w:val="16"/>
                <w:vertAlign w:val="baseline"/>
              </w:rPr>
              <w:t>diferencia en el % de cambio (IC95%)</w:t>
            </w:r>
          </w:p>
          <w:p w14:paraId="3263F756" w14:textId="77777777" w:rsidR="00634CDF" w:rsidRDefault="00634CDF">
            <w:pPr>
              <w:pBdr>
                <w:top w:val="nil"/>
                <w:left w:val="nil"/>
                <w:bottom w:val="nil"/>
                <w:right w:val="nil"/>
                <w:between w:val="nil"/>
              </w:pBdr>
              <w:tabs>
                <w:tab w:val="left" w:pos="1673"/>
              </w:tabs>
              <w:spacing w:line="240" w:lineRule="auto"/>
              <w:ind w:left="0" w:hanging="2"/>
              <w:jc w:val="center"/>
              <w:rPr>
                <w:rFonts w:ascii="Arial" w:eastAsia="Arial" w:hAnsi="Arial" w:cs="Arial"/>
                <w:color w:val="000000"/>
                <w:sz w:val="16"/>
                <w:szCs w:val="16"/>
                <w:vertAlign w:val="baseline"/>
              </w:rPr>
            </w:pPr>
          </w:p>
        </w:tc>
        <w:tc>
          <w:tcPr>
            <w:tcW w:w="915" w:type="dxa"/>
            <w:tcBorders>
              <w:top w:val="single" w:sz="4" w:space="0" w:color="000000"/>
              <w:left w:val="single" w:sz="4" w:space="0" w:color="000000"/>
              <w:bottom w:val="single" w:sz="4" w:space="0" w:color="000000"/>
            </w:tcBorders>
          </w:tcPr>
          <w:p w14:paraId="40147024" w14:textId="77777777" w:rsidR="00634CDF" w:rsidRDefault="00F0051D">
            <w:pPr>
              <w:pBdr>
                <w:top w:val="nil"/>
                <w:left w:val="nil"/>
                <w:bottom w:val="nil"/>
                <w:right w:val="nil"/>
                <w:between w:val="nil"/>
              </w:pBdr>
              <w:tabs>
                <w:tab w:val="left" w:pos="1673"/>
              </w:tabs>
              <w:spacing w:line="240" w:lineRule="auto"/>
              <w:ind w:left="0" w:hanging="2"/>
              <w:jc w:val="center"/>
              <w:rPr>
                <w:color w:val="000000"/>
                <w:vertAlign w:val="baseline"/>
              </w:rPr>
            </w:pPr>
            <w:r>
              <w:rPr>
                <w:rFonts w:ascii="Arial" w:eastAsia="Arial" w:hAnsi="Arial" w:cs="Arial"/>
                <w:color w:val="000000"/>
                <w:sz w:val="16"/>
                <w:szCs w:val="16"/>
                <w:vertAlign w:val="baseline"/>
              </w:rPr>
              <w:t>p</w:t>
            </w:r>
          </w:p>
        </w:tc>
        <w:tc>
          <w:tcPr>
            <w:tcW w:w="810" w:type="dxa"/>
            <w:tcBorders>
              <w:top w:val="single" w:sz="4" w:space="0" w:color="000000"/>
              <w:left w:val="single" w:sz="4" w:space="0" w:color="000000"/>
              <w:bottom w:val="single" w:sz="4" w:space="0" w:color="000000"/>
              <w:right w:val="single" w:sz="4" w:space="0" w:color="000000"/>
            </w:tcBorders>
          </w:tcPr>
          <w:p w14:paraId="6B1EDD02"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r>
      <w:tr w:rsidR="00634CDF" w14:paraId="144DA53C" w14:textId="77777777">
        <w:trPr>
          <w:trHeight w:val="230"/>
        </w:trPr>
        <w:tc>
          <w:tcPr>
            <w:tcW w:w="2637" w:type="dxa"/>
            <w:tcBorders>
              <w:top w:val="single" w:sz="4" w:space="0" w:color="000000"/>
              <w:left w:val="single" w:sz="4" w:space="0" w:color="000000"/>
              <w:bottom w:val="single" w:sz="4" w:space="0" w:color="000000"/>
            </w:tcBorders>
          </w:tcPr>
          <w:p w14:paraId="2C19C698"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xml:space="preserve">Resultado principal </w:t>
            </w:r>
          </w:p>
          <w:p w14:paraId="73E47D9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xml:space="preserve">           -% de cambio respecto al basal en nivel de LDL el día 510 </w:t>
            </w:r>
          </w:p>
          <w:p w14:paraId="1FB34242"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3B019234"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46529F8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Cambio porcentual medio en nivel de LDL desde el nivel basal tras el día 90 y hasta el día 540/media del % de cambio  respecto al nivel basal  entre los días 90 y 540</w:t>
            </w:r>
          </w:p>
        </w:tc>
        <w:tc>
          <w:tcPr>
            <w:tcW w:w="1426" w:type="dxa"/>
            <w:tcBorders>
              <w:top w:val="single" w:sz="4" w:space="0" w:color="000000"/>
              <w:left w:val="single" w:sz="4" w:space="0" w:color="000000"/>
              <w:bottom w:val="single" w:sz="4" w:space="0" w:color="000000"/>
            </w:tcBorders>
          </w:tcPr>
          <w:p w14:paraId="6ABE87D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w:t>
            </w:r>
          </w:p>
          <w:p w14:paraId="2A6ED4E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-45,8</w:t>
            </w:r>
          </w:p>
          <w:p w14:paraId="78EA241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9776A7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53BFE1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990A92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DB6185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   -45,8 </w:t>
            </w:r>
          </w:p>
          <w:p w14:paraId="7DD1371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c>
          <w:tcPr>
            <w:tcW w:w="1260" w:type="dxa"/>
            <w:tcBorders>
              <w:top w:val="single" w:sz="4" w:space="0" w:color="000000"/>
              <w:left w:val="single" w:sz="4" w:space="0" w:color="000000"/>
              <w:bottom w:val="single" w:sz="4" w:space="0" w:color="000000"/>
            </w:tcBorders>
          </w:tcPr>
          <w:p w14:paraId="5E3A897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6B8E25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w:t>
            </w:r>
          </w:p>
          <w:p w14:paraId="7DD0E9D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2A7D81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C18BA8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BB78E6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BDFC1D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3,4</w:t>
            </w:r>
          </w:p>
          <w:p w14:paraId="121C319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 </w:t>
            </w:r>
          </w:p>
        </w:tc>
        <w:tc>
          <w:tcPr>
            <w:tcW w:w="1859" w:type="dxa"/>
            <w:tcBorders>
              <w:top w:val="single" w:sz="4" w:space="0" w:color="000000"/>
              <w:left w:val="single" w:sz="4" w:space="0" w:color="000000"/>
              <w:bottom w:val="single" w:sz="4" w:space="0" w:color="000000"/>
            </w:tcBorders>
          </w:tcPr>
          <w:p w14:paraId="5EA6670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0CC8D0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- 49,9</w:t>
            </w:r>
          </w:p>
          <w:p w14:paraId="324C2D6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(-53,1 a -46,6)</w:t>
            </w:r>
          </w:p>
          <w:p w14:paraId="2F77722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46448C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648834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6E1599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-49 ,2</w:t>
            </w:r>
          </w:p>
          <w:p w14:paraId="0E35E58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(-51,6 a -46,8)</w:t>
            </w:r>
          </w:p>
        </w:tc>
        <w:tc>
          <w:tcPr>
            <w:tcW w:w="915" w:type="dxa"/>
            <w:tcBorders>
              <w:top w:val="single" w:sz="4" w:space="0" w:color="000000"/>
              <w:left w:val="single" w:sz="4" w:space="0" w:color="000000"/>
              <w:bottom w:val="single" w:sz="4" w:space="0" w:color="000000"/>
            </w:tcBorders>
          </w:tcPr>
          <w:p w14:paraId="44B3E57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357FEC5" w14:textId="77777777" w:rsidR="000345B6" w:rsidRDefault="000345B6" w:rsidP="000345B6">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34A9506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E7F78E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B4E3A2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31A4DF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66E9BEA" w14:textId="77777777" w:rsidR="000345B6" w:rsidRDefault="000345B6" w:rsidP="000345B6">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7AA26D2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44264E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22707A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c>
          <w:tcPr>
            <w:tcW w:w="810" w:type="dxa"/>
            <w:tcBorders>
              <w:top w:val="single" w:sz="4" w:space="0" w:color="000000"/>
              <w:left w:val="single" w:sz="4" w:space="0" w:color="000000"/>
              <w:bottom w:val="single" w:sz="4" w:space="0" w:color="000000"/>
              <w:right w:val="single" w:sz="4" w:space="0" w:color="000000"/>
            </w:tcBorders>
          </w:tcPr>
          <w:p w14:paraId="6E5D81E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r>
      <w:tr w:rsidR="00634CDF" w14:paraId="54B28AD8" w14:textId="77777777">
        <w:trPr>
          <w:trHeight w:val="230"/>
        </w:trPr>
        <w:tc>
          <w:tcPr>
            <w:tcW w:w="2637" w:type="dxa"/>
            <w:tcBorders>
              <w:top w:val="single" w:sz="4" w:space="0" w:color="000000"/>
              <w:left w:val="single" w:sz="4" w:space="0" w:color="000000"/>
              <w:bottom w:val="single" w:sz="4" w:space="0" w:color="000000"/>
            </w:tcBorders>
          </w:tcPr>
          <w:p w14:paraId="01C89D5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Resultados secundarios de interés</w:t>
            </w:r>
          </w:p>
          <w:p w14:paraId="084871A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xml:space="preserve">          -Cambio medio en nivel de LDL(reducción) absoluta el día 510 (mg/dL)</w:t>
            </w:r>
          </w:p>
          <w:p w14:paraId="5E3C570D"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4BE4809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cambio medio en nivel de LDL entre el día 90 y el 540</w:t>
            </w:r>
            <w:r>
              <w:rPr>
                <w:rFonts w:ascii="Arial" w:eastAsia="Arial" w:hAnsi="Arial" w:cs="Arial"/>
                <w:color w:val="000000"/>
                <w:sz w:val="16"/>
                <w:szCs w:val="16"/>
                <w:vertAlign w:val="baseline"/>
              </w:rPr>
              <w:t xml:space="preserve"> (mg/dL)</w:t>
            </w:r>
          </w:p>
          <w:p w14:paraId="182589C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7323733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xml:space="preserve">  -% de cambio respecto al basal en nivel de PCSK9 el día 510 </w:t>
            </w:r>
          </w:p>
          <w:p w14:paraId="32087367"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09400FA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colesterol total al día 510</w:t>
            </w:r>
          </w:p>
          <w:p w14:paraId="79A586A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ApoB al día 510</w:t>
            </w:r>
          </w:p>
          <w:p w14:paraId="5E2CBB91"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Colesterol No-HDL al día 510</w:t>
            </w:r>
          </w:p>
          <w:p w14:paraId="75249B57"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TG (mediana) al día 510</w:t>
            </w:r>
          </w:p>
          <w:p w14:paraId="18684781"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Lp a (mediana) al día 540</w:t>
            </w:r>
          </w:p>
          <w:p w14:paraId="738BCCB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de cambio respecto al basal en HDL al día 510</w:t>
            </w:r>
          </w:p>
          <w:p w14:paraId="553A8DA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xml:space="preserve">-% pacientes que alcanzaron niveles &lt;25 mg/dL </w:t>
            </w:r>
          </w:p>
          <w:p w14:paraId="425950F4"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xml:space="preserve">-% pacientes que alcanzaron niveles &lt;50 mg/dL </w:t>
            </w:r>
          </w:p>
          <w:p w14:paraId="77838232"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lastRenderedPageBreak/>
              <w:t xml:space="preserve">-% pacientes que alcanzaron niveles &lt;70 mg/dL </w:t>
            </w:r>
          </w:p>
          <w:p w14:paraId="0B26A50A"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xml:space="preserve">-% pacientes que alcanzaron niveles &lt;100 mg/dL </w:t>
            </w:r>
          </w:p>
          <w:p w14:paraId="64962142"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pacientes que alcanzaron niveles</w:t>
            </w:r>
            <w:sdt>
              <w:sdtPr>
                <w:tag w:val="goog_rdk_11"/>
                <w:id w:val="259802415"/>
              </w:sdtPr>
              <w:sdtEndPr/>
              <w:sdtContent>
                <w:r>
                  <w:rPr>
                    <w:rFonts w:ascii="Arial Unicode MS" w:eastAsia="Arial Unicode MS" w:hAnsi="Arial Unicode MS" w:cs="Arial Unicode MS"/>
                    <w:i/>
                    <w:color w:val="000000"/>
                    <w:sz w:val="20"/>
                    <w:szCs w:val="20"/>
                    <w:vertAlign w:val="baseline"/>
                  </w:rPr>
                  <w:t>≥</w:t>
                </w:r>
              </w:sdtContent>
            </w:sdt>
            <w:r>
              <w:rPr>
                <w:rFonts w:ascii="Arial" w:eastAsia="Arial" w:hAnsi="Arial" w:cs="Arial"/>
                <w:i/>
                <w:color w:val="000000"/>
                <w:sz w:val="16"/>
                <w:szCs w:val="16"/>
                <w:vertAlign w:val="baseline"/>
              </w:rPr>
              <w:t xml:space="preserve"> 100 mg/dL </w:t>
            </w:r>
          </w:p>
          <w:p w14:paraId="6E86DCC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pacientes que consigue objetivo de LDL&lt;70 mg/dL en el día 510</w:t>
            </w:r>
          </w:p>
          <w:p w14:paraId="46CFDB03"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2F11E88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pacientes que consigue objetivo de LDL&lt;100 mg/dL en el día 510</w:t>
            </w:r>
          </w:p>
          <w:p w14:paraId="5D11F56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15006E6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Variables exploratorias</w:t>
            </w:r>
          </w:p>
          <w:p w14:paraId="4C97195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MACE</w:t>
            </w:r>
          </w:p>
          <w:p w14:paraId="5BB2F3FE"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7B47409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Muerte cardiovascular</w:t>
            </w:r>
          </w:p>
          <w:p w14:paraId="7786FC6F"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108F251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Paro cardiaco reanimado</w:t>
            </w:r>
          </w:p>
          <w:p w14:paraId="5E8E9315"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1EAD818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Infarto miocardio no mortal</w:t>
            </w:r>
          </w:p>
          <w:p w14:paraId="014E8C95"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3D73EB9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Ictus (isquémico o hemorrágico</w:t>
            </w:r>
          </w:p>
          <w:p w14:paraId="23231525"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c>
          <w:tcPr>
            <w:tcW w:w="1426" w:type="dxa"/>
            <w:tcBorders>
              <w:top w:val="single" w:sz="4" w:space="0" w:color="000000"/>
              <w:left w:val="single" w:sz="4" w:space="0" w:color="000000"/>
              <w:bottom w:val="single" w:sz="4" w:space="0" w:color="000000"/>
            </w:tcBorders>
          </w:tcPr>
          <w:p w14:paraId="13EEFE5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2A0178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62B3CAF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-50,9</w:t>
            </w:r>
          </w:p>
          <w:p w14:paraId="267F658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0663A5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CD9F19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001594E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-48,6</w:t>
            </w:r>
          </w:p>
          <w:p w14:paraId="56FE5DE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766182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2BA5DF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-63,6</w:t>
            </w:r>
          </w:p>
          <w:p w14:paraId="62B3FB6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 </w:t>
            </w:r>
          </w:p>
          <w:p w14:paraId="2DBFEE5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7265BB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59A31F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-28</w:t>
            </w:r>
          </w:p>
          <w:p w14:paraId="177C5F9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96C3C4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8509B5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7648A5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-38,1</w:t>
            </w:r>
          </w:p>
          <w:p w14:paraId="671BD96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26F843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B2FA58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-41,6</w:t>
            </w:r>
          </w:p>
          <w:p w14:paraId="6DEE997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583421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78AC1D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-12</w:t>
            </w:r>
          </w:p>
          <w:p w14:paraId="313C624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493F91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BC7CE6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B45562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5E06D3D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-18,6</w:t>
            </w:r>
          </w:p>
          <w:p w14:paraId="46F97F1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C8DD16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7A8194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10,2</w:t>
            </w:r>
          </w:p>
          <w:p w14:paraId="26DF0BD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5D7114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6BE8B2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6ED90D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11,7</w:t>
            </w:r>
          </w:p>
          <w:p w14:paraId="22DA65F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F878B9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E0373F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51,9</w:t>
            </w:r>
          </w:p>
          <w:p w14:paraId="6585204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F34115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B8A36B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lastRenderedPageBreak/>
              <w:t>69,6</w:t>
            </w:r>
          </w:p>
          <w:p w14:paraId="1062950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0FAFE8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802B57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81,6</w:t>
            </w:r>
          </w:p>
          <w:p w14:paraId="0AF77F5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3DC73B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B50D24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6A0E07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7,8</w:t>
            </w:r>
          </w:p>
          <w:p w14:paraId="14CFFED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A6F336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714A97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EB66EB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(522/639) 81,7</w:t>
            </w:r>
          </w:p>
          <w:p w14:paraId="57C2EBB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BDA18B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8F2C54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487E40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(66/85) 77,6</w:t>
            </w:r>
          </w:p>
          <w:p w14:paraId="6C43BE3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DE4ACA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8C1565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3C1949C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7,8</w:t>
            </w:r>
          </w:p>
          <w:p w14:paraId="3131184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37D880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1,1</w:t>
            </w:r>
          </w:p>
          <w:p w14:paraId="41D94B4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82942C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0,4</w:t>
            </w:r>
          </w:p>
          <w:p w14:paraId="71F476C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A7EAFD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5,8</w:t>
            </w:r>
          </w:p>
          <w:p w14:paraId="792D112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0F76ED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0,5</w:t>
            </w:r>
          </w:p>
          <w:p w14:paraId="3F64032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c>
          <w:tcPr>
            <w:tcW w:w="1260" w:type="dxa"/>
            <w:tcBorders>
              <w:top w:val="single" w:sz="4" w:space="0" w:color="000000"/>
              <w:left w:val="single" w:sz="4" w:space="0" w:color="000000"/>
              <w:bottom w:val="single" w:sz="4" w:space="0" w:color="000000"/>
            </w:tcBorders>
          </w:tcPr>
          <w:p w14:paraId="7AD9A8D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B2FFAE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4AB8666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1,0</w:t>
            </w:r>
          </w:p>
          <w:p w14:paraId="1F3E318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FFEB7E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9E2B53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694E1E8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0,3</w:t>
            </w:r>
          </w:p>
          <w:p w14:paraId="74F6C37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9B5879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41EAFB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15,6 </w:t>
            </w:r>
          </w:p>
          <w:p w14:paraId="284740B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08997E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99524F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9B85D2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1,8</w:t>
            </w:r>
          </w:p>
          <w:p w14:paraId="30DB060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D81FDA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EECA65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7B72E8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0,8</w:t>
            </w:r>
          </w:p>
          <w:p w14:paraId="0981BF3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191CC0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14D8FC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2,1</w:t>
            </w:r>
          </w:p>
          <w:p w14:paraId="7791673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0324D8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4D4062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w:t>
            </w:r>
          </w:p>
          <w:p w14:paraId="14FC300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9CA4E3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126474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4893F5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604FD08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w:t>
            </w:r>
          </w:p>
          <w:p w14:paraId="7100E3A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A295D9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FF9773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4,1</w:t>
            </w:r>
          </w:p>
          <w:p w14:paraId="105EC29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E5BACE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E055E3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EFCD36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0,1</w:t>
            </w:r>
          </w:p>
          <w:p w14:paraId="7445F0D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A34BEA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483953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2,4</w:t>
            </w:r>
          </w:p>
          <w:p w14:paraId="17012D5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3341BF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121E4F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lastRenderedPageBreak/>
              <w:t>12,9</w:t>
            </w:r>
          </w:p>
          <w:p w14:paraId="2C5AAD5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DB84D2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275932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52,7</w:t>
            </w:r>
          </w:p>
          <w:p w14:paraId="439A6CB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64ABCB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C36B6C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A10067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38,9</w:t>
            </w:r>
          </w:p>
          <w:p w14:paraId="03D56A0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D50B9F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CFA765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F9AEA5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(103/644) 16</w:t>
            </w:r>
          </w:p>
          <w:p w14:paraId="751D7D7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76371B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D0D219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BCF521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(29/95) 30,5</w:t>
            </w:r>
          </w:p>
          <w:p w14:paraId="6B8DE05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CE4B0E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C63E12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EC0FDA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10,3</w:t>
            </w:r>
          </w:p>
          <w:p w14:paraId="1CCF551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8FF5AD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1,1</w:t>
            </w:r>
          </w:p>
          <w:p w14:paraId="574DF3D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490E00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w:t>
            </w:r>
          </w:p>
          <w:p w14:paraId="24EFC46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D4ED5C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8,5</w:t>
            </w:r>
          </w:p>
          <w:p w14:paraId="746AE5E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403209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w:t>
            </w:r>
          </w:p>
        </w:tc>
        <w:tc>
          <w:tcPr>
            <w:tcW w:w="1859" w:type="dxa"/>
            <w:tcBorders>
              <w:top w:val="single" w:sz="4" w:space="0" w:color="000000"/>
              <w:left w:val="single" w:sz="4" w:space="0" w:color="000000"/>
              <w:bottom w:val="single" w:sz="4" w:space="0" w:color="000000"/>
            </w:tcBorders>
          </w:tcPr>
          <w:p w14:paraId="47053D82"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2F156E1B"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lang w:val="en-US"/>
              </w:rPr>
            </w:pPr>
          </w:p>
          <w:p w14:paraId="642DDF64"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 xml:space="preserve">-51,9 </w:t>
            </w:r>
          </w:p>
          <w:p w14:paraId="4EDFFA82"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(-55 a -48,7)</w:t>
            </w:r>
          </w:p>
          <w:p w14:paraId="019A3EBF"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1565DFFC"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lang w:val="en-US"/>
              </w:rPr>
            </w:pPr>
          </w:p>
          <w:p w14:paraId="004E7BAD"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-48,9</w:t>
            </w:r>
          </w:p>
          <w:p w14:paraId="5DEB5282"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(-51,4 a -46,5)</w:t>
            </w:r>
          </w:p>
          <w:p w14:paraId="27C91F55"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69C3BEBE"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 xml:space="preserve">-79,3 </w:t>
            </w:r>
          </w:p>
          <w:p w14:paraId="15796813"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(-82 a -76,6)</w:t>
            </w:r>
          </w:p>
          <w:p w14:paraId="6D9A6DB4"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586F7332"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46A33914"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-29,8</w:t>
            </w:r>
          </w:p>
          <w:p w14:paraId="7ED18E07"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(-31,8 a -27,8)</w:t>
            </w:r>
          </w:p>
          <w:p w14:paraId="4842939C"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3D25A542"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-38,9</w:t>
            </w:r>
          </w:p>
          <w:p w14:paraId="6841A9CB"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(-41,2 a -36,7)</w:t>
            </w:r>
          </w:p>
          <w:p w14:paraId="3A1BC243"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55F8654C"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-43,3</w:t>
            </w:r>
          </w:p>
          <w:p w14:paraId="3552F019"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(-46 a -40,6)</w:t>
            </w:r>
          </w:p>
          <w:p w14:paraId="49D1C09B"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0ED6C5C4"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lang w:val="en-US"/>
              </w:rPr>
            </w:pPr>
          </w:p>
          <w:p w14:paraId="606DA04E"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-7</w:t>
            </w:r>
          </w:p>
          <w:p w14:paraId="68ABC1B3"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2032E96A"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5C3144DF"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692C1625"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lang w:val="en-US"/>
              </w:rPr>
            </w:pPr>
          </w:p>
          <w:p w14:paraId="5B5A824D"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-18,6</w:t>
            </w:r>
          </w:p>
          <w:p w14:paraId="3A459D4A"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1BAFE724"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46431FF4"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6,1</w:t>
            </w:r>
          </w:p>
          <w:p w14:paraId="182D9F3F"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2942F1EE"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0847FA3A"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OR (IC95%)</w:t>
            </w:r>
          </w:p>
          <w:p w14:paraId="4C57307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78,3 (12,1 a 507)</w:t>
            </w:r>
          </w:p>
          <w:p w14:paraId="47EB950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3C03BA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0BD4BE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42,7 (26,7 a 68,3)</w:t>
            </w:r>
          </w:p>
          <w:p w14:paraId="2916061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CF5195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1DA0F2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lastRenderedPageBreak/>
              <w:t>18,5 (14,2 a 24,1)</w:t>
            </w:r>
          </w:p>
          <w:p w14:paraId="5583F7E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2CA1D5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ED3F32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6,8 (5,1 a 9)</w:t>
            </w:r>
          </w:p>
          <w:p w14:paraId="0423547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A6C2F6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363318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F70AB5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0,1(0,1 a 0,2)</w:t>
            </w:r>
          </w:p>
          <w:p w14:paraId="706AF10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1AD055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5B1A66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B499D2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21FA69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34676C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14853B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EBF702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13DC97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A663FC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FA9B0E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BF542D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B12550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c>
          <w:tcPr>
            <w:tcW w:w="915" w:type="dxa"/>
            <w:tcBorders>
              <w:top w:val="single" w:sz="4" w:space="0" w:color="000000"/>
              <w:left w:val="single" w:sz="4" w:space="0" w:color="000000"/>
              <w:bottom w:val="single" w:sz="4" w:space="0" w:color="000000"/>
            </w:tcBorders>
          </w:tcPr>
          <w:p w14:paraId="4953B6A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2B92A30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sz w:val="16"/>
                <w:szCs w:val="16"/>
                <w:vertAlign w:val="baseline"/>
              </w:rPr>
            </w:pPr>
          </w:p>
          <w:p w14:paraId="6CD0C4FE" w14:textId="77777777" w:rsidR="000345B6" w:rsidRDefault="000345B6" w:rsidP="000345B6">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094B4E7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90D3C9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9B340F4" w14:textId="77777777" w:rsidR="000345B6" w:rsidRDefault="000345B6" w:rsidP="000345B6">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97C3749" w14:textId="58A4147F" w:rsidR="000345B6" w:rsidRDefault="000345B6" w:rsidP="000345B6">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55F7EE9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617664F" w14:textId="4B4B60F8" w:rsidR="000345B6" w:rsidRPr="000345B6" w:rsidRDefault="000345B6" w:rsidP="000345B6">
            <w:pPr>
              <w:pStyle w:val="WW-normal"/>
              <w:ind w:leftChars="0" w:left="0" w:firstLineChars="0" w:firstLine="0"/>
              <w:rPr>
                <w:rFonts w:eastAsia="Arial"/>
              </w:rPr>
            </w:pPr>
          </w:p>
          <w:p w14:paraId="77D8D14A" w14:textId="77777777" w:rsidR="000345B6" w:rsidRDefault="000345B6" w:rsidP="000345B6">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509EE6E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B0DD9E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D6C670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784A322" w14:textId="77777777" w:rsidR="000345B6" w:rsidRDefault="000345B6" w:rsidP="000345B6">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39C1B64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AAAF5F2" w14:textId="141D268C" w:rsidR="00634CDF" w:rsidRDefault="00634CDF" w:rsidP="000345B6">
            <w:pPr>
              <w:pBdr>
                <w:top w:val="nil"/>
                <w:left w:val="nil"/>
                <w:bottom w:val="nil"/>
                <w:right w:val="nil"/>
                <w:between w:val="nil"/>
              </w:pBdr>
              <w:spacing w:line="240" w:lineRule="auto"/>
              <w:ind w:leftChars="0" w:left="0" w:firstLineChars="0" w:firstLine="0"/>
              <w:rPr>
                <w:rFonts w:ascii="Arial" w:eastAsia="Arial" w:hAnsi="Arial" w:cs="Arial"/>
                <w:color w:val="000000"/>
                <w:sz w:val="16"/>
                <w:szCs w:val="16"/>
                <w:vertAlign w:val="baseline"/>
              </w:rPr>
            </w:pPr>
          </w:p>
          <w:p w14:paraId="52E50B29" w14:textId="77777777" w:rsidR="000345B6" w:rsidRDefault="000345B6" w:rsidP="000345B6">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4488108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8753737" w14:textId="1EC272DE" w:rsidR="00634CDF" w:rsidRDefault="00634CDF" w:rsidP="000345B6">
            <w:pPr>
              <w:pBdr>
                <w:top w:val="nil"/>
                <w:left w:val="nil"/>
                <w:bottom w:val="nil"/>
                <w:right w:val="nil"/>
                <w:between w:val="nil"/>
              </w:pBdr>
              <w:spacing w:line="240" w:lineRule="auto"/>
              <w:ind w:leftChars="0" w:left="0" w:firstLineChars="0" w:firstLine="0"/>
              <w:rPr>
                <w:rFonts w:ascii="Arial" w:eastAsia="Arial" w:hAnsi="Arial" w:cs="Arial"/>
                <w:color w:val="000000"/>
                <w:sz w:val="16"/>
                <w:szCs w:val="16"/>
                <w:vertAlign w:val="baseline"/>
              </w:rPr>
            </w:pPr>
          </w:p>
          <w:p w14:paraId="0FAAB57E" w14:textId="77777777" w:rsidR="000345B6" w:rsidRDefault="000345B6" w:rsidP="000345B6">
            <w:pPr>
              <w:pBdr>
                <w:top w:val="nil"/>
                <w:left w:val="nil"/>
                <w:bottom w:val="nil"/>
                <w:right w:val="nil"/>
                <w:between w:val="nil"/>
              </w:pBdr>
              <w:spacing w:line="240" w:lineRule="auto"/>
              <w:ind w:left="0" w:hanging="2"/>
              <w:jc w:val="center"/>
              <w:rPr>
                <w:color w:val="000000"/>
                <w:vertAlign w:val="baseline"/>
              </w:rPr>
            </w:pPr>
            <w:r w:rsidRPr="000D6498">
              <w:rPr>
                <w:rFonts w:ascii="Arial" w:eastAsia="Arial" w:hAnsi="Arial" w:cs="Arial"/>
                <w:color w:val="000000"/>
                <w:sz w:val="16"/>
                <w:szCs w:val="16"/>
                <w:vertAlign w:val="baseline"/>
              </w:rPr>
              <w:t>&lt;</w:t>
            </w:r>
            <w:r>
              <w:rPr>
                <w:rFonts w:ascii="Arial" w:eastAsia="Arial" w:hAnsi="Arial" w:cs="Arial"/>
                <w:color w:val="000000"/>
                <w:sz w:val="16"/>
                <w:szCs w:val="16"/>
                <w:vertAlign w:val="baseline"/>
              </w:rPr>
              <w:t>0,0001</w:t>
            </w:r>
          </w:p>
          <w:p w14:paraId="5667BC0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c>
          <w:tcPr>
            <w:tcW w:w="810" w:type="dxa"/>
            <w:tcBorders>
              <w:top w:val="single" w:sz="4" w:space="0" w:color="000000"/>
              <w:left w:val="single" w:sz="4" w:space="0" w:color="000000"/>
              <w:bottom w:val="single" w:sz="4" w:space="0" w:color="000000"/>
              <w:right w:val="single" w:sz="4" w:space="0" w:color="000000"/>
            </w:tcBorders>
          </w:tcPr>
          <w:p w14:paraId="64A623A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r>
    </w:tbl>
    <w:p w14:paraId="60855DC1"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80"/>
          <w:sz w:val="20"/>
          <w:szCs w:val="20"/>
          <w:vertAlign w:val="baseline"/>
        </w:rPr>
      </w:pPr>
      <w:bookmarkStart w:id="18" w:name="_heading=h.z337ya" w:colFirst="0" w:colLast="0"/>
      <w:bookmarkEnd w:id="18"/>
    </w:p>
    <w:p w14:paraId="4ECCCEDF" w14:textId="31D67A52"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bookmarkStart w:id="19" w:name="_heading=h.62j3og42qfxt" w:colFirst="0" w:colLast="0"/>
      <w:bookmarkEnd w:id="19"/>
      <w:r>
        <w:rPr>
          <w:rFonts w:ascii="Arial" w:eastAsia="Arial" w:hAnsi="Arial" w:cs="Arial"/>
          <w:color w:val="000000"/>
          <w:sz w:val="20"/>
          <w:szCs w:val="20"/>
          <w:vertAlign w:val="baseline"/>
        </w:rPr>
        <w:lastRenderedPageBreak/>
        <w:t>Figura</w:t>
      </w:r>
      <w:r>
        <w:rPr>
          <w:rFonts w:ascii="Arial" w:eastAsia="Arial" w:hAnsi="Arial" w:cs="Arial"/>
          <w:sz w:val="20"/>
          <w:szCs w:val="20"/>
          <w:vertAlign w:val="baseline"/>
        </w:rPr>
        <w:t xml:space="preserve"> 7</w:t>
      </w:r>
      <w:r>
        <w:rPr>
          <w:rFonts w:ascii="Arial" w:eastAsia="Arial" w:hAnsi="Arial" w:cs="Arial"/>
          <w:color w:val="000000"/>
          <w:sz w:val="20"/>
          <w:szCs w:val="20"/>
          <w:vertAlign w:val="baseline"/>
        </w:rPr>
        <w:t xml:space="preserve"> (Tomada del </w:t>
      </w:r>
      <w:r>
        <w:rPr>
          <w:rFonts w:ascii="Arial" w:eastAsia="Arial" w:hAnsi="Arial" w:cs="Arial"/>
          <w:sz w:val="20"/>
          <w:szCs w:val="20"/>
          <w:vertAlign w:val="baseline"/>
        </w:rPr>
        <w:t>EPAR</w:t>
      </w:r>
      <w:r>
        <w:rPr>
          <w:rFonts w:ascii="Arial" w:eastAsia="Arial" w:hAnsi="Arial" w:cs="Arial"/>
          <w:color w:val="000000"/>
          <w:sz w:val="20"/>
          <w:szCs w:val="20"/>
          <w:vertAlign w:val="baseline"/>
        </w:rPr>
        <w:t xml:space="preserve">). Análisis de subgrupos variable principal </w:t>
      </w:r>
      <w:r>
        <w:rPr>
          <w:rFonts w:ascii="Arial" w:eastAsia="Arial" w:hAnsi="Arial" w:cs="Arial"/>
          <w:sz w:val="20"/>
          <w:szCs w:val="20"/>
          <w:vertAlign w:val="baseline"/>
        </w:rPr>
        <w:t>porcentaje</w:t>
      </w:r>
      <w:r>
        <w:rPr>
          <w:rFonts w:ascii="Arial" w:eastAsia="Arial" w:hAnsi="Arial" w:cs="Arial"/>
          <w:color w:val="000000"/>
          <w:sz w:val="20"/>
          <w:szCs w:val="20"/>
          <w:vertAlign w:val="baseline"/>
        </w:rPr>
        <w:t xml:space="preserve"> de cambio respecto al basal en nivel de LDL el día 510</w:t>
      </w:r>
      <w:r>
        <w:rPr>
          <w:rFonts w:ascii="Arial" w:eastAsia="Arial" w:hAnsi="Arial" w:cs="Arial"/>
          <w:sz w:val="20"/>
          <w:szCs w:val="20"/>
          <w:vertAlign w:val="baseline"/>
        </w:rPr>
        <w:t>.</w:t>
      </w:r>
      <w:r>
        <w:rPr>
          <w:noProof/>
          <w:color w:val="000000"/>
          <w:vertAlign w:val="baseline"/>
          <w:lang w:eastAsia="es-ES"/>
        </w:rPr>
        <w:drawing>
          <wp:inline distT="0" distB="0" distL="114300" distR="114300" wp14:anchorId="3461CAD1" wp14:editId="26AE8B12">
            <wp:extent cx="5534025" cy="6124575"/>
            <wp:effectExtent l="0" t="0" r="0" b="0"/>
            <wp:docPr id="107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5534025" cy="6124575"/>
                    </a:xfrm>
                    <a:prstGeom prst="rect">
                      <a:avLst/>
                    </a:prstGeom>
                    <a:ln/>
                  </pic:spPr>
                </pic:pic>
              </a:graphicData>
            </a:graphic>
          </wp:inline>
        </w:drawing>
      </w:r>
    </w:p>
    <w:p w14:paraId="2229208C"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bookmarkStart w:id="20" w:name="_heading=h.t1ih1ba6fwoz" w:colFirst="0" w:colLast="0"/>
      <w:bookmarkEnd w:id="20"/>
    </w:p>
    <w:p w14:paraId="408263CB" w14:textId="77777777" w:rsidR="00E2604B" w:rsidRDefault="00E2604B">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028EE40" w14:textId="77777777" w:rsidR="00E2604B" w:rsidRDefault="00E2604B">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71EF442F" w14:textId="77777777" w:rsidR="00E2604B" w:rsidRDefault="00E2604B">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74905415" w14:textId="77777777" w:rsidR="00E2604B" w:rsidRDefault="00E2604B">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732B3334" w14:textId="77777777" w:rsidR="00E2604B" w:rsidRDefault="00E2604B">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3F8E3D5" w14:textId="77777777" w:rsidR="00E2604B" w:rsidRDefault="00E2604B">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60FF6DEC" w14:textId="77777777" w:rsidR="00E2604B" w:rsidRDefault="00E2604B">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45E1B06" w14:textId="77777777" w:rsidR="00E2604B" w:rsidRDefault="00E2604B">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73294376" w14:textId="77777777" w:rsidR="00E2604B" w:rsidRDefault="00E2604B">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7686DC30" w14:textId="77777777" w:rsidR="00E2604B" w:rsidRDefault="00E2604B">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44D3608" w14:textId="77777777" w:rsidR="00E2604B" w:rsidRDefault="00E2604B">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0A795AAB" w14:textId="77777777" w:rsidR="00E2604B" w:rsidRDefault="00E2604B">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691C4B69" w14:textId="77777777" w:rsidR="00E2604B" w:rsidRDefault="00E2604B">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087B03B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bookmarkStart w:id="21" w:name="_heading=h.59dy6z317pcs" w:colFirst="0" w:colLast="0"/>
      <w:bookmarkEnd w:id="21"/>
    </w:p>
    <w:p w14:paraId="724AE144"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noProof/>
          <w:color w:val="000000"/>
          <w:vertAlign w:val="baseline"/>
          <w:lang w:eastAsia="es-ES"/>
        </w:rPr>
        <w:drawing>
          <wp:inline distT="0" distB="0" distL="114300" distR="114300" wp14:anchorId="1119EE89" wp14:editId="2AE0ABB4">
            <wp:extent cx="5153025" cy="5705475"/>
            <wp:effectExtent l="0" t="0" r="0" b="0"/>
            <wp:docPr id="1074"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0"/>
                    <a:srcRect/>
                    <a:stretch>
                      <a:fillRect/>
                    </a:stretch>
                  </pic:blipFill>
                  <pic:spPr>
                    <a:xfrm>
                      <a:off x="0" y="0"/>
                      <a:ext cx="5153025" cy="5705475"/>
                    </a:xfrm>
                    <a:prstGeom prst="rect">
                      <a:avLst/>
                    </a:prstGeom>
                    <a:ln/>
                  </pic:spPr>
                </pic:pic>
              </a:graphicData>
            </a:graphic>
          </wp:inline>
        </w:drawing>
      </w:r>
    </w:p>
    <w:p w14:paraId="3DB0E0B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bookmarkStart w:id="22" w:name="_heading=h.9cn8b8bwalz3" w:colFirst="0" w:colLast="0"/>
      <w:bookmarkEnd w:id="22"/>
    </w:p>
    <w:p w14:paraId="45A9C5CA"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D15B326" w14:textId="6572DB30" w:rsidR="00634CDF" w:rsidRDefault="009F44E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bookmarkStart w:id="23" w:name="_heading=h.3uia4vtwosnw" w:colFirst="0" w:colLast="0"/>
      <w:bookmarkEnd w:id="23"/>
      <w:r w:rsidRPr="009F44EF">
        <w:rPr>
          <w:rFonts w:ascii="Arial" w:eastAsia="Arial" w:hAnsi="Arial" w:cs="Arial"/>
          <w:color w:val="000000"/>
          <w:sz w:val="20"/>
          <w:szCs w:val="20"/>
          <w:vertAlign w:val="baseline"/>
        </w:rPr>
        <w:t>Figura 8 (Tomada del EPAR). Análisis de subgrupos de variable principal cambio porcentual medio desde el nivel basal tras el día 90 y hasta el día 540.</w:t>
      </w:r>
    </w:p>
    <w:p w14:paraId="4B6065B5" w14:textId="54317AE1" w:rsidR="00634CDF" w:rsidRDefault="00634CDF" w:rsidP="009F44EF">
      <w:pPr>
        <w:pBdr>
          <w:top w:val="nil"/>
          <w:left w:val="nil"/>
          <w:bottom w:val="nil"/>
          <w:right w:val="nil"/>
          <w:between w:val="nil"/>
        </w:pBdr>
        <w:spacing w:line="240" w:lineRule="auto"/>
        <w:ind w:leftChars="0" w:left="0" w:firstLineChars="0" w:firstLine="0"/>
        <w:jc w:val="both"/>
        <w:rPr>
          <w:rFonts w:ascii="Arial" w:eastAsia="Arial" w:hAnsi="Arial" w:cs="Arial"/>
          <w:color w:val="000000"/>
          <w:sz w:val="20"/>
          <w:szCs w:val="20"/>
          <w:vertAlign w:val="baseline"/>
        </w:rPr>
      </w:pPr>
      <w:bookmarkStart w:id="24" w:name="_heading=h.x9jljambtp0m" w:colFirst="0" w:colLast="0"/>
      <w:bookmarkStart w:id="25" w:name="_heading=h.f9a6kpj9o837" w:colFirst="0" w:colLast="0"/>
      <w:bookmarkStart w:id="26" w:name="_heading=h.ra7iivjqf5o4" w:colFirst="0" w:colLast="0"/>
      <w:bookmarkStart w:id="27" w:name="_heading=h.wgi572otwx19" w:colFirst="0" w:colLast="0"/>
      <w:bookmarkStart w:id="28" w:name="_heading=h.rrmzvoe4x3b4" w:colFirst="0" w:colLast="0"/>
      <w:bookmarkStart w:id="29" w:name="_heading=h.sctpgpl4b9r5" w:colFirst="0" w:colLast="0"/>
      <w:bookmarkStart w:id="30" w:name="_heading=h.psbq9p4mjpw" w:colFirst="0" w:colLast="0"/>
      <w:bookmarkStart w:id="31" w:name="_heading=h.il9ax8xxdp28" w:colFirst="0" w:colLast="0"/>
      <w:bookmarkStart w:id="32" w:name="_heading=h.ltf7amfzwghk" w:colFirst="0" w:colLast="0"/>
      <w:bookmarkStart w:id="33" w:name="_heading=h.74x0y0dvea4t" w:colFirst="0" w:colLast="0"/>
      <w:bookmarkStart w:id="34" w:name="_heading=h.lknja3w15wyt" w:colFirst="0" w:colLast="0"/>
      <w:bookmarkStart w:id="35" w:name="_heading=h.lxsr534unt5e" w:colFirst="0" w:colLast="0"/>
      <w:bookmarkStart w:id="36" w:name="_heading=h.7r9210ghyo8h" w:colFirst="0" w:colLast="0"/>
      <w:bookmarkEnd w:id="24"/>
      <w:bookmarkEnd w:id="25"/>
      <w:bookmarkEnd w:id="26"/>
      <w:bookmarkEnd w:id="27"/>
      <w:bookmarkEnd w:id="28"/>
      <w:bookmarkEnd w:id="29"/>
      <w:bookmarkEnd w:id="30"/>
      <w:bookmarkEnd w:id="31"/>
      <w:bookmarkEnd w:id="32"/>
      <w:bookmarkEnd w:id="33"/>
      <w:bookmarkEnd w:id="34"/>
      <w:bookmarkEnd w:id="35"/>
      <w:bookmarkEnd w:id="36"/>
    </w:p>
    <w:p w14:paraId="4C2AAC2A"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bookmarkStart w:id="37" w:name="_heading=h.62ikk2cajk0y" w:colFirst="0" w:colLast="0"/>
      <w:bookmarkEnd w:id="37"/>
    </w:p>
    <w:p w14:paraId="1C1BB82D"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bookmarkStart w:id="38" w:name="_heading=h.3j2qqm3" w:colFirst="0" w:colLast="0"/>
      <w:bookmarkEnd w:id="38"/>
      <w:r>
        <w:rPr>
          <w:rFonts w:ascii="Cambria" w:eastAsia="Cambria" w:hAnsi="Cambria" w:cs="Cambria"/>
          <w:b/>
          <w:color w:val="000000"/>
          <w:sz w:val="20"/>
          <w:szCs w:val="20"/>
          <w:vertAlign w:val="baseline"/>
        </w:rPr>
        <w:t xml:space="preserve">5.2.b Evaluación de la validez y de la utilidad práctica de los resultados </w:t>
      </w:r>
    </w:p>
    <w:p w14:paraId="6E7565EB" w14:textId="77777777" w:rsidR="00634CDF" w:rsidRDefault="00634CDF">
      <w:pPr>
        <w:pBdr>
          <w:top w:val="nil"/>
          <w:left w:val="nil"/>
          <w:bottom w:val="nil"/>
          <w:right w:val="nil"/>
          <w:between w:val="nil"/>
        </w:pBdr>
        <w:spacing w:line="240" w:lineRule="auto"/>
        <w:ind w:left="0" w:hanging="2"/>
        <w:jc w:val="both"/>
        <w:rPr>
          <w:color w:val="000080"/>
          <w:sz w:val="20"/>
          <w:szCs w:val="20"/>
          <w:vertAlign w:val="baseline"/>
        </w:rPr>
      </w:pPr>
    </w:p>
    <w:p w14:paraId="28D3E4D4" w14:textId="77777777" w:rsidR="00634CDF" w:rsidRDefault="00F0051D">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color w:val="000000"/>
          <w:vertAlign w:val="baseline"/>
        </w:rPr>
      </w:pPr>
      <w:r>
        <w:rPr>
          <w:color w:val="333300"/>
          <w:sz w:val="20"/>
          <w:szCs w:val="20"/>
          <w:vertAlign w:val="baseline"/>
        </w:rPr>
        <w:t>A. Validez interna. Limitaciones de diseño y/o comentarios:</w:t>
      </w:r>
    </w:p>
    <w:p w14:paraId="63FE679D"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20"/>
          <w:szCs w:val="20"/>
          <w:vertAlign w:val="baseline"/>
        </w:rPr>
        <w:t>Los tres estudios tenían diseños similares para favorecer el agregado de los datos. Tenían los mismos objetivos, variables, valoración de protocolo, reporte de eventos adversos, recogida de datos y métodos estadísticos.</w:t>
      </w:r>
    </w:p>
    <w:p w14:paraId="31D9E0A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20"/>
          <w:szCs w:val="20"/>
          <w:u w:val="single"/>
          <w:vertAlign w:val="baseline"/>
        </w:rPr>
        <w:t>DISEÑO</w:t>
      </w:r>
      <w:r>
        <w:rPr>
          <w:rFonts w:ascii="Arial" w:eastAsia="Arial" w:hAnsi="Arial" w:cs="Arial"/>
          <w:color w:val="000000"/>
          <w:sz w:val="20"/>
          <w:szCs w:val="20"/>
          <w:vertAlign w:val="baseline"/>
        </w:rPr>
        <w:t>:</w:t>
      </w:r>
    </w:p>
    <w:p w14:paraId="0E8B5E3A" w14:textId="28CE18F6" w:rsidR="00634CDF" w:rsidRDefault="00F0051D">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r>
        <w:rPr>
          <w:rFonts w:ascii="Arial" w:eastAsia="Arial" w:hAnsi="Arial" w:cs="Arial"/>
          <w:color w:val="000000"/>
          <w:sz w:val="20"/>
          <w:szCs w:val="20"/>
          <w:vertAlign w:val="baseline"/>
        </w:rPr>
        <w:t xml:space="preserve">El diseño es común para los tres estudios. Son ensayos aleatorizados, </w:t>
      </w:r>
      <w:r w:rsidR="00BE6062">
        <w:rPr>
          <w:rFonts w:ascii="Arial" w:eastAsia="Arial" w:hAnsi="Arial" w:cs="Arial"/>
          <w:color w:val="000000"/>
          <w:sz w:val="20"/>
          <w:szCs w:val="20"/>
          <w:vertAlign w:val="baseline"/>
        </w:rPr>
        <w:t>multicéntrico</w:t>
      </w:r>
      <w:r>
        <w:rPr>
          <w:rFonts w:ascii="Arial" w:eastAsia="Arial" w:hAnsi="Arial" w:cs="Arial"/>
          <w:color w:val="000000"/>
          <w:sz w:val="20"/>
          <w:szCs w:val="20"/>
          <w:vertAlign w:val="baseline"/>
        </w:rPr>
        <w:t>, doble ciego y controlados con placebo. La validez interna es elevada y hay baja probabilidad de sesgo.</w:t>
      </w:r>
    </w:p>
    <w:p w14:paraId="13AA9377" w14:textId="77777777" w:rsidR="00634CDF" w:rsidRDefault="00634CDF">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p>
    <w:p w14:paraId="11E7FF2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El ensayo ORION-9 se realizó en Canadá, República Checa, Dinamarca, Países Bajos, Sudáfrica, España y Suecia. </w:t>
      </w:r>
      <w:r>
        <w:rPr>
          <w:rFonts w:ascii="Arial" w:eastAsia="Arial" w:hAnsi="Arial" w:cs="Arial"/>
          <w:sz w:val="20"/>
          <w:szCs w:val="20"/>
          <w:vertAlign w:val="baseline"/>
        </w:rPr>
        <w:t>Para este estudio, asumiendo una</w:t>
      </w:r>
      <w:r>
        <w:rPr>
          <w:rFonts w:ascii="Arial" w:eastAsia="Arial" w:hAnsi="Arial" w:cs="Arial"/>
          <w:color w:val="000000"/>
          <w:sz w:val="20"/>
          <w:szCs w:val="20"/>
          <w:vertAlign w:val="baseline"/>
        </w:rPr>
        <w:t xml:space="preserve"> tasa de abandonos del 5% el tamaño muestral era de aproximadamente 380 sujetos, que proporcionaba una potencia de más del 90% para detectar una reducción del 30% en los niveles de LDL entre ambos grupos, con un</w:t>
      </w:r>
      <w:r>
        <w:rPr>
          <w:rFonts w:ascii="Arial" w:eastAsia="Arial" w:hAnsi="Arial" w:cs="Arial"/>
          <w:color w:val="000000"/>
          <w:sz w:val="22"/>
          <w:szCs w:val="22"/>
          <w:vertAlign w:val="baseline"/>
        </w:rPr>
        <w:t xml:space="preserve"> </w:t>
      </w:r>
      <w:r>
        <w:rPr>
          <w:rFonts w:ascii="Arial" w:eastAsia="Arial" w:hAnsi="Arial" w:cs="Arial"/>
          <w:color w:val="000000"/>
          <w:sz w:val="20"/>
          <w:szCs w:val="20"/>
          <w:vertAlign w:val="baseline"/>
        </w:rPr>
        <w:t>nivel</w:t>
      </w:r>
      <w:r>
        <w:rPr>
          <w:rFonts w:ascii="Arial" w:eastAsia="Arial" w:hAnsi="Arial" w:cs="Arial"/>
          <w:color w:val="000000"/>
          <w:sz w:val="22"/>
          <w:szCs w:val="22"/>
          <w:vertAlign w:val="baseline"/>
        </w:rPr>
        <w:t xml:space="preserve"> </w:t>
      </w:r>
      <w:r>
        <w:rPr>
          <w:rFonts w:ascii="Arial" w:eastAsia="Arial" w:hAnsi="Arial" w:cs="Arial"/>
          <w:color w:val="000000"/>
          <w:sz w:val="20"/>
          <w:szCs w:val="20"/>
          <w:vertAlign w:val="baseline"/>
        </w:rPr>
        <w:t xml:space="preserve">de significancia del 0,025. Debido al reclutamiento más rápido de lo estimado, se reclutaron 482 sujetos. Este tamaño muestral contribuyó a los resultados adicionales de seguridad y no </w:t>
      </w:r>
      <w:r>
        <w:rPr>
          <w:rFonts w:ascii="Arial" w:eastAsia="Arial" w:hAnsi="Arial" w:cs="Arial"/>
          <w:sz w:val="20"/>
          <w:szCs w:val="20"/>
          <w:vertAlign w:val="baseline"/>
        </w:rPr>
        <w:t xml:space="preserve">afectó </w:t>
      </w:r>
      <w:r>
        <w:rPr>
          <w:rFonts w:ascii="Arial" w:eastAsia="Arial" w:hAnsi="Arial" w:cs="Arial"/>
          <w:color w:val="000000"/>
          <w:sz w:val="20"/>
          <w:szCs w:val="20"/>
          <w:vertAlign w:val="baseline"/>
        </w:rPr>
        <w:t>apreciablemente a los cálculos de potencia del estudio.</w:t>
      </w:r>
    </w:p>
    <w:p w14:paraId="0C33E9CA"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3E9C987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El ORION-10 se desarrolló en EEUU y el ORION-11, en República Checa, Alemania, Hungría, Países Bajos, Polonia, Sudáfrica, Reino Unido y Ucrania.</w:t>
      </w:r>
    </w:p>
    <w:p w14:paraId="1891DBE8"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2EAE227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20"/>
          <w:szCs w:val="20"/>
          <w:u w:val="single"/>
          <w:vertAlign w:val="baseline"/>
        </w:rPr>
        <w:t>SEGUIMIENTO Y ANÁLISIS DE LOS RESULTADOS</w:t>
      </w:r>
      <w:r>
        <w:rPr>
          <w:rFonts w:ascii="Arial" w:eastAsia="Arial" w:hAnsi="Arial" w:cs="Arial"/>
          <w:color w:val="000000"/>
          <w:sz w:val="20"/>
          <w:szCs w:val="20"/>
          <w:vertAlign w:val="baseline"/>
        </w:rPr>
        <w:t>:</w:t>
      </w:r>
    </w:p>
    <w:p w14:paraId="696DA24C"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2DF820B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20"/>
          <w:szCs w:val="20"/>
          <w:vertAlign w:val="baseline"/>
        </w:rPr>
        <w:t>La duración de los estudios es hasta el día 540 (18 meses). El diseño de los estudios se refleja en la siguiente figura:</w:t>
      </w:r>
    </w:p>
    <w:p w14:paraId="230CD86A"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3ED7279C" w14:textId="77777777" w:rsidR="00634CDF" w:rsidRDefault="00F0051D">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r>
        <w:rPr>
          <w:noProof/>
          <w:color w:val="000000"/>
          <w:vertAlign w:val="baseline"/>
          <w:lang w:eastAsia="es-ES"/>
        </w:rPr>
        <w:drawing>
          <wp:inline distT="0" distB="0" distL="114300" distR="114300" wp14:anchorId="0827D922" wp14:editId="7BC19E6D">
            <wp:extent cx="4924425" cy="1752600"/>
            <wp:effectExtent l="0" t="0" r="0" b="0"/>
            <wp:docPr id="1075"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1"/>
                    <a:srcRect/>
                    <a:stretch>
                      <a:fillRect/>
                    </a:stretch>
                  </pic:blipFill>
                  <pic:spPr>
                    <a:xfrm>
                      <a:off x="0" y="0"/>
                      <a:ext cx="4924425" cy="1752600"/>
                    </a:xfrm>
                    <a:prstGeom prst="rect">
                      <a:avLst/>
                    </a:prstGeom>
                    <a:ln/>
                  </pic:spPr>
                </pic:pic>
              </a:graphicData>
            </a:graphic>
          </wp:inline>
        </w:drawing>
      </w:r>
    </w:p>
    <w:p w14:paraId="5F1761F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20"/>
          <w:szCs w:val="20"/>
          <w:vertAlign w:val="baseline"/>
        </w:rPr>
        <w:t xml:space="preserve">Figura </w:t>
      </w:r>
      <w:r>
        <w:rPr>
          <w:rFonts w:ascii="Arial" w:eastAsia="Arial" w:hAnsi="Arial" w:cs="Arial"/>
          <w:sz w:val="20"/>
          <w:szCs w:val="20"/>
          <w:vertAlign w:val="baseline"/>
        </w:rPr>
        <w:t>9</w:t>
      </w:r>
      <w:r>
        <w:rPr>
          <w:rFonts w:ascii="Arial" w:eastAsia="Arial" w:hAnsi="Arial" w:cs="Arial"/>
          <w:color w:val="000000"/>
          <w:sz w:val="20"/>
          <w:szCs w:val="20"/>
          <w:vertAlign w:val="baseline"/>
        </w:rPr>
        <w:t xml:space="preserve">. </w:t>
      </w:r>
      <w:r>
        <w:rPr>
          <w:rFonts w:ascii="Arial" w:eastAsia="Arial" w:hAnsi="Arial" w:cs="Arial"/>
          <w:sz w:val="20"/>
          <w:szCs w:val="20"/>
          <w:vertAlign w:val="baseline"/>
        </w:rPr>
        <w:t>Tomada del EPAR.</w:t>
      </w:r>
      <w:r>
        <w:rPr>
          <w:rFonts w:ascii="Arial" w:eastAsia="Arial" w:hAnsi="Arial" w:cs="Arial"/>
          <w:color w:val="000000"/>
          <w:sz w:val="20"/>
          <w:szCs w:val="20"/>
          <w:vertAlign w:val="baseline"/>
        </w:rPr>
        <w:t xml:space="preserve"> Diseño común de los tres ensayos pivotales.</w:t>
      </w:r>
    </w:p>
    <w:p w14:paraId="1F170A58" w14:textId="77777777" w:rsidR="00634CDF" w:rsidRDefault="00634CDF">
      <w:pPr>
        <w:pBdr>
          <w:top w:val="nil"/>
          <w:left w:val="nil"/>
          <w:bottom w:val="nil"/>
          <w:right w:val="nil"/>
          <w:between w:val="nil"/>
        </w:pBdr>
        <w:spacing w:line="240" w:lineRule="auto"/>
        <w:ind w:left="0" w:hanging="2"/>
        <w:rPr>
          <w:rFonts w:ascii="Arial" w:eastAsia="Arial" w:hAnsi="Arial" w:cs="Arial"/>
          <w:color w:val="000080"/>
          <w:sz w:val="20"/>
          <w:szCs w:val="20"/>
          <w:vertAlign w:val="baseline"/>
        </w:rPr>
      </w:pPr>
    </w:p>
    <w:p w14:paraId="51F486DE"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20"/>
          <w:szCs w:val="20"/>
          <w:vertAlign w:val="baseline"/>
        </w:rPr>
        <w:t>En relación al seguimiento, en todos los ensayos se especifica de manera clara la relación de pérdidas y sus causas. No se presentan pérdidas importantes que hagan pensar que puedan estar perdiéndose datos relevantes de cara a los resultados que se pretenden demostrar según el diseño de los estudios.</w:t>
      </w:r>
    </w:p>
    <w:p w14:paraId="2CE6D5A1"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20"/>
          <w:szCs w:val="20"/>
          <w:vertAlign w:val="baseline"/>
        </w:rPr>
        <w:t>En todos los ensayos el análisis de la variable principal y de las secundarias importantes se realiza por intención de tratar.</w:t>
      </w:r>
    </w:p>
    <w:p w14:paraId="2E9E594E" w14:textId="77777777" w:rsidR="00634CDF" w:rsidRDefault="00634CDF">
      <w:pPr>
        <w:pBdr>
          <w:top w:val="nil"/>
          <w:left w:val="nil"/>
          <w:bottom w:val="nil"/>
          <w:right w:val="nil"/>
          <w:between w:val="nil"/>
        </w:pBdr>
        <w:spacing w:line="240" w:lineRule="auto"/>
        <w:ind w:left="0" w:hanging="2"/>
        <w:rPr>
          <w:rFonts w:ascii="Arial" w:eastAsia="Arial" w:hAnsi="Arial" w:cs="Arial"/>
          <w:color w:val="000080"/>
          <w:sz w:val="20"/>
          <w:szCs w:val="20"/>
          <w:vertAlign w:val="baseline"/>
        </w:rPr>
      </w:pPr>
    </w:p>
    <w:p w14:paraId="0BD4DAAF" w14:textId="77777777" w:rsidR="00634CDF" w:rsidRDefault="00634CDF">
      <w:pPr>
        <w:pBdr>
          <w:top w:val="nil"/>
          <w:left w:val="nil"/>
          <w:bottom w:val="nil"/>
          <w:right w:val="nil"/>
          <w:between w:val="nil"/>
        </w:pBdr>
        <w:spacing w:line="240" w:lineRule="auto"/>
        <w:ind w:left="0" w:hanging="2"/>
        <w:rPr>
          <w:rFonts w:ascii="Arial" w:eastAsia="Arial" w:hAnsi="Arial" w:cs="Arial"/>
          <w:color w:val="000080"/>
          <w:sz w:val="20"/>
          <w:szCs w:val="20"/>
          <w:vertAlign w:val="baseline"/>
        </w:rPr>
      </w:pPr>
    </w:p>
    <w:p w14:paraId="7FD61AC7" w14:textId="77777777" w:rsidR="00634CDF" w:rsidRDefault="00634CDF">
      <w:pPr>
        <w:pBdr>
          <w:top w:val="nil"/>
          <w:left w:val="nil"/>
          <w:bottom w:val="nil"/>
          <w:right w:val="nil"/>
          <w:between w:val="nil"/>
        </w:pBdr>
        <w:spacing w:line="240" w:lineRule="auto"/>
        <w:ind w:left="0" w:hanging="2"/>
        <w:rPr>
          <w:rFonts w:ascii="Arial" w:eastAsia="Arial" w:hAnsi="Arial" w:cs="Arial"/>
          <w:color w:val="000080"/>
          <w:sz w:val="20"/>
          <w:szCs w:val="20"/>
          <w:vertAlign w:val="baseline"/>
        </w:rPr>
      </w:pPr>
    </w:p>
    <w:p w14:paraId="53CE2EC4" w14:textId="7FD7E372" w:rsidR="00634CDF" w:rsidRDefault="00634CDF">
      <w:pPr>
        <w:pBdr>
          <w:top w:val="nil"/>
          <w:left w:val="nil"/>
          <w:bottom w:val="nil"/>
          <w:right w:val="nil"/>
          <w:between w:val="nil"/>
        </w:pBdr>
        <w:spacing w:line="240" w:lineRule="auto"/>
        <w:ind w:left="0" w:hanging="2"/>
        <w:rPr>
          <w:rFonts w:ascii="Arial" w:eastAsia="Arial" w:hAnsi="Arial" w:cs="Arial"/>
          <w:color w:val="000080"/>
          <w:sz w:val="20"/>
          <w:szCs w:val="20"/>
          <w:vertAlign w:val="baseline"/>
        </w:rPr>
      </w:pPr>
    </w:p>
    <w:p w14:paraId="471B2184" w14:textId="52F54C90" w:rsidR="004E4268" w:rsidRPr="004E4268" w:rsidRDefault="004E4268" w:rsidP="004E4268">
      <w:pPr>
        <w:pStyle w:val="WW-normal"/>
        <w:ind w:left="0" w:hanging="2"/>
        <w:rPr>
          <w:rFonts w:eastAsia="Arial"/>
        </w:rPr>
      </w:pPr>
    </w:p>
    <w:p w14:paraId="27E4F36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20"/>
          <w:szCs w:val="20"/>
          <w:u w:val="single"/>
          <w:vertAlign w:val="baseline"/>
        </w:rPr>
        <w:t>COMPARADORES</w:t>
      </w:r>
    </w:p>
    <w:p w14:paraId="155A032C" w14:textId="77777777" w:rsidR="00634CDF" w:rsidRDefault="00F0051D">
      <w:pPr>
        <w:spacing w:line="240" w:lineRule="auto"/>
        <w:ind w:left="0" w:hanging="2"/>
        <w:jc w:val="both"/>
        <w:rPr>
          <w:vertAlign w:val="baseline"/>
        </w:rPr>
      </w:pPr>
      <w:r>
        <w:rPr>
          <w:rFonts w:ascii="Arial" w:eastAsia="Arial" w:hAnsi="Arial" w:cs="Arial"/>
          <w:sz w:val="20"/>
          <w:szCs w:val="20"/>
          <w:vertAlign w:val="baseline"/>
        </w:rPr>
        <w:t>En los tres ensayos clínicos la comparación se ha realizado con placebo. En ningún caso se ha realizado con el tratamiento estándar actual para estas situaciones clínicas; alirocumab o evolocumab, salvo que estén contraindicados. Por lo que la falta de comparador hace que este hecho sea relevante y reste validez a los resultados.</w:t>
      </w:r>
    </w:p>
    <w:p w14:paraId="3938592B" w14:textId="77777777" w:rsidR="00634CDF" w:rsidRDefault="00F0051D">
      <w:pPr>
        <w:pBdr>
          <w:top w:val="nil"/>
          <w:left w:val="nil"/>
          <w:bottom w:val="nil"/>
          <w:right w:val="nil"/>
          <w:between w:val="nil"/>
        </w:pBdr>
        <w:spacing w:before="240" w:after="240" w:line="240" w:lineRule="auto"/>
        <w:ind w:left="0" w:hanging="2"/>
        <w:jc w:val="both"/>
        <w:rPr>
          <w:rFonts w:ascii="Arial" w:eastAsia="Arial" w:hAnsi="Arial" w:cs="Arial"/>
          <w:color w:val="000000"/>
          <w:sz w:val="20"/>
          <w:szCs w:val="20"/>
          <w:vertAlign w:val="baseline"/>
        </w:rPr>
      </w:pPr>
      <w:r>
        <w:rPr>
          <w:rFonts w:ascii="Arial" w:eastAsia="Arial" w:hAnsi="Arial" w:cs="Arial"/>
          <w:color w:val="000000"/>
          <w:sz w:val="20"/>
          <w:szCs w:val="20"/>
          <w:vertAlign w:val="baseline"/>
        </w:rPr>
        <w:t xml:space="preserve">En relación a terapia modificadora de lípidos, en los tres ensayos pivotales se permitía tratamiento de los pacientes con medicación modificadora de lípidos (más o 30 días previo a la selección de los pacientes) con estatinas o ezetimiba y permanecerían con la dosis que habían recibido durante la participación en el protocolo original excepto que estuviese clínicamente indicado, o se prescribiese medicación para tratar una condición médica preexistente como diabetes e hipertensión, o prescripción o deprescripción de medicación para tratar un evento adverso. No se permitía añadir </w:t>
      </w:r>
      <w:r>
        <w:rPr>
          <w:rFonts w:ascii="Arial" w:eastAsia="Arial" w:hAnsi="Arial" w:cs="Arial"/>
          <w:color w:val="000000"/>
          <w:sz w:val="20"/>
          <w:szCs w:val="20"/>
          <w:vertAlign w:val="baseline"/>
        </w:rPr>
        <w:lastRenderedPageBreak/>
        <w:t>medicación para reducir LDL (estatinas, ezetimiba, lomitapida, mipomersen, niacina, colesevelan, inhibidores de la absorción de ácidos biliares o anticuerpos monoclonales anti PCSK9) ni medicación sin receta médica o terapia de herbolario.</w:t>
      </w:r>
    </w:p>
    <w:p w14:paraId="41C1AA93" w14:textId="77777777" w:rsidR="00634CDF" w:rsidRDefault="00F0051D">
      <w:pPr>
        <w:spacing w:line="240" w:lineRule="auto"/>
        <w:ind w:left="0" w:hanging="2"/>
        <w:jc w:val="both"/>
        <w:rPr>
          <w:vertAlign w:val="baseline"/>
        </w:rPr>
      </w:pPr>
      <w:r>
        <w:rPr>
          <w:rFonts w:ascii="Arial" w:eastAsia="Arial" w:hAnsi="Arial" w:cs="Arial"/>
          <w:sz w:val="20"/>
          <w:szCs w:val="20"/>
          <w:u w:val="single"/>
          <w:vertAlign w:val="baseline"/>
        </w:rPr>
        <w:t>VARIABLES</w:t>
      </w:r>
    </w:p>
    <w:p w14:paraId="3DB9AF15" w14:textId="43AE3538"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El objetivo del tratamiento de las hiperlipemias es prevenir la morbilidad cardiovascular y la mortalidad. Los objetivos de reducción de C-LDL que constituyeron la variable principal de eficacia carecen de relevancia clínica en ausencia de resultados de reducción de morbi-mortalidad</w:t>
      </w:r>
      <w:r w:rsidR="00BA340B">
        <w:rPr>
          <w:rFonts w:ascii="Arial" w:eastAsia="Arial" w:hAnsi="Arial" w:cs="Arial"/>
          <w:color w:val="000000"/>
          <w:sz w:val="20"/>
          <w:szCs w:val="20"/>
          <w:vertAlign w:val="baseline"/>
        </w:rPr>
        <w:t xml:space="preserve"> (el  Ensayo ACCELERATE demostró  reducciones en los niveles de C-LDL sin cambios en el riesgo de eventos cardiovasculares) </w:t>
      </w:r>
      <w:r>
        <w:rPr>
          <w:rFonts w:ascii="Arial" w:eastAsia="Arial" w:hAnsi="Arial" w:cs="Arial"/>
          <w:color w:val="000000"/>
          <w:sz w:val="20"/>
          <w:szCs w:val="20"/>
          <w:vertAlign w:val="baseline"/>
        </w:rPr>
        <w:t>Según la EMA en sus guías para el diseño de ensayos clínicos con fármacos hipolipemiantes, el objetivo principal del tratamiento de trastornos de lípidos es prevenir la morbilidad y la mortalidad asociadas con los niveles de lípidos alterados cardiovascular (</w:t>
      </w:r>
      <w:r>
        <w:rPr>
          <w:rFonts w:ascii="Arial" w:eastAsia="Arial" w:hAnsi="Arial" w:cs="Arial"/>
          <w:sz w:val="20"/>
          <w:szCs w:val="20"/>
          <w:vertAlign w:val="baseline"/>
        </w:rPr>
        <w:t>9</w:t>
      </w:r>
      <w:r>
        <w:rPr>
          <w:rFonts w:ascii="Arial" w:eastAsia="Arial" w:hAnsi="Arial" w:cs="Arial"/>
          <w:color w:val="000000"/>
          <w:sz w:val="20"/>
          <w:szCs w:val="20"/>
          <w:vertAlign w:val="baseline"/>
        </w:rPr>
        <w:t xml:space="preserve">). En ausencia de estos resultados es </w:t>
      </w:r>
      <w:r w:rsidR="00BE6062">
        <w:rPr>
          <w:rFonts w:ascii="Arial" w:eastAsia="Arial" w:hAnsi="Arial" w:cs="Arial"/>
          <w:color w:val="000000"/>
          <w:sz w:val="20"/>
          <w:szCs w:val="20"/>
          <w:vertAlign w:val="baseline"/>
        </w:rPr>
        <w:t>difícil</w:t>
      </w:r>
      <w:r>
        <w:rPr>
          <w:rFonts w:ascii="Arial" w:eastAsia="Arial" w:hAnsi="Arial" w:cs="Arial"/>
          <w:color w:val="000000"/>
          <w:sz w:val="20"/>
          <w:szCs w:val="20"/>
          <w:vertAlign w:val="baseline"/>
        </w:rPr>
        <w:t xml:space="preserve"> establecer la relevancia clínica del e</w:t>
      </w:r>
      <w:r>
        <w:rPr>
          <w:rFonts w:ascii="Arial" w:eastAsia="Arial" w:hAnsi="Arial" w:cs="Arial"/>
          <w:sz w:val="20"/>
          <w:szCs w:val="20"/>
          <w:vertAlign w:val="baseline"/>
        </w:rPr>
        <w:t>fecto hipolipemiante observado.</w:t>
      </w:r>
    </w:p>
    <w:p w14:paraId="177E7EC4" w14:textId="42F46C4D"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En relación a la duración de los ensayos </w:t>
      </w:r>
      <w:r w:rsidR="00BE6062">
        <w:rPr>
          <w:rFonts w:ascii="Arial" w:eastAsia="Arial" w:hAnsi="Arial" w:cs="Arial"/>
          <w:color w:val="000000"/>
          <w:sz w:val="20"/>
          <w:szCs w:val="20"/>
          <w:vertAlign w:val="baseline"/>
        </w:rPr>
        <w:t>clínicos, en</w:t>
      </w:r>
      <w:r>
        <w:rPr>
          <w:rFonts w:ascii="Arial" w:eastAsia="Arial" w:hAnsi="Arial" w:cs="Arial"/>
          <w:color w:val="000000"/>
          <w:sz w:val="20"/>
          <w:szCs w:val="20"/>
          <w:vertAlign w:val="baseline"/>
        </w:rPr>
        <w:t xml:space="preserve"> los tres casos es de 18 meses, lo que permite mostrar la eficacia y la seguridad a corto-medio plazo.</w:t>
      </w:r>
    </w:p>
    <w:p w14:paraId="6AD1D947" w14:textId="77777777" w:rsidR="00634CDF" w:rsidRDefault="00F0051D">
      <w:pPr>
        <w:spacing w:line="240" w:lineRule="auto"/>
        <w:ind w:left="0" w:hanging="2"/>
        <w:jc w:val="both"/>
        <w:rPr>
          <w:vertAlign w:val="baseline"/>
        </w:rPr>
      </w:pPr>
      <w:r>
        <w:rPr>
          <w:rFonts w:ascii="Arial" w:eastAsia="Arial" w:hAnsi="Arial" w:cs="Arial"/>
          <w:sz w:val="20"/>
          <w:szCs w:val="20"/>
          <w:vertAlign w:val="baseline"/>
        </w:rPr>
        <w:t xml:space="preserve">Actualmente no se dispone de resultados de estudios específicos de morbimortalidad CV. El ensayo previsto proporcionará resultados para 2024. La duración del estudio es de 60 meses. </w:t>
      </w:r>
    </w:p>
    <w:p w14:paraId="0F895BDA" w14:textId="77777777" w:rsidR="00634CDF" w:rsidRDefault="00634CDF">
      <w:pPr>
        <w:spacing w:line="240" w:lineRule="auto"/>
        <w:ind w:left="0" w:hanging="2"/>
        <w:jc w:val="both"/>
        <w:rPr>
          <w:rFonts w:ascii="Arial" w:eastAsia="Arial" w:hAnsi="Arial" w:cs="Arial"/>
          <w:color w:val="000080"/>
          <w:sz w:val="20"/>
          <w:szCs w:val="20"/>
          <w:vertAlign w:val="baseline"/>
        </w:rPr>
      </w:pPr>
    </w:p>
    <w:p w14:paraId="239572C5" w14:textId="77777777" w:rsidR="00634CDF" w:rsidRDefault="00F0051D">
      <w:pPr>
        <w:spacing w:line="240" w:lineRule="auto"/>
        <w:ind w:left="0" w:hanging="2"/>
        <w:jc w:val="both"/>
        <w:rPr>
          <w:vertAlign w:val="baseline"/>
        </w:rPr>
      </w:pPr>
      <w:r>
        <w:rPr>
          <w:rFonts w:ascii="Arial" w:eastAsia="Arial" w:hAnsi="Arial" w:cs="Arial"/>
          <w:sz w:val="20"/>
          <w:szCs w:val="20"/>
          <w:u w:val="single"/>
          <w:vertAlign w:val="baseline"/>
        </w:rPr>
        <w:t>ANÁLISIS DE SUBGRUPOS</w:t>
      </w:r>
    </w:p>
    <w:p w14:paraId="3760A85D" w14:textId="77777777" w:rsidR="00634CDF" w:rsidRDefault="00F0051D">
      <w:pPr>
        <w:spacing w:line="240" w:lineRule="auto"/>
        <w:ind w:left="0" w:hanging="2"/>
        <w:jc w:val="both"/>
        <w:rPr>
          <w:vertAlign w:val="baseline"/>
        </w:rPr>
      </w:pPr>
      <w:r>
        <w:rPr>
          <w:rFonts w:ascii="Arial" w:eastAsia="Arial" w:hAnsi="Arial" w:cs="Arial"/>
          <w:sz w:val="20"/>
          <w:szCs w:val="20"/>
          <w:vertAlign w:val="baseline"/>
        </w:rPr>
        <w:t>Se observó, para todos los subgrupos analizados, superioridad estadísticamente significativa, en ambas variables principales.</w:t>
      </w:r>
    </w:p>
    <w:p w14:paraId="1227C57D" w14:textId="77777777" w:rsidR="00634CDF" w:rsidRDefault="00634CDF">
      <w:pPr>
        <w:pBdr>
          <w:top w:val="nil"/>
          <w:left w:val="nil"/>
          <w:bottom w:val="nil"/>
          <w:right w:val="nil"/>
          <w:between w:val="nil"/>
        </w:pBdr>
        <w:spacing w:line="240" w:lineRule="auto"/>
        <w:ind w:left="0" w:hanging="2"/>
        <w:jc w:val="right"/>
        <w:rPr>
          <w:rFonts w:ascii="Arial" w:eastAsia="Arial" w:hAnsi="Arial" w:cs="Arial"/>
          <w:color w:val="FF0000"/>
          <w:sz w:val="20"/>
          <w:szCs w:val="20"/>
          <w:vertAlign w:val="baseline"/>
        </w:rPr>
      </w:pPr>
    </w:p>
    <w:p w14:paraId="1AD00DC0" w14:textId="77777777" w:rsidR="00634CDF" w:rsidRDefault="00F0051D">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color w:val="000000"/>
          <w:vertAlign w:val="baseline"/>
        </w:rPr>
      </w:pPr>
      <w:r>
        <w:rPr>
          <w:color w:val="000000"/>
          <w:sz w:val="20"/>
          <w:szCs w:val="20"/>
          <w:vertAlign w:val="baseline"/>
        </w:rPr>
        <w:t>B. Aplicabilidad del ensayo a la práctica del hospital</w:t>
      </w:r>
    </w:p>
    <w:p w14:paraId="3AAC4136"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sz w:val="20"/>
          <w:szCs w:val="20"/>
          <w:vertAlign w:val="baseline"/>
        </w:rPr>
      </w:pPr>
    </w:p>
    <w:p w14:paraId="7D4E92E0"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sz w:val="20"/>
          <w:szCs w:val="20"/>
          <w:u w:val="single"/>
          <w:vertAlign w:val="baseline"/>
        </w:rPr>
      </w:pPr>
    </w:p>
    <w:p w14:paraId="4A65888C" w14:textId="77777777" w:rsidR="00634CDF" w:rsidRDefault="00F0051D">
      <w:pPr>
        <w:pBdr>
          <w:top w:val="none" w:sz="0" w:space="0" w:color="000000"/>
          <w:left w:val="none" w:sz="0" w:space="0" w:color="000000"/>
          <w:bottom w:val="none" w:sz="0" w:space="0" w:color="000000"/>
          <w:right w:val="none" w:sz="0" w:space="0" w:color="000000"/>
        </w:pBdr>
        <w:spacing w:line="240" w:lineRule="auto"/>
        <w:ind w:left="0" w:hanging="2"/>
        <w:rPr>
          <w:rFonts w:ascii="Arial" w:eastAsia="Arial" w:hAnsi="Arial" w:cs="Arial"/>
          <w:sz w:val="20"/>
          <w:szCs w:val="20"/>
          <w:u w:val="single"/>
          <w:vertAlign w:val="baseline"/>
        </w:rPr>
      </w:pPr>
      <w:r>
        <w:rPr>
          <w:rFonts w:ascii="Arial" w:eastAsia="Arial" w:hAnsi="Arial" w:cs="Arial"/>
          <w:sz w:val="20"/>
          <w:szCs w:val="20"/>
          <w:u w:val="single"/>
          <w:vertAlign w:val="baseline"/>
        </w:rPr>
        <w:t>SELECCIÓN DE LOS PACIENTES</w:t>
      </w:r>
    </w:p>
    <w:p w14:paraId="34342F5D"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sz w:val="20"/>
          <w:szCs w:val="20"/>
          <w:u w:val="single"/>
          <w:vertAlign w:val="baseline"/>
        </w:rPr>
      </w:pPr>
    </w:p>
    <w:p w14:paraId="5109C7B8" w14:textId="77777777"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En el estudio ORION 9 se seleccionaron 617 pacientes y finalmente se aleatorizaron 482 (242 para inclisiran y 240 para placebo). De este modo, se aleatorizó al 78% de los pacientes lo que indica que la población incluida en los ensayos clínicos es mayormente representativa de la población diana y la aplicabilidad de los resultados puede ser adecuada.</w:t>
      </w:r>
    </w:p>
    <w:p w14:paraId="7F3FBBE0" w14:textId="77777777"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De la población ITT, 235 pacientes en el grupo inclisiran (97%) y 231 en el grupo placebo (96%) completaron el estudio. Por lo que 7 pacientes en el grupo inclisiran discontinuaron el tratamiento. Las razones más comunes fueron “otras” (5 pacientes), que incluyeron el hecho de mudarse a otra vivienda y aleatorización errónea. Hubo una discontinuación debida a fallecimiento y ningún paciente discontinuó debido a eventos adversos.</w:t>
      </w:r>
    </w:p>
    <w:p w14:paraId="4B177F01" w14:textId="77777777"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En el grupo placebo discontinuaron 9 pacientes. Las principales razones de discontinuación fueron: retirada del consentimiento informado (4 pacientes) y pérdida del seguimiento (2 pacientes). Hubo una discontinuación debida a fallecimiento. Ningún paciente del grupo placebo discontinuó debido a eventos adversos.  </w:t>
      </w:r>
    </w:p>
    <w:p w14:paraId="5F70224D"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sz w:val="20"/>
          <w:szCs w:val="20"/>
          <w:vertAlign w:val="baseline"/>
        </w:rPr>
      </w:pPr>
    </w:p>
    <w:p w14:paraId="6BE0D51D"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sz w:val="20"/>
          <w:szCs w:val="20"/>
          <w:vertAlign w:val="baseline"/>
        </w:rPr>
      </w:pPr>
    </w:p>
    <w:p w14:paraId="2B5C9E04"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sz w:val="20"/>
          <w:szCs w:val="20"/>
          <w:vertAlign w:val="baseline"/>
        </w:rPr>
      </w:pPr>
    </w:p>
    <w:p w14:paraId="1B26C943" w14:textId="77777777"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sz w:val="20"/>
          <w:szCs w:val="20"/>
          <w:vertAlign w:val="baseline"/>
        </w:rPr>
      </w:pPr>
      <w:r>
        <w:rPr>
          <w:noProof/>
          <w:color w:val="000000"/>
          <w:vertAlign w:val="baseline"/>
          <w:lang w:eastAsia="es-ES"/>
        </w:rPr>
        <w:lastRenderedPageBreak/>
        <w:drawing>
          <wp:inline distT="0" distB="0" distL="114300" distR="114300" wp14:anchorId="4DE7BAD3" wp14:editId="6CB46F20">
            <wp:extent cx="5082540" cy="3168650"/>
            <wp:effectExtent l="0" t="0" r="3810" b="0"/>
            <wp:docPr id="107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rotWithShape="1">
                    <a:blip r:embed="rId22"/>
                    <a:srcRect b="3332"/>
                    <a:stretch/>
                  </pic:blipFill>
                  <pic:spPr bwMode="auto">
                    <a:xfrm>
                      <a:off x="0" y="0"/>
                      <a:ext cx="5082540" cy="3168650"/>
                    </a:xfrm>
                    <a:prstGeom prst="rect">
                      <a:avLst/>
                    </a:prstGeom>
                    <a:ln>
                      <a:noFill/>
                    </a:ln>
                    <a:extLst>
                      <a:ext uri="{53640926-AAD7-44D8-BBD7-CCE9431645EC}">
                        <a14:shadowObscured xmlns:a14="http://schemas.microsoft.com/office/drawing/2010/main"/>
                      </a:ext>
                    </a:extLst>
                  </pic:spPr>
                </pic:pic>
              </a:graphicData>
            </a:graphic>
          </wp:inline>
        </w:drawing>
      </w:r>
    </w:p>
    <w:p w14:paraId="3A03BF98"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rFonts w:ascii="Arial" w:eastAsia="Arial" w:hAnsi="Arial" w:cs="Arial"/>
          <w:color w:val="000000"/>
          <w:sz w:val="20"/>
          <w:szCs w:val="20"/>
          <w:vertAlign w:val="baseline"/>
        </w:rPr>
        <w:t xml:space="preserve">Figura </w:t>
      </w:r>
      <w:r>
        <w:rPr>
          <w:rFonts w:ascii="Arial" w:eastAsia="Arial" w:hAnsi="Arial" w:cs="Arial"/>
          <w:sz w:val="20"/>
          <w:szCs w:val="20"/>
          <w:vertAlign w:val="baseline"/>
        </w:rPr>
        <w:t>10</w:t>
      </w:r>
      <w:r>
        <w:rPr>
          <w:rFonts w:ascii="Arial" w:eastAsia="Arial" w:hAnsi="Arial" w:cs="Arial"/>
          <w:color w:val="000000"/>
          <w:sz w:val="20"/>
          <w:szCs w:val="20"/>
          <w:vertAlign w:val="baseline"/>
        </w:rPr>
        <w:t>. Diagrama flujo ORION 9 (Tomada del EPAR</w:t>
      </w:r>
      <w:r>
        <w:rPr>
          <w:rFonts w:ascii="Arial" w:eastAsia="Arial" w:hAnsi="Arial" w:cs="Arial"/>
          <w:sz w:val="20"/>
          <w:szCs w:val="20"/>
          <w:vertAlign w:val="baseline"/>
        </w:rPr>
        <w:t>).</w:t>
      </w:r>
    </w:p>
    <w:p w14:paraId="3CDA0329"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rFonts w:ascii="Arial" w:eastAsia="Arial" w:hAnsi="Arial" w:cs="Arial"/>
          <w:color w:val="000000"/>
          <w:sz w:val="20"/>
          <w:szCs w:val="20"/>
          <w:vertAlign w:val="baseline"/>
        </w:rPr>
      </w:pPr>
    </w:p>
    <w:p w14:paraId="12B806AD" w14:textId="42306EC2"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En el estudio ORION 10, de los 2.329 inicialmente seleccionados, 768 (33%) no se llegó a aleatorizar</w:t>
      </w:r>
      <w:r w:rsidR="004C735A">
        <w:rPr>
          <w:rFonts w:ascii="Arial" w:eastAsia="Arial" w:hAnsi="Arial" w:cs="Arial"/>
          <w:color w:val="000000"/>
          <w:sz w:val="20"/>
          <w:szCs w:val="20"/>
          <w:vertAlign w:val="baseline"/>
        </w:rPr>
        <w:t>, mayoritariamente por no cumplir los criterios de inclusión o por cumplir criterios de exclusión</w:t>
      </w:r>
      <w:r>
        <w:rPr>
          <w:rFonts w:ascii="Arial" w:eastAsia="Arial" w:hAnsi="Arial" w:cs="Arial"/>
          <w:color w:val="000000"/>
          <w:sz w:val="20"/>
          <w:szCs w:val="20"/>
          <w:vertAlign w:val="baseline"/>
        </w:rPr>
        <w:t>. Por lo que el 67% fue aleatorizado.</w:t>
      </w:r>
    </w:p>
    <w:p w14:paraId="38E4D8F7" w14:textId="46901B44"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El 7,7% (60) de los pacientes del grupo </w:t>
      </w:r>
      <w:r w:rsidR="00D33EB1">
        <w:rPr>
          <w:rFonts w:ascii="Arial" w:eastAsia="Arial" w:hAnsi="Arial" w:cs="Arial"/>
          <w:color w:val="000000"/>
          <w:sz w:val="20"/>
          <w:szCs w:val="20"/>
          <w:vertAlign w:val="baseline"/>
        </w:rPr>
        <w:t>inclisiran</w:t>
      </w:r>
      <w:r>
        <w:rPr>
          <w:rFonts w:ascii="Arial" w:eastAsia="Arial" w:hAnsi="Arial" w:cs="Arial"/>
          <w:color w:val="000000"/>
          <w:sz w:val="20"/>
          <w:szCs w:val="20"/>
          <w:vertAlign w:val="baseline"/>
        </w:rPr>
        <w:t xml:space="preserve"> discontinuó el tratamiento. El motivo más frecuente fue la retirada del consentimiento (24; 3,1%), seguido de fallecimiento (12; 1,5%) y eventos adversos (8; 1%). Del grupo placebo el 11% (86) de los pacientes discontinuaron. Los motivos más frecuentes fueron la retirada del consentimiento (34; 4,4%), seguido de pérdida de seguimiento (24; 3,1%). Once pacientes (1,4%) discontinuaron debido a fallecimiento y 5 pacientes (0,6%) discontinuó debido a eventos adversos.</w:t>
      </w:r>
    </w:p>
    <w:p w14:paraId="3E644576" w14:textId="77777777"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sz w:val="20"/>
          <w:szCs w:val="20"/>
          <w:vertAlign w:val="baseline"/>
        </w:rPr>
      </w:pPr>
      <w:r>
        <w:rPr>
          <w:noProof/>
          <w:color w:val="000000"/>
          <w:vertAlign w:val="baseline"/>
          <w:lang w:eastAsia="es-ES"/>
        </w:rPr>
        <w:drawing>
          <wp:inline distT="0" distB="0" distL="114300" distR="114300" wp14:anchorId="1BD2B8FF" wp14:editId="7E0FCFBF">
            <wp:extent cx="5102225" cy="3090545"/>
            <wp:effectExtent l="0" t="0" r="0" b="0"/>
            <wp:docPr id="107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3"/>
                    <a:srcRect/>
                    <a:stretch>
                      <a:fillRect/>
                    </a:stretch>
                  </pic:blipFill>
                  <pic:spPr>
                    <a:xfrm>
                      <a:off x="0" y="0"/>
                      <a:ext cx="5102225" cy="3090545"/>
                    </a:xfrm>
                    <a:prstGeom prst="rect">
                      <a:avLst/>
                    </a:prstGeom>
                    <a:ln/>
                  </pic:spPr>
                </pic:pic>
              </a:graphicData>
            </a:graphic>
          </wp:inline>
        </w:drawing>
      </w:r>
    </w:p>
    <w:p w14:paraId="27C98F85"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sz w:val="20"/>
          <w:szCs w:val="20"/>
          <w:vertAlign w:val="baseline"/>
        </w:rPr>
      </w:pPr>
    </w:p>
    <w:p w14:paraId="7A939803" w14:textId="5227E211"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rFonts w:ascii="Arial" w:eastAsia="Arial" w:hAnsi="Arial" w:cs="Arial"/>
          <w:color w:val="000000"/>
          <w:vertAlign w:val="baseline"/>
        </w:rPr>
      </w:pPr>
      <w:r>
        <w:rPr>
          <w:rFonts w:ascii="Arial" w:eastAsia="Arial" w:hAnsi="Arial" w:cs="Arial"/>
          <w:color w:val="000000"/>
          <w:sz w:val="20"/>
          <w:szCs w:val="20"/>
          <w:vertAlign w:val="baseline"/>
        </w:rPr>
        <w:t xml:space="preserve">Figura </w:t>
      </w:r>
      <w:r>
        <w:rPr>
          <w:rFonts w:ascii="Arial" w:eastAsia="Arial" w:hAnsi="Arial" w:cs="Arial"/>
          <w:sz w:val="20"/>
          <w:szCs w:val="20"/>
          <w:vertAlign w:val="baseline"/>
        </w:rPr>
        <w:t>11</w:t>
      </w:r>
      <w:r>
        <w:rPr>
          <w:rFonts w:ascii="Arial" w:eastAsia="Arial" w:hAnsi="Arial" w:cs="Arial"/>
          <w:color w:val="000000"/>
          <w:sz w:val="20"/>
          <w:szCs w:val="20"/>
          <w:vertAlign w:val="baseline"/>
        </w:rPr>
        <w:t xml:space="preserve">. </w:t>
      </w:r>
      <w:r>
        <w:rPr>
          <w:rFonts w:ascii="Arial" w:eastAsia="Arial" w:hAnsi="Arial" w:cs="Arial"/>
          <w:sz w:val="20"/>
          <w:szCs w:val="20"/>
          <w:vertAlign w:val="baseline"/>
        </w:rPr>
        <w:t>D</w:t>
      </w:r>
      <w:r>
        <w:rPr>
          <w:rFonts w:ascii="Arial" w:eastAsia="Arial" w:hAnsi="Arial" w:cs="Arial"/>
          <w:color w:val="000000"/>
          <w:sz w:val="20"/>
          <w:szCs w:val="20"/>
          <w:vertAlign w:val="baseline"/>
        </w:rPr>
        <w:t xml:space="preserve">iagrama de flujo de los </w:t>
      </w:r>
      <w:r w:rsidR="00D33EB1">
        <w:rPr>
          <w:rFonts w:ascii="Arial" w:eastAsia="Arial" w:hAnsi="Arial" w:cs="Arial"/>
          <w:color w:val="000000"/>
          <w:sz w:val="20"/>
          <w:szCs w:val="20"/>
          <w:vertAlign w:val="baseline"/>
        </w:rPr>
        <w:t>pacientes ORION</w:t>
      </w:r>
      <w:r>
        <w:rPr>
          <w:rFonts w:ascii="Arial" w:eastAsia="Arial" w:hAnsi="Arial" w:cs="Arial"/>
          <w:color w:val="000000"/>
          <w:sz w:val="20"/>
          <w:szCs w:val="20"/>
          <w:vertAlign w:val="baseline"/>
        </w:rPr>
        <w:t xml:space="preserve"> 10 (</w:t>
      </w:r>
      <w:r>
        <w:rPr>
          <w:rFonts w:ascii="Arial" w:eastAsia="Arial" w:hAnsi="Arial" w:cs="Arial"/>
          <w:sz w:val="20"/>
          <w:szCs w:val="20"/>
          <w:vertAlign w:val="baseline"/>
        </w:rPr>
        <w:t>T</w:t>
      </w:r>
      <w:r w:rsidR="00D33EB1">
        <w:rPr>
          <w:rFonts w:ascii="Arial" w:eastAsia="Arial" w:hAnsi="Arial" w:cs="Arial"/>
          <w:color w:val="000000"/>
          <w:sz w:val="20"/>
          <w:szCs w:val="20"/>
          <w:vertAlign w:val="baseline"/>
        </w:rPr>
        <w:t>omado</w:t>
      </w:r>
      <w:r>
        <w:rPr>
          <w:rFonts w:ascii="Arial" w:eastAsia="Arial" w:hAnsi="Arial" w:cs="Arial"/>
          <w:color w:val="000000"/>
          <w:sz w:val="20"/>
          <w:szCs w:val="20"/>
          <w:vertAlign w:val="baseline"/>
        </w:rPr>
        <w:t xml:space="preserve"> del </w:t>
      </w:r>
      <w:r>
        <w:rPr>
          <w:rFonts w:ascii="Arial" w:eastAsia="Arial" w:hAnsi="Arial" w:cs="Arial"/>
          <w:sz w:val="20"/>
          <w:szCs w:val="20"/>
          <w:vertAlign w:val="baseline"/>
        </w:rPr>
        <w:t>EPAR</w:t>
      </w:r>
      <w:r>
        <w:rPr>
          <w:rFonts w:ascii="Arial" w:eastAsia="Arial" w:hAnsi="Arial" w:cs="Arial"/>
          <w:color w:val="000000"/>
          <w:sz w:val="20"/>
          <w:szCs w:val="20"/>
          <w:vertAlign w:val="baseline"/>
        </w:rPr>
        <w:t>).</w:t>
      </w:r>
    </w:p>
    <w:p w14:paraId="0B3B9BDC"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sz w:val="20"/>
          <w:szCs w:val="20"/>
          <w:vertAlign w:val="baseline"/>
        </w:rPr>
      </w:pPr>
    </w:p>
    <w:p w14:paraId="08D708A3" w14:textId="77777777"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lastRenderedPageBreak/>
        <w:t>En el estudio ORION 11, de los 2.381 pacientes seleccionados, finalmente se aleatorizaron 1617 (68%), por lo que un 32% no se aleatorizó, principalmente por no cumplir con los criterios de selección.</w:t>
      </w:r>
    </w:p>
    <w:p w14:paraId="3C731428" w14:textId="77777777"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De los pacientes aleatorizados al grupo inclisiran, discontinuó el 4,7%. La razón principal fue fallecimiento (14; 1,7%), y retirada del consentimiento (13; 1,6). El 0,5% (4 pacientes) discontinuó debido a eventos adversos.  De los aleatorizados al grupo placebo, el 4,6% discontinuó. La principal razón fue: retirada del consentimiento (17; 2,1%), fallecimiento (15; 1,9%). No hubo ninguna discontinuación debida a eventos adversos. </w:t>
      </w:r>
    </w:p>
    <w:p w14:paraId="25D90C30"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rFonts w:ascii="Arial" w:eastAsia="Arial" w:hAnsi="Arial" w:cs="Arial"/>
          <w:color w:val="000000"/>
          <w:sz w:val="20"/>
          <w:szCs w:val="20"/>
          <w:vertAlign w:val="baseline"/>
        </w:rPr>
      </w:pPr>
    </w:p>
    <w:p w14:paraId="12B5561F"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rFonts w:ascii="Arial" w:eastAsia="Arial" w:hAnsi="Arial" w:cs="Arial"/>
          <w:color w:val="000000"/>
          <w:sz w:val="20"/>
          <w:szCs w:val="20"/>
          <w:vertAlign w:val="baseline"/>
        </w:rPr>
      </w:pPr>
    </w:p>
    <w:p w14:paraId="51B59E14" w14:textId="77777777"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rFonts w:ascii="Arial" w:eastAsia="Arial" w:hAnsi="Arial" w:cs="Arial"/>
          <w:color w:val="000000"/>
          <w:sz w:val="20"/>
          <w:szCs w:val="20"/>
          <w:vertAlign w:val="baseline"/>
        </w:rPr>
      </w:pPr>
      <w:r>
        <w:rPr>
          <w:noProof/>
          <w:color w:val="000000"/>
          <w:vertAlign w:val="baseline"/>
          <w:lang w:eastAsia="es-ES"/>
        </w:rPr>
        <w:drawing>
          <wp:inline distT="0" distB="0" distL="114300" distR="114300" wp14:anchorId="3FA1CCAC" wp14:editId="3D35A6BF">
            <wp:extent cx="5551170" cy="3149600"/>
            <wp:effectExtent l="0" t="0" r="0" b="0"/>
            <wp:docPr id="107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24"/>
                    <a:srcRect/>
                    <a:stretch>
                      <a:fillRect/>
                    </a:stretch>
                  </pic:blipFill>
                  <pic:spPr>
                    <a:xfrm>
                      <a:off x="0" y="0"/>
                      <a:ext cx="5551170" cy="3149600"/>
                    </a:xfrm>
                    <a:prstGeom prst="rect">
                      <a:avLst/>
                    </a:prstGeom>
                    <a:ln/>
                  </pic:spPr>
                </pic:pic>
              </a:graphicData>
            </a:graphic>
          </wp:inline>
        </w:drawing>
      </w:r>
    </w:p>
    <w:p w14:paraId="3F7E55A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Figura </w:t>
      </w:r>
      <w:r>
        <w:rPr>
          <w:rFonts w:ascii="Arial" w:eastAsia="Arial" w:hAnsi="Arial" w:cs="Arial"/>
          <w:sz w:val="20"/>
          <w:szCs w:val="20"/>
          <w:vertAlign w:val="baseline"/>
        </w:rPr>
        <w:t>12</w:t>
      </w:r>
      <w:r>
        <w:rPr>
          <w:rFonts w:ascii="Arial" w:eastAsia="Arial" w:hAnsi="Arial" w:cs="Arial"/>
          <w:color w:val="000000"/>
          <w:sz w:val="20"/>
          <w:szCs w:val="20"/>
          <w:vertAlign w:val="baseline"/>
        </w:rPr>
        <w:t>. Diagrama de flujo de los pacientes en el estudio ORION 11 (Tomada del EPAR).</w:t>
      </w:r>
    </w:p>
    <w:p w14:paraId="6CA8F98D"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97A892A" w14:textId="19434529"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En los estudios ORION-10 y ORION-11 se excluye aproximadamente a un </w:t>
      </w:r>
      <w:r>
        <w:rPr>
          <w:rFonts w:ascii="Arial" w:eastAsia="Arial" w:hAnsi="Arial" w:cs="Arial"/>
          <w:sz w:val="20"/>
          <w:szCs w:val="20"/>
          <w:vertAlign w:val="baseline"/>
        </w:rPr>
        <w:t>3</w:t>
      </w:r>
      <w:r>
        <w:rPr>
          <w:rFonts w:ascii="Arial" w:eastAsia="Arial" w:hAnsi="Arial" w:cs="Arial"/>
          <w:color w:val="000000"/>
          <w:sz w:val="20"/>
          <w:szCs w:val="20"/>
          <w:vertAlign w:val="baseline"/>
        </w:rPr>
        <w:t>2%</w:t>
      </w:r>
      <w:r w:rsidR="004C735A">
        <w:rPr>
          <w:rFonts w:ascii="Arial" w:eastAsia="Arial" w:hAnsi="Arial" w:cs="Arial"/>
          <w:color w:val="000000"/>
          <w:sz w:val="20"/>
          <w:szCs w:val="20"/>
          <w:vertAlign w:val="baseline"/>
        </w:rPr>
        <w:t xml:space="preserve"> de los pacientes</w:t>
      </w:r>
      <w:r>
        <w:rPr>
          <w:rFonts w:ascii="Arial" w:eastAsia="Arial" w:hAnsi="Arial" w:cs="Arial"/>
          <w:color w:val="000000"/>
          <w:sz w:val="20"/>
          <w:szCs w:val="20"/>
          <w:vertAlign w:val="baseline"/>
        </w:rPr>
        <w:t xml:space="preserve"> </w:t>
      </w:r>
      <w:r w:rsidR="004C735A">
        <w:rPr>
          <w:rFonts w:ascii="Arial" w:eastAsia="Arial" w:hAnsi="Arial" w:cs="Arial"/>
          <w:color w:val="000000"/>
          <w:sz w:val="20"/>
          <w:szCs w:val="20"/>
          <w:vertAlign w:val="baseline"/>
        </w:rPr>
        <w:t xml:space="preserve">por no cumplir los criterios de inclusión o cumplir criterios de exclusión, aunque </w:t>
      </w:r>
      <w:r>
        <w:rPr>
          <w:rFonts w:ascii="Arial" w:eastAsia="Arial" w:hAnsi="Arial" w:cs="Arial"/>
          <w:color w:val="000000"/>
          <w:sz w:val="20"/>
          <w:szCs w:val="20"/>
          <w:vertAlign w:val="baseline"/>
        </w:rPr>
        <w:t xml:space="preserve">inicialmente serían considerados candidatos a recibir este tratamiento a juicio de los investigadores participantes. Esto hace que la población incluida en los ensayos clínicos no sea tan representativa de la población diana como </w:t>
      </w:r>
      <w:r w:rsidR="00D33EB1">
        <w:rPr>
          <w:rFonts w:ascii="Arial" w:eastAsia="Arial" w:hAnsi="Arial" w:cs="Arial"/>
          <w:color w:val="000000"/>
          <w:sz w:val="20"/>
          <w:szCs w:val="20"/>
          <w:vertAlign w:val="baseline"/>
        </w:rPr>
        <w:t>sería deseable</w:t>
      </w:r>
      <w:r>
        <w:rPr>
          <w:rFonts w:ascii="Arial" w:eastAsia="Arial" w:hAnsi="Arial" w:cs="Arial"/>
          <w:color w:val="000000"/>
          <w:sz w:val="20"/>
          <w:szCs w:val="20"/>
          <w:vertAlign w:val="baseline"/>
        </w:rPr>
        <w:t xml:space="preserve"> y la aplicabilidad de los resultados quede sometida a cierta incertidumbre.</w:t>
      </w:r>
    </w:p>
    <w:p w14:paraId="5CECDC4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 </w:t>
      </w:r>
    </w:p>
    <w:p w14:paraId="05CCAA8E"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7B7B3A0" w14:textId="77777777"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r>
        <w:rPr>
          <w:rFonts w:ascii="Arial" w:eastAsia="Arial" w:hAnsi="Arial" w:cs="Arial"/>
          <w:color w:val="000000"/>
          <w:sz w:val="20"/>
          <w:szCs w:val="20"/>
          <w:u w:val="single"/>
          <w:vertAlign w:val="baseline"/>
        </w:rPr>
        <w:t>CARACTERÍSTICAS BASALES</w:t>
      </w:r>
    </w:p>
    <w:p w14:paraId="7D72B0C7"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rFonts w:ascii="Arial" w:eastAsia="Arial" w:hAnsi="Arial" w:cs="Arial"/>
          <w:color w:val="000000"/>
          <w:sz w:val="20"/>
          <w:szCs w:val="20"/>
          <w:u w:val="single"/>
          <w:vertAlign w:val="baseline"/>
        </w:rPr>
      </w:pPr>
    </w:p>
    <w:p w14:paraId="33F4B03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20"/>
          <w:szCs w:val="20"/>
          <w:vertAlign w:val="baseline"/>
        </w:rPr>
        <w:t xml:space="preserve">En la siguiente tabla se muestran las principales características basales para ambos grupos de tratamiento para el estudio ORION 9 y ORION 10 y 11. </w:t>
      </w:r>
    </w:p>
    <w:p w14:paraId="4D18F370"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513FF823" w14:textId="77777777" w:rsidR="00634CDF" w:rsidRDefault="00634CDF">
      <w:pPr>
        <w:pBdr>
          <w:top w:val="nil"/>
          <w:left w:val="nil"/>
          <w:bottom w:val="nil"/>
          <w:right w:val="nil"/>
          <w:between w:val="nil"/>
        </w:pBdr>
        <w:spacing w:line="240" w:lineRule="auto"/>
        <w:ind w:left="0" w:hanging="2"/>
        <w:rPr>
          <w:rFonts w:ascii="Arial" w:eastAsia="Arial" w:hAnsi="Arial" w:cs="Arial"/>
          <w:sz w:val="20"/>
          <w:szCs w:val="20"/>
          <w:vertAlign w:val="baseline"/>
        </w:rPr>
      </w:pPr>
    </w:p>
    <w:tbl>
      <w:tblPr>
        <w:tblStyle w:val="af4"/>
        <w:tblW w:w="0" w:type="auto"/>
        <w:tblInd w:w="0" w:type="dxa"/>
        <w:tblLayout w:type="fixed"/>
        <w:tblLook w:val="0000" w:firstRow="0" w:lastRow="0" w:firstColumn="0" w:lastColumn="0" w:noHBand="0" w:noVBand="0"/>
      </w:tblPr>
      <w:tblGrid>
        <w:gridCol w:w="2184"/>
        <w:gridCol w:w="2184"/>
        <w:gridCol w:w="2184"/>
        <w:gridCol w:w="2184"/>
      </w:tblGrid>
      <w:tr w:rsidR="00634CDF" w14:paraId="2EC73B8D" w14:textId="77777777">
        <w:trPr>
          <w:trHeight w:val="420"/>
        </w:trPr>
        <w:tc>
          <w:tcPr>
            <w:tcW w:w="8736" w:type="dxa"/>
            <w:gridSpan w:val="4"/>
            <w:tcBorders>
              <w:top w:val="single" w:sz="8" w:space="0" w:color="808080"/>
              <w:left w:val="single" w:sz="8" w:space="0" w:color="808080"/>
              <w:bottom w:val="single" w:sz="8" w:space="0" w:color="808080"/>
            </w:tcBorders>
            <w:shd w:val="clear" w:color="auto" w:fill="DBE5F1"/>
          </w:tcPr>
          <w:p w14:paraId="1E1F3880" w14:textId="77777777" w:rsidR="00634CDF" w:rsidRDefault="00F0051D">
            <w:pPr>
              <w:ind w:left="0" w:hanging="2"/>
              <w:rPr>
                <w:rFonts w:ascii="Arial" w:eastAsia="Arial" w:hAnsi="Arial" w:cs="Arial"/>
                <w:sz w:val="20"/>
                <w:szCs w:val="20"/>
                <w:vertAlign w:val="baseline"/>
              </w:rPr>
            </w:pPr>
            <w:r>
              <w:rPr>
                <w:rFonts w:ascii="Arial" w:eastAsia="Arial" w:hAnsi="Arial" w:cs="Arial"/>
                <w:b/>
                <w:sz w:val="18"/>
                <w:szCs w:val="18"/>
                <w:vertAlign w:val="baseline"/>
              </w:rPr>
              <w:t>Tabla 13. Principales características basales de los pacientes incluidos en los estudios pivotales.</w:t>
            </w:r>
          </w:p>
        </w:tc>
      </w:tr>
      <w:tr w:rsidR="00634CDF" w14:paraId="6417D9BA" w14:textId="77777777">
        <w:trPr>
          <w:trHeight w:val="987"/>
        </w:trPr>
        <w:tc>
          <w:tcPr>
            <w:tcW w:w="2184" w:type="dxa"/>
            <w:tcBorders>
              <w:top w:val="single" w:sz="8" w:space="0" w:color="808080"/>
              <w:left w:val="single" w:sz="8" w:space="0" w:color="808080"/>
              <w:bottom w:val="single" w:sz="8" w:space="0" w:color="808080"/>
            </w:tcBorders>
            <w:shd w:val="clear" w:color="auto" w:fill="DBE5F1"/>
          </w:tcPr>
          <w:p w14:paraId="2C445AC7"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Características</w:t>
            </w:r>
          </w:p>
          <w:p w14:paraId="555B53D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ORION 9</w:t>
            </w:r>
          </w:p>
        </w:tc>
        <w:tc>
          <w:tcPr>
            <w:tcW w:w="2184" w:type="dxa"/>
            <w:tcBorders>
              <w:top w:val="single" w:sz="8" w:space="0" w:color="808080"/>
              <w:left w:val="single" w:sz="8" w:space="0" w:color="808080"/>
              <w:bottom w:val="single" w:sz="8" w:space="0" w:color="808080"/>
            </w:tcBorders>
            <w:shd w:val="clear" w:color="auto" w:fill="DBE5F1"/>
          </w:tcPr>
          <w:p w14:paraId="2BAD41B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Inclisiran</w:t>
            </w:r>
          </w:p>
          <w:p w14:paraId="30BFE48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n=242</w:t>
            </w:r>
          </w:p>
        </w:tc>
        <w:tc>
          <w:tcPr>
            <w:tcW w:w="2184" w:type="dxa"/>
            <w:tcBorders>
              <w:top w:val="single" w:sz="8" w:space="0" w:color="808080"/>
              <w:left w:val="single" w:sz="8" w:space="0" w:color="808080"/>
              <w:bottom w:val="single" w:sz="8" w:space="0" w:color="808080"/>
            </w:tcBorders>
            <w:shd w:val="clear" w:color="auto" w:fill="DBE5F1"/>
          </w:tcPr>
          <w:p w14:paraId="4CAFB67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Placebo</w:t>
            </w:r>
          </w:p>
          <w:p w14:paraId="0BF894E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n=240</w:t>
            </w:r>
          </w:p>
        </w:tc>
        <w:tc>
          <w:tcPr>
            <w:tcW w:w="2184" w:type="dxa"/>
            <w:tcBorders>
              <w:top w:val="single" w:sz="8" w:space="0" w:color="808080"/>
              <w:left w:val="single" w:sz="8" w:space="0" w:color="808080"/>
              <w:bottom w:val="single" w:sz="8" w:space="0" w:color="808080"/>
              <w:right w:val="single" w:sz="8" w:space="0" w:color="808080"/>
            </w:tcBorders>
            <w:shd w:val="clear" w:color="auto" w:fill="DBE5F1"/>
          </w:tcPr>
          <w:p w14:paraId="5A75444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Total</w:t>
            </w:r>
          </w:p>
          <w:p w14:paraId="5FCA0467"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n=482</w:t>
            </w:r>
          </w:p>
        </w:tc>
      </w:tr>
      <w:tr w:rsidR="00634CDF" w14:paraId="566C6BD9" w14:textId="77777777">
        <w:trPr>
          <w:trHeight w:val="537"/>
        </w:trPr>
        <w:tc>
          <w:tcPr>
            <w:tcW w:w="2184" w:type="dxa"/>
            <w:tcBorders>
              <w:left w:val="single" w:sz="8" w:space="0" w:color="808080"/>
            </w:tcBorders>
          </w:tcPr>
          <w:p w14:paraId="0208AD82"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Edad (media)</w:t>
            </w:r>
          </w:p>
        </w:tc>
        <w:tc>
          <w:tcPr>
            <w:tcW w:w="2184" w:type="dxa"/>
            <w:tcBorders>
              <w:left w:val="single" w:sz="8" w:space="0" w:color="808080"/>
            </w:tcBorders>
          </w:tcPr>
          <w:p w14:paraId="21F50E26"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54,4</w:t>
            </w:r>
          </w:p>
        </w:tc>
        <w:tc>
          <w:tcPr>
            <w:tcW w:w="2184" w:type="dxa"/>
            <w:tcBorders>
              <w:left w:val="single" w:sz="8" w:space="0" w:color="808080"/>
            </w:tcBorders>
          </w:tcPr>
          <w:p w14:paraId="512C8AF1"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55</w:t>
            </w:r>
          </w:p>
        </w:tc>
        <w:tc>
          <w:tcPr>
            <w:tcW w:w="2184" w:type="dxa"/>
            <w:tcBorders>
              <w:left w:val="single" w:sz="8" w:space="0" w:color="808080"/>
              <w:right w:val="single" w:sz="8" w:space="0" w:color="808080"/>
            </w:tcBorders>
          </w:tcPr>
          <w:p w14:paraId="34DB26C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54,7</w:t>
            </w:r>
          </w:p>
        </w:tc>
      </w:tr>
      <w:tr w:rsidR="00634CDF" w14:paraId="4A55DE66" w14:textId="77777777">
        <w:trPr>
          <w:trHeight w:val="782"/>
        </w:trPr>
        <w:tc>
          <w:tcPr>
            <w:tcW w:w="2184" w:type="dxa"/>
            <w:tcBorders>
              <w:top w:val="single" w:sz="8" w:space="0" w:color="808080"/>
              <w:left w:val="single" w:sz="8" w:space="0" w:color="808080"/>
              <w:bottom w:val="single" w:sz="8" w:space="0" w:color="808080"/>
            </w:tcBorders>
          </w:tcPr>
          <w:p w14:paraId="18725AD2"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lastRenderedPageBreak/>
              <w:t>Sexo masculino (%)</w:t>
            </w:r>
          </w:p>
        </w:tc>
        <w:tc>
          <w:tcPr>
            <w:tcW w:w="2184" w:type="dxa"/>
            <w:tcBorders>
              <w:top w:val="single" w:sz="8" w:space="0" w:color="808080"/>
              <w:left w:val="single" w:sz="8" w:space="0" w:color="808080"/>
              <w:bottom w:val="single" w:sz="8" w:space="0" w:color="808080"/>
            </w:tcBorders>
          </w:tcPr>
          <w:p w14:paraId="7612EED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46,3</w:t>
            </w:r>
          </w:p>
        </w:tc>
        <w:tc>
          <w:tcPr>
            <w:tcW w:w="2184" w:type="dxa"/>
            <w:tcBorders>
              <w:top w:val="single" w:sz="8" w:space="0" w:color="808080"/>
              <w:left w:val="single" w:sz="8" w:space="0" w:color="808080"/>
              <w:bottom w:val="single" w:sz="8" w:space="0" w:color="808080"/>
            </w:tcBorders>
          </w:tcPr>
          <w:p w14:paraId="4F61DC6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47,9</w:t>
            </w:r>
          </w:p>
        </w:tc>
        <w:tc>
          <w:tcPr>
            <w:tcW w:w="2184" w:type="dxa"/>
            <w:tcBorders>
              <w:top w:val="single" w:sz="8" w:space="0" w:color="808080"/>
              <w:left w:val="single" w:sz="8" w:space="0" w:color="808080"/>
              <w:bottom w:val="single" w:sz="8" w:space="0" w:color="808080"/>
              <w:right w:val="single" w:sz="8" w:space="0" w:color="808080"/>
            </w:tcBorders>
          </w:tcPr>
          <w:p w14:paraId="7850AEF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47,1</w:t>
            </w:r>
          </w:p>
        </w:tc>
      </w:tr>
      <w:tr w:rsidR="00634CDF" w14:paraId="265175A5" w14:textId="77777777">
        <w:trPr>
          <w:trHeight w:val="451"/>
        </w:trPr>
        <w:tc>
          <w:tcPr>
            <w:tcW w:w="2184" w:type="dxa"/>
            <w:tcBorders>
              <w:left w:val="single" w:sz="8" w:space="0" w:color="808080"/>
            </w:tcBorders>
          </w:tcPr>
          <w:p w14:paraId="5B41DBC6"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 xml:space="preserve"> Raza blanca (%)</w:t>
            </w:r>
          </w:p>
        </w:tc>
        <w:tc>
          <w:tcPr>
            <w:tcW w:w="2184" w:type="dxa"/>
            <w:tcBorders>
              <w:left w:val="single" w:sz="8" w:space="0" w:color="808080"/>
            </w:tcBorders>
          </w:tcPr>
          <w:p w14:paraId="08992A47"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93,4</w:t>
            </w:r>
          </w:p>
        </w:tc>
        <w:tc>
          <w:tcPr>
            <w:tcW w:w="2184" w:type="dxa"/>
            <w:tcBorders>
              <w:left w:val="single" w:sz="8" w:space="0" w:color="808080"/>
            </w:tcBorders>
          </w:tcPr>
          <w:p w14:paraId="76F7961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94,6</w:t>
            </w:r>
          </w:p>
        </w:tc>
        <w:tc>
          <w:tcPr>
            <w:tcW w:w="2184" w:type="dxa"/>
            <w:tcBorders>
              <w:left w:val="single" w:sz="8" w:space="0" w:color="808080"/>
              <w:right w:val="single" w:sz="8" w:space="0" w:color="808080"/>
            </w:tcBorders>
          </w:tcPr>
          <w:p w14:paraId="1347032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94,0</w:t>
            </w:r>
          </w:p>
        </w:tc>
      </w:tr>
      <w:tr w:rsidR="00634CDF" w14:paraId="6379AC4B" w14:textId="77777777">
        <w:trPr>
          <w:trHeight w:val="451"/>
        </w:trPr>
        <w:tc>
          <w:tcPr>
            <w:tcW w:w="2184" w:type="dxa"/>
            <w:tcBorders>
              <w:top w:val="single" w:sz="8" w:space="0" w:color="808080"/>
              <w:left w:val="single" w:sz="8" w:space="0" w:color="808080"/>
              <w:bottom w:val="single" w:sz="8" w:space="0" w:color="808080"/>
            </w:tcBorders>
          </w:tcPr>
          <w:p w14:paraId="1E1AF96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Enfermedad CV (%)</w:t>
            </w:r>
          </w:p>
        </w:tc>
        <w:tc>
          <w:tcPr>
            <w:tcW w:w="2184" w:type="dxa"/>
            <w:tcBorders>
              <w:top w:val="single" w:sz="8" w:space="0" w:color="808080"/>
              <w:left w:val="single" w:sz="8" w:space="0" w:color="808080"/>
              <w:bottom w:val="single" w:sz="8" w:space="0" w:color="808080"/>
            </w:tcBorders>
          </w:tcPr>
          <w:p w14:paraId="0BDFDD8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24,4</w:t>
            </w:r>
          </w:p>
        </w:tc>
        <w:tc>
          <w:tcPr>
            <w:tcW w:w="2184" w:type="dxa"/>
            <w:tcBorders>
              <w:top w:val="single" w:sz="8" w:space="0" w:color="808080"/>
              <w:left w:val="single" w:sz="8" w:space="0" w:color="808080"/>
              <w:bottom w:val="single" w:sz="8" w:space="0" w:color="808080"/>
            </w:tcBorders>
          </w:tcPr>
          <w:p w14:paraId="26428BD1"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30,4</w:t>
            </w:r>
          </w:p>
        </w:tc>
        <w:tc>
          <w:tcPr>
            <w:tcW w:w="2184" w:type="dxa"/>
            <w:tcBorders>
              <w:top w:val="single" w:sz="8" w:space="0" w:color="808080"/>
              <w:left w:val="single" w:sz="8" w:space="0" w:color="808080"/>
              <w:bottom w:val="single" w:sz="8" w:space="0" w:color="808080"/>
              <w:right w:val="single" w:sz="8" w:space="0" w:color="808080"/>
            </w:tcBorders>
          </w:tcPr>
          <w:p w14:paraId="61FA897F"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r>
      <w:tr w:rsidR="00634CDF" w14:paraId="57E3B0CE" w14:textId="77777777">
        <w:trPr>
          <w:trHeight w:val="451"/>
        </w:trPr>
        <w:tc>
          <w:tcPr>
            <w:tcW w:w="2184" w:type="dxa"/>
            <w:tcBorders>
              <w:top w:val="single" w:sz="8" w:space="0" w:color="808080"/>
              <w:left w:val="single" w:sz="8" w:space="0" w:color="808080"/>
              <w:bottom w:val="single" w:sz="8" w:space="0" w:color="808080"/>
            </w:tcBorders>
          </w:tcPr>
          <w:p w14:paraId="4DD3AD4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Fumador (%)</w:t>
            </w:r>
          </w:p>
        </w:tc>
        <w:tc>
          <w:tcPr>
            <w:tcW w:w="2184" w:type="dxa"/>
            <w:tcBorders>
              <w:top w:val="single" w:sz="8" w:space="0" w:color="808080"/>
              <w:left w:val="single" w:sz="8" w:space="0" w:color="808080"/>
              <w:bottom w:val="single" w:sz="8" w:space="0" w:color="808080"/>
            </w:tcBorders>
          </w:tcPr>
          <w:p w14:paraId="4CAC9766"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11,6</w:t>
            </w:r>
          </w:p>
        </w:tc>
        <w:tc>
          <w:tcPr>
            <w:tcW w:w="2184" w:type="dxa"/>
            <w:tcBorders>
              <w:top w:val="single" w:sz="8" w:space="0" w:color="808080"/>
              <w:left w:val="single" w:sz="8" w:space="0" w:color="808080"/>
              <w:bottom w:val="single" w:sz="8" w:space="0" w:color="808080"/>
            </w:tcBorders>
          </w:tcPr>
          <w:p w14:paraId="14390CE2"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11,7</w:t>
            </w:r>
          </w:p>
        </w:tc>
        <w:tc>
          <w:tcPr>
            <w:tcW w:w="2184" w:type="dxa"/>
            <w:tcBorders>
              <w:top w:val="single" w:sz="8" w:space="0" w:color="808080"/>
              <w:left w:val="single" w:sz="8" w:space="0" w:color="808080"/>
              <w:bottom w:val="single" w:sz="8" w:space="0" w:color="808080"/>
              <w:right w:val="single" w:sz="8" w:space="0" w:color="808080"/>
            </w:tcBorders>
          </w:tcPr>
          <w:p w14:paraId="6BAFF1FF"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r>
      <w:tr w:rsidR="00634CDF" w14:paraId="63569C2E" w14:textId="77777777">
        <w:trPr>
          <w:trHeight w:val="451"/>
        </w:trPr>
        <w:tc>
          <w:tcPr>
            <w:tcW w:w="2184" w:type="dxa"/>
            <w:tcBorders>
              <w:top w:val="single" w:sz="8" w:space="0" w:color="808080"/>
              <w:left w:val="single" w:sz="8" w:space="0" w:color="808080"/>
              <w:bottom w:val="single" w:sz="8" w:space="0" w:color="808080"/>
            </w:tcBorders>
          </w:tcPr>
          <w:p w14:paraId="5502C1B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Hipertenso (%)</w:t>
            </w:r>
          </w:p>
        </w:tc>
        <w:tc>
          <w:tcPr>
            <w:tcW w:w="2184" w:type="dxa"/>
            <w:tcBorders>
              <w:top w:val="single" w:sz="8" w:space="0" w:color="808080"/>
              <w:left w:val="single" w:sz="8" w:space="0" w:color="808080"/>
              <w:bottom w:val="single" w:sz="8" w:space="0" w:color="808080"/>
            </w:tcBorders>
          </w:tcPr>
          <w:p w14:paraId="65CDDB5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42,1</w:t>
            </w:r>
          </w:p>
        </w:tc>
        <w:tc>
          <w:tcPr>
            <w:tcW w:w="2184" w:type="dxa"/>
            <w:tcBorders>
              <w:top w:val="single" w:sz="8" w:space="0" w:color="808080"/>
              <w:left w:val="single" w:sz="8" w:space="0" w:color="808080"/>
              <w:bottom w:val="single" w:sz="8" w:space="0" w:color="808080"/>
            </w:tcBorders>
          </w:tcPr>
          <w:p w14:paraId="2563DD30"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42,1</w:t>
            </w:r>
          </w:p>
        </w:tc>
        <w:tc>
          <w:tcPr>
            <w:tcW w:w="2184" w:type="dxa"/>
            <w:tcBorders>
              <w:top w:val="single" w:sz="8" w:space="0" w:color="808080"/>
              <w:left w:val="single" w:sz="8" w:space="0" w:color="808080"/>
              <w:bottom w:val="single" w:sz="8" w:space="0" w:color="808080"/>
              <w:right w:val="single" w:sz="8" w:space="0" w:color="808080"/>
            </w:tcBorders>
          </w:tcPr>
          <w:p w14:paraId="032952B5"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r>
      <w:tr w:rsidR="00634CDF" w14:paraId="48095E2F" w14:textId="77777777">
        <w:trPr>
          <w:trHeight w:val="451"/>
        </w:trPr>
        <w:tc>
          <w:tcPr>
            <w:tcW w:w="2184" w:type="dxa"/>
            <w:tcBorders>
              <w:top w:val="single" w:sz="8" w:space="0" w:color="808080"/>
              <w:left w:val="single" w:sz="8" w:space="0" w:color="808080"/>
              <w:bottom w:val="single" w:sz="8" w:space="0" w:color="808080"/>
            </w:tcBorders>
          </w:tcPr>
          <w:p w14:paraId="0CB273E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Diabetes (%)</w:t>
            </w:r>
          </w:p>
        </w:tc>
        <w:tc>
          <w:tcPr>
            <w:tcW w:w="2184" w:type="dxa"/>
            <w:tcBorders>
              <w:top w:val="single" w:sz="8" w:space="0" w:color="808080"/>
              <w:left w:val="single" w:sz="8" w:space="0" w:color="808080"/>
              <w:bottom w:val="single" w:sz="8" w:space="0" w:color="808080"/>
            </w:tcBorders>
          </w:tcPr>
          <w:p w14:paraId="3515DBB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8,3</w:t>
            </w:r>
          </w:p>
        </w:tc>
        <w:tc>
          <w:tcPr>
            <w:tcW w:w="2184" w:type="dxa"/>
            <w:tcBorders>
              <w:top w:val="single" w:sz="8" w:space="0" w:color="808080"/>
              <w:left w:val="single" w:sz="8" w:space="0" w:color="808080"/>
              <w:bottom w:val="single" w:sz="8" w:space="0" w:color="808080"/>
            </w:tcBorders>
          </w:tcPr>
          <w:p w14:paraId="229B7B36"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11,7</w:t>
            </w:r>
          </w:p>
        </w:tc>
        <w:tc>
          <w:tcPr>
            <w:tcW w:w="2184" w:type="dxa"/>
            <w:tcBorders>
              <w:top w:val="single" w:sz="8" w:space="0" w:color="808080"/>
              <w:left w:val="single" w:sz="8" w:space="0" w:color="808080"/>
              <w:bottom w:val="single" w:sz="8" w:space="0" w:color="808080"/>
              <w:right w:val="single" w:sz="8" w:space="0" w:color="808080"/>
            </w:tcBorders>
          </w:tcPr>
          <w:p w14:paraId="41D29E22"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r>
      <w:tr w:rsidR="00634CDF" w14:paraId="6D0995E2" w14:textId="77777777">
        <w:trPr>
          <w:trHeight w:val="451"/>
        </w:trPr>
        <w:tc>
          <w:tcPr>
            <w:tcW w:w="2184" w:type="dxa"/>
            <w:tcBorders>
              <w:top w:val="single" w:sz="8" w:space="0" w:color="808080"/>
              <w:left w:val="single" w:sz="8" w:space="0" w:color="808080"/>
              <w:bottom w:val="single" w:sz="8" w:space="0" w:color="808080"/>
            </w:tcBorders>
          </w:tcPr>
          <w:p w14:paraId="2A6F1721"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Estatinas (%)</w:t>
            </w:r>
          </w:p>
        </w:tc>
        <w:tc>
          <w:tcPr>
            <w:tcW w:w="2184" w:type="dxa"/>
            <w:tcBorders>
              <w:top w:val="single" w:sz="8" w:space="0" w:color="808080"/>
              <w:left w:val="single" w:sz="8" w:space="0" w:color="808080"/>
              <w:bottom w:val="single" w:sz="8" w:space="0" w:color="808080"/>
            </w:tcBorders>
          </w:tcPr>
          <w:p w14:paraId="02D70F9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90,5</w:t>
            </w:r>
          </w:p>
        </w:tc>
        <w:tc>
          <w:tcPr>
            <w:tcW w:w="2184" w:type="dxa"/>
            <w:tcBorders>
              <w:top w:val="single" w:sz="8" w:space="0" w:color="808080"/>
              <w:left w:val="single" w:sz="8" w:space="0" w:color="808080"/>
              <w:bottom w:val="single" w:sz="8" w:space="0" w:color="808080"/>
            </w:tcBorders>
          </w:tcPr>
          <w:p w14:paraId="0F7E4CC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90,4</w:t>
            </w:r>
          </w:p>
        </w:tc>
        <w:tc>
          <w:tcPr>
            <w:tcW w:w="2184" w:type="dxa"/>
            <w:tcBorders>
              <w:top w:val="single" w:sz="8" w:space="0" w:color="808080"/>
              <w:left w:val="single" w:sz="8" w:space="0" w:color="808080"/>
              <w:bottom w:val="single" w:sz="8" w:space="0" w:color="808080"/>
              <w:right w:val="single" w:sz="8" w:space="0" w:color="808080"/>
            </w:tcBorders>
          </w:tcPr>
          <w:p w14:paraId="7B54533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90,5</w:t>
            </w:r>
          </w:p>
        </w:tc>
      </w:tr>
      <w:tr w:rsidR="00634CDF" w14:paraId="47E22E46" w14:textId="77777777">
        <w:trPr>
          <w:trHeight w:val="451"/>
        </w:trPr>
        <w:tc>
          <w:tcPr>
            <w:tcW w:w="2184" w:type="dxa"/>
            <w:tcBorders>
              <w:top w:val="single" w:sz="8" w:space="0" w:color="808080"/>
              <w:left w:val="single" w:sz="8" w:space="0" w:color="808080"/>
              <w:bottom w:val="single" w:sz="8" w:space="0" w:color="808080"/>
            </w:tcBorders>
          </w:tcPr>
          <w:p w14:paraId="23C7F9C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Estatinas alta intensidad (%)</w:t>
            </w:r>
          </w:p>
        </w:tc>
        <w:tc>
          <w:tcPr>
            <w:tcW w:w="2184" w:type="dxa"/>
            <w:tcBorders>
              <w:top w:val="single" w:sz="8" w:space="0" w:color="808080"/>
              <w:left w:val="single" w:sz="8" w:space="0" w:color="808080"/>
              <w:bottom w:val="single" w:sz="8" w:space="0" w:color="808080"/>
            </w:tcBorders>
          </w:tcPr>
          <w:p w14:paraId="49C56EA7"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76,4</w:t>
            </w:r>
          </w:p>
        </w:tc>
        <w:tc>
          <w:tcPr>
            <w:tcW w:w="2184" w:type="dxa"/>
            <w:tcBorders>
              <w:top w:val="single" w:sz="8" w:space="0" w:color="808080"/>
              <w:left w:val="single" w:sz="8" w:space="0" w:color="808080"/>
              <w:bottom w:val="single" w:sz="8" w:space="0" w:color="808080"/>
            </w:tcBorders>
          </w:tcPr>
          <w:p w14:paraId="3632DB14"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71,2</w:t>
            </w:r>
          </w:p>
        </w:tc>
        <w:tc>
          <w:tcPr>
            <w:tcW w:w="2184" w:type="dxa"/>
            <w:tcBorders>
              <w:top w:val="single" w:sz="8" w:space="0" w:color="808080"/>
              <w:left w:val="single" w:sz="8" w:space="0" w:color="808080"/>
              <w:bottom w:val="single" w:sz="8" w:space="0" w:color="808080"/>
              <w:right w:val="single" w:sz="8" w:space="0" w:color="808080"/>
            </w:tcBorders>
          </w:tcPr>
          <w:p w14:paraId="580B6302"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73,9</w:t>
            </w:r>
          </w:p>
        </w:tc>
      </w:tr>
      <w:tr w:rsidR="00634CDF" w14:paraId="720A1887" w14:textId="77777777">
        <w:trPr>
          <w:trHeight w:val="451"/>
        </w:trPr>
        <w:tc>
          <w:tcPr>
            <w:tcW w:w="2184" w:type="dxa"/>
            <w:tcBorders>
              <w:top w:val="single" w:sz="8" w:space="0" w:color="808080"/>
              <w:left w:val="single" w:sz="8" w:space="0" w:color="808080"/>
              <w:bottom w:val="single" w:sz="8" w:space="0" w:color="808080"/>
            </w:tcBorders>
          </w:tcPr>
          <w:p w14:paraId="4B161882"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Ezetimiba (%)</w:t>
            </w:r>
          </w:p>
        </w:tc>
        <w:tc>
          <w:tcPr>
            <w:tcW w:w="2184" w:type="dxa"/>
            <w:tcBorders>
              <w:top w:val="single" w:sz="8" w:space="0" w:color="808080"/>
              <w:left w:val="single" w:sz="8" w:space="0" w:color="808080"/>
              <w:bottom w:val="single" w:sz="8" w:space="0" w:color="808080"/>
            </w:tcBorders>
          </w:tcPr>
          <w:p w14:paraId="29B70E57"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55,8</w:t>
            </w:r>
          </w:p>
        </w:tc>
        <w:tc>
          <w:tcPr>
            <w:tcW w:w="2184" w:type="dxa"/>
            <w:tcBorders>
              <w:top w:val="single" w:sz="8" w:space="0" w:color="808080"/>
              <w:left w:val="single" w:sz="8" w:space="0" w:color="808080"/>
              <w:bottom w:val="single" w:sz="8" w:space="0" w:color="808080"/>
            </w:tcBorders>
          </w:tcPr>
          <w:p w14:paraId="6EADF4A6"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50,0</w:t>
            </w:r>
          </w:p>
        </w:tc>
        <w:tc>
          <w:tcPr>
            <w:tcW w:w="2184" w:type="dxa"/>
            <w:tcBorders>
              <w:top w:val="single" w:sz="8" w:space="0" w:color="808080"/>
              <w:left w:val="single" w:sz="8" w:space="0" w:color="808080"/>
              <w:bottom w:val="single" w:sz="8" w:space="0" w:color="808080"/>
              <w:right w:val="single" w:sz="8" w:space="0" w:color="808080"/>
            </w:tcBorders>
          </w:tcPr>
          <w:p w14:paraId="228F645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52,3</w:t>
            </w:r>
          </w:p>
        </w:tc>
      </w:tr>
      <w:tr w:rsidR="00634CDF" w14:paraId="6CA9BCE6" w14:textId="77777777">
        <w:trPr>
          <w:trHeight w:val="451"/>
        </w:trPr>
        <w:tc>
          <w:tcPr>
            <w:tcW w:w="2184" w:type="dxa"/>
            <w:tcBorders>
              <w:left w:val="single" w:sz="8" w:space="0" w:color="808080"/>
            </w:tcBorders>
          </w:tcPr>
          <w:p w14:paraId="085BDD9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Colesterol total (mg/dl)</w:t>
            </w:r>
          </w:p>
        </w:tc>
        <w:tc>
          <w:tcPr>
            <w:tcW w:w="2184" w:type="dxa"/>
            <w:tcBorders>
              <w:left w:val="single" w:sz="8" w:space="0" w:color="808080"/>
            </w:tcBorders>
          </w:tcPr>
          <w:p w14:paraId="4750CF1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230</w:t>
            </w:r>
          </w:p>
        </w:tc>
        <w:tc>
          <w:tcPr>
            <w:tcW w:w="2184" w:type="dxa"/>
            <w:tcBorders>
              <w:left w:val="single" w:sz="8" w:space="0" w:color="808080"/>
            </w:tcBorders>
          </w:tcPr>
          <w:p w14:paraId="022541A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232</w:t>
            </w:r>
          </w:p>
        </w:tc>
        <w:tc>
          <w:tcPr>
            <w:tcW w:w="2184" w:type="dxa"/>
            <w:tcBorders>
              <w:left w:val="single" w:sz="8" w:space="0" w:color="808080"/>
              <w:right w:val="single" w:sz="8" w:space="0" w:color="808080"/>
            </w:tcBorders>
          </w:tcPr>
          <w:p w14:paraId="6A557D03" w14:textId="77777777" w:rsidR="00634CDF" w:rsidRDefault="00634CDF">
            <w:pPr>
              <w:pBdr>
                <w:top w:val="nil"/>
                <w:left w:val="nil"/>
                <w:bottom w:val="nil"/>
                <w:right w:val="nil"/>
                <w:between w:val="nil"/>
              </w:pBdr>
              <w:spacing w:before="240" w:after="240" w:line="240" w:lineRule="auto"/>
              <w:ind w:left="0" w:hanging="2"/>
              <w:rPr>
                <w:rFonts w:ascii="Arial" w:eastAsia="Arial" w:hAnsi="Arial" w:cs="Arial"/>
                <w:color w:val="000000"/>
                <w:sz w:val="16"/>
                <w:szCs w:val="16"/>
                <w:vertAlign w:val="baseline"/>
              </w:rPr>
            </w:pPr>
          </w:p>
        </w:tc>
      </w:tr>
      <w:tr w:rsidR="00634CDF" w14:paraId="74795F53" w14:textId="77777777">
        <w:trPr>
          <w:trHeight w:val="451"/>
        </w:trPr>
        <w:tc>
          <w:tcPr>
            <w:tcW w:w="2184" w:type="dxa"/>
            <w:tcBorders>
              <w:top w:val="single" w:sz="8" w:space="0" w:color="808080"/>
              <w:left w:val="single" w:sz="8" w:space="0" w:color="808080"/>
              <w:bottom w:val="single" w:sz="8" w:space="0" w:color="808080"/>
            </w:tcBorders>
          </w:tcPr>
          <w:p w14:paraId="46C0A81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LDL (mg/dl)</w:t>
            </w:r>
          </w:p>
        </w:tc>
        <w:tc>
          <w:tcPr>
            <w:tcW w:w="2184" w:type="dxa"/>
            <w:tcBorders>
              <w:top w:val="single" w:sz="8" w:space="0" w:color="808080"/>
              <w:left w:val="single" w:sz="8" w:space="0" w:color="808080"/>
              <w:bottom w:val="single" w:sz="8" w:space="0" w:color="808080"/>
            </w:tcBorders>
          </w:tcPr>
          <w:p w14:paraId="67FE0B04"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151,4</w:t>
            </w:r>
          </w:p>
        </w:tc>
        <w:tc>
          <w:tcPr>
            <w:tcW w:w="2184" w:type="dxa"/>
            <w:tcBorders>
              <w:top w:val="single" w:sz="8" w:space="0" w:color="808080"/>
              <w:left w:val="single" w:sz="8" w:space="0" w:color="808080"/>
              <w:bottom w:val="single" w:sz="8" w:space="0" w:color="808080"/>
            </w:tcBorders>
          </w:tcPr>
          <w:p w14:paraId="17F9984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154,7</w:t>
            </w:r>
          </w:p>
        </w:tc>
        <w:tc>
          <w:tcPr>
            <w:tcW w:w="2184" w:type="dxa"/>
            <w:tcBorders>
              <w:top w:val="single" w:sz="8" w:space="0" w:color="808080"/>
              <w:left w:val="single" w:sz="8" w:space="0" w:color="808080"/>
              <w:bottom w:val="single" w:sz="8" w:space="0" w:color="808080"/>
              <w:right w:val="single" w:sz="8" w:space="0" w:color="808080"/>
            </w:tcBorders>
          </w:tcPr>
          <w:p w14:paraId="5D53D759" w14:textId="77777777" w:rsidR="00634CDF" w:rsidRDefault="00634CDF">
            <w:pPr>
              <w:pBdr>
                <w:top w:val="nil"/>
                <w:left w:val="nil"/>
                <w:bottom w:val="nil"/>
                <w:right w:val="nil"/>
                <w:between w:val="nil"/>
              </w:pBdr>
              <w:spacing w:before="240" w:after="240" w:line="240" w:lineRule="auto"/>
              <w:ind w:left="0" w:hanging="2"/>
              <w:rPr>
                <w:rFonts w:ascii="Arial" w:eastAsia="Arial" w:hAnsi="Arial" w:cs="Arial"/>
                <w:color w:val="000000"/>
                <w:sz w:val="16"/>
                <w:szCs w:val="16"/>
                <w:vertAlign w:val="baseline"/>
              </w:rPr>
            </w:pPr>
          </w:p>
        </w:tc>
      </w:tr>
      <w:tr w:rsidR="00634CDF" w14:paraId="0DC9E4AB" w14:textId="77777777">
        <w:trPr>
          <w:trHeight w:val="451"/>
        </w:trPr>
        <w:tc>
          <w:tcPr>
            <w:tcW w:w="2184" w:type="dxa"/>
            <w:tcBorders>
              <w:left w:val="single" w:sz="8" w:space="0" w:color="808080"/>
            </w:tcBorders>
          </w:tcPr>
          <w:p w14:paraId="6F4AE5D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HDL (mg/dl)</w:t>
            </w:r>
          </w:p>
        </w:tc>
        <w:tc>
          <w:tcPr>
            <w:tcW w:w="2184" w:type="dxa"/>
            <w:tcBorders>
              <w:left w:val="single" w:sz="8" w:space="0" w:color="808080"/>
            </w:tcBorders>
          </w:tcPr>
          <w:p w14:paraId="27615316"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51,5</w:t>
            </w:r>
          </w:p>
        </w:tc>
        <w:tc>
          <w:tcPr>
            <w:tcW w:w="2184" w:type="dxa"/>
            <w:tcBorders>
              <w:left w:val="single" w:sz="8" w:space="0" w:color="808080"/>
            </w:tcBorders>
          </w:tcPr>
          <w:p w14:paraId="5BBD39F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50,8</w:t>
            </w:r>
          </w:p>
        </w:tc>
        <w:tc>
          <w:tcPr>
            <w:tcW w:w="2184" w:type="dxa"/>
            <w:tcBorders>
              <w:left w:val="single" w:sz="8" w:space="0" w:color="808080"/>
              <w:right w:val="single" w:sz="8" w:space="0" w:color="808080"/>
            </w:tcBorders>
          </w:tcPr>
          <w:p w14:paraId="0564F9A5"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r>
      <w:tr w:rsidR="00634CDF" w14:paraId="6F3EFD41" w14:textId="77777777">
        <w:trPr>
          <w:trHeight w:val="451"/>
        </w:trPr>
        <w:tc>
          <w:tcPr>
            <w:tcW w:w="2184" w:type="dxa"/>
            <w:tcBorders>
              <w:top w:val="single" w:sz="8" w:space="0" w:color="808080"/>
              <w:left w:val="single" w:sz="8" w:space="0" w:color="808080"/>
              <w:bottom w:val="single" w:sz="8" w:space="0" w:color="808080"/>
            </w:tcBorders>
          </w:tcPr>
          <w:p w14:paraId="155630A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Apo</w:t>
            </w:r>
            <w:r>
              <w:rPr>
                <w:rFonts w:ascii="Arial" w:eastAsia="Arial" w:hAnsi="Arial" w:cs="Arial"/>
                <w:sz w:val="16"/>
                <w:szCs w:val="16"/>
                <w:vertAlign w:val="baseline"/>
              </w:rPr>
              <w:t>B</w:t>
            </w:r>
            <w:r>
              <w:rPr>
                <w:rFonts w:ascii="Arial" w:eastAsia="Arial" w:hAnsi="Arial" w:cs="Arial"/>
                <w:color w:val="000000"/>
                <w:sz w:val="16"/>
                <w:szCs w:val="16"/>
                <w:vertAlign w:val="baseline"/>
              </w:rPr>
              <w:t xml:space="preserve"> (mg/dl)</w:t>
            </w:r>
          </w:p>
        </w:tc>
        <w:tc>
          <w:tcPr>
            <w:tcW w:w="2184" w:type="dxa"/>
            <w:tcBorders>
              <w:top w:val="single" w:sz="8" w:space="0" w:color="808080"/>
              <w:left w:val="single" w:sz="8" w:space="0" w:color="808080"/>
              <w:bottom w:val="single" w:sz="8" w:space="0" w:color="808080"/>
            </w:tcBorders>
          </w:tcPr>
          <w:p w14:paraId="2695BA9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123,8</w:t>
            </w:r>
          </w:p>
        </w:tc>
        <w:tc>
          <w:tcPr>
            <w:tcW w:w="2184" w:type="dxa"/>
            <w:tcBorders>
              <w:top w:val="single" w:sz="8" w:space="0" w:color="808080"/>
              <w:left w:val="single" w:sz="8" w:space="0" w:color="808080"/>
              <w:bottom w:val="single" w:sz="8" w:space="0" w:color="808080"/>
            </w:tcBorders>
          </w:tcPr>
          <w:p w14:paraId="5924A5C6"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124,5</w:t>
            </w:r>
          </w:p>
        </w:tc>
        <w:tc>
          <w:tcPr>
            <w:tcW w:w="2184" w:type="dxa"/>
            <w:tcBorders>
              <w:top w:val="single" w:sz="8" w:space="0" w:color="808080"/>
              <w:left w:val="single" w:sz="8" w:space="0" w:color="808080"/>
              <w:bottom w:val="single" w:sz="8" w:space="0" w:color="808080"/>
              <w:right w:val="single" w:sz="8" w:space="0" w:color="808080"/>
            </w:tcBorders>
          </w:tcPr>
          <w:p w14:paraId="6DF8721F" w14:textId="77777777" w:rsidR="00634CDF" w:rsidRDefault="00634CDF">
            <w:pPr>
              <w:pBdr>
                <w:top w:val="nil"/>
                <w:left w:val="nil"/>
                <w:bottom w:val="nil"/>
                <w:right w:val="nil"/>
                <w:between w:val="nil"/>
              </w:pBdr>
              <w:spacing w:before="240" w:after="240" w:line="240" w:lineRule="auto"/>
              <w:ind w:left="0" w:hanging="2"/>
              <w:rPr>
                <w:rFonts w:ascii="Arial" w:eastAsia="Arial" w:hAnsi="Arial" w:cs="Arial"/>
                <w:color w:val="000000"/>
                <w:sz w:val="16"/>
                <w:szCs w:val="16"/>
                <w:vertAlign w:val="baseline"/>
              </w:rPr>
            </w:pPr>
          </w:p>
        </w:tc>
      </w:tr>
      <w:tr w:rsidR="00634CDF" w14:paraId="2E3B37EE" w14:textId="77777777">
        <w:trPr>
          <w:trHeight w:val="451"/>
        </w:trPr>
        <w:tc>
          <w:tcPr>
            <w:tcW w:w="2184" w:type="dxa"/>
            <w:tcBorders>
              <w:left w:val="single" w:sz="8" w:space="0" w:color="808080"/>
              <w:bottom w:val="single" w:sz="8" w:space="0" w:color="808080"/>
            </w:tcBorders>
          </w:tcPr>
          <w:p w14:paraId="5E869954"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L</w:t>
            </w:r>
            <w:r>
              <w:rPr>
                <w:rFonts w:ascii="Arial" w:eastAsia="Arial" w:hAnsi="Arial" w:cs="Arial"/>
                <w:sz w:val="16"/>
                <w:szCs w:val="16"/>
                <w:vertAlign w:val="baseline"/>
              </w:rPr>
              <w:t>p</w:t>
            </w:r>
            <w:r>
              <w:rPr>
                <w:rFonts w:ascii="Arial" w:eastAsia="Arial" w:hAnsi="Arial" w:cs="Arial"/>
                <w:color w:val="000000"/>
                <w:sz w:val="16"/>
                <w:szCs w:val="16"/>
                <w:vertAlign w:val="baseline"/>
              </w:rPr>
              <w:t xml:space="preserve"> a (mediana) (nmol/L)</w:t>
            </w:r>
          </w:p>
        </w:tc>
        <w:tc>
          <w:tcPr>
            <w:tcW w:w="2184" w:type="dxa"/>
            <w:tcBorders>
              <w:left w:val="single" w:sz="8" w:space="0" w:color="808080"/>
              <w:bottom w:val="single" w:sz="8" w:space="0" w:color="808080"/>
            </w:tcBorders>
          </w:tcPr>
          <w:p w14:paraId="6CB508F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57</w:t>
            </w:r>
          </w:p>
        </w:tc>
        <w:tc>
          <w:tcPr>
            <w:tcW w:w="2184" w:type="dxa"/>
            <w:tcBorders>
              <w:left w:val="single" w:sz="8" w:space="0" w:color="808080"/>
              <w:bottom w:val="single" w:sz="8" w:space="0" w:color="808080"/>
            </w:tcBorders>
          </w:tcPr>
          <w:p w14:paraId="78253F8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54</w:t>
            </w:r>
          </w:p>
        </w:tc>
        <w:tc>
          <w:tcPr>
            <w:tcW w:w="2184" w:type="dxa"/>
            <w:tcBorders>
              <w:left w:val="single" w:sz="8" w:space="0" w:color="808080"/>
              <w:bottom w:val="single" w:sz="8" w:space="0" w:color="808080"/>
              <w:right w:val="single" w:sz="8" w:space="0" w:color="808080"/>
            </w:tcBorders>
          </w:tcPr>
          <w:p w14:paraId="4802CB39"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r>
      <w:tr w:rsidR="00634CDF" w14:paraId="3A05C42B" w14:textId="77777777">
        <w:trPr>
          <w:trHeight w:val="451"/>
        </w:trPr>
        <w:tc>
          <w:tcPr>
            <w:tcW w:w="2184" w:type="dxa"/>
            <w:tcBorders>
              <w:left w:val="single" w:sz="8" w:space="0" w:color="808080"/>
              <w:bottom w:val="single" w:sz="8" w:space="0" w:color="808080"/>
            </w:tcBorders>
          </w:tcPr>
          <w:p w14:paraId="30DD605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Triglicéridos (mg/dl)</w:t>
            </w:r>
          </w:p>
        </w:tc>
        <w:tc>
          <w:tcPr>
            <w:tcW w:w="2184" w:type="dxa"/>
            <w:tcBorders>
              <w:left w:val="single" w:sz="8" w:space="0" w:color="808080"/>
              <w:bottom w:val="single" w:sz="8" w:space="0" w:color="808080"/>
            </w:tcBorders>
          </w:tcPr>
          <w:p w14:paraId="37C6540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120</w:t>
            </w:r>
          </w:p>
        </w:tc>
        <w:tc>
          <w:tcPr>
            <w:tcW w:w="2184" w:type="dxa"/>
            <w:tcBorders>
              <w:left w:val="single" w:sz="8" w:space="0" w:color="808080"/>
              <w:bottom w:val="single" w:sz="8" w:space="0" w:color="808080"/>
            </w:tcBorders>
          </w:tcPr>
          <w:p w14:paraId="4E93847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119</w:t>
            </w:r>
          </w:p>
        </w:tc>
        <w:tc>
          <w:tcPr>
            <w:tcW w:w="2184" w:type="dxa"/>
            <w:tcBorders>
              <w:left w:val="single" w:sz="8" w:space="0" w:color="808080"/>
              <w:bottom w:val="single" w:sz="8" w:space="0" w:color="808080"/>
              <w:right w:val="single" w:sz="8" w:space="0" w:color="808080"/>
            </w:tcBorders>
          </w:tcPr>
          <w:p w14:paraId="0C4E7C5D"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r>
      <w:tr w:rsidR="00634CDF" w14:paraId="4B5154EE" w14:textId="77777777">
        <w:trPr>
          <w:trHeight w:val="451"/>
        </w:trPr>
        <w:tc>
          <w:tcPr>
            <w:tcW w:w="2184" w:type="dxa"/>
            <w:tcBorders>
              <w:left w:val="single" w:sz="8" w:space="0" w:color="808080"/>
              <w:bottom w:val="single" w:sz="8" w:space="0" w:color="808080"/>
            </w:tcBorders>
          </w:tcPr>
          <w:p w14:paraId="0A436AE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PCSK9 (µg/L)</w:t>
            </w:r>
          </w:p>
        </w:tc>
        <w:tc>
          <w:tcPr>
            <w:tcW w:w="2184" w:type="dxa"/>
            <w:tcBorders>
              <w:left w:val="single" w:sz="8" w:space="0" w:color="808080"/>
              <w:bottom w:val="single" w:sz="8" w:space="0" w:color="808080"/>
            </w:tcBorders>
          </w:tcPr>
          <w:p w14:paraId="576A06F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452,2</w:t>
            </w:r>
          </w:p>
        </w:tc>
        <w:tc>
          <w:tcPr>
            <w:tcW w:w="2184" w:type="dxa"/>
            <w:tcBorders>
              <w:left w:val="single" w:sz="8" w:space="0" w:color="808080"/>
              <w:bottom w:val="single" w:sz="8" w:space="0" w:color="808080"/>
            </w:tcBorders>
          </w:tcPr>
          <w:p w14:paraId="199A687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421,9</w:t>
            </w:r>
          </w:p>
        </w:tc>
        <w:tc>
          <w:tcPr>
            <w:tcW w:w="2184" w:type="dxa"/>
            <w:tcBorders>
              <w:left w:val="single" w:sz="8" w:space="0" w:color="808080"/>
              <w:bottom w:val="single" w:sz="8" w:space="0" w:color="808080"/>
              <w:right w:val="single" w:sz="8" w:space="0" w:color="808080"/>
            </w:tcBorders>
          </w:tcPr>
          <w:p w14:paraId="53A71159"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r>
      <w:tr w:rsidR="00634CDF" w14:paraId="3C12C708" w14:textId="77777777">
        <w:trPr>
          <w:trHeight w:val="451"/>
        </w:trPr>
        <w:tc>
          <w:tcPr>
            <w:tcW w:w="2184" w:type="dxa"/>
            <w:tcBorders>
              <w:left w:val="single" w:sz="8" w:space="0" w:color="808080"/>
              <w:bottom w:val="single" w:sz="8" w:space="0" w:color="808080"/>
            </w:tcBorders>
          </w:tcPr>
          <w:p w14:paraId="0A3400E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Tasa filtrado glomerular  (media)</w:t>
            </w:r>
          </w:p>
        </w:tc>
        <w:tc>
          <w:tcPr>
            <w:tcW w:w="2184" w:type="dxa"/>
            <w:tcBorders>
              <w:left w:val="single" w:sz="8" w:space="0" w:color="808080"/>
              <w:bottom w:val="single" w:sz="8" w:space="0" w:color="808080"/>
            </w:tcBorders>
          </w:tcPr>
          <w:p w14:paraId="0812B074"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86,3</w:t>
            </w:r>
          </w:p>
        </w:tc>
        <w:tc>
          <w:tcPr>
            <w:tcW w:w="2184" w:type="dxa"/>
            <w:tcBorders>
              <w:left w:val="single" w:sz="8" w:space="0" w:color="808080"/>
              <w:bottom w:val="single" w:sz="8" w:space="0" w:color="808080"/>
            </w:tcBorders>
          </w:tcPr>
          <w:p w14:paraId="5007F72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83,8</w:t>
            </w:r>
          </w:p>
        </w:tc>
        <w:tc>
          <w:tcPr>
            <w:tcW w:w="2184" w:type="dxa"/>
            <w:tcBorders>
              <w:left w:val="single" w:sz="8" w:space="0" w:color="808080"/>
              <w:bottom w:val="single" w:sz="8" w:space="0" w:color="808080"/>
              <w:right w:val="single" w:sz="8" w:space="0" w:color="808080"/>
            </w:tcBorders>
          </w:tcPr>
          <w:p w14:paraId="5CA18907"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85,1</w:t>
            </w:r>
          </w:p>
        </w:tc>
      </w:tr>
    </w:tbl>
    <w:p w14:paraId="376A508E"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04A1187A"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3334BF56"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rFonts w:ascii="Arial" w:eastAsia="Arial" w:hAnsi="Arial" w:cs="Arial"/>
          <w:color w:val="000000"/>
          <w:sz w:val="20"/>
          <w:szCs w:val="20"/>
          <w:vertAlign w:val="baseline"/>
        </w:rPr>
        <w:t xml:space="preserve">De forma global, en el </w:t>
      </w:r>
      <w:r>
        <w:rPr>
          <w:rFonts w:ascii="Arial" w:eastAsia="Arial" w:hAnsi="Arial" w:cs="Arial"/>
          <w:b/>
          <w:color w:val="000000"/>
          <w:sz w:val="20"/>
          <w:szCs w:val="20"/>
          <w:vertAlign w:val="baseline"/>
        </w:rPr>
        <w:t>ORION 9</w:t>
      </w:r>
      <w:r>
        <w:rPr>
          <w:rFonts w:ascii="Arial" w:eastAsia="Arial" w:hAnsi="Arial" w:cs="Arial"/>
          <w:color w:val="000000"/>
          <w:sz w:val="20"/>
          <w:szCs w:val="20"/>
          <w:vertAlign w:val="baseline"/>
        </w:rPr>
        <w:t xml:space="preserve"> la edad media global de los pacientes era 56 años. El 47% eran hombres y el 94% de raza blanca. El 25% de los pacientes tenía enfermedad cardíaca previa y el 10% tenía diabetes. El nivel basal de LDL medio era 153,1 +/- 54 mg/dL. El 90,5% de los pacientes </w:t>
      </w:r>
      <w:r>
        <w:rPr>
          <w:rFonts w:ascii="Arial" w:eastAsia="Arial" w:hAnsi="Arial" w:cs="Arial"/>
          <w:color w:val="000000"/>
          <w:sz w:val="20"/>
          <w:szCs w:val="20"/>
          <w:vertAlign w:val="baseline"/>
        </w:rPr>
        <w:lastRenderedPageBreak/>
        <w:t>tomaba estatinas, de los cuales, el 75% recibían estatinas a dosis de alta intensidad. El 52,3% de los pacientes también recibía ezetimiba. El 25,3% de los pacientes era parcial o totalmente intolerante a estatinas.</w:t>
      </w:r>
    </w:p>
    <w:p w14:paraId="099D16DE" w14:textId="77777777" w:rsidR="00634CDF" w:rsidRDefault="00634CDF">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p>
    <w:p w14:paraId="6A830735" w14:textId="1810DC56" w:rsidR="00634CDF" w:rsidRDefault="00F0051D">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r>
        <w:rPr>
          <w:rFonts w:ascii="Arial" w:eastAsia="Arial" w:hAnsi="Arial" w:cs="Arial"/>
          <w:sz w:val="20"/>
          <w:szCs w:val="20"/>
          <w:vertAlign w:val="baseline"/>
        </w:rPr>
        <w:t>Tabla 14. Clasificación de las estatinas según grado de intensidad</w:t>
      </w:r>
      <w:r w:rsidR="004E4268">
        <w:rPr>
          <w:rFonts w:ascii="Arial" w:eastAsia="Arial" w:hAnsi="Arial" w:cs="Arial"/>
          <w:sz w:val="20"/>
          <w:szCs w:val="20"/>
          <w:vertAlign w:val="baseline"/>
        </w:rPr>
        <w:t xml:space="preserve"> (extraído G</w:t>
      </w:r>
      <w:r w:rsidR="00B64F19">
        <w:rPr>
          <w:rFonts w:ascii="Arial" w:eastAsia="Arial" w:hAnsi="Arial" w:cs="Arial"/>
          <w:sz w:val="20"/>
          <w:szCs w:val="20"/>
          <w:vertAlign w:val="baseline"/>
        </w:rPr>
        <w:t>uía SEC hipercolesterolemia)</w:t>
      </w:r>
    </w:p>
    <w:p w14:paraId="3FB85DD0" w14:textId="77777777" w:rsidR="00634CDF" w:rsidRDefault="00F0051D">
      <w:pPr>
        <w:ind w:left="0" w:hanging="2"/>
        <w:rPr>
          <w:rFonts w:ascii="Arial" w:eastAsia="Arial" w:hAnsi="Arial" w:cs="Arial"/>
          <w:sz w:val="20"/>
          <w:szCs w:val="20"/>
          <w:vertAlign w:val="baseline"/>
        </w:rPr>
      </w:pPr>
      <w:r>
        <w:rPr>
          <w:noProof/>
          <w:vertAlign w:val="baseline"/>
          <w:lang w:eastAsia="es-ES"/>
        </w:rPr>
        <w:drawing>
          <wp:inline distT="0" distB="0" distL="114300" distR="114300" wp14:anchorId="4E4AB312" wp14:editId="22C49088">
            <wp:extent cx="5548955" cy="2273300"/>
            <wp:effectExtent l="0" t="0" r="0" b="0"/>
            <wp:docPr id="1081"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5"/>
                    <a:srcRect/>
                    <a:stretch>
                      <a:fillRect/>
                    </a:stretch>
                  </pic:blipFill>
                  <pic:spPr>
                    <a:xfrm>
                      <a:off x="0" y="0"/>
                      <a:ext cx="5548955" cy="2273300"/>
                    </a:xfrm>
                    <a:prstGeom prst="rect">
                      <a:avLst/>
                    </a:prstGeom>
                    <a:ln/>
                  </pic:spPr>
                </pic:pic>
              </a:graphicData>
            </a:graphic>
          </wp:inline>
        </w:drawing>
      </w:r>
    </w:p>
    <w:p w14:paraId="1EF3BB13" w14:textId="77777777" w:rsidR="00634CDF" w:rsidRDefault="00634CDF">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p>
    <w:p w14:paraId="075C7876"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0185EEF5" w14:textId="438236C0"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Intergrupos,</w:t>
      </w:r>
      <w:r>
        <w:rPr>
          <w:rFonts w:ascii="Arial" w:eastAsia="Arial" w:hAnsi="Arial" w:cs="Arial"/>
          <w:b/>
          <w:color w:val="000000"/>
          <w:sz w:val="20"/>
          <w:szCs w:val="20"/>
          <w:vertAlign w:val="baseline"/>
        </w:rPr>
        <w:t xml:space="preserve"> </w:t>
      </w:r>
      <w:r>
        <w:rPr>
          <w:rFonts w:ascii="Arial" w:eastAsia="Arial" w:hAnsi="Arial" w:cs="Arial"/>
          <w:color w:val="000000"/>
          <w:sz w:val="20"/>
          <w:szCs w:val="20"/>
          <w:vertAlign w:val="baseline"/>
        </w:rPr>
        <w:t>en relación a edad, sexo y raza ambos grupos estuvieron equilibrados. En relación a enfermedad cardiovascular aterosclerótica hubo un mayor porcentaje de pacientes en el grupo placebo (6% más de pacientes). Los factores de riesgo cardiovascular “actual fumador” e “hipertensión” estuvieron equilibrados en ambos grupos. En relación a la diabetes, hubo 3,4% más de pacientes diabéticos en el grupo placebo. En el grupo de tratamiento con inclisiran hu</w:t>
      </w:r>
      <w:r w:rsidR="004E4268">
        <w:rPr>
          <w:rFonts w:ascii="Arial" w:eastAsia="Arial" w:hAnsi="Arial" w:cs="Arial"/>
          <w:color w:val="000000"/>
          <w:sz w:val="20"/>
          <w:szCs w:val="20"/>
          <w:vertAlign w:val="baseline"/>
        </w:rPr>
        <w:t xml:space="preserve">bo una diferencia superior del </w:t>
      </w:r>
      <w:r>
        <w:rPr>
          <w:rFonts w:ascii="Arial" w:eastAsia="Arial" w:hAnsi="Arial" w:cs="Arial"/>
          <w:color w:val="000000"/>
          <w:sz w:val="20"/>
          <w:szCs w:val="20"/>
          <w:vertAlign w:val="baseline"/>
        </w:rPr>
        <w:t xml:space="preserve">5,8% en relación a los pacientes que tomaban ezetimibe y un 4,2% más de los pacientes tomaba estatinas de alta intensidad con respecto al grupo placebo. </w:t>
      </w:r>
    </w:p>
    <w:p w14:paraId="0A2CE74D"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77B23496" w14:textId="77777777" w:rsidR="00634CDF" w:rsidRDefault="00634CDF">
      <w:pPr>
        <w:pBdr>
          <w:top w:val="nil"/>
          <w:left w:val="nil"/>
          <w:bottom w:val="nil"/>
          <w:right w:val="nil"/>
          <w:between w:val="nil"/>
        </w:pBdr>
        <w:spacing w:line="240" w:lineRule="auto"/>
        <w:ind w:left="0" w:hanging="2"/>
        <w:rPr>
          <w:rFonts w:ascii="Arial" w:eastAsia="Arial" w:hAnsi="Arial" w:cs="Arial"/>
          <w:sz w:val="20"/>
          <w:szCs w:val="20"/>
          <w:vertAlign w:val="baseline"/>
        </w:rPr>
      </w:pPr>
    </w:p>
    <w:tbl>
      <w:tblPr>
        <w:tblStyle w:val="af5"/>
        <w:tblW w:w="8709" w:type="dxa"/>
        <w:tblInd w:w="75" w:type="dxa"/>
        <w:tblLayout w:type="fixed"/>
        <w:tblLook w:val="0000" w:firstRow="0" w:lastRow="0" w:firstColumn="0" w:lastColumn="0" w:noHBand="0" w:noVBand="0"/>
      </w:tblPr>
      <w:tblGrid>
        <w:gridCol w:w="1485"/>
        <w:gridCol w:w="1214"/>
        <w:gridCol w:w="1110"/>
        <w:gridCol w:w="1066"/>
        <w:gridCol w:w="1274"/>
        <w:gridCol w:w="1230"/>
        <w:gridCol w:w="1330"/>
      </w:tblGrid>
      <w:tr w:rsidR="00634CDF" w14:paraId="0FA874A5" w14:textId="77777777">
        <w:trPr>
          <w:trHeight w:val="455"/>
        </w:trPr>
        <w:tc>
          <w:tcPr>
            <w:tcW w:w="8709" w:type="dxa"/>
            <w:gridSpan w:val="7"/>
            <w:tcBorders>
              <w:top w:val="single" w:sz="8" w:space="0" w:color="808080"/>
              <w:left w:val="single" w:sz="8" w:space="0" w:color="808080"/>
              <w:bottom w:val="single" w:sz="8" w:space="0" w:color="808080"/>
            </w:tcBorders>
            <w:shd w:val="clear" w:color="auto" w:fill="DBE5F1"/>
          </w:tcPr>
          <w:p w14:paraId="0A984C01" w14:textId="77777777" w:rsidR="00634CDF" w:rsidRDefault="00F0051D">
            <w:pPr>
              <w:ind w:left="0" w:hanging="2"/>
              <w:rPr>
                <w:rFonts w:ascii="Arial" w:eastAsia="Arial" w:hAnsi="Arial" w:cs="Arial"/>
                <w:b/>
                <w:color w:val="000000"/>
                <w:sz w:val="14"/>
                <w:szCs w:val="14"/>
                <w:vertAlign w:val="baseline"/>
              </w:rPr>
            </w:pPr>
            <w:r>
              <w:rPr>
                <w:rFonts w:ascii="Arial" w:eastAsia="Arial" w:hAnsi="Arial" w:cs="Arial"/>
                <w:b/>
                <w:sz w:val="18"/>
                <w:szCs w:val="18"/>
                <w:vertAlign w:val="baseline"/>
              </w:rPr>
              <w:t>Tabla 15. Principales características basales de los pacientes incluidos en los  estudios ORION-10 y ORION-11</w:t>
            </w:r>
          </w:p>
        </w:tc>
      </w:tr>
      <w:tr w:rsidR="00634CDF" w14:paraId="12115A49" w14:textId="77777777">
        <w:trPr>
          <w:trHeight w:val="455"/>
        </w:trPr>
        <w:tc>
          <w:tcPr>
            <w:tcW w:w="1485" w:type="dxa"/>
            <w:tcBorders>
              <w:top w:val="single" w:sz="8" w:space="0" w:color="808080"/>
              <w:left w:val="single" w:sz="8" w:space="0" w:color="808080"/>
              <w:bottom w:val="single" w:sz="8" w:space="0" w:color="808080"/>
            </w:tcBorders>
            <w:shd w:val="clear" w:color="auto" w:fill="DBE5F1"/>
          </w:tcPr>
          <w:p w14:paraId="4C8F8CD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Características</w:t>
            </w:r>
          </w:p>
        </w:tc>
        <w:tc>
          <w:tcPr>
            <w:tcW w:w="1214" w:type="dxa"/>
            <w:tcBorders>
              <w:top w:val="single" w:sz="8" w:space="0" w:color="808080"/>
              <w:left w:val="single" w:sz="8" w:space="0" w:color="808080"/>
              <w:bottom w:val="single" w:sz="8" w:space="0" w:color="808080"/>
            </w:tcBorders>
            <w:shd w:val="clear" w:color="auto" w:fill="DBE5F1"/>
          </w:tcPr>
          <w:p w14:paraId="3A1B2F6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ORION 10</w:t>
            </w:r>
          </w:p>
          <w:p w14:paraId="3FF77D8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Inclisiran</w:t>
            </w:r>
          </w:p>
          <w:p w14:paraId="14988E5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n=781</w:t>
            </w:r>
          </w:p>
        </w:tc>
        <w:tc>
          <w:tcPr>
            <w:tcW w:w="1110" w:type="dxa"/>
            <w:tcBorders>
              <w:top w:val="single" w:sz="8" w:space="0" w:color="808080"/>
              <w:left w:val="single" w:sz="8" w:space="0" w:color="808080"/>
              <w:bottom w:val="single" w:sz="8" w:space="0" w:color="808080"/>
            </w:tcBorders>
            <w:shd w:val="clear" w:color="auto" w:fill="DBE5F1"/>
          </w:tcPr>
          <w:p w14:paraId="3B98C28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Placebo</w:t>
            </w:r>
          </w:p>
          <w:p w14:paraId="6E6C37C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n=780</w:t>
            </w:r>
          </w:p>
        </w:tc>
        <w:tc>
          <w:tcPr>
            <w:tcW w:w="1066" w:type="dxa"/>
            <w:tcBorders>
              <w:top w:val="single" w:sz="8" w:space="0" w:color="808080"/>
              <w:left w:val="single" w:sz="8" w:space="0" w:color="808080"/>
              <w:bottom w:val="single" w:sz="8" w:space="0" w:color="808080"/>
            </w:tcBorders>
            <w:shd w:val="clear" w:color="auto" w:fill="DBE5F1"/>
          </w:tcPr>
          <w:p w14:paraId="48A46246"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Total</w:t>
            </w:r>
          </w:p>
          <w:p w14:paraId="655AEBD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n=1561</w:t>
            </w:r>
          </w:p>
        </w:tc>
        <w:tc>
          <w:tcPr>
            <w:tcW w:w="1274" w:type="dxa"/>
            <w:tcBorders>
              <w:top w:val="single" w:sz="8" w:space="0" w:color="808080"/>
              <w:left w:val="single" w:sz="8" w:space="0" w:color="808080"/>
              <w:bottom w:val="single" w:sz="8" w:space="0" w:color="808080"/>
            </w:tcBorders>
            <w:shd w:val="clear" w:color="auto" w:fill="DBE5F1"/>
          </w:tcPr>
          <w:p w14:paraId="6C17BF0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ORION 11</w:t>
            </w:r>
          </w:p>
          <w:p w14:paraId="660924E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Inclisiran</w:t>
            </w:r>
          </w:p>
          <w:p w14:paraId="07DA4B6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n=810</w:t>
            </w:r>
          </w:p>
        </w:tc>
        <w:tc>
          <w:tcPr>
            <w:tcW w:w="1230" w:type="dxa"/>
            <w:tcBorders>
              <w:top w:val="single" w:sz="8" w:space="0" w:color="808080"/>
              <w:left w:val="single" w:sz="8" w:space="0" w:color="808080"/>
              <w:bottom w:val="single" w:sz="8" w:space="0" w:color="808080"/>
            </w:tcBorders>
            <w:shd w:val="clear" w:color="auto" w:fill="DBE5F1"/>
          </w:tcPr>
          <w:p w14:paraId="5C8C585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Placebo</w:t>
            </w:r>
          </w:p>
          <w:p w14:paraId="0F259684"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n=807</w:t>
            </w:r>
          </w:p>
        </w:tc>
        <w:tc>
          <w:tcPr>
            <w:tcW w:w="1330" w:type="dxa"/>
            <w:tcBorders>
              <w:top w:val="single" w:sz="8" w:space="0" w:color="808080"/>
              <w:left w:val="single" w:sz="8" w:space="0" w:color="808080"/>
              <w:bottom w:val="single" w:sz="8" w:space="0" w:color="808080"/>
              <w:right w:val="single" w:sz="8" w:space="0" w:color="808080"/>
            </w:tcBorders>
            <w:shd w:val="clear" w:color="auto" w:fill="DBE5F1"/>
          </w:tcPr>
          <w:p w14:paraId="300BED11" w14:textId="77777777" w:rsidR="00634CDF" w:rsidRDefault="00F0051D">
            <w:pPr>
              <w:pBdr>
                <w:top w:val="nil"/>
                <w:left w:val="nil"/>
                <w:bottom w:val="nil"/>
                <w:right w:val="nil"/>
                <w:between w:val="nil"/>
              </w:pBdr>
              <w:spacing w:before="240" w:after="240" w:line="240" w:lineRule="auto"/>
              <w:ind w:left="0" w:hanging="2"/>
              <w:rPr>
                <w:color w:val="000000"/>
                <w:vertAlign w:val="baseline"/>
              </w:rPr>
            </w:pPr>
            <w:r>
              <w:rPr>
                <w:rFonts w:ascii="Arial" w:eastAsia="Arial" w:hAnsi="Arial" w:cs="Arial"/>
                <w:b/>
                <w:color w:val="000000"/>
                <w:sz w:val="16"/>
                <w:szCs w:val="16"/>
                <w:vertAlign w:val="baseline"/>
              </w:rPr>
              <w:t>Total</w:t>
            </w:r>
          </w:p>
          <w:p w14:paraId="549277F8" w14:textId="77777777" w:rsidR="00634CDF" w:rsidRDefault="00F0051D">
            <w:pPr>
              <w:pBdr>
                <w:top w:val="nil"/>
                <w:left w:val="nil"/>
                <w:bottom w:val="nil"/>
                <w:right w:val="nil"/>
                <w:between w:val="nil"/>
              </w:pBdr>
              <w:spacing w:before="240" w:after="240" w:line="240" w:lineRule="auto"/>
              <w:ind w:left="0" w:hanging="2"/>
              <w:rPr>
                <w:color w:val="000000"/>
                <w:vertAlign w:val="baseline"/>
              </w:rPr>
            </w:pPr>
            <w:r>
              <w:rPr>
                <w:rFonts w:ascii="Arial" w:eastAsia="Arial" w:hAnsi="Arial" w:cs="Arial"/>
                <w:b/>
                <w:color w:val="000000"/>
                <w:sz w:val="16"/>
                <w:szCs w:val="16"/>
                <w:vertAlign w:val="baseline"/>
              </w:rPr>
              <w:t>n=1617</w:t>
            </w:r>
          </w:p>
        </w:tc>
      </w:tr>
      <w:tr w:rsidR="00634CDF" w14:paraId="532B3436" w14:textId="77777777">
        <w:trPr>
          <w:trHeight w:val="455"/>
        </w:trPr>
        <w:tc>
          <w:tcPr>
            <w:tcW w:w="1485" w:type="dxa"/>
            <w:tcBorders>
              <w:left w:val="single" w:sz="8" w:space="0" w:color="808080"/>
            </w:tcBorders>
          </w:tcPr>
          <w:p w14:paraId="3EC1594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 xml:space="preserve">Edad </w:t>
            </w:r>
          </w:p>
          <w:p w14:paraId="1A8B639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(media)</w:t>
            </w:r>
          </w:p>
        </w:tc>
        <w:tc>
          <w:tcPr>
            <w:tcW w:w="1214" w:type="dxa"/>
            <w:tcBorders>
              <w:left w:val="single" w:sz="8" w:space="0" w:color="808080"/>
            </w:tcBorders>
          </w:tcPr>
          <w:p w14:paraId="70798846"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66,4</w:t>
            </w:r>
          </w:p>
        </w:tc>
        <w:tc>
          <w:tcPr>
            <w:tcW w:w="1110" w:type="dxa"/>
            <w:tcBorders>
              <w:left w:val="single" w:sz="8" w:space="0" w:color="808080"/>
            </w:tcBorders>
          </w:tcPr>
          <w:p w14:paraId="016DEA82"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65,7</w:t>
            </w:r>
          </w:p>
        </w:tc>
        <w:tc>
          <w:tcPr>
            <w:tcW w:w="1066" w:type="dxa"/>
            <w:tcBorders>
              <w:left w:val="single" w:sz="8" w:space="0" w:color="808080"/>
            </w:tcBorders>
          </w:tcPr>
          <w:p w14:paraId="70CA211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66,0</w:t>
            </w:r>
          </w:p>
        </w:tc>
        <w:tc>
          <w:tcPr>
            <w:tcW w:w="1274" w:type="dxa"/>
            <w:tcBorders>
              <w:left w:val="single" w:sz="8" w:space="0" w:color="808080"/>
            </w:tcBorders>
          </w:tcPr>
          <w:p w14:paraId="156555F7"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64,8</w:t>
            </w:r>
          </w:p>
        </w:tc>
        <w:tc>
          <w:tcPr>
            <w:tcW w:w="1230" w:type="dxa"/>
            <w:tcBorders>
              <w:left w:val="single" w:sz="8" w:space="0" w:color="808080"/>
            </w:tcBorders>
          </w:tcPr>
          <w:p w14:paraId="6B9FB07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64,8</w:t>
            </w:r>
          </w:p>
        </w:tc>
        <w:tc>
          <w:tcPr>
            <w:tcW w:w="1330" w:type="dxa"/>
            <w:tcBorders>
              <w:left w:val="single" w:sz="8" w:space="0" w:color="808080"/>
              <w:right w:val="single" w:sz="8" w:space="0" w:color="808080"/>
            </w:tcBorders>
          </w:tcPr>
          <w:p w14:paraId="68425106"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64,8</w:t>
            </w:r>
          </w:p>
        </w:tc>
      </w:tr>
      <w:tr w:rsidR="00634CDF" w14:paraId="35EA963D" w14:textId="77777777">
        <w:trPr>
          <w:trHeight w:val="952"/>
        </w:trPr>
        <w:tc>
          <w:tcPr>
            <w:tcW w:w="1485" w:type="dxa"/>
            <w:tcBorders>
              <w:top w:val="single" w:sz="8" w:space="0" w:color="808080"/>
              <w:left w:val="single" w:sz="8" w:space="0" w:color="808080"/>
              <w:bottom w:val="single" w:sz="8" w:space="0" w:color="808080"/>
            </w:tcBorders>
          </w:tcPr>
          <w:p w14:paraId="3B7EDE1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Sexo masculino</w:t>
            </w:r>
          </w:p>
          <w:p w14:paraId="0D1A4C4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w:t>
            </w:r>
          </w:p>
        </w:tc>
        <w:tc>
          <w:tcPr>
            <w:tcW w:w="1214" w:type="dxa"/>
            <w:tcBorders>
              <w:top w:val="single" w:sz="8" w:space="0" w:color="808080"/>
              <w:left w:val="single" w:sz="8" w:space="0" w:color="808080"/>
              <w:bottom w:val="single" w:sz="8" w:space="0" w:color="808080"/>
            </w:tcBorders>
          </w:tcPr>
          <w:p w14:paraId="44EE182A"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68,5</w:t>
            </w:r>
          </w:p>
        </w:tc>
        <w:tc>
          <w:tcPr>
            <w:tcW w:w="1110" w:type="dxa"/>
            <w:tcBorders>
              <w:top w:val="single" w:sz="8" w:space="0" w:color="808080"/>
              <w:left w:val="single" w:sz="8" w:space="0" w:color="808080"/>
              <w:bottom w:val="single" w:sz="8" w:space="0" w:color="808080"/>
            </w:tcBorders>
          </w:tcPr>
          <w:p w14:paraId="7D21D63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70,3</w:t>
            </w:r>
          </w:p>
        </w:tc>
        <w:tc>
          <w:tcPr>
            <w:tcW w:w="1066" w:type="dxa"/>
            <w:tcBorders>
              <w:top w:val="single" w:sz="8" w:space="0" w:color="808080"/>
              <w:left w:val="single" w:sz="8" w:space="0" w:color="808080"/>
              <w:bottom w:val="single" w:sz="8" w:space="0" w:color="808080"/>
            </w:tcBorders>
          </w:tcPr>
          <w:p w14:paraId="162365A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69,4</w:t>
            </w:r>
          </w:p>
        </w:tc>
        <w:tc>
          <w:tcPr>
            <w:tcW w:w="1274" w:type="dxa"/>
            <w:tcBorders>
              <w:top w:val="single" w:sz="8" w:space="0" w:color="808080"/>
              <w:left w:val="single" w:sz="8" w:space="0" w:color="808080"/>
              <w:bottom w:val="single" w:sz="8" w:space="0" w:color="808080"/>
            </w:tcBorders>
          </w:tcPr>
          <w:p w14:paraId="66FF8CB6"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71,5</w:t>
            </w:r>
          </w:p>
        </w:tc>
        <w:tc>
          <w:tcPr>
            <w:tcW w:w="1230" w:type="dxa"/>
            <w:tcBorders>
              <w:top w:val="single" w:sz="8" w:space="0" w:color="808080"/>
              <w:left w:val="single" w:sz="8" w:space="0" w:color="808080"/>
              <w:bottom w:val="single" w:sz="8" w:space="0" w:color="808080"/>
            </w:tcBorders>
          </w:tcPr>
          <w:p w14:paraId="74C6022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72,0</w:t>
            </w:r>
          </w:p>
        </w:tc>
        <w:tc>
          <w:tcPr>
            <w:tcW w:w="1330" w:type="dxa"/>
            <w:tcBorders>
              <w:top w:val="single" w:sz="8" w:space="0" w:color="808080"/>
              <w:left w:val="single" w:sz="8" w:space="0" w:color="808080"/>
              <w:bottom w:val="single" w:sz="8" w:space="0" w:color="808080"/>
              <w:right w:val="single" w:sz="8" w:space="0" w:color="808080"/>
            </w:tcBorders>
          </w:tcPr>
          <w:p w14:paraId="6B4E4CF0"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71,7</w:t>
            </w:r>
          </w:p>
        </w:tc>
      </w:tr>
      <w:tr w:rsidR="00634CDF" w14:paraId="058B9F8F" w14:textId="77777777">
        <w:trPr>
          <w:trHeight w:val="455"/>
        </w:trPr>
        <w:tc>
          <w:tcPr>
            <w:tcW w:w="1485" w:type="dxa"/>
            <w:tcBorders>
              <w:left w:val="single" w:sz="8" w:space="0" w:color="808080"/>
            </w:tcBorders>
          </w:tcPr>
          <w:p w14:paraId="0392702A"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Enfermedad cardiovascular (%)</w:t>
            </w:r>
          </w:p>
        </w:tc>
        <w:tc>
          <w:tcPr>
            <w:tcW w:w="1214" w:type="dxa"/>
            <w:tcBorders>
              <w:left w:val="single" w:sz="8" w:space="0" w:color="808080"/>
            </w:tcBorders>
          </w:tcPr>
          <w:p w14:paraId="23E5B21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100</w:t>
            </w:r>
          </w:p>
        </w:tc>
        <w:tc>
          <w:tcPr>
            <w:tcW w:w="1110" w:type="dxa"/>
            <w:tcBorders>
              <w:left w:val="single" w:sz="8" w:space="0" w:color="808080"/>
            </w:tcBorders>
          </w:tcPr>
          <w:p w14:paraId="3DEE8E26"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100</w:t>
            </w:r>
          </w:p>
        </w:tc>
        <w:tc>
          <w:tcPr>
            <w:tcW w:w="1066" w:type="dxa"/>
            <w:tcBorders>
              <w:left w:val="single" w:sz="8" w:space="0" w:color="808080"/>
            </w:tcBorders>
          </w:tcPr>
          <w:p w14:paraId="03D02791"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c>
          <w:tcPr>
            <w:tcW w:w="1274" w:type="dxa"/>
            <w:tcBorders>
              <w:left w:val="single" w:sz="8" w:space="0" w:color="808080"/>
            </w:tcBorders>
          </w:tcPr>
          <w:p w14:paraId="638A9E6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87,9</w:t>
            </w:r>
          </w:p>
        </w:tc>
        <w:tc>
          <w:tcPr>
            <w:tcW w:w="1230" w:type="dxa"/>
            <w:tcBorders>
              <w:left w:val="single" w:sz="8" w:space="0" w:color="808080"/>
            </w:tcBorders>
          </w:tcPr>
          <w:p w14:paraId="57EB75C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87,0</w:t>
            </w:r>
          </w:p>
        </w:tc>
        <w:tc>
          <w:tcPr>
            <w:tcW w:w="1330" w:type="dxa"/>
            <w:tcBorders>
              <w:left w:val="single" w:sz="8" w:space="0" w:color="808080"/>
              <w:right w:val="single" w:sz="8" w:space="0" w:color="808080"/>
            </w:tcBorders>
          </w:tcPr>
          <w:p w14:paraId="7F128BD6"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r>
      <w:tr w:rsidR="00634CDF" w14:paraId="0421810C" w14:textId="77777777">
        <w:trPr>
          <w:trHeight w:val="455"/>
        </w:trPr>
        <w:tc>
          <w:tcPr>
            <w:tcW w:w="1485" w:type="dxa"/>
            <w:tcBorders>
              <w:top w:val="single" w:sz="8" w:space="0" w:color="808080"/>
              <w:left w:val="single" w:sz="8" w:space="0" w:color="808080"/>
              <w:bottom w:val="single" w:sz="8" w:space="0" w:color="808080"/>
            </w:tcBorders>
          </w:tcPr>
          <w:p w14:paraId="5874EC84"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lastRenderedPageBreak/>
              <w:t>Riesgo equivalente + (%)</w:t>
            </w:r>
          </w:p>
        </w:tc>
        <w:tc>
          <w:tcPr>
            <w:tcW w:w="1214" w:type="dxa"/>
            <w:tcBorders>
              <w:top w:val="single" w:sz="8" w:space="0" w:color="808080"/>
              <w:left w:val="single" w:sz="8" w:space="0" w:color="808080"/>
              <w:bottom w:val="single" w:sz="8" w:space="0" w:color="808080"/>
            </w:tcBorders>
          </w:tcPr>
          <w:p w14:paraId="18A26D4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0</w:t>
            </w:r>
          </w:p>
        </w:tc>
        <w:tc>
          <w:tcPr>
            <w:tcW w:w="1110" w:type="dxa"/>
            <w:tcBorders>
              <w:top w:val="single" w:sz="8" w:space="0" w:color="808080"/>
              <w:left w:val="single" w:sz="8" w:space="0" w:color="808080"/>
              <w:bottom w:val="single" w:sz="8" w:space="0" w:color="808080"/>
            </w:tcBorders>
          </w:tcPr>
          <w:p w14:paraId="2A480BA6"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0</w:t>
            </w:r>
          </w:p>
        </w:tc>
        <w:tc>
          <w:tcPr>
            <w:tcW w:w="1066" w:type="dxa"/>
            <w:tcBorders>
              <w:top w:val="single" w:sz="8" w:space="0" w:color="808080"/>
              <w:left w:val="single" w:sz="8" w:space="0" w:color="808080"/>
              <w:bottom w:val="single" w:sz="8" w:space="0" w:color="808080"/>
            </w:tcBorders>
          </w:tcPr>
          <w:p w14:paraId="28F3AFA1"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c>
          <w:tcPr>
            <w:tcW w:w="1274" w:type="dxa"/>
            <w:tcBorders>
              <w:top w:val="single" w:sz="8" w:space="0" w:color="808080"/>
              <w:left w:val="single" w:sz="8" w:space="0" w:color="808080"/>
              <w:bottom w:val="single" w:sz="8" w:space="0" w:color="808080"/>
            </w:tcBorders>
          </w:tcPr>
          <w:p w14:paraId="27A5828A"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12,1</w:t>
            </w:r>
          </w:p>
        </w:tc>
        <w:tc>
          <w:tcPr>
            <w:tcW w:w="1230" w:type="dxa"/>
            <w:tcBorders>
              <w:top w:val="single" w:sz="8" w:space="0" w:color="808080"/>
              <w:left w:val="single" w:sz="8" w:space="0" w:color="808080"/>
              <w:bottom w:val="single" w:sz="8" w:space="0" w:color="808080"/>
            </w:tcBorders>
          </w:tcPr>
          <w:p w14:paraId="138DB3D0"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13,0</w:t>
            </w:r>
          </w:p>
        </w:tc>
        <w:tc>
          <w:tcPr>
            <w:tcW w:w="1330" w:type="dxa"/>
            <w:tcBorders>
              <w:top w:val="single" w:sz="8" w:space="0" w:color="808080"/>
              <w:left w:val="single" w:sz="8" w:space="0" w:color="808080"/>
              <w:bottom w:val="single" w:sz="8" w:space="0" w:color="808080"/>
              <w:right w:val="single" w:sz="8" w:space="0" w:color="808080"/>
            </w:tcBorders>
          </w:tcPr>
          <w:p w14:paraId="3E37F792"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r>
      <w:tr w:rsidR="00634CDF" w14:paraId="2AD67EE2" w14:textId="77777777">
        <w:trPr>
          <w:trHeight w:val="455"/>
        </w:trPr>
        <w:tc>
          <w:tcPr>
            <w:tcW w:w="1485" w:type="dxa"/>
            <w:tcBorders>
              <w:left w:val="single" w:sz="8" w:space="0" w:color="808080"/>
            </w:tcBorders>
          </w:tcPr>
          <w:p w14:paraId="1460572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Fumador $ (%)</w:t>
            </w:r>
          </w:p>
        </w:tc>
        <w:tc>
          <w:tcPr>
            <w:tcW w:w="1214" w:type="dxa"/>
            <w:tcBorders>
              <w:left w:val="single" w:sz="8" w:space="0" w:color="808080"/>
            </w:tcBorders>
          </w:tcPr>
          <w:p w14:paraId="4EFBD93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15,7</w:t>
            </w:r>
          </w:p>
        </w:tc>
        <w:tc>
          <w:tcPr>
            <w:tcW w:w="1110" w:type="dxa"/>
            <w:tcBorders>
              <w:left w:val="single" w:sz="8" w:space="0" w:color="808080"/>
            </w:tcBorders>
          </w:tcPr>
          <w:p w14:paraId="2EC9FF3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14,2</w:t>
            </w:r>
          </w:p>
        </w:tc>
        <w:tc>
          <w:tcPr>
            <w:tcW w:w="1066" w:type="dxa"/>
            <w:tcBorders>
              <w:left w:val="single" w:sz="8" w:space="0" w:color="808080"/>
            </w:tcBorders>
          </w:tcPr>
          <w:p w14:paraId="16506C5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15</w:t>
            </w:r>
          </w:p>
        </w:tc>
        <w:tc>
          <w:tcPr>
            <w:tcW w:w="1274" w:type="dxa"/>
            <w:tcBorders>
              <w:left w:val="single" w:sz="8" w:space="0" w:color="808080"/>
            </w:tcBorders>
          </w:tcPr>
          <w:p w14:paraId="265A435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19,8</w:t>
            </w:r>
          </w:p>
        </w:tc>
        <w:tc>
          <w:tcPr>
            <w:tcW w:w="1230" w:type="dxa"/>
            <w:tcBorders>
              <w:left w:val="single" w:sz="8" w:space="0" w:color="808080"/>
            </w:tcBorders>
          </w:tcPr>
          <w:p w14:paraId="6FD7323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16,4</w:t>
            </w:r>
          </w:p>
        </w:tc>
        <w:tc>
          <w:tcPr>
            <w:tcW w:w="1330" w:type="dxa"/>
            <w:tcBorders>
              <w:left w:val="single" w:sz="8" w:space="0" w:color="808080"/>
              <w:right w:val="single" w:sz="8" w:space="0" w:color="808080"/>
            </w:tcBorders>
          </w:tcPr>
          <w:p w14:paraId="2DAEED6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18,1</w:t>
            </w:r>
          </w:p>
        </w:tc>
      </w:tr>
      <w:tr w:rsidR="00634CDF" w14:paraId="36396CFC" w14:textId="77777777">
        <w:trPr>
          <w:trHeight w:val="455"/>
        </w:trPr>
        <w:tc>
          <w:tcPr>
            <w:tcW w:w="1485" w:type="dxa"/>
            <w:tcBorders>
              <w:top w:val="single" w:sz="8" w:space="0" w:color="808080"/>
              <w:left w:val="single" w:sz="8" w:space="0" w:color="808080"/>
              <w:bottom w:val="single" w:sz="8" w:space="0" w:color="808080"/>
            </w:tcBorders>
          </w:tcPr>
          <w:p w14:paraId="01CE5E40"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Hipertensión $ (%)</w:t>
            </w:r>
          </w:p>
        </w:tc>
        <w:tc>
          <w:tcPr>
            <w:tcW w:w="1214" w:type="dxa"/>
            <w:tcBorders>
              <w:top w:val="single" w:sz="8" w:space="0" w:color="808080"/>
              <w:left w:val="single" w:sz="8" w:space="0" w:color="808080"/>
              <w:bottom w:val="single" w:sz="8" w:space="0" w:color="808080"/>
            </w:tcBorders>
          </w:tcPr>
          <w:p w14:paraId="65026EE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91,4</w:t>
            </w:r>
          </w:p>
        </w:tc>
        <w:tc>
          <w:tcPr>
            <w:tcW w:w="1110" w:type="dxa"/>
            <w:tcBorders>
              <w:top w:val="single" w:sz="8" w:space="0" w:color="808080"/>
              <w:left w:val="single" w:sz="8" w:space="0" w:color="808080"/>
              <w:bottom w:val="single" w:sz="8" w:space="0" w:color="808080"/>
            </w:tcBorders>
          </w:tcPr>
          <w:p w14:paraId="2966645A"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89,9</w:t>
            </w:r>
          </w:p>
        </w:tc>
        <w:tc>
          <w:tcPr>
            <w:tcW w:w="1066" w:type="dxa"/>
            <w:tcBorders>
              <w:top w:val="single" w:sz="8" w:space="0" w:color="808080"/>
              <w:left w:val="single" w:sz="8" w:space="0" w:color="808080"/>
              <w:bottom w:val="single" w:sz="8" w:space="0" w:color="808080"/>
            </w:tcBorders>
          </w:tcPr>
          <w:p w14:paraId="58248A8A"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90,6</w:t>
            </w:r>
          </w:p>
        </w:tc>
        <w:tc>
          <w:tcPr>
            <w:tcW w:w="1274" w:type="dxa"/>
            <w:tcBorders>
              <w:top w:val="single" w:sz="8" w:space="0" w:color="808080"/>
              <w:left w:val="single" w:sz="8" w:space="0" w:color="808080"/>
              <w:bottom w:val="single" w:sz="8" w:space="0" w:color="808080"/>
            </w:tcBorders>
          </w:tcPr>
          <w:p w14:paraId="0CE3B2A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79,0</w:t>
            </w:r>
          </w:p>
        </w:tc>
        <w:tc>
          <w:tcPr>
            <w:tcW w:w="1230" w:type="dxa"/>
            <w:tcBorders>
              <w:top w:val="single" w:sz="8" w:space="0" w:color="808080"/>
              <w:left w:val="single" w:sz="8" w:space="0" w:color="808080"/>
              <w:bottom w:val="single" w:sz="8" w:space="0" w:color="808080"/>
            </w:tcBorders>
          </w:tcPr>
          <w:p w14:paraId="1649F821"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81,9</w:t>
            </w:r>
          </w:p>
        </w:tc>
        <w:tc>
          <w:tcPr>
            <w:tcW w:w="1330" w:type="dxa"/>
            <w:tcBorders>
              <w:top w:val="single" w:sz="8" w:space="0" w:color="808080"/>
              <w:left w:val="single" w:sz="8" w:space="0" w:color="808080"/>
              <w:bottom w:val="single" w:sz="8" w:space="0" w:color="808080"/>
              <w:right w:val="single" w:sz="8" w:space="0" w:color="808080"/>
            </w:tcBorders>
          </w:tcPr>
          <w:p w14:paraId="2EC0D1B2"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80"/>
                <w:sz w:val="16"/>
                <w:szCs w:val="16"/>
                <w:vertAlign w:val="baseline"/>
              </w:rPr>
              <w:t>80,5</w:t>
            </w:r>
          </w:p>
        </w:tc>
      </w:tr>
      <w:tr w:rsidR="00634CDF" w14:paraId="00E82825" w14:textId="77777777">
        <w:trPr>
          <w:trHeight w:val="455"/>
        </w:trPr>
        <w:tc>
          <w:tcPr>
            <w:tcW w:w="1485" w:type="dxa"/>
            <w:tcBorders>
              <w:left w:val="single" w:sz="8" w:space="0" w:color="808080"/>
            </w:tcBorders>
          </w:tcPr>
          <w:p w14:paraId="5416D8C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Diabetes $ (%)</w:t>
            </w:r>
          </w:p>
        </w:tc>
        <w:tc>
          <w:tcPr>
            <w:tcW w:w="1214" w:type="dxa"/>
            <w:tcBorders>
              <w:left w:val="single" w:sz="8" w:space="0" w:color="808080"/>
            </w:tcBorders>
          </w:tcPr>
          <w:p w14:paraId="0B877DA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47,5</w:t>
            </w:r>
          </w:p>
        </w:tc>
        <w:tc>
          <w:tcPr>
            <w:tcW w:w="1110" w:type="dxa"/>
            <w:tcBorders>
              <w:left w:val="single" w:sz="8" w:space="0" w:color="808080"/>
            </w:tcBorders>
          </w:tcPr>
          <w:p w14:paraId="67ED037A"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42,4</w:t>
            </w:r>
          </w:p>
        </w:tc>
        <w:tc>
          <w:tcPr>
            <w:tcW w:w="1066" w:type="dxa"/>
            <w:tcBorders>
              <w:left w:val="single" w:sz="8" w:space="0" w:color="808080"/>
            </w:tcBorders>
          </w:tcPr>
          <w:p w14:paraId="0AAB50EA"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45</w:t>
            </w:r>
          </w:p>
        </w:tc>
        <w:tc>
          <w:tcPr>
            <w:tcW w:w="1274" w:type="dxa"/>
            <w:tcBorders>
              <w:left w:val="single" w:sz="8" w:space="0" w:color="808080"/>
            </w:tcBorders>
          </w:tcPr>
          <w:p w14:paraId="694BE291"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36,5</w:t>
            </w:r>
          </w:p>
        </w:tc>
        <w:tc>
          <w:tcPr>
            <w:tcW w:w="1230" w:type="dxa"/>
            <w:tcBorders>
              <w:left w:val="single" w:sz="8" w:space="0" w:color="808080"/>
            </w:tcBorders>
          </w:tcPr>
          <w:p w14:paraId="1F3FD26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33,7</w:t>
            </w:r>
          </w:p>
        </w:tc>
        <w:tc>
          <w:tcPr>
            <w:tcW w:w="1330" w:type="dxa"/>
            <w:tcBorders>
              <w:left w:val="single" w:sz="8" w:space="0" w:color="808080"/>
              <w:right w:val="single" w:sz="8" w:space="0" w:color="808080"/>
            </w:tcBorders>
          </w:tcPr>
          <w:p w14:paraId="6E77B1A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80"/>
                <w:sz w:val="16"/>
                <w:szCs w:val="16"/>
                <w:vertAlign w:val="baseline"/>
              </w:rPr>
              <w:t>35,1</w:t>
            </w:r>
          </w:p>
        </w:tc>
      </w:tr>
      <w:tr w:rsidR="00634CDF" w14:paraId="38FAB19B" w14:textId="77777777">
        <w:trPr>
          <w:trHeight w:val="455"/>
        </w:trPr>
        <w:tc>
          <w:tcPr>
            <w:tcW w:w="1485" w:type="dxa"/>
            <w:tcBorders>
              <w:top w:val="single" w:sz="8" w:space="0" w:color="808080"/>
              <w:left w:val="single" w:sz="8" w:space="0" w:color="808080"/>
              <w:bottom w:val="single" w:sz="8" w:space="0" w:color="808080"/>
            </w:tcBorders>
          </w:tcPr>
          <w:p w14:paraId="6558D54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HF heterocigota $ (%)</w:t>
            </w:r>
          </w:p>
        </w:tc>
        <w:tc>
          <w:tcPr>
            <w:tcW w:w="1214" w:type="dxa"/>
            <w:tcBorders>
              <w:top w:val="single" w:sz="8" w:space="0" w:color="808080"/>
              <w:left w:val="single" w:sz="8" w:space="0" w:color="808080"/>
              <w:bottom w:val="single" w:sz="8" w:space="0" w:color="808080"/>
            </w:tcBorders>
          </w:tcPr>
          <w:p w14:paraId="1BFBDE37"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1,0</w:t>
            </w:r>
          </w:p>
        </w:tc>
        <w:tc>
          <w:tcPr>
            <w:tcW w:w="1110" w:type="dxa"/>
            <w:tcBorders>
              <w:top w:val="single" w:sz="8" w:space="0" w:color="808080"/>
              <w:left w:val="single" w:sz="8" w:space="0" w:color="808080"/>
              <w:bottom w:val="single" w:sz="8" w:space="0" w:color="808080"/>
            </w:tcBorders>
          </w:tcPr>
          <w:p w14:paraId="2888B0D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1,5</w:t>
            </w:r>
          </w:p>
        </w:tc>
        <w:tc>
          <w:tcPr>
            <w:tcW w:w="1066" w:type="dxa"/>
            <w:tcBorders>
              <w:top w:val="single" w:sz="8" w:space="0" w:color="808080"/>
              <w:left w:val="single" w:sz="8" w:space="0" w:color="808080"/>
              <w:bottom w:val="single" w:sz="8" w:space="0" w:color="808080"/>
            </w:tcBorders>
          </w:tcPr>
          <w:p w14:paraId="1EF5A956"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c>
          <w:tcPr>
            <w:tcW w:w="1274" w:type="dxa"/>
            <w:tcBorders>
              <w:top w:val="single" w:sz="8" w:space="0" w:color="808080"/>
              <w:left w:val="single" w:sz="8" w:space="0" w:color="808080"/>
              <w:bottom w:val="single" w:sz="8" w:space="0" w:color="808080"/>
            </w:tcBorders>
          </w:tcPr>
          <w:p w14:paraId="516E11A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1,7</w:t>
            </w:r>
          </w:p>
        </w:tc>
        <w:tc>
          <w:tcPr>
            <w:tcW w:w="1230" w:type="dxa"/>
            <w:tcBorders>
              <w:top w:val="single" w:sz="8" w:space="0" w:color="808080"/>
              <w:left w:val="single" w:sz="8" w:space="0" w:color="808080"/>
              <w:bottom w:val="single" w:sz="8" w:space="0" w:color="808080"/>
            </w:tcBorders>
          </w:tcPr>
          <w:p w14:paraId="06A8CDA0"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1,7</w:t>
            </w:r>
          </w:p>
        </w:tc>
        <w:tc>
          <w:tcPr>
            <w:tcW w:w="1330" w:type="dxa"/>
            <w:tcBorders>
              <w:top w:val="single" w:sz="8" w:space="0" w:color="808080"/>
              <w:left w:val="single" w:sz="8" w:space="0" w:color="808080"/>
              <w:bottom w:val="single" w:sz="8" w:space="0" w:color="808080"/>
              <w:right w:val="single" w:sz="8" w:space="0" w:color="808080"/>
            </w:tcBorders>
          </w:tcPr>
          <w:p w14:paraId="14E53A4F"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80"/>
                <w:sz w:val="16"/>
                <w:szCs w:val="16"/>
                <w:vertAlign w:val="baseline"/>
              </w:rPr>
            </w:pPr>
          </w:p>
        </w:tc>
      </w:tr>
      <w:tr w:rsidR="00634CDF" w14:paraId="2DDAAEE8" w14:textId="77777777">
        <w:trPr>
          <w:trHeight w:val="455"/>
        </w:trPr>
        <w:tc>
          <w:tcPr>
            <w:tcW w:w="1485" w:type="dxa"/>
            <w:tcBorders>
              <w:left w:val="single" w:sz="8" w:space="0" w:color="808080"/>
            </w:tcBorders>
          </w:tcPr>
          <w:p w14:paraId="047C570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Estatinas (%)</w:t>
            </w:r>
          </w:p>
        </w:tc>
        <w:tc>
          <w:tcPr>
            <w:tcW w:w="1214" w:type="dxa"/>
            <w:tcBorders>
              <w:left w:val="single" w:sz="8" w:space="0" w:color="808080"/>
            </w:tcBorders>
          </w:tcPr>
          <w:p w14:paraId="3123B1F0"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89,8</w:t>
            </w:r>
          </w:p>
        </w:tc>
        <w:tc>
          <w:tcPr>
            <w:tcW w:w="1110" w:type="dxa"/>
            <w:tcBorders>
              <w:left w:val="single" w:sz="8" w:space="0" w:color="808080"/>
            </w:tcBorders>
          </w:tcPr>
          <w:p w14:paraId="416E0A7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88,7</w:t>
            </w:r>
          </w:p>
        </w:tc>
        <w:tc>
          <w:tcPr>
            <w:tcW w:w="1066" w:type="dxa"/>
            <w:tcBorders>
              <w:left w:val="single" w:sz="8" w:space="0" w:color="808080"/>
            </w:tcBorders>
          </w:tcPr>
          <w:p w14:paraId="359485F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89,2</w:t>
            </w:r>
          </w:p>
        </w:tc>
        <w:tc>
          <w:tcPr>
            <w:tcW w:w="1274" w:type="dxa"/>
            <w:tcBorders>
              <w:left w:val="single" w:sz="8" w:space="0" w:color="808080"/>
            </w:tcBorders>
          </w:tcPr>
          <w:p w14:paraId="1DE455E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94,6</w:t>
            </w:r>
          </w:p>
        </w:tc>
        <w:tc>
          <w:tcPr>
            <w:tcW w:w="1230" w:type="dxa"/>
            <w:tcBorders>
              <w:left w:val="single" w:sz="8" w:space="0" w:color="808080"/>
            </w:tcBorders>
          </w:tcPr>
          <w:p w14:paraId="5BC084D0"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94,9</w:t>
            </w:r>
          </w:p>
        </w:tc>
        <w:tc>
          <w:tcPr>
            <w:tcW w:w="1330" w:type="dxa"/>
            <w:tcBorders>
              <w:left w:val="single" w:sz="8" w:space="0" w:color="808080"/>
              <w:right w:val="single" w:sz="8" w:space="0" w:color="808080"/>
            </w:tcBorders>
          </w:tcPr>
          <w:p w14:paraId="03B4101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80"/>
                <w:sz w:val="16"/>
                <w:szCs w:val="16"/>
                <w:vertAlign w:val="baseline"/>
              </w:rPr>
              <w:t>94,7</w:t>
            </w:r>
          </w:p>
        </w:tc>
      </w:tr>
      <w:tr w:rsidR="00634CDF" w14:paraId="0134983A" w14:textId="77777777">
        <w:trPr>
          <w:trHeight w:val="455"/>
        </w:trPr>
        <w:tc>
          <w:tcPr>
            <w:tcW w:w="1485" w:type="dxa"/>
            <w:tcBorders>
              <w:top w:val="single" w:sz="8" w:space="0" w:color="808080"/>
              <w:left w:val="single" w:sz="8" w:space="0" w:color="808080"/>
              <w:bottom w:val="single" w:sz="8" w:space="0" w:color="808080"/>
            </w:tcBorders>
          </w:tcPr>
          <w:p w14:paraId="3974BE9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Estatinas alta intensidad (%)</w:t>
            </w:r>
          </w:p>
        </w:tc>
        <w:tc>
          <w:tcPr>
            <w:tcW w:w="1214" w:type="dxa"/>
            <w:tcBorders>
              <w:top w:val="single" w:sz="8" w:space="0" w:color="808080"/>
              <w:left w:val="single" w:sz="8" w:space="0" w:color="808080"/>
              <w:bottom w:val="single" w:sz="8" w:space="0" w:color="808080"/>
            </w:tcBorders>
          </w:tcPr>
          <w:p w14:paraId="4EC1800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67,2</w:t>
            </w:r>
          </w:p>
        </w:tc>
        <w:tc>
          <w:tcPr>
            <w:tcW w:w="1110" w:type="dxa"/>
            <w:tcBorders>
              <w:top w:val="single" w:sz="8" w:space="0" w:color="808080"/>
              <w:left w:val="single" w:sz="8" w:space="0" w:color="808080"/>
              <w:bottom w:val="single" w:sz="8" w:space="0" w:color="808080"/>
            </w:tcBorders>
          </w:tcPr>
          <w:p w14:paraId="705A4597"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68,8</w:t>
            </w:r>
          </w:p>
        </w:tc>
        <w:tc>
          <w:tcPr>
            <w:tcW w:w="1066" w:type="dxa"/>
            <w:tcBorders>
              <w:top w:val="single" w:sz="8" w:space="0" w:color="808080"/>
              <w:left w:val="single" w:sz="8" w:space="0" w:color="808080"/>
              <w:bottom w:val="single" w:sz="8" w:space="0" w:color="808080"/>
            </w:tcBorders>
          </w:tcPr>
          <w:p w14:paraId="522CAE0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68,0</w:t>
            </w:r>
          </w:p>
        </w:tc>
        <w:tc>
          <w:tcPr>
            <w:tcW w:w="1274" w:type="dxa"/>
            <w:tcBorders>
              <w:top w:val="single" w:sz="8" w:space="0" w:color="808080"/>
              <w:left w:val="single" w:sz="8" w:space="0" w:color="808080"/>
              <w:bottom w:val="single" w:sz="8" w:space="0" w:color="808080"/>
            </w:tcBorders>
          </w:tcPr>
          <w:p w14:paraId="171C822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79,0</w:t>
            </w:r>
          </w:p>
        </w:tc>
        <w:tc>
          <w:tcPr>
            <w:tcW w:w="1230" w:type="dxa"/>
            <w:tcBorders>
              <w:top w:val="single" w:sz="8" w:space="0" w:color="808080"/>
              <w:left w:val="single" w:sz="8" w:space="0" w:color="808080"/>
              <w:bottom w:val="single" w:sz="8" w:space="0" w:color="808080"/>
            </w:tcBorders>
          </w:tcPr>
          <w:p w14:paraId="3BBAF76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78,2</w:t>
            </w:r>
          </w:p>
        </w:tc>
        <w:tc>
          <w:tcPr>
            <w:tcW w:w="1330" w:type="dxa"/>
            <w:tcBorders>
              <w:top w:val="single" w:sz="8" w:space="0" w:color="808080"/>
              <w:left w:val="single" w:sz="8" w:space="0" w:color="808080"/>
              <w:bottom w:val="single" w:sz="8" w:space="0" w:color="808080"/>
              <w:right w:val="single" w:sz="8" w:space="0" w:color="808080"/>
            </w:tcBorders>
          </w:tcPr>
          <w:p w14:paraId="0EB2ECD6" w14:textId="77777777" w:rsidR="00634CDF" w:rsidRDefault="00F0051D">
            <w:pPr>
              <w:pBdr>
                <w:top w:val="nil"/>
                <w:left w:val="nil"/>
                <w:bottom w:val="nil"/>
                <w:right w:val="nil"/>
                <w:between w:val="nil"/>
              </w:pBdr>
              <w:spacing w:before="240" w:after="240" w:line="240" w:lineRule="auto"/>
              <w:ind w:left="0" w:hanging="2"/>
              <w:rPr>
                <w:color w:val="000000"/>
                <w:vertAlign w:val="baseline"/>
              </w:rPr>
            </w:pPr>
            <w:r>
              <w:rPr>
                <w:rFonts w:ascii="Arial" w:eastAsia="Arial" w:hAnsi="Arial" w:cs="Arial"/>
                <w:color w:val="000000"/>
                <w:sz w:val="16"/>
                <w:szCs w:val="16"/>
                <w:vertAlign w:val="baseline"/>
              </w:rPr>
              <w:t>78,6</w:t>
            </w:r>
          </w:p>
        </w:tc>
      </w:tr>
      <w:tr w:rsidR="00634CDF" w14:paraId="31612977" w14:textId="77777777">
        <w:trPr>
          <w:trHeight w:val="455"/>
        </w:trPr>
        <w:tc>
          <w:tcPr>
            <w:tcW w:w="1485" w:type="dxa"/>
            <w:tcBorders>
              <w:left w:val="single" w:sz="8" w:space="0" w:color="808080"/>
              <w:bottom w:val="single" w:sz="8" w:space="0" w:color="808080"/>
            </w:tcBorders>
          </w:tcPr>
          <w:p w14:paraId="59C08B50"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Ezetimiba (%)</w:t>
            </w:r>
          </w:p>
        </w:tc>
        <w:tc>
          <w:tcPr>
            <w:tcW w:w="1214" w:type="dxa"/>
            <w:tcBorders>
              <w:left w:val="single" w:sz="8" w:space="0" w:color="808080"/>
              <w:bottom w:val="single" w:sz="8" w:space="0" w:color="808080"/>
            </w:tcBorders>
          </w:tcPr>
          <w:p w14:paraId="4AAD5647"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10,2</w:t>
            </w:r>
          </w:p>
        </w:tc>
        <w:tc>
          <w:tcPr>
            <w:tcW w:w="1110" w:type="dxa"/>
            <w:tcBorders>
              <w:left w:val="single" w:sz="8" w:space="0" w:color="808080"/>
              <w:bottom w:val="single" w:sz="8" w:space="0" w:color="808080"/>
            </w:tcBorders>
          </w:tcPr>
          <w:p w14:paraId="76D3BB67"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9,5</w:t>
            </w:r>
          </w:p>
        </w:tc>
        <w:tc>
          <w:tcPr>
            <w:tcW w:w="1066" w:type="dxa"/>
            <w:tcBorders>
              <w:left w:val="single" w:sz="8" w:space="0" w:color="808080"/>
              <w:bottom w:val="single" w:sz="8" w:space="0" w:color="808080"/>
            </w:tcBorders>
          </w:tcPr>
          <w:p w14:paraId="33C967EA"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9,9</w:t>
            </w:r>
          </w:p>
        </w:tc>
        <w:tc>
          <w:tcPr>
            <w:tcW w:w="1274" w:type="dxa"/>
            <w:tcBorders>
              <w:left w:val="single" w:sz="8" w:space="0" w:color="808080"/>
              <w:bottom w:val="single" w:sz="8" w:space="0" w:color="808080"/>
            </w:tcBorders>
          </w:tcPr>
          <w:p w14:paraId="50A43B7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6,3</w:t>
            </w:r>
          </w:p>
        </w:tc>
        <w:tc>
          <w:tcPr>
            <w:tcW w:w="1230" w:type="dxa"/>
            <w:tcBorders>
              <w:left w:val="single" w:sz="8" w:space="0" w:color="808080"/>
              <w:bottom w:val="single" w:sz="8" w:space="0" w:color="808080"/>
            </w:tcBorders>
          </w:tcPr>
          <w:p w14:paraId="478A6507"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7,7</w:t>
            </w:r>
          </w:p>
        </w:tc>
        <w:tc>
          <w:tcPr>
            <w:tcW w:w="1330" w:type="dxa"/>
            <w:tcBorders>
              <w:left w:val="single" w:sz="8" w:space="0" w:color="808080"/>
              <w:bottom w:val="single" w:sz="8" w:space="0" w:color="808080"/>
              <w:right w:val="single" w:sz="8" w:space="0" w:color="808080"/>
            </w:tcBorders>
          </w:tcPr>
          <w:p w14:paraId="23528FB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7,1</w:t>
            </w:r>
          </w:p>
        </w:tc>
      </w:tr>
      <w:tr w:rsidR="00634CDF" w14:paraId="1B437CDA" w14:textId="77777777">
        <w:trPr>
          <w:trHeight w:val="455"/>
        </w:trPr>
        <w:tc>
          <w:tcPr>
            <w:tcW w:w="1485" w:type="dxa"/>
            <w:tcBorders>
              <w:left w:val="single" w:sz="8" w:space="0" w:color="808080"/>
            </w:tcBorders>
          </w:tcPr>
          <w:p w14:paraId="778091F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Colesterol total (mg/dl)</w:t>
            </w:r>
          </w:p>
        </w:tc>
        <w:tc>
          <w:tcPr>
            <w:tcW w:w="1214" w:type="dxa"/>
            <w:tcBorders>
              <w:left w:val="single" w:sz="8" w:space="0" w:color="808080"/>
              <w:bottom w:val="single" w:sz="8" w:space="0" w:color="808080"/>
            </w:tcBorders>
          </w:tcPr>
          <w:p w14:paraId="1A6CCBD6"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180,6</w:t>
            </w:r>
          </w:p>
        </w:tc>
        <w:tc>
          <w:tcPr>
            <w:tcW w:w="1110" w:type="dxa"/>
            <w:tcBorders>
              <w:left w:val="single" w:sz="8" w:space="0" w:color="808080"/>
              <w:bottom w:val="single" w:sz="8" w:space="0" w:color="808080"/>
            </w:tcBorders>
          </w:tcPr>
          <w:p w14:paraId="5AD48437"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180,6</w:t>
            </w:r>
          </w:p>
        </w:tc>
        <w:tc>
          <w:tcPr>
            <w:tcW w:w="1066" w:type="dxa"/>
            <w:tcBorders>
              <w:left w:val="single" w:sz="8" w:space="0" w:color="808080"/>
              <w:bottom w:val="single" w:sz="8" w:space="0" w:color="808080"/>
            </w:tcBorders>
          </w:tcPr>
          <w:p w14:paraId="25E12A04"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c>
          <w:tcPr>
            <w:tcW w:w="1274" w:type="dxa"/>
            <w:tcBorders>
              <w:left w:val="single" w:sz="8" w:space="0" w:color="808080"/>
              <w:bottom w:val="single" w:sz="8" w:space="0" w:color="808080"/>
            </w:tcBorders>
          </w:tcPr>
          <w:p w14:paraId="4A15B4D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187,3</w:t>
            </w:r>
          </w:p>
        </w:tc>
        <w:tc>
          <w:tcPr>
            <w:tcW w:w="1230" w:type="dxa"/>
            <w:tcBorders>
              <w:left w:val="single" w:sz="8" w:space="0" w:color="808080"/>
              <w:bottom w:val="single" w:sz="8" w:space="0" w:color="808080"/>
            </w:tcBorders>
          </w:tcPr>
          <w:p w14:paraId="3DC790B2"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183,3</w:t>
            </w:r>
          </w:p>
        </w:tc>
        <w:tc>
          <w:tcPr>
            <w:tcW w:w="1330" w:type="dxa"/>
            <w:tcBorders>
              <w:left w:val="single" w:sz="8" w:space="0" w:color="808080"/>
              <w:bottom w:val="single" w:sz="8" w:space="0" w:color="808080"/>
              <w:right w:val="single" w:sz="8" w:space="0" w:color="808080"/>
            </w:tcBorders>
          </w:tcPr>
          <w:p w14:paraId="2C06C86B"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r>
      <w:tr w:rsidR="00634CDF" w14:paraId="3F5357A8" w14:textId="77777777">
        <w:trPr>
          <w:trHeight w:val="455"/>
        </w:trPr>
        <w:tc>
          <w:tcPr>
            <w:tcW w:w="1485" w:type="dxa"/>
            <w:tcBorders>
              <w:top w:val="single" w:sz="8" w:space="0" w:color="808080"/>
              <w:left w:val="single" w:sz="8" w:space="0" w:color="808080"/>
              <w:bottom w:val="single" w:sz="8" w:space="0" w:color="808080"/>
            </w:tcBorders>
          </w:tcPr>
          <w:p w14:paraId="071971B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LDL (mg/dl)</w:t>
            </w:r>
          </w:p>
        </w:tc>
        <w:tc>
          <w:tcPr>
            <w:tcW w:w="1214" w:type="dxa"/>
            <w:tcBorders>
              <w:left w:val="single" w:sz="8" w:space="0" w:color="808080"/>
              <w:bottom w:val="single" w:sz="8" w:space="0" w:color="808080"/>
            </w:tcBorders>
          </w:tcPr>
          <w:p w14:paraId="762C4DF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104,5</w:t>
            </w:r>
          </w:p>
        </w:tc>
        <w:tc>
          <w:tcPr>
            <w:tcW w:w="1110" w:type="dxa"/>
            <w:tcBorders>
              <w:left w:val="single" w:sz="8" w:space="0" w:color="808080"/>
              <w:bottom w:val="single" w:sz="8" w:space="0" w:color="808080"/>
            </w:tcBorders>
          </w:tcPr>
          <w:p w14:paraId="1CB92BA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104,8</w:t>
            </w:r>
          </w:p>
        </w:tc>
        <w:tc>
          <w:tcPr>
            <w:tcW w:w="1066" w:type="dxa"/>
            <w:tcBorders>
              <w:left w:val="single" w:sz="8" w:space="0" w:color="808080"/>
              <w:bottom w:val="single" w:sz="8" w:space="0" w:color="808080"/>
            </w:tcBorders>
          </w:tcPr>
          <w:p w14:paraId="06CC2419"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c>
          <w:tcPr>
            <w:tcW w:w="1274" w:type="dxa"/>
            <w:tcBorders>
              <w:left w:val="single" w:sz="8" w:space="0" w:color="808080"/>
              <w:bottom w:val="single" w:sz="8" w:space="0" w:color="808080"/>
            </w:tcBorders>
          </w:tcPr>
          <w:p w14:paraId="60918DA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107,2</w:t>
            </w:r>
          </w:p>
        </w:tc>
        <w:tc>
          <w:tcPr>
            <w:tcW w:w="1230" w:type="dxa"/>
            <w:tcBorders>
              <w:left w:val="single" w:sz="8" w:space="0" w:color="808080"/>
              <w:bottom w:val="single" w:sz="8" w:space="0" w:color="808080"/>
            </w:tcBorders>
          </w:tcPr>
          <w:p w14:paraId="4AF50156"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103,7</w:t>
            </w:r>
          </w:p>
        </w:tc>
        <w:tc>
          <w:tcPr>
            <w:tcW w:w="1330" w:type="dxa"/>
            <w:tcBorders>
              <w:left w:val="single" w:sz="8" w:space="0" w:color="808080"/>
              <w:bottom w:val="single" w:sz="8" w:space="0" w:color="808080"/>
              <w:right w:val="single" w:sz="8" w:space="0" w:color="808080"/>
            </w:tcBorders>
          </w:tcPr>
          <w:p w14:paraId="344111C4"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r>
      <w:tr w:rsidR="00634CDF" w14:paraId="71242310" w14:textId="77777777">
        <w:trPr>
          <w:trHeight w:val="455"/>
        </w:trPr>
        <w:tc>
          <w:tcPr>
            <w:tcW w:w="1485" w:type="dxa"/>
            <w:tcBorders>
              <w:left w:val="single" w:sz="8" w:space="0" w:color="808080"/>
            </w:tcBorders>
          </w:tcPr>
          <w:p w14:paraId="7B569E7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HDL (mg/dl)</w:t>
            </w:r>
          </w:p>
        </w:tc>
        <w:tc>
          <w:tcPr>
            <w:tcW w:w="1214" w:type="dxa"/>
            <w:tcBorders>
              <w:left w:val="single" w:sz="8" w:space="0" w:color="808080"/>
              <w:bottom w:val="single" w:sz="8" w:space="0" w:color="808080"/>
            </w:tcBorders>
          </w:tcPr>
          <w:p w14:paraId="450B5F81"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46,6</w:t>
            </w:r>
          </w:p>
        </w:tc>
        <w:tc>
          <w:tcPr>
            <w:tcW w:w="1110" w:type="dxa"/>
            <w:tcBorders>
              <w:left w:val="single" w:sz="8" w:space="0" w:color="808080"/>
              <w:bottom w:val="single" w:sz="8" w:space="0" w:color="808080"/>
            </w:tcBorders>
          </w:tcPr>
          <w:p w14:paraId="605BAAF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45,9</w:t>
            </w:r>
          </w:p>
        </w:tc>
        <w:tc>
          <w:tcPr>
            <w:tcW w:w="1066" w:type="dxa"/>
            <w:tcBorders>
              <w:left w:val="single" w:sz="8" w:space="0" w:color="808080"/>
              <w:bottom w:val="single" w:sz="8" w:space="0" w:color="808080"/>
            </w:tcBorders>
          </w:tcPr>
          <w:p w14:paraId="37BA63B4"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c>
          <w:tcPr>
            <w:tcW w:w="1274" w:type="dxa"/>
            <w:tcBorders>
              <w:left w:val="single" w:sz="8" w:space="0" w:color="808080"/>
              <w:bottom w:val="single" w:sz="8" w:space="0" w:color="808080"/>
            </w:tcBorders>
          </w:tcPr>
          <w:p w14:paraId="048FBD0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49,7</w:t>
            </w:r>
          </w:p>
        </w:tc>
        <w:tc>
          <w:tcPr>
            <w:tcW w:w="1230" w:type="dxa"/>
            <w:tcBorders>
              <w:left w:val="single" w:sz="8" w:space="0" w:color="808080"/>
              <w:bottom w:val="single" w:sz="8" w:space="0" w:color="808080"/>
            </w:tcBorders>
          </w:tcPr>
          <w:p w14:paraId="195421D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49,3</w:t>
            </w:r>
          </w:p>
        </w:tc>
        <w:tc>
          <w:tcPr>
            <w:tcW w:w="1330" w:type="dxa"/>
            <w:tcBorders>
              <w:left w:val="single" w:sz="8" w:space="0" w:color="808080"/>
              <w:bottom w:val="single" w:sz="8" w:space="0" w:color="808080"/>
              <w:right w:val="single" w:sz="8" w:space="0" w:color="808080"/>
            </w:tcBorders>
          </w:tcPr>
          <w:p w14:paraId="4BA41771"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r>
      <w:tr w:rsidR="00634CDF" w14:paraId="19689732" w14:textId="77777777">
        <w:trPr>
          <w:trHeight w:val="455"/>
        </w:trPr>
        <w:tc>
          <w:tcPr>
            <w:tcW w:w="1485" w:type="dxa"/>
            <w:tcBorders>
              <w:top w:val="single" w:sz="8" w:space="0" w:color="808080"/>
              <w:left w:val="single" w:sz="8" w:space="0" w:color="808080"/>
              <w:bottom w:val="single" w:sz="8" w:space="0" w:color="808080"/>
            </w:tcBorders>
          </w:tcPr>
          <w:p w14:paraId="126214E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Apob (mg/dl)</w:t>
            </w:r>
          </w:p>
        </w:tc>
        <w:tc>
          <w:tcPr>
            <w:tcW w:w="1214" w:type="dxa"/>
            <w:tcBorders>
              <w:left w:val="single" w:sz="8" w:space="0" w:color="808080"/>
              <w:bottom w:val="single" w:sz="8" w:space="0" w:color="808080"/>
            </w:tcBorders>
          </w:tcPr>
          <w:p w14:paraId="57C9822A"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94,1</w:t>
            </w:r>
          </w:p>
        </w:tc>
        <w:tc>
          <w:tcPr>
            <w:tcW w:w="1110" w:type="dxa"/>
            <w:tcBorders>
              <w:left w:val="single" w:sz="8" w:space="0" w:color="808080"/>
              <w:bottom w:val="single" w:sz="8" w:space="0" w:color="808080"/>
            </w:tcBorders>
          </w:tcPr>
          <w:p w14:paraId="68937CB1"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94,6</w:t>
            </w:r>
          </w:p>
        </w:tc>
        <w:tc>
          <w:tcPr>
            <w:tcW w:w="1066" w:type="dxa"/>
            <w:tcBorders>
              <w:left w:val="single" w:sz="8" w:space="0" w:color="808080"/>
              <w:bottom w:val="single" w:sz="8" w:space="0" w:color="808080"/>
            </w:tcBorders>
          </w:tcPr>
          <w:p w14:paraId="7D2380AB"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c>
          <w:tcPr>
            <w:tcW w:w="1274" w:type="dxa"/>
            <w:tcBorders>
              <w:left w:val="single" w:sz="8" w:space="0" w:color="808080"/>
              <w:bottom w:val="single" w:sz="8" w:space="0" w:color="808080"/>
            </w:tcBorders>
          </w:tcPr>
          <w:p w14:paraId="560C0F50"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97,1</w:t>
            </w:r>
          </w:p>
        </w:tc>
        <w:tc>
          <w:tcPr>
            <w:tcW w:w="1230" w:type="dxa"/>
            <w:tcBorders>
              <w:left w:val="single" w:sz="8" w:space="0" w:color="808080"/>
              <w:bottom w:val="single" w:sz="8" w:space="0" w:color="808080"/>
            </w:tcBorders>
          </w:tcPr>
          <w:p w14:paraId="27B45F2F"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95,1</w:t>
            </w:r>
          </w:p>
        </w:tc>
        <w:tc>
          <w:tcPr>
            <w:tcW w:w="1330" w:type="dxa"/>
            <w:tcBorders>
              <w:left w:val="single" w:sz="8" w:space="0" w:color="808080"/>
              <w:bottom w:val="single" w:sz="8" w:space="0" w:color="808080"/>
              <w:right w:val="single" w:sz="8" w:space="0" w:color="808080"/>
            </w:tcBorders>
          </w:tcPr>
          <w:p w14:paraId="4DB44FDC"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r>
      <w:tr w:rsidR="00634CDF" w14:paraId="46DD7D33" w14:textId="77777777">
        <w:trPr>
          <w:trHeight w:val="455"/>
        </w:trPr>
        <w:tc>
          <w:tcPr>
            <w:tcW w:w="1485" w:type="dxa"/>
            <w:tcBorders>
              <w:left w:val="single" w:sz="8" w:space="0" w:color="808080"/>
              <w:bottom w:val="single" w:sz="8" w:space="0" w:color="808080"/>
            </w:tcBorders>
          </w:tcPr>
          <w:p w14:paraId="5C7D1EB2"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Lipoproteina a (mediana) (nmol/L)</w:t>
            </w:r>
          </w:p>
        </w:tc>
        <w:tc>
          <w:tcPr>
            <w:tcW w:w="1214" w:type="dxa"/>
            <w:tcBorders>
              <w:left w:val="single" w:sz="8" w:space="0" w:color="808080"/>
              <w:bottom w:val="single" w:sz="8" w:space="0" w:color="808080"/>
            </w:tcBorders>
          </w:tcPr>
          <w:p w14:paraId="470F821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57</w:t>
            </w:r>
          </w:p>
        </w:tc>
        <w:tc>
          <w:tcPr>
            <w:tcW w:w="1110" w:type="dxa"/>
            <w:tcBorders>
              <w:left w:val="single" w:sz="8" w:space="0" w:color="808080"/>
              <w:bottom w:val="single" w:sz="8" w:space="0" w:color="808080"/>
            </w:tcBorders>
          </w:tcPr>
          <w:p w14:paraId="38FE3D4A"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56</w:t>
            </w:r>
          </w:p>
        </w:tc>
        <w:tc>
          <w:tcPr>
            <w:tcW w:w="1066" w:type="dxa"/>
            <w:tcBorders>
              <w:left w:val="single" w:sz="8" w:space="0" w:color="808080"/>
              <w:bottom w:val="single" w:sz="8" w:space="0" w:color="808080"/>
            </w:tcBorders>
          </w:tcPr>
          <w:p w14:paraId="0C821BAC"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c>
          <w:tcPr>
            <w:tcW w:w="1274" w:type="dxa"/>
            <w:tcBorders>
              <w:left w:val="single" w:sz="8" w:space="0" w:color="808080"/>
              <w:bottom w:val="single" w:sz="8" w:space="0" w:color="808080"/>
            </w:tcBorders>
          </w:tcPr>
          <w:p w14:paraId="766C5C8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42</w:t>
            </w:r>
          </w:p>
        </w:tc>
        <w:tc>
          <w:tcPr>
            <w:tcW w:w="1230" w:type="dxa"/>
            <w:tcBorders>
              <w:left w:val="single" w:sz="8" w:space="0" w:color="808080"/>
              <w:bottom w:val="single" w:sz="8" w:space="0" w:color="808080"/>
            </w:tcBorders>
          </w:tcPr>
          <w:p w14:paraId="3626154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35</w:t>
            </w:r>
          </w:p>
        </w:tc>
        <w:tc>
          <w:tcPr>
            <w:tcW w:w="1330" w:type="dxa"/>
            <w:tcBorders>
              <w:left w:val="single" w:sz="8" w:space="0" w:color="808080"/>
              <w:bottom w:val="single" w:sz="8" w:space="0" w:color="808080"/>
              <w:right w:val="single" w:sz="8" w:space="0" w:color="808080"/>
            </w:tcBorders>
          </w:tcPr>
          <w:p w14:paraId="6E0B698F"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r>
      <w:tr w:rsidR="00634CDF" w14:paraId="08E88F0A" w14:textId="77777777">
        <w:trPr>
          <w:trHeight w:val="455"/>
        </w:trPr>
        <w:tc>
          <w:tcPr>
            <w:tcW w:w="1485" w:type="dxa"/>
            <w:tcBorders>
              <w:left w:val="single" w:sz="8" w:space="0" w:color="808080"/>
              <w:bottom w:val="single" w:sz="8" w:space="0" w:color="808080"/>
            </w:tcBorders>
          </w:tcPr>
          <w:p w14:paraId="3A18D6E2" w14:textId="0A3B7CA2" w:rsidR="00634CDF" w:rsidRDefault="004E4268">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Triglicéridos (mg/dL</w:t>
            </w:r>
            <w:r w:rsidR="00F0051D">
              <w:rPr>
                <w:rFonts w:ascii="Arial" w:eastAsia="Arial" w:hAnsi="Arial" w:cs="Arial"/>
                <w:color w:val="000000"/>
                <w:sz w:val="16"/>
                <w:szCs w:val="16"/>
                <w:vertAlign w:val="baseline"/>
              </w:rPr>
              <w:t>)</w:t>
            </w:r>
          </w:p>
        </w:tc>
        <w:tc>
          <w:tcPr>
            <w:tcW w:w="1214" w:type="dxa"/>
            <w:tcBorders>
              <w:left w:val="single" w:sz="8" w:space="0" w:color="808080"/>
              <w:bottom w:val="single" w:sz="8" w:space="0" w:color="808080"/>
            </w:tcBorders>
          </w:tcPr>
          <w:p w14:paraId="65F86F4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127</w:t>
            </w:r>
          </w:p>
        </w:tc>
        <w:tc>
          <w:tcPr>
            <w:tcW w:w="1110" w:type="dxa"/>
            <w:tcBorders>
              <w:left w:val="single" w:sz="8" w:space="0" w:color="808080"/>
              <w:bottom w:val="single" w:sz="8" w:space="0" w:color="808080"/>
            </w:tcBorders>
          </w:tcPr>
          <w:p w14:paraId="06D19BB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129</w:t>
            </w:r>
          </w:p>
        </w:tc>
        <w:tc>
          <w:tcPr>
            <w:tcW w:w="1066" w:type="dxa"/>
            <w:tcBorders>
              <w:left w:val="single" w:sz="8" w:space="0" w:color="808080"/>
              <w:bottom w:val="single" w:sz="8" w:space="0" w:color="808080"/>
            </w:tcBorders>
          </w:tcPr>
          <w:p w14:paraId="325043D4"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c>
          <w:tcPr>
            <w:tcW w:w="1274" w:type="dxa"/>
            <w:tcBorders>
              <w:left w:val="single" w:sz="8" w:space="0" w:color="808080"/>
              <w:bottom w:val="single" w:sz="8" w:space="0" w:color="808080"/>
            </w:tcBorders>
          </w:tcPr>
          <w:p w14:paraId="4C46EF4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135</w:t>
            </w:r>
          </w:p>
        </w:tc>
        <w:tc>
          <w:tcPr>
            <w:tcW w:w="1230" w:type="dxa"/>
            <w:tcBorders>
              <w:left w:val="single" w:sz="8" w:space="0" w:color="808080"/>
              <w:bottom w:val="single" w:sz="8" w:space="0" w:color="808080"/>
            </w:tcBorders>
          </w:tcPr>
          <w:p w14:paraId="5855AF9C"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135</w:t>
            </w:r>
          </w:p>
        </w:tc>
        <w:tc>
          <w:tcPr>
            <w:tcW w:w="1330" w:type="dxa"/>
            <w:tcBorders>
              <w:left w:val="single" w:sz="8" w:space="0" w:color="808080"/>
              <w:bottom w:val="single" w:sz="8" w:space="0" w:color="808080"/>
              <w:right w:val="single" w:sz="8" w:space="0" w:color="808080"/>
            </w:tcBorders>
          </w:tcPr>
          <w:p w14:paraId="6A3EDE71"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r>
      <w:tr w:rsidR="00634CDF" w14:paraId="539861D3" w14:textId="77777777">
        <w:trPr>
          <w:trHeight w:val="455"/>
        </w:trPr>
        <w:tc>
          <w:tcPr>
            <w:tcW w:w="1485" w:type="dxa"/>
            <w:tcBorders>
              <w:left w:val="single" w:sz="8" w:space="0" w:color="808080"/>
              <w:bottom w:val="single" w:sz="8" w:space="0" w:color="808080"/>
            </w:tcBorders>
          </w:tcPr>
          <w:p w14:paraId="5CC41B0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PCSK9 (µg/L)</w:t>
            </w:r>
          </w:p>
        </w:tc>
        <w:tc>
          <w:tcPr>
            <w:tcW w:w="1214" w:type="dxa"/>
            <w:tcBorders>
              <w:left w:val="single" w:sz="8" w:space="0" w:color="808080"/>
              <w:bottom w:val="single" w:sz="8" w:space="0" w:color="808080"/>
            </w:tcBorders>
          </w:tcPr>
          <w:p w14:paraId="6A4D64FB"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422,1</w:t>
            </w:r>
          </w:p>
        </w:tc>
        <w:tc>
          <w:tcPr>
            <w:tcW w:w="1110" w:type="dxa"/>
            <w:tcBorders>
              <w:left w:val="single" w:sz="8" w:space="0" w:color="808080"/>
              <w:bottom w:val="single" w:sz="8" w:space="0" w:color="808080"/>
            </w:tcBorders>
          </w:tcPr>
          <w:p w14:paraId="3627ED0A"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414,9</w:t>
            </w:r>
          </w:p>
        </w:tc>
        <w:tc>
          <w:tcPr>
            <w:tcW w:w="1066" w:type="dxa"/>
            <w:tcBorders>
              <w:left w:val="single" w:sz="8" w:space="0" w:color="808080"/>
              <w:bottom w:val="single" w:sz="8" w:space="0" w:color="808080"/>
            </w:tcBorders>
          </w:tcPr>
          <w:p w14:paraId="34BD7C23"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c>
          <w:tcPr>
            <w:tcW w:w="1274" w:type="dxa"/>
            <w:tcBorders>
              <w:left w:val="single" w:sz="8" w:space="0" w:color="808080"/>
              <w:bottom w:val="single" w:sz="8" w:space="0" w:color="808080"/>
            </w:tcBorders>
          </w:tcPr>
          <w:p w14:paraId="64502CF2"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355</w:t>
            </w:r>
          </w:p>
        </w:tc>
        <w:tc>
          <w:tcPr>
            <w:tcW w:w="1230" w:type="dxa"/>
            <w:tcBorders>
              <w:left w:val="single" w:sz="8" w:space="0" w:color="808080"/>
              <w:bottom w:val="single" w:sz="8" w:space="0" w:color="808080"/>
            </w:tcBorders>
          </w:tcPr>
          <w:p w14:paraId="72D91EC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353</w:t>
            </w:r>
          </w:p>
          <w:p w14:paraId="0E7E6A20"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c>
          <w:tcPr>
            <w:tcW w:w="1330" w:type="dxa"/>
            <w:tcBorders>
              <w:left w:val="single" w:sz="8" w:space="0" w:color="808080"/>
              <w:bottom w:val="single" w:sz="8" w:space="0" w:color="808080"/>
              <w:right w:val="single" w:sz="8" w:space="0" w:color="808080"/>
            </w:tcBorders>
          </w:tcPr>
          <w:p w14:paraId="22B9F929" w14:textId="77777777" w:rsidR="00634CDF" w:rsidRDefault="00634CDF">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p>
        </w:tc>
      </w:tr>
      <w:tr w:rsidR="00634CDF" w14:paraId="32477DD0" w14:textId="77777777">
        <w:trPr>
          <w:trHeight w:val="1425"/>
        </w:trPr>
        <w:tc>
          <w:tcPr>
            <w:tcW w:w="8709" w:type="dxa"/>
            <w:gridSpan w:val="7"/>
            <w:tcBorders>
              <w:left w:val="single" w:sz="8" w:space="0" w:color="808080"/>
              <w:bottom w:val="single" w:sz="8" w:space="0" w:color="808080"/>
            </w:tcBorders>
          </w:tcPr>
          <w:p w14:paraId="17EDC3E1" w14:textId="77777777" w:rsidR="00634CDF" w:rsidRDefault="00F0051D">
            <w:pPr>
              <w:pBdr>
                <w:top w:val="nil"/>
                <w:left w:val="nil"/>
                <w:bottom w:val="nil"/>
                <w:right w:val="nil"/>
                <w:between w:val="nil"/>
              </w:pBdr>
              <w:spacing w:before="240" w:after="240" w:line="240" w:lineRule="auto"/>
              <w:ind w:left="0" w:hanging="2"/>
              <w:rPr>
                <w:color w:val="000000"/>
                <w:vertAlign w:val="baseline"/>
              </w:rPr>
            </w:pPr>
            <w:r>
              <w:rPr>
                <w:rFonts w:ascii="Arial" w:eastAsia="Arial" w:hAnsi="Arial" w:cs="Arial"/>
                <w:color w:val="000000"/>
                <w:sz w:val="16"/>
                <w:szCs w:val="16"/>
                <w:vertAlign w:val="baseline"/>
              </w:rPr>
              <w:lastRenderedPageBreak/>
              <w:t xml:space="preserve">+: Pacientes en esta categoría tenían: diabetes tipo 2, hipercolesterolemia familiar, o un riesgo a 10 años de eventos CV </w:t>
            </w:r>
            <w:sdt>
              <w:sdtPr>
                <w:tag w:val="goog_rdk_12"/>
                <w:id w:val="1578168849"/>
              </w:sdtPr>
              <w:sdtEndPr/>
              <w:sdtContent>
                <w:r>
                  <w:rPr>
                    <w:rFonts w:ascii="Arial Unicode MS" w:eastAsia="Arial Unicode MS" w:hAnsi="Arial Unicode MS" w:cs="Arial Unicode MS"/>
                    <w:color w:val="000000"/>
                    <w:sz w:val="20"/>
                    <w:szCs w:val="20"/>
                    <w:vertAlign w:val="baseline"/>
                  </w:rPr>
                  <w:t>≥</w:t>
                </w:r>
              </w:sdtContent>
            </w:sdt>
            <w:r>
              <w:rPr>
                <w:rFonts w:ascii="Arial" w:eastAsia="Arial" w:hAnsi="Arial" w:cs="Arial"/>
                <w:color w:val="000000"/>
                <w:sz w:val="16"/>
                <w:szCs w:val="16"/>
                <w:vertAlign w:val="baseline"/>
              </w:rPr>
              <w:t>20% según escala de riesgo Framingham o similar.</w:t>
            </w:r>
          </w:p>
          <w:p w14:paraId="17805B9E" w14:textId="77777777" w:rsidR="00634CDF" w:rsidRDefault="00F0051D">
            <w:pPr>
              <w:pBdr>
                <w:top w:val="nil"/>
                <w:left w:val="nil"/>
                <w:bottom w:val="nil"/>
                <w:right w:val="nil"/>
                <w:between w:val="nil"/>
              </w:pBdr>
              <w:spacing w:before="240" w:after="240" w:line="240" w:lineRule="auto"/>
              <w:ind w:left="0" w:hanging="2"/>
              <w:rPr>
                <w:color w:val="000000"/>
                <w:vertAlign w:val="baseline"/>
              </w:rPr>
            </w:pPr>
            <w:r>
              <w:rPr>
                <w:rFonts w:ascii="Arial" w:eastAsia="Arial" w:hAnsi="Arial" w:cs="Arial"/>
                <w:color w:val="000000"/>
                <w:sz w:val="16"/>
                <w:szCs w:val="16"/>
                <w:vertAlign w:val="baseline"/>
              </w:rPr>
              <w:t>$: los porcentajes proporcionados se han calculado sobre el total del grupo, incluidos los pacientes en la categoría de riesgo equivalente.</w:t>
            </w:r>
          </w:p>
        </w:tc>
      </w:tr>
    </w:tbl>
    <w:p w14:paraId="7BB25DFD"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rFonts w:ascii="Arial" w:eastAsia="Arial" w:hAnsi="Arial" w:cs="Arial"/>
          <w:color w:val="000000"/>
          <w:sz w:val="20"/>
          <w:szCs w:val="20"/>
          <w:vertAlign w:val="baseline"/>
        </w:rPr>
      </w:pPr>
    </w:p>
    <w:p w14:paraId="04CCB36B" w14:textId="77777777"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En el estudio </w:t>
      </w:r>
      <w:r>
        <w:rPr>
          <w:rFonts w:ascii="Arial" w:eastAsia="Arial" w:hAnsi="Arial" w:cs="Arial"/>
          <w:b/>
          <w:color w:val="000000"/>
          <w:sz w:val="20"/>
          <w:szCs w:val="20"/>
          <w:vertAlign w:val="baseline"/>
        </w:rPr>
        <w:t xml:space="preserve">ORION 10, </w:t>
      </w:r>
      <w:r>
        <w:rPr>
          <w:rFonts w:ascii="Arial" w:eastAsia="Arial" w:hAnsi="Arial" w:cs="Arial"/>
          <w:color w:val="000000"/>
          <w:sz w:val="20"/>
          <w:szCs w:val="20"/>
          <w:vertAlign w:val="baseline"/>
        </w:rPr>
        <w:t>globalmente, el 89,2% recibió estatinas. El 69,4% recibió estatinas de alta intensidad, 18,7%, de intensidad moderada y 0,8%, de baja intensidad. El 9,9% de los pacientes estaba tratado con ezetimiba. El 22% de los pacientes era parcial o totalmente intolerante a estatinas. El 91% era hipertenso y el 45%, diabético. El 100% tenía enfermedad cardiovascular.</w:t>
      </w:r>
    </w:p>
    <w:p w14:paraId="3C0BB0C4" w14:textId="77777777"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Intergrupos había un mayor porcentaje de pacientes diabéticos en el grupo inclisiran vs placebo.</w:t>
      </w:r>
    </w:p>
    <w:p w14:paraId="27891F14" w14:textId="77777777"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Intergrupos,</w:t>
      </w:r>
      <w:r>
        <w:rPr>
          <w:rFonts w:ascii="Arial" w:eastAsia="Arial" w:hAnsi="Arial" w:cs="Arial"/>
          <w:b/>
          <w:color w:val="000000"/>
          <w:sz w:val="20"/>
          <w:szCs w:val="20"/>
          <w:vertAlign w:val="baseline"/>
        </w:rPr>
        <w:t xml:space="preserve"> </w:t>
      </w:r>
      <w:r>
        <w:rPr>
          <w:rFonts w:ascii="Arial" w:eastAsia="Arial" w:hAnsi="Arial" w:cs="Arial"/>
          <w:color w:val="000000"/>
          <w:sz w:val="20"/>
          <w:szCs w:val="20"/>
          <w:vertAlign w:val="baseline"/>
        </w:rPr>
        <w:t>en relación a edad</w:t>
      </w:r>
      <w:r>
        <w:rPr>
          <w:rFonts w:ascii="Arial" w:eastAsia="Arial" w:hAnsi="Arial" w:cs="Arial"/>
          <w:sz w:val="20"/>
          <w:szCs w:val="20"/>
          <w:vertAlign w:val="baseline"/>
        </w:rPr>
        <w:t xml:space="preserve"> y</w:t>
      </w:r>
      <w:r>
        <w:rPr>
          <w:rFonts w:ascii="Arial" w:eastAsia="Arial" w:hAnsi="Arial" w:cs="Arial"/>
          <w:color w:val="000000"/>
          <w:sz w:val="20"/>
          <w:szCs w:val="20"/>
          <w:vertAlign w:val="baseline"/>
        </w:rPr>
        <w:t xml:space="preserve"> sexo ambos grupos estuvieron equilibrados. Los factores de riesgo cardiovascular “actual fumador” e “hipertensión” estuvieron equilibrados en ambos grupos. En relación a la diabetes, hubo 5,1% más de pacientes diabéticos en el grupo inclisiran. </w:t>
      </w:r>
    </w:p>
    <w:p w14:paraId="527A0DDE"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rFonts w:ascii="Arial" w:eastAsia="Arial" w:hAnsi="Arial" w:cs="Arial"/>
          <w:color w:val="000000"/>
          <w:sz w:val="20"/>
          <w:szCs w:val="20"/>
          <w:vertAlign w:val="baseline"/>
        </w:rPr>
      </w:pPr>
    </w:p>
    <w:p w14:paraId="2F72E20E" w14:textId="77777777"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En el estudio </w:t>
      </w:r>
      <w:r>
        <w:rPr>
          <w:rFonts w:ascii="Arial" w:eastAsia="Arial" w:hAnsi="Arial" w:cs="Arial"/>
          <w:b/>
          <w:color w:val="000000"/>
          <w:sz w:val="20"/>
          <w:szCs w:val="20"/>
          <w:vertAlign w:val="baseline"/>
        </w:rPr>
        <w:t>ORION 11</w:t>
      </w:r>
      <w:r>
        <w:rPr>
          <w:rFonts w:ascii="Arial" w:eastAsia="Arial" w:hAnsi="Arial" w:cs="Arial"/>
          <w:color w:val="000000"/>
          <w:sz w:val="20"/>
          <w:szCs w:val="20"/>
          <w:vertAlign w:val="baseline"/>
        </w:rPr>
        <w:t xml:space="preserve">, globalmente el 94,7% de los pacientes recibió estatinas. Teniendo en cuenta la modificación del protocolo en la que la simvastatina de 40 mg se consideraba de intensidad moderada, el 78% de los pacientes recibió estatinas de alta intensidad, el 15,5% de intensidad moderada y el 0,4%, de baja intensidad. El 7,1% de los pacientes estaba tratado con ezetimiba. El 11,4% de los pacientes era parcial o totalmente intolerante a las estatinas. El 12,6% de los pacientes se encontraba en la categoría de riesgo equivalente, de los cuales 65% (132) tenía diabetes, 14,8% (30) tenía hipercolesterolemia </w:t>
      </w:r>
      <w:r>
        <w:rPr>
          <w:rFonts w:ascii="Arial" w:eastAsia="Arial" w:hAnsi="Arial" w:cs="Arial"/>
          <w:sz w:val="20"/>
          <w:szCs w:val="20"/>
          <w:vertAlign w:val="baseline"/>
        </w:rPr>
        <w:t>familiar</w:t>
      </w:r>
      <w:r>
        <w:rPr>
          <w:rFonts w:ascii="Arial" w:eastAsia="Arial" w:hAnsi="Arial" w:cs="Arial"/>
          <w:color w:val="000000"/>
          <w:sz w:val="20"/>
          <w:szCs w:val="20"/>
          <w:vertAlign w:val="baseline"/>
        </w:rPr>
        <w:t xml:space="preserve"> y 20,2% (41) tenía riesgo cv a 10 años </w:t>
      </w:r>
      <w:sdt>
        <w:sdtPr>
          <w:tag w:val="goog_rdk_13"/>
          <w:id w:val="-240652156"/>
        </w:sdtPr>
        <w:sdtEndPr/>
        <w:sdtContent>
          <w:r>
            <w:rPr>
              <w:rFonts w:ascii="Arial Unicode MS" w:eastAsia="Arial Unicode MS" w:hAnsi="Arial Unicode MS" w:cs="Arial Unicode MS"/>
              <w:color w:val="000000"/>
              <w:sz w:val="20"/>
              <w:szCs w:val="20"/>
              <w:vertAlign w:val="baseline"/>
            </w:rPr>
            <w:t>≥20%.</w:t>
          </w:r>
        </w:sdtContent>
      </w:sdt>
    </w:p>
    <w:p w14:paraId="6556F5D8" w14:textId="77777777" w:rsidR="00634CDF" w:rsidRPr="004E4268"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rFonts w:ascii="Arial" w:eastAsia="Arial" w:hAnsi="Arial" w:cs="Arial"/>
          <w:color w:val="000000"/>
          <w:sz w:val="20"/>
          <w:szCs w:val="20"/>
          <w:vertAlign w:val="baseline"/>
        </w:rPr>
      </w:pPr>
      <w:r>
        <w:rPr>
          <w:rFonts w:ascii="Arial" w:eastAsia="Arial" w:hAnsi="Arial" w:cs="Arial"/>
          <w:color w:val="000000"/>
          <w:sz w:val="20"/>
          <w:szCs w:val="20"/>
          <w:vertAlign w:val="baseline"/>
        </w:rPr>
        <w:t>Intergrupos había un mayor porcentaje de pacientes diabéticos en el grupo inclisiran vs. placebo (2,8% más).</w:t>
      </w:r>
    </w:p>
    <w:p w14:paraId="5422599A"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rFonts w:ascii="Arial" w:eastAsia="Arial" w:hAnsi="Arial" w:cs="Arial"/>
          <w:color w:val="000000"/>
          <w:sz w:val="20"/>
          <w:szCs w:val="20"/>
          <w:vertAlign w:val="baseline"/>
        </w:rPr>
      </w:pPr>
      <w:bookmarkStart w:id="39" w:name="_heading=h.4i7ojhp" w:colFirst="0" w:colLast="0"/>
      <w:bookmarkEnd w:id="39"/>
    </w:p>
    <w:p w14:paraId="44D445A2" w14:textId="3CA2F730" w:rsidR="00634CDF" w:rsidRDefault="00F0051D" w:rsidP="004E4268">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Los pacientes incluidos en ORION 10 y ORION 11 eran pacientes con riesgo vascular. Aunque se excluyeron pacientes con niveles de triglicéridos en ayunos superiores a 400 mg/dl,</w:t>
      </w:r>
      <w:r>
        <w:rPr>
          <w:color w:val="000000"/>
          <w:sz w:val="14"/>
          <w:szCs w:val="14"/>
          <w:vertAlign w:val="baseline"/>
        </w:rPr>
        <w:t xml:space="preserve"> </w:t>
      </w:r>
      <w:r>
        <w:rPr>
          <w:rFonts w:ascii="Arial" w:eastAsia="Arial" w:hAnsi="Arial" w:cs="Arial"/>
          <w:color w:val="000000"/>
          <w:sz w:val="20"/>
          <w:szCs w:val="20"/>
          <w:vertAlign w:val="baseline"/>
        </w:rPr>
        <w:t xml:space="preserve">eventos cardiovasculares graves </w:t>
      </w:r>
      <w:r w:rsidR="00D33EB1">
        <w:rPr>
          <w:rFonts w:ascii="Arial" w:eastAsia="Arial" w:hAnsi="Arial" w:cs="Arial"/>
          <w:color w:val="000000"/>
          <w:sz w:val="20"/>
          <w:szCs w:val="20"/>
          <w:vertAlign w:val="baseline"/>
        </w:rPr>
        <w:t>recientes,</w:t>
      </w:r>
      <w:r w:rsidR="00D33EB1">
        <w:rPr>
          <w:color w:val="000000"/>
          <w:sz w:val="14"/>
          <w:szCs w:val="14"/>
          <w:vertAlign w:val="baseline"/>
        </w:rPr>
        <w:t xml:space="preserve"> </w:t>
      </w:r>
      <w:r w:rsidR="00D33EB1" w:rsidRPr="00D33EB1">
        <w:rPr>
          <w:rFonts w:ascii="Arial" w:eastAsia="Arial" w:hAnsi="Arial" w:cs="Arial"/>
          <w:color w:val="000000"/>
          <w:sz w:val="20"/>
          <w:szCs w:val="20"/>
          <w:vertAlign w:val="baseline"/>
        </w:rPr>
        <w:t>insuficiencia</w:t>
      </w:r>
      <w:r>
        <w:rPr>
          <w:rFonts w:ascii="Arial" w:eastAsia="Arial" w:hAnsi="Arial" w:cs="Arial"/>
          <w:color w:val="000000"/>
          <w:sz w:val="20"/>
          <w:szCs w:val="20"/>
          <w:vertAlign w:val="baseline"/>
        </w:rPr>
        <w:t xml:space="preserve"> cardiaca grados III y IV,</w:t>
      </w:r>
      <w:r>
        <w:rPr>
          <w:color w:val="000000"/>
          <w:sz w:val="14"/>
          <w:szCs w:val="14"/>
          <w:vertAlign w:val="baseline"/>
        </w:rPr>
        <w:t xml:space="preserve"> </w:t>
      </w:r>
      <w:r>
        <w:rPr>
          <w:rFonts w:ascii="Arial" w:eastAsia="Arial" w:hAnsi="Arial" w:cs="Arial"/>
          <w:color w:val="000000"/>
          <w:sz w:val="20"/>
          <w:szCs w:val="20"/>
          <w:vertAlign w:val="baseline"/>
        </w:rPr>
        <w:t>enfermedad renal o hepática grave,</w:t>
      </w:r>
      <w:r>
        <w:rPr>
          <w:color w:val="000000"/>
          <w:sz w:val="14"/>
          <w:szCs w:val="14"/>
          <w:vertAlign w:val="baseline"/>
        </w:rPr>
        <w:t xml:space="preserve"> </w:t>
      </w:r>
      <w:r>
        <w:rPr>
          <w:rFonts w:ascii="Arial" w:eastAsia="Arial" w:hAnsi="Arial" w:cs="Arial"/>
          <w:color w:val="000000"/>
          <w:sz w:val="20"/>
          <w:szCs w:val="20"/>
          <w:vertAlign w:val="baseline"/>
        </w:rPr>
        <w:t xml:space="preserve"> y pacientes con hipertensión no controlada por lo que no están adecuadamente representados los pacientes de alto riesgo cardiovascular que suelen presentarse en la vida real.</w:t>
      </w:r>
    </w:p>
    <w:p w14:paraId="1E8025C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bookmarkStart w:id="40" w:name="_heading=h.2xcytpi" w:colFirst="0" w:colLast="0"/>
      <w:bookmarkEnd w:id="40"/>
    </w:p>
    <w:p w14:paraId="35361989" w14:textId="77777777" w:rsidR="00634CDF" w:rsidRPr="004E4268" w:rsidRDefault="00F0051D">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jc w:val="both"/>
        <w:rPr>
          <w:b/>
          <w:color w:val="000000"/>
          <w:vertAlign w:val="baseline"/>
        </w:rPr>
      </w:pPr>
      <w:r w:rsidRPr="004E4268">
        <w:rPr>
          <w:b/>
          <w:color w:val="000000"/>
          <w:sz w:val="20"/>
          <w:szCs w:val="20"/>
          <w:vertAlign w:val="baseline"/>
        </w:rPr>
        <w:t>C. R</w:t>
      </w:r>
      <w:r w:rsidRPr="004E4268">
        <w:rPr>
          <w:b/>
          <w:sz w:val="20"/>
          <w:szCs w:val="20"/>
          <w:vertAlign w:val="baseline"/>
        </w:rPr>
        <w:t>elevancia de los resultados</w:t>
      </w:r>
    </w:p>
    <w:p w14:paraId="777E793A" w14:textId="77777777" w:rsidR="00634CDF" w:rsidRPr="00B64F19" w:rsidRDefault="00634CDF">
      <w:pPr>
        <w:pBdr>
          <w:top w:val="none" w:sz="0" w:space="0" w:color="000000"/>
          <w:left w:val="none" w:sz="0" w:space="0" w:color="000000"/>
          <w:bottom w:val="none" w:sz="0" w:space="0" w:color="000000"/>
          <w:right w:val="none" w:sz="0" w:space="0" w:color="000000"/>
          <w:between w:val="nil"/>
        </w:pBdr>
        <w:spacing w:line="240" w:lineRule="auto"/>
        <w:ind w:left="0" w:hanging="2"/>
        <w:rPr>
          <w:rFonts w:ascii="Arial" w:eastAsia="Arial" w:hAnsi="Arial" w:cs="Arial"/>
          <w:b/>
          <w:color w:val="000000"/>
          <w:sz w:val="20"/>
          <w:szCs w:val="20"/>
          <w:vertAlign w:val="baseline"/>
        </w:rPr>
      </w:pPr>
    </w:p>
    <w:p w14:paraId="49FDABD1" w14:textId="77777777" w:rsidR="00634CDF" w:rsidRDefault="00F0051D">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rPr>
          <w:color w:val="000000"/>
          <w:vertAlign w:val="baseline"/>
        </w:rPr>
      </w:pPr>
      <w:r w:rsidRPr="004E4268">
        <w:rPr>
          <w:b/>
          <w:color w:val="000000"/>
          <w:sz w:val="20"/>
          <w:szCs w:val="20"/>
          <w:vertAlign w:val="baseline"/>
        </w:rPr>
        <w:t xml:space="preserve">C.1 </w:t>
      </w:r>
      <w:r w:rsidRPr="004E4268">
        <w:rPr>
          <w:b/>
          <w:color w:val="333300"/>
          <w:sz w:val="20"/>
          <w:szCs w:val="20"/>
          <w:vertAlign w:val="baseline"/>
        </w:rPr>
        <w:t xml:space="preserve">Valorar si la </w:t>
      </w:r>
      <w:r w:rsidRPr="004E4268">
        <w:rPr>
          <w:b/>
          <w:color w:val="333300"/>
          <w:sz w:val="20"/>
          <w:szCs w:val="20"/>
          <w:u w:val="single"/>
          <w:vertAlign w:val="baseline"/>
        </w:rPr>
        <w:t>magnitud del efecto</w:t>
      </w:r>
      <w:r w:rsidRPr="004E4268">
        <w:rPr>
          <w:b/>
          <w:color w:val="333300"/>
          <w:sz w:val="20"/>
          <w:szCs w:val="20"/>
          <w:vertAlign w:val="baseline"/>
        </w:rPr>
        <w:t xml:space="preserve"> del tratamiento es de relevancia clínica. </w:t>
      </w:r>
      <w:r w:rsidRPr="004E4268">
        <w:rPr>
          <w:b/>
          <w:color w:val="000000"/>
          <w:sz w:val="20"/>
          <w:szCs w:val="20"/>
          <w:vertAlign w:val="baseline"/>
        </w:rPr>
        <w:t xml:space="preserve"> </w:t>
      </w:r>
    </w:p>
    <w:p w14:paraId="23B5539C"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80"/>
          <w:sz w:val="20"/>
          <w:szCs w:val="20"/>
          <w:vertAlign w:val="baseline"/>
        </w:rPr>
      </w:pPr>
    </w:p>
    <w:p w14:paraId="7E55439C" w14:textId="6235150B"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Las variables descritas hasta el momento son variables intermedias, sin relevancia clínica. </w:t>
      </w:r>
      <w:r w:rsidR="00B64F19">
        <w:rPr>
          <w:rFonts w:ascii="Arial" w:eastAsia="Arial" w:hAnsi="Arial" w:cs="Arial"/>
          <w:color w:val="000000"/>
          <w:sz w:val="20"/>
          <w:szCs w:val="20"/>
          <w:vertAlign w:val="baseline"/>
        </w:rPr>
        <w:t>Para poder evaluar la relevancia clínica, se requiere</w:t>
      </w:r>
      <w:r>
        <w:rPr>
          <w:rFonts w:ascii="Arial" w:eastAsia="Arial" w:hAnsi="Arial" w:cs="Arial"/>
          <w:color w:val="000000"/>
          <w:sz w:val="20"/>
          <w:szCs w:val="20"/>
          <w:vertAlign w:val="baseline"/>
        </w:rPr>
        <w:t xml:space="preserve"> los resultados del estudio ORION 4 en el que se evaluarán los eventos cardiovasculares como variable principal (morbimortalidad cardiovascular), con un tamaño estimado de 15.000 pacientes con riesgo cardiovascular elevado, y una duración prevista de 60 meses.</w:t>
      </w:r>
    </w:p>
    <w:p w14:paraId="280FC3DD" w14:textId="322D538E" w:rsidR="00634CDF" w:rsidRPr="00987270"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bookmarkStart w:id="41" w:name="_heading=h.3whwml4" w:colFirst="0" w:colLast="0"/>
      <w:bookmarkEnd w:id="41"/>
      <w:r>
        <w:rPr>
          <w:rFonts w:ascii="Arial" w:eastAsia="Arial" w:hAnsi="Arial" w:cs="Arial"/>
          <w:color w:val="000000"/>
          <w:sz w:val="20"/>
          <w:szCs w:val="20"/>
          <w:vertAlign w:val="baseline"/>
        </w:rPr>
        <w:t xml:space="preserve">Inclisiran, hasta el momento, ha </w:t>
      </w:r>
      <w:r w:rsidR="000C6624">
        <w:rPr>
          <w:rFonts w:ascii="Arial" w:eastAsia="Arial" w:hAnsi="Arial" w:cs="Arial"/>
          <w:color w:val="000000"/>
          <w:sz w:val="20"/>
          <w:szCs w:val="20"/>
          <w:vertAlign w:val="baseline"/>
        </w:rPr>
        <w:t xml:space="preserve">conseguido </w:t>
      </w:r>
      <w:r>
        <w:rPr>
          <w:rFonts w:ascii="Arial" w:eastAsia="Arial" w:hAnsi="Arial" w:cs="Arial"/>
          <w:sz w:val="20"/>
          <w:szCs w:val="20"/>
          <w:vertAlign w:val="baseline"/>
        </w:rPr>
        <w:t>una</w:t>
      </w:r>
      <w:r>
        <w:rPr>
          <w:rFonts w:ascii="Arial" w:eastAsia="Arial" w:hAnsi="Arial" w:cs="Arial"/>
          <w:color w:val="000000"/>
          <w:sz w:val="20"/>
          <w:szCs w:val="20"/>
          <w:vertAlign w:val="baseline"/>
        </w:rPr>
        <w:t xml:space="preserve"> reducción adicional de C-LDL que se sitúa en torno al 50% en las distintas situaciones clínicas presentadas en los tres ensayos pivotales con resultados actualmente disponibles</w:t>
      </w:r>
      <w:r w:rsidRPr="00987270">
        <w:rPr>
          <w:rFonts w:ascii="Arial" w:eastAsia="Arial" w:hAnsi="Arial" w:cs="Arial"/>
          <w:color w:val="000000"/>
          <w:sz w:val="20"/>
          <w:szCs w:val="20"/>
          <w:vertAlign w:val="baseline"/>
        </w:rPr>
        <w:t xml:space="preserve">. </w:t>
      </w:r>
      <w:r w:rsidR="000C6624" w:rsidRPr="00987270">
        <w:rPr>
          <w:rFonts w:ascii="Arial" w:eastAsia="Arial" w:hAnsi="Arial" w:cs="Arial"/>
          <w:color w:val="000000"/>
          <w:sz w:val="20"/>
          <w:szCs w:val="20"/>
          <w:vertAlign w:val="baseline"/>
        </w:rPr>
        <w:t>Esta</w:t>
      </w:r>
      <w:r w:rsidRPr="00987270">
        <w:rPr>
          <w:rFonts w:ascii="Arial" w:eastAsia="Arial" w:hAnsi="Arial" w:cs="Arial"/>
          <w:color w:val="000000"/>
          <w:sz w:val="20"/>
          <w:szCs w:val="20"/>
          <w:vertAlign w:val="baseline"/>
        </w:rPr>
        <w:t xml:space="preserve"> reducción de cifras de C-LDL no ha demostrado correlación con una disminución en la morbilidad y mortalidad CV</w:t>
      </w:r>
      <w:r w:rsidR="004E4268" w:rsidRPr="00987270">
        <w:rPr>
          <w:rFonts w:ascii="Arial" w:eastAsia="Arial" w:hAnsi="Arial" w:cs="Arial"/>
          <w:color w:val="000000"/>
          <w:sz w:val="20"/>
          <w:szCs w:val="20"/>
          <w:vertAlign w:val="baseline"/>
        </w:rPr>
        <w:t>.</w:t>
      </w:r>
    </w:p>
    <w:p w14:paraId="79F99983" w14:textId="1BA33D0E" w:rsidR="000C6624" w:rsidRDefault="00F0051D" w:rsidP="00D33EB1">
      <w:pPr>
        <w:pBdr>
          <w:top w:val="none" w:sz="0" w:space="0" w:color="000000"/>
          <w:left w:val="none" w:sz="0" w:space="0" w:color="000000"/>
          <w:bottom w:val="none" w:sz="0" w:space="0" w:color="000000"/>
          <w:right w:val="none" w:sz="0" w:space="0" w:color="000000"/>
          <w:between w:val="nil"/>
        </w:pBdr>
        <w:spacing w:line="240" w:lineRule="auto"/>
        <w:ind w:left="0" w:hanging="2"/>
        <w:jc w:val="both"/>
        <w:rPr>
          <w:rFonts w:ascii="Arial" w:eastAsia="Arial" w:hAnsi="Arial" w:cs="Arial"/>
          <w:color w:val="000000"/>
          <w:sz w:val="20"/>
          <w:szCs w:val="20"/>
          <w:vertAlign w:val="baseline"/>
        </w:rPr>
      </w:pPr>
      <w:r w:rsidRPr="00D33EB1">
        <w:rPr>
          <w:rFonts w:ascii="Arial" w:eastAsia="Arial" w:hAnsi="Arial" w:cs="Arial"/>
          <w:color w:val="000000"/>
          <w:sz w:val="20"/>
          <w:szCs w:val="20"/>
          <w:vertAlign w:val="baseline"/>
        </w:rPr>
        <w:t xml:space="preserve">Entre los agentes hipolipemiantes de alta intensidad, </w:t>
      </w:r>
      <w:r w:rsidR="000C6624">
        <w:rPr>
          <w:rFonts w:ascii="Arial" w:eastAsia="Arial" w:hAnsi="Arial" w:cs="Arial"/>
          <w:color w:val="000000"/>
          <w:sz w:val="20"/>
          <w:szCs w:val="20"/>
          <w:vertAlign w:val="baseline"/>
        </w:rPr>
        <w:t xml:space="preserve">aquellos </w:t>
      </w:r>
      <w:r w:rsidRPr="00D33EB1">
        <w:rPr>
          <w:rFonts w:ascii="Arial" w:eastAsia="Arial" w:hAnsi="Arial" w:cs="Arial"/>
          <w:color w:val="000000"/>
          <w:sz w:val="20"/>
          <w:szCs w:val="20"/>
          <w:vertAlign w:val="baseline"/>
        </w:rPr>
        <w:t>que reducen las cifras de C-LDL ≥50%</w:t>
      </w:r>
      <w:r w:rsidR="000C6624">
        <w:rPr>
          <w:rFonts w:ascii="Arial" w:eastAsia="Arial" w:hAnsi="Arial" w:cs="Arial"/>
          <w:color w:val="000000"/>
          <w:sz w:val="20"/>
          <w:szCs w:val="20"/>
          <w:vertAlign w:val="baseline"/>
        </w:rPr>
        <w:t>,</w:t>
      </w:r>
      <w:r w:rsidRPr="00D33EB1">
        <w:rPr>
          <w:rFonts w:ascii="Arial" w:eastAsia="Arial" w:hAnsi="Arial" w:cs="Arial"/>
          <w:color w:val="000000"/>
          <w:sz w:val="20"/>
          <w:szCs w:val="20"/>
          <w:vertAlign w:val="baseline"/>
        </w:rPr>
        <w:t xml:space="preserve"> encontramos</w:t>
      </w:r>
      <w:r w:rsidR="000C6624">
        <w:rPr>
          <w:rFonts w:ascii="Arial" w:eastAsia="Arial" w:hAnsi="Arial" w:cs="Arial"/>
          <w:color w:val="000000"/>
          <w:sz w:val="20"/>
          <w:szCs w:val="20"/>
          <w:vertAlign w:val="baseline"/>
        </w:rPr>
        <w:t>:</w:t>
      </w:r>
      <w:r w:rsidRPr="00D33EB1">
        <w:rPr>
          <w:rFonts w:ascii="Arial" w:eastAsia="Arial" w:hAnsi="Arial" w:cs="Arial"/>
          <w:color w:val="000000"/>
          <w:sz w:val="20"/>
          <w:szCs w:val="20"/>
          <w:vertAlign w:val="baseline"/>
        </w:rPr>
        <w:t xml:space="preserve"> inclisiran, </w:t>
      </w:r>
      <w:r w:rsidR="00D33EB1">
        <w:rPr>
          <w:rFonts w:ascii="Arial" w:eastAsia="Arial" w:hAnsi="Arial" w:cs="Arial"/>
          <w:color w:val="000000"/>
          <w:sz w:val="20"/>
          <w:szCs w:val="20"/>
          <w:vertAlign w:val="baseline"/>
        </w:rPr>
        <w:t xml:space="preserve">los anticuerpos anti-PCSK9 y </w:t>
      </w:r>
      <w:r w:rsidR="000C6624">
        <w:rPr>
          <w:rFonts w:ascii="Arial" w:eastAsia="Arial" w:hAnsi="Arial" w:cs="Arial"/>
          <w:color w:val="000000"/>
          <w:sz w:val="20"/>
          <w:szCs w:val="20"/>
          <w:vertAlign w:val="baseline"/>
        </w:rPr>
        <w:t xml:space="preserve">las estatinas </w:t>
      </w:r>
      <w:r w:rsidRPr="00D33EB1">
        <w:rPr>
          <w:rFonts w:ascii="Arial" w:eastAsia="Arial" w:hAnsi="Arial" w:cs="Arial"/>
          <w:color w:val="000000"/>
          <w:sz w:val="20"/>
          <w:szCs w:val="20"/>
          <w:vertAlign w:val="baseline"/>
        </w:rPr>
        <w:t xml:space="preserve">atorvastatina a dosis de 40-80 mg y rosuvastatina a dosis de 20/40 mg. </w:t>
      </w:r>
      <w:r w:rsidR="000C6624" w:rsidRPr="00D33EB1">
        <w:rPr>
          <w:rFonts w:ascii="Arial" w:eastAsia="Arial" w:hAnsi="Arial" w:cs="Arial"/>
          <w:color w:val="000000"/>
          <w:sz w:val="20"/>
          <w:szCs w:val="20"/>
          <w:vertAlign w:val="baseline"/>
        </w:rPr>
        <w:t>Entre el 68 y el 79% de los pacientes se encontraba tomando estatinas de alta intensidad, a pesar de lo cual, no habían alcanzado el nivel deseado de C-LDL.</w:t>
      </w:r>
    </w:p>
    <w:p w14:paraId="7FD9C96D" w14:textId="10032F3C" w:rsidR="00634CDF" w:rsidRPr="00D33EB1" w:rsidRDefault="00F0051D" w:rsidP="00D33EB1">
      <w:pPr>
        <w:pBdr>
          <w:top w:val="none" w:sz="0" w:space="0" w:color="000000"/>
          <w:left w:val="none" w:sz="0" w:space="0" w:color="000000"/>
          <w:bottom w:val="none" w:sz="0" w:space="0" w:color="000000"/>
          <w:right w:val="none" w:sz="0" w:space="0" w:color="000000"/>
          <w:between w:val="nil"/>
        </w:pBdr>
        <w:spacing w:line="240" w:lineRule="auto"/>
        <w:ind w:left="0" w:hanging="2"/>
        <w:jc w:val="both"/>
        <w:rPr>
          <w:rFonts w:ascii="Arial" w:eastAsia="Arial" w:hAnsi="Arial" w:cs="Arial"/>
          <w:color w:val="000000"/>
          <w:sz w:val="20"/>
          <w:szCs w:val="20"/>
          <w:vertAlign w:val="baseline"/>
        </w:rPr>
      </w:pPr>
      <w:r w:rsidRPr="00D33EB1">
        <w:rPr>
          <w:rFonts w:ascii="Arial" w:eastAsia="Arial" w:hAnsi="Arial" w:cs="Arial"/>
          <w:color w:val="000000"/>
          <w:sz w:val="20"/>
          <w:szCs w:val="20"/>
          <w:vertAlign w:val="baseline"/>
        </w:rPr>
        <w:t xml:space="preserve">Ezetimiba se encuentra entre los fármacos de intensidad baja, alcanzando disminuciones en los niveles plasmáticos menores al 30%.  </w:t>
      </w:r>
    </w:p>
    <w:p w14:paraId="61115A20" w14:textId="77777777" w:rsidR="00634CDF" w:rsidRPr="00D33EB1" w:rsidRDefault="00634CDF" w:rsidP="00D33EB1">
      <w:pPr>
        <w:pBdr>
          <w:top w:val="none" w:sz="0" w:space="0" w:color="000000"/>
          <w:left w:val="none" w:sz="0" w:space="0" w:color="000000"/>
          <w:bottom w:val="none" w:sz="0" w:space="0" w:color="000000"/>
          <w:right w:val="none" w:sz="0" w:space="0" w:color="000000"/>
          <w:between w:val="nil"/>
        </w:pBdr>
        <w:spacing w:line="240" w:lineRule="auto"/>
        <w:ind w:left="0" w:hanging="2"/>
        <w:jc w:val="both"/>
        <w:rPr>
          <w:rFonts w:ascii="Arial" w:eastAsia="Arial" w:hAnsi="Arial" w:cs="Arial"/>
          <w:color w:val="000000"/>
          <w:sz w:val="20"/>
          <w:szCs w:val="20"/>
          <w:vertAlign w:val="baseline"/>
        </w:rPr>
      </w:pPr>
    </w:p>
    <w:p w14:paraId="71BB5D75" w14:textId="77777777" w:rsidR="00634CDF" w:rsidRPr="004E4268" w:rsidRDefault="00F0051D">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rPr>
          <w:b/>
          <w:color w:val="000000"/>
          <w:vertAlign w:val="baseline"/>
        </w:rPr>
      </w:pPr>
      <w:r w:rsidRPr="004E4268">
        <w:rPr>
          <w:b/>
          <w:color w:val="000000"/>
          <w:sz w:val="20"/>
          <w:szCs w:val="20"/>
          <w:vertAlign w:val="baseline"/>
        </w:rPr>
        <w:t xml:space="preserve">C.2 La evidencia de equivalencia terapéutica. </w:t>
      </w:r>
    </w:p>
    <w:p w14:paraId="3BFD378F"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80"/>
          <w:sz w:val="20"/>
          <w:szCs w:val="20"/>
          <w:vertAlign w:val="baseline"/>
        </w:rPr>
      </w:pPr>
      <w:bookmarkStart w:id="42" w:name="_heading=h.44ixnt4yo6jl" w:colFirst="0" w:colLast="0"/>
      <w:bookmarkEnd w:id="42"/>
    </w:p>
    <w:p w14:paraId="7C492BB5" w14:textId="6506E307" w:rsidR="00634CDF" w:rsidRDefault="000C6624">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bookmarkStart w:id="43" w:name="_heading=h.lm6tfc2tdivw" w:colFirst="0" w:colLast="0"/>
      <w:bookmarkEnd w:id="43"/>
      <w:r>
        <w:rPr>
          <w:rFonts w:ascii="Arial" w:eastAsia="Arial" w:hAnsi="Arial" w:cs="Arial"/>
          <w:color w:val="000000"/>
          <w:sz w:val="20"/>
          <w:szCs w:val="20"/>
          <w:vertAlign w:val="baseline"/>
        </w:rPr>
        <w:lastRenderedPageBreak/>
        <w:t xml:space="preserve">Aunque el </w:t>
      </w:r>
      <w:r w:rsidR="00F0051D">
        <w:rPr>
          <w:rFonts w:ascii="Arial" w:eastAsia="Arial" w:hAnsi="Arial" w:cs="Arial"/>
          <w:color w:val="000000"/>
          <w:sz w:val="20"/>
          <w:szCs w:val="20"/>
          <w:vertAlign w:val="baseline"/>
        </w:rPr>
        <w:t xml:space="preserve">desarrollo clínico de los estudios es similar a alirocumab y </w:t>
      </w:r>
      <w:r w:rsidR="00D33EB1">
        <w:rPr>
          <w:rFonts w:ascii="Arial" w:eastAsia="Arial" w:hAnsi="Arial" w:cs="Arial"/>
          <w:color w:val="000000"/>
          <w:sz w:val="20"/>
          <w:szCs w:val="20"/>
          <w:vertAlign w:val="baseline"/>
        </w:rPr>
        <w:t>evolocumab,</w:t>
      </w:r>
      <w:r w:rsidR="00F0051D">
        <w:rPr>
          <w:rFonts w:ascii="Arial" w:eastAsia="Arial" w:hAnsi="Arial" w:cs="Arial"/>
          <w:color w:val="000000"/>
          <w:sz w:val="20"/>
          <w:szCs w:val="20"/>
          <w:vertAlign w:val="baseline"/>
        </w:rPr>
        <w:t xml:space="preserve"> </w:t>
      </w:r>
      <w:r w:rsidRPr="00F20431">
        <w:rPr>
          <w:rFonts w:ascii="Arial" w:eastAsia="Arial" w:hAnsi="Arial" w:cs="Arial"/>
          <w:bCs/>
          <w:color w:val="000000"/>
          <w:sz w:val="20"/>
          <w:szCs w:val="20"/>
          <w:vertAlign w:val="baseline"/>
        </w:rPr>
        <w:t>hay</w:t>
      </w:r>
      <w:r w:rsidR="00F0051D" w:rsidRPr="00F20431">
        <w:rPr>
          <w:rFonts w:ascii="Arial" w:eastAsia="Arial" w:hAnsi="Arial" w:cs="Arial"/>
          <w:bCs/>
          <w:color w:val="000000"/>
          <w:sz w:val="20"/>
          <w:szCs w:val="20"/>
          <w:vertAlign w:val="baseline"/>
        </w:rPr>
        <w:t xml:space="preserve"> dos estudios pivotales </w:t>
      </w:r>
      <w:r w:rsidRPr="00F20431">
        <w:rPr>
          <w:rFonts w:ascii="Arial" w:eastAsia="Arial" w:hAnsi="Arial" w:cs="Arial"/>
          <w:bCs/>
          <w:color w:val="000000"/>
          <w:sz w:val="20"/>
          <w:szCs w:val="20"/>
          <w:vertAlign w:val="baseline"/>
        </w:rPr>
        <w:t xml:space="preserve">de inclisiran </w:t>
      </w:r>
      <w:r w:rsidR="00F0051D" w:rsidRPr="00F20431">
        <w:rPr>
          <w:rFonts w:ascii="Arial" w:eastAsia="Arial" w:hAnsi="Arial" w:cs="Arial"/>
          <w:bCs/>
          <w:color w:val="000000"/>
          <w:sz w:val="20"/>
          <w:szCs w:val="20"/>
          <w:vertAlign w:val="baseline"/>
        </w:rPr>
        <w:t>en pacientes con enfermedad cardiovascular aterosclerótica establecida, con una dura</w:t>
      </w:r>
      <w:r w:rsidR="00F0051D">
        <w:rPr>
          <w:rFonts w:ascii="Arial" w:eastAsia="Arial" w:hAnsi="Arial" w:cs="Arial"/>
          <w:color w:val="000000"/>
          <w:sz w:val="20"/>
          <w:szCs w:val="20"/>
          <w:vertAlign w:val="baseline"/>
        </w:rPr>
        <w:t>ción de 18 meses y con variables principales intermedias, evaluadas a los 5</w:t>
      </w:r>
      <w:r w:rsidR="00F0051D">
        <w:rPr>
          <w:rFonts w:ascii="Arial" w:eastAsia="Arial" w:hAnsi="Arial" w:cs="Arial"/>
          <w:sz w:val="20"/>
          <w:szCs w:val="20"/>
          <w:vertAlign w:val="baseline"/>
        </w:rPr>
        <w:t xml:space="preserve">10 días. </w:t>
      </w:r>
      <w:r>
        <w:rPr>
          <w:rFonts w:ascii="Arial" w:eastAsia="Arial" w:hAnsi="Arial" w:cs="Arial"/>
          <w:sz w:val="20"/>
          <w:szCs w:val="20"/>
          <w:vertAlign w:val="baseline"/>
        </w:rPr>
        <w:t xml:space="preserve">Los resultados del ensayo </w:t>
      </w:r>
      <w:r>
        <w:rPr>
          <w:rFonts w:ascii="Arial" w:eastAsia="Arial" w:hAnsi="Arial" w:cs="Arial"/>
          <w:color w:val="000000"/>
          <w:sz w:val="20"/>
          <w:szCs w:val="20"/>
          <w:vertAlign w:val="baseline"/>
        </w:rPr>
        <w:t>que</w:t>
      </w:r>
      <w:r w:rsidR="00F0051D">
        <w:rPr>
          <w:rFonts w:ascii="Arial" w:eastAsia="Arial" w:hAnsi="Arial" w:cs="Arial"/>
          <w:color w:val="000000"/>
          <w:sz w:val="20"/>
          <w:szCs w:val="20"/>
          <w:vertAlign w:val="baseline"/>
        </w:rPr>
        <w:t xml:space="preserve"> evalúa MACE (y seguimiento de 60 meses)</w:t>
      </w:r>
      <w:r w:rsidR="00C2216F">
        <w:rPr>
          <w:rFonts w:ascii="Arial" w:eastAsia="Arial" w:hAnsi="Arial" w:cs="Arial"/>
          <w:color w:val="000000"/>
          <w:sz w:val="20"/>
          <w:szCs w:val="20"/>
          <w:vertAlign w:val="baseline"/>
        </w:rPr>
        <w:t xml:space="preserve"> esta</w:t>
      </w:r>
      <w:r w:rsidR="00F0051D">
        <w:rPr>
          <w:rFonts w:ascii="Arial" w:eastAsia="Arial" w:hAnsi="Arial" w:cs="Arial"/>
          <w:color w:val="000000"/>
          <w:sz w:val="20"/>
          <w:szCs w:val="20"/>
          <w:vertAlign w:val="baseline"/>
        </w:rPr>
        <w:t xml:space="preserve"> previsto </w:t>
      </w:r>
      <w:r w:rsidR="00C2216F">
        <w:rPr>
          <w:rFonts w:ascii="Arial" w:eastAsia="Arial" w:hAnsi="Arial" w:cs="Arial"/>
          <w:color w:val="000000"/>
          <w:sz w:val="20"/>
          <w:szCs w:val="20"/>
          <w:vertAlign w:val="baseline"/>
        </w:rPr>
        <w:t xml:space="preserve">finalice en </w:t>
      </w:r>
      <w:r w:rsidR="00F0051D">
        <w:rPr>
          <w:rFonts w:ascii="Arial" w:eastAsia="Arial" w:hAnsi="Arial" w:cs="Arial"/>
          <w:color w:val="000000"/>
          <w:sz w:val="20"/>
          <w:szCs w:val="20"/>
          <w:vertAlign w:val="baseline"/>
        </w:rPr>
        <w:t>2024. También está en desarrollo el estudio para pacientes con HoHF.</w:t>
      </w:r>
    </w:p>
    <w:p w14:paraId="1406D77C" w14:textId="77777777" w:rsidR="00C2216F" w:rsidRPr="004E4268" w:rsidRDefault="00C2216F" w:rsidP="004E4268">
      <w:pPr>
        <w:pStyle w:val="WW-normal"/>
        <w:ind w:left="0" w:hanging="2"/>
      </w:pPr>
    </w:p>
    <w:p w14:paraId="1E1EB8E4" w14:textId="038EE2D3" w:rsidR="00634CDF" w:rsidRDefault="00F0051D">
      <w:pPr>
        <w:pBdr>
          <w:top w:val="nil"/>
          <w:left w:val="nil"/>
          <w:bottom w:val="nil"/>
          <w:right w:val="nil"/>
          <w:between w:val="nil"/>
        </w:pBdr>
        <w:spacing w:line="240" w:lineRule="auto"/>
        <w:ind w:left="0" w:hanging="2"/>
        <w:jc w:val="both"/>
        <w:rPr>
          <w:color w:val="000000"/>
          <w:vertAlign w:val="baseline"/>
        </w:rPr>
      </w:pPr>
      <w:bookmarkStart w:id="44" w:name="_heading=h.hiva99ww74xm" w:colFirst="0" w:colLast="0"/>
      <w:bookmarkEnd w:id="44"/>
      <w:r>
        <w:rPr>
          <w:rFonts w:ascii="Arial" w:eastAsia="Arial" w:hAnsi="Arial" w:cs="Arial"/>
          <w:color w:val="000000"/>
          <w:sz w:val="20"/>
          <w:szCs w:val="20"/>
          <w:vertAlign w:val="baseline"/>
        </w:rPr>
        <w:t xml:space="preserve">La comparación relevante con </w:t>
      </w:r>
      <w:r w:rsidR="00D33EB1">
        <w:rPr>
          <w:rFonts w:ascii="Arial" w:eastAsia="Arial" w:hAnsi="Arial" w:cs="Arial"/>
          <w:color w:val="000000"/>
          <w:sz w:val="20"/>
          <w:szCs w:val="20"/>
          <w:vertAlign w:val="baseline"/>
        </w:rPr>
        <w:t>evolocumab</w:t>
      </w:r>
      <w:r>
        <w:rPr>
          <w:rFonts w:ascii="Arial" w:eastAsia="Arial" w:hAnsi="Arial" w:cs="Arial"/>
          <w:color w:val="000000"/>
          <w:sz w:val="20"/>
          <w:szCs w:val="20"/>
          <w:vertAlign w:val="baseline"/>
        </w:rPr>
        <w:t xml:space="preserve"> y alirocumab sería la realizada entre los ensayos clínicos que tienen como variable principal eventos MACE. </w:t>
      </w:r>
    </w:p>
    <w:p w14:paraId="1BA7B94E" w14:textId="7D331B49" w:rsidR="00634CDF" w:rsidRPr="004E4268" w:rsidRDefault="00F0051D" w:rsidP="004E4268">
      <w:pPr>
        <w:pStyle w:val="Prrafodelista"/>
        <w:numPr>
          <w:ilvl w:val="0"/>
          <w:numId w:val="16"/>
        </w:numPr>
        <w:pBdr>
          <w:top w:val="nil"/>
          <w:left w:val="nil"/>
          <w:bottom w:val="nil"/>
          <w:right w:val="nil"/>
          <w:between w:val="nil"/>
        </w:pBdr>
        <w:spacing w:line="240" w:lineRule="auto"/>
        <w:ind w:leftChars="0" w:firstLineChars="0"/>
        <w:jc w:val="both"/>
        <w:rPr>
          <w:color w:val="000000"/>
          <w:vertAlign w:val="baseline"/>
        </w:rPr>
      </w:pPr>
      <w:bookmarkStart w:id="45" w:name="_heading=h.e0yqsifshqjr" w:colFirst="0" w:colLast="0"/>
      <w:bookmarkEnd w:id="45"/>
      <w:r w:rsidRPr="004E4268">
        <w:rPr>
          <w:rFonts w:ascii="Arial" w:eastAsia="Arial" w:hAnsi="Arial" w:cs="Arial"/>
          <w:color w:val="000000"/>
          <w:sz w:val="20"/>
          <w:szCs w:val="20"/>
          <w:vertAlign w:val="baseline"/>
        </w:rPr>
        <w:t>Para evolocumab, se trata del estudio FOURIER</w:t>
      </w:r>
      <w:r w:rsidRPr="004E4268">
        <w:rPr>
          <w:rFonts w:ascii="Arial" w:eastAsia="Arial" w:hAnsi="Arial" w:cs="Arial"/>
          <w:i/>
          <w:color w:val="000000"/>
          <w:sz w:val="20"/>
          <w:szCs w:val="20"/>
          <w:vertAlign w:val="baseline"/>
        </w:rPr>
        <w:t xml:space="preserve"> </w:t>
      </w:r>
      <w:r w:rsidRPr="004E4268">
        <w:rPr>
          <w:rFonts w:ascii="Arial" w:eastAsia="Arial" w:hAnsi="Arial" w:cs="Arial"/>
          <w:color w:val="000000"/>
          <w:sz w:val="20"/>
          <w:szCs w:val="20"/>
          <w:vertAlign w:val="baseline"/>
        </w:rPr>
        <w:t>(</w:t>
      </w:r>
      <w:r w:rsidRPr="004E4268">
        <w:rPr>
          <w:rFonts w:ascii="Arial" w:eastAsia="Arial" w:hAnsi="Arial" w:cs="Arial"/>
          <w:sz w:val="20"/>
          <w:szCs w:val="20"/>
          <w:vertAlign w:val="baseline"/>
        </w:rPr>
        <w:t>19</w:t>
      </w:r>
      <w:r w:rsidRPr="004E4268">
        <w:rPr>
          <w:rFonts w:ascii="Arial" w:eastAsia="Arial" w:hAnsi="Arial" w:cs="Arial"/>
          <w:color w:val="000000"/>
          <w:sz w:val="20"/>
          <w:szCs w:val="20"/>
          <w:vertAlign w:val="baseline"/>
        </w:rPr>
        <w:t>)</w:t>
      </w:r>
      <w:r w:rsidR="00C2216F">
        <w:rPr>
          <w:rFonts w:ascii="Arial" w:eastAsia="Arial" w:hAnsi="Arial" w:cs="Arial"/>
          <w:color w:val="000000"/>
          <w:sz w:val="20"/>
          <w:szCs w:val="20"/>
          <w:vertAlign w:val="baseline"/>
        </w:rPr>
        <w:t>:</w:t>
      </w:r>
      <w:r w:rsidR="004E4268">
        <w:rPr>
          <w:rFonts w:ascii="Arial" w:eastAsia="Arial" w:hAnsi="Arial" w:cs="Arial"/>
          <w:color w:val="000000"/>
          <w:sz w:val="20"/>
          <w:szCs w:val="20"/>
          <w:vertAlign w:val="baseline"/>
        </w:rPr>
        <w:t xml:space="preserve"> </w:t>
      </w:r>
      <w:r w:rsidRPr="004E4268">
        <w:rPr>
          <w:rFonts w:ascii="Arial" w:eastAsia="Arial" w:hAnsi="Arial" w:cs="Arial"/>
          <w:color w:val="000000"/>
          <w:sz w:val="20"/>
          <w:szCs w:val="20"/>
          <w:vertAlign w:val="baseline"/>
        </w:rPr>
        <w:t xml:space="preserve">pacientes con enfermedad cardiovascular aterosclerótica establecida y evaluación de eventos cardiovasculares. Los pacientes se siguieron durante una media de 26 meses. </w:t>
      </w:r>
    </w:p>
    <w:p w14:paraId="0C7C9AD7" w14:textId="08EAA1B1" w:rsidR="00634CDF" w:rsidRPr="004E4268" w:rsidRDefault="00F0051D" w:rsidP="004E4268">
      <w:pPr>
        <w:pStyle w:val="Prrafodelista"/>
        <w:numPr>
          <w:ilvl w:val="0"/>
          <w:numId w:val="16"/>
        </w:numPr>
        <w:pBdr>
          <w:top w:val="nil"/>
          <w:left w:val="nil"/>
          <w:bottom w:val="nil"/>
          <w:right w:val="nil"/>
          <w:between w:val="nil"/>
        </w:pBdr>
        <w:spacing w:line="240" w:lineRule="auto"/>
        <w:ind w:leftChars="0" w:firstLineChars="0"/>
        <w:jc w:val="both"/>
        <w:rPr>
          <w:color w:val="000000"/>
          <w:vertAlign w:val="baseline"/>
        </w:rPr>
      </w:pPr>
      <w:r w:rsidRPr="004E4268">
        <w:rPr>
          <w:rFonts w:ascii="Arial" w:eastAsia="Arial" w:hAnsi="Arial" w:cs="Arial"/>
          <w:color w:val="000000"/>
          <w:sz w:val="20"/>
          <w:szCs w:val="20"/>
          <w:vertAlign w:val="baseline"/>
        </w:rPr>
        <w:t xml:space="preserve">Para alirocumab se trata del estudio ODYSSEY OUTCOMES </w:t>
      </w:r>
      <w:r w:rsidRPr="004E4268">
        <w:rPr>
          <w:rFonts w:ascii="Arial" w:eastAsia="Arial" w:hAnsi="Arial" w:cs="Arial"/>
          <w:sz w:val="20"/>
          <w:szCs w:val="20"/>
          <w:vertAlign w:val="baseline"/>
        </w:rPr>
        <w:t>(20)</w:t>
      </w:r>
      <w:r w:rsidR="00C2216F">
        <w:rPr>
          <w:rFonts w:ascii="Arial" w:eastAsia="Arial" w:hAnsi="Arial" w:cs="Arial"/>
          <w:color w:val="000000"/>
          <w:sz w:val="20"/>
          <w:szCs w:val="20"/>
          <w:vertAlign w:val="baseline"/>
        </w:rPr>
        <w:t>:</w:t>
      </w:r>
      <w:r w:rsidRPr="004E4268">
        <w:rPr>
          <w:rFonts w:ascii="Arial" w:eastAsia="Arial" w:hAnsi="Arial" w:cs="Arial"/>
          <w:color w:val="000000"/>
          <w:sz w:val="20"/>
          <w:szCs w:val="20"/>
          <w:vertAlign w:val="baseline"/>
        </w:rPr>
        <w:t xml:space="preserve"> pacientes que </w:t>
      </w:r>
      <w:r w:rsidR="00C2216F">
        <w:rPr>
          <w:rFonts w:ascii="Arial" w:eastAsia="Arial" w:hAnsi="Arial" w:cs="Arial"/>
          <w:color w:val="000000"/>
          <w:sz w:val="20"/>
          <w:szCs w:val="20"/>
          <w:vertAlign w:val="baseline"/>
        </w:rPr>
        <w:t>en prevención secundaria tras</w:t>
      </w:r>
      <w:r w:rsidRPr="004E4268">
        <w:rPr>
          <w:rFonts w:ascii="Arial" w:eastAsia="Arial" w:hAnsi="Arial" w:cs="Arial"/>
          <w:color w:val="000000"/>
          <w:sz w:val="20"/>
          <w:szCs w:val="20"/>
          <w:vertAlign w:val="baseline"/>
        </w:rPr>
        <w:t xml:space="preserve">síndrome coronario agudo, con variable primaria MACE con un seguimiento de hasta cinco años. </w:t>
      </w:r>
    </w:p>
    <w:p w14:paraId="5517433C" w14:textId="46F42F9A" w:rsidR="00634CDF" w:rsidRPr="00D33EB1" w:rsidRDefault="00F0051D" w:rsidP="00D33EB1">
      <w:pPr>
        <w:pBdr>
          <w:top w:val="nil"/>
          <w:left w:val="nil"/>
          <w:bottom w:val="nil"/>
          <w:right w:val="nil"/>
          <w:between w:val="nil"/>
        </w:pBdr>
        <w:spacing w:before="240" w:after="240" w:line="240" w:lineRule="auto"/>
        <w:ind w:left="0" w:hanging="2"/>
        <w:jc w:val="both"/>
        <w:rPr>
          <w:rFonts w:ascii="Arial" w:eastAsia="Arial" w:hAnsi="Arial" w:cs="Arial"/>
          <w:color w:val="000000"/>
          <w:sz w:val="20"/>
          <w:szCs w:val="20"/>
          <w:vertAlign w:val="baseline"/>
        </w:rPr>
      </w:pPr>
      <w:r>
        <w:rPr>
          <w:rFonts w:ascii="Arial" w:eastAsia="Arial" w:hAnsi="Arial" w:cs="Arial"/>
          <w:sz w:val="20"/>
          <w:szCs w:val="20"/>
          <w:vertAlign w:val="baseline"/>
        </w:rPr>
        <w:t>Según el</w:t>
      </w:r>
      <w:r>
        <w:rPr>
          <w:rFonts w:ascii="Arial" w:eastAsia="Arial" w:hAnsi="Arial" w:cs="Arial"/>
          <w:color w:val="000000"/>
          <w:sz w:val="20"/>
          <w:szCs w:val="20"/>
          <w:vertAlign w:val="baseline"/>
        </w:rPr>
        <w:t xml:space="preserve"> diseño y criterios de selección de los estudios de alirocumab y evolocumab, </w:t>
      </w:r>
      <w:r w:rsidRPr="004E4268">
        <w:rPr>
          <w:rFonts w:ascii="Arial" w:eastAsia="Arial" w:hAnsi="Arial" w:cs="Arial"/>
          <w:i/>
          <w:color w:val="000000"/>
          <w:sz w:val="20"/>
          <w:szCs w:val="20"/>
          <w:vertAlign w:val="baseline"/>
        </w:rPr>
        <w:t>a priori</w:t>
      </w:r>
      <w:r>
        <w:rPr>
          <w:rFonts w:ascii="Arial" w:eastAsia="Arial" w:hAnsi="Arial" w:cs="Arial"/>
          <w:color w:val="000000"/>
          <w:sz w:val="20"/>
          <w:szCs w:val="20"/>
          <w:vertAlign w:val="baseline"/>
        </w:rPr>
        <w:t>, los comparables serían:</w:t>
      </w:r>
    </w:p>
    <w:p w14:paraId="787B2D22" w14:textId="77777777" w:rsidR="00634CDF" w:rsidRDefault="00634CDF">
      <w:pPr>
        <w:pBdr>
          <w:top w:val="nil"/>
          <w:left w:val="nil"/>
          <w:bottom w:val="nil"/>
          <w:right w:val="nil"/>
          <w:between w:val="nil"/>
        </w:pBdr>
        <w:spacing w:before="240" w:after="240" w:line="240" w:lineRule="auto"/>
        <w:ind w:left="0" w:hanging="2"/>
        <w:jc w:val="both"/>
        <w:rPr>
          <w:rFonts w:ascii="Arial" w:eastAsia="Arial" w:hAnsi="Arial" w:cs="Arial"/>
          <w:sz w:val="20"/>
          <w:szCs w:val="20"/>
          <w:vertAlign w:val="baseline"/>
        </w:rPr>
      </w:pPr>
    </w:p>
    <w:tbl>
      <w:tblPr>
        <w:tblStyle w:val="af6"/>
        <w:tblW w:w="8775" w:type="dxa"/>
        <w:tblInd w:w="61" w:type="dxa"/>
        <w:tblLayout w:type="fixed"/>
        <w:tblLook w:val="0000" w:firstRow="0" w:lastRow="0" w:firstColumn="0" w:lastColumn="0" w:noHBand="0" w:noVBand="0"/>
      </w:tblPr>
      <w:tblGrid>
        <w:gridCol w:w="1035"/>
        <w:gridCol w:w="1260"/>
        <w:gridCol w:w="1230"/>
        <w:gridCol w:w="1366"/>
        <w:gridCol w:w="14"/>
        <w:gridCol w:w="105"/>
        <w:gridCol w:w="1695"/>
        <w:gridCol w:w="1131"/>
        <w:gridCol w:w="939"/>
      </w:tblGrid>
      <w:tr w:rsidR="00634CDF" w14:paraId="3D173C31" w14:textId="77777777">
        <w:trPr>
          <w:trHeight w:val="545"/>
          <w:tblHeader/>
        </w:trPr>
        <w:tc>
          <w:tcPr>
            <w:tcW w:w="8775" w:type="dxa"/>
            <w:gridSpan w:val="9"/>
            <w:tcBorders>
              <w:top w:val="single" w:sz="8" w:space="0" w:color="000000"/>
              <w:left w:val="single" w:sz="8" w:space="0" w:color="000000"/>
              <w:bottom w:val="single" w:sz="8" w:space="0" w:color="000000"/>
            </w:tcBorders>
            <w:shd w:val="clear" w:color="auto" w:fill="C6D9F1"/>
          </w:tcPr>
          <w:p w14:paraId="287F777A" w14:textId="77777777" w:rsidR="00634CDF" w:rsidRDefault="00F0051D">
            <w:pPr>
              <w:pBdr>
                <w:top w:val="nil"/>
                <w:left w:val="nil"/>
                <w:bottom w:val="nil"/>
                <w:right w:val="nil"/>
                <w:between w:val="nil"/>
              </w:pBdr>
              <w:spacing w:before="240" w:line="276" w:lineRule="auto"/>
              <w:ind w:left="0" w:hanging="2"/>
              <w:rPr>
                <w:rFonts w:ascii="Arial" w:eastAsia="Arial" w:hAnsi="Arial" w:cs="Arial"/>
                <w:b/>
                <w:color w:val="000000"/>
                <w:sz w:val="16"/>
                <w:szCs w:val="16"/>
                <w:vertAlign w:val="baseline"/>
              </w:rPr>
            </w:pPr>
            <w:r>
              <w:rPr>
                <w:rFonts w:ascii="Arial" w:eastAsia="Arial" w:hAnsi="Arial" w:cs="Arial"/>
                <w:b/>
                <w:sz w:val="16"/>
                <w:szCs w:val="16"/>
                <w:vertAlign w:val="baseline"/>
              </w:rPr>
              <w:t>Tabla 16. Diseño de ensayos clínicos de alirocumab y evolocumab.</w:t>
            </w:r>
          </w:p>
        </w:tc>
      </w:tr>
      <w:tr w:rsidR="00634CDF" w14:paraId="0AECFC2B" w14:textId="77777777" w:rsidTr="004E4268">
        <w:trPr>
          <w:trHeight w:val="545"/>
          <w:tblHeader/>
        </w:trPr>
        <w:tc>
          <w:tcPr>
            <w:tcW w:w="1035" w:type="dxa"/>
            <w:tcBorders>
              <w:top w:val="single" w:sz="8" w:space="0" w:color="000000"/>
              <w:left w:val="single" w:sz="8" w:space="0" w:color="000000"/>
              <w:bottom w:val="single" w:sz="8" w:space="0" w:color="000000"/>
            </w:tcBorders>
            <w:shd w:val="clear" w:color="auto" w:fill="C6D9F1"/>
          </w:tcPr>
          <w:p w14:paraId="3F6CF878" w14:textId="77777777" w:rsidR="00634CDF" w:rsidRDefault="00F0051D">
            <w:pPr>
              <w:pBdr>
                <w:top w:val="nil"/>
                <w:left w:val="nil"/>
                <w:bottom w:val="nil"/>
                <w:right w:val="nil"/>
                <w:between w:val="nil"/>
              </w:pBdr>
              <w:spacing w:before="240" w:line="276" w:lineRule="auto"/>
              <w:ind w:left="0" w:hanging="2"/>
              <w:jc w:val="center"/>
              <w:rPr>
                <w:color w:val="000000"/>
                <w:vertAlign w:val="baseline"/>
              </w:rPr>
            </w:pPr>
            <w:r>
              <w:rPr>
                <w:rFonts w:ascii="Arial" w:eastAsia="Arial" w:hAnsi="Arial" w:cs="Arial"/>
                <w:b/>
                <w:color w:val="000000"/>
                <w:sz w:val="16"/>
                <w:szCs w:val="16"/>
                <w:vertAlign w:val="baseline"/>
              </w:rPr>
              <w:t>Estudio</w:t>
            </w:r>
          </w:p>
        </w:tc>
        <w:tc>
          <w:tcPr>
            <w:tcW w:w="1260" w:type="dxa"/>
            <w:tcBorders>
              <w:top w:val="single" w:sz="8" w:space="0" w:color="000000"/>
              <w:left w:val="single" w:sz="8" w:space="0" w:color="000000"/>
              <w:bottom w:val="single" w:sz="8" w:space="0" w:color="000000"/>
            </w:tcBorders>
            <w:shd w:val="clear" w:color="auto" w:fill="C6D9F1"/>
          </w:tcPr>
          <w:p w14:paraId="5284F72C" w14:textId="77777777" w:rsidR="00634CDF" w:rsidRDefault="00F0051D">
            <w:pPr>
              <w:pBdr>
                <w:top w:val="nil"/>
                <w:left w:val="nil"/>
                <w:bottom w:val="nil"/>
                <w:right w:val="nil"/>
                <w:between w:val="nil"/>
              </w:pBdr>
              <w:spacing w:before="240" w:line="276" w:lineRule="auto"/>
              <w:ind w:left="0" w:hanging="2"/>
              <w:rPr>
                <w:color w:val="000000"/>
                <w:vertAlign w:val="baseline"/>
              </w:rPr>
            </w:pPr>
            <w:r>
              <w:rPr>
                <w:rFonts w:ascii="Arial" w:eastAsia="Arial" w:hAnsi="Arial" w:cs="Arial"/>
                <w:b/>
                <w:color w:val="000000"/>
                <w:sz w:val="16"/>
                <w:szCs w:val="16"/>
                <w:vertAlign w:val="baseline"/>
              </w:rPr>
              <w:t>Grupo experimental</w:t>
            </w:r>
          </w:p>
        </w:tc>
        <w:tc>
          <w:tcPr>
            <w:tcW w:w="1230" w:type="dxa"/>
            <w:tcBorders>
              <w:top w:val="single" w:sz="8" w:space="0" w:color="000000"/>
              <w:left w:val="single" w:sz="8" w:space="0" w:color="000000"/>
              <w:bottom w:val="single" w:sz="8" w:space="0" w:color="000000"/>
            </w:tcBorders>
            <w:shd w:val="clear" w:color="auto" w:fill="C6D9F1"/>
          </w:tcPr>
          <w:p w14:paraId="520B3C2F" w14:textId="77777777" w:rsidR="00634CDF" w:rsidRDefault="00F0051D">
            <w:pPr>
              <w:pBdr>
                <w:top w:val="nil"/>
                <w:left w:val="nil"/>
                <w:bottom w:val="nil"/>
                <w:right w:val="nil"/>
                <w:between w:val="nil"/>
              </w:pBdr>
              <w:spacing w:before="240" w:line="276" w:lineRule="auto"/>
              <w:ind w:left="0" w:hanging="2"/>
              <w:jc w:val="center"/>
              <w:rPr>
                <w:color w:val="000000"/>
                <w:vertAlign w:val="baseline"/>
              </w:rPr>
            </w:pPr>
            <w:r>
              <w:rPr>
                <w:rFonts w:ascii="Arial" w:eastAsia="Arial" w:hAnsi="Arial" w:cs="Arial"/>
                <w:b/>
                <w:color w:val="000000"/>
                <w:sz w:val="16"/>
                <w:szCs w:val="16"/>
                <w:vertAlign w:val="baseline"/>
              </w:rPr>
              <w:t>Comparador</w:t>
            </w:r>
          </w:p>
        </w:tc>
        <w:tc>
          <w:tcPr>
            <w:tcW w:w="1366" w:type="dxa"/>
            <w:tcBorders>
              <w:top w:val="single" w:sz="8" w:space="0" w:color="000000"/>
              <w:left w:val="single" w:sz="8" w:space="0" w:color="000000"/>
              <w:bottom w:val="single" w:sz="8" w:space="0" w:color="000000"/>
            </w:tcBorders>
            <w:shd w:val="clear" w:color="auto" w:fill="C6D9F1"/>
          </w:tcPr>
          <w:p w14:paraId="1410B1D1" w14:textId="77777777" w:rsidR="00634CDF" w:rsidRDefault="00F0051D">
            <w:pPr>
              <w:pBdr>
                <w:top w:val="nil"/>
                <w:left w:val="nil"/>
                <w:bottom w:val="nil"/>
                <w:right w:val="nil"/>
                <w:between w:val="nil"/>
              </w:pBdr>
              <w:spacing w:before="240" w:line="276" w:lineRule="auto"/>
              <w:ind w:left="0" w:hanging="2"/>
              <w:jc w:val="center"/>
              <w:rPr>
                <w:color w:val="000000"/>
                <w:vertAlign w:val="baseline"/>
              </w:rPr>
            </w:pPr>
            <w:r>
              <w:rPr>
                <w:rFonts w:ascii="Arial" w:eastAsia="Arial" w:hAnsi="Arial" w:cs="Arial"/>
                <w:b/>
                <w:color w:val="000000"/>
                <w:sz w:val="16"/>
                <w:szCs w:val="16"/>
                <w:vertAlign w:val="baseline"/>
              </w:rPr>
              <w:t>Tipo paciente</w:t>
            </w:r>
          </w:p>
        </w:tc>
        <w:tc>
          <w:tcPr>
            <w:tcW w:w="1814" w:type="dxa"/>
            <w:gridSpan w:val="3"/>
            <w:tcBorders>
              <w:top w:val="single" w:sz="8" w:space="0" w:color="000000"/>
              <w:left w:val="single" w:sz="8" w:space="0" w:color="000000"/>
              <w:bottom w:val="single" w:sz="8" w:space="0" w:color="000000"/>
            </w:tcBorders>
            <w:shd w:val="clear" w:color="auto" w:fill="C6D9F1"/>
          </w:tcPr>
          <w:p w14:paraId="5F825120" w14:textId="77777777" w:rsidR="00634CDF" w:rsidRDefault="00F0051D">
            <w:pPr>
              <w:pBdr>
                <w:top w:val="nil"/>
                <w:left w:val="nil"/>
                <w:bottom w:val="nil"/>
                <w:right w:val="nil"/>
                <w:between w:val="nil"/>
              </w:pBdr>
              <w:spacing w:before="240" w:line="276" w:lineRule="auto"/>
              <w:ind w:left="0" w:hanging="2"/>
              <w:jc w:val="center"/>
              <w:rPr>
                <w:color w:val="000000"/>
                <w:vertAlign w:val="baseline"/>
              </w:rPr>
            </w:pPr>
            <w:r>
              <w:rPr>
                <w:rFonts w:ascii="Arial" w:eastAsia="Arial" w:hAnsi="Arial" w:cs="Arial"/>
                <w:b/>
                <w:color w:val="000000"/>
                <w:sz w:val="16"/>
                <w:szCs w:val="16"/>
                <w:vertAlign w:val="baseline"/>
              </w:rPr>
              <w:t>N Pacientes</w:t>
            </w:r>
          </w:p>
        </w:tc>
        <w:tc>
          <w:tcPr>
            <w:tcW w:w="1131" w:type="dxa"/>
            <w:tcBorders>
              <w:top w:val="single" w:sz="8" w:space="0" w:color="000000"/>
              <w:left w:val="single" w:sz="8" w:space="0" w:color="000000"/>
              <w:bottom w:val="single" w:sz="8" w:space="0" w:color="000000"/>
            </w:tcBorders>
            <w:shd w:val="clear" w:color="auto" w:fill="C6D9F1"/>
          </w:tcPr>
          <w:p w14:paraId="256F2D4A" w14:textId="77777777" w:rsidR="00634CDF" w:rsidRDefault="00F0051D">
            <w:pPr>
              <w:pBdr>
                <w:top w:val="nil"/>
                <w:left w:val="nil"/>
                <w:bottom w:val="nil"/>
                <w:right w:val="nil"/>
                <w:between w:val="nil"/>
              </w:pBdr>
              <w:spacing w:before="240" w:line="276" w:lineRule="auto"/>
              <w:ind w:left="0" w:hanging="2"/>
              <w:jc w:val="center"/>
              <w:rPr>
                <w:color w:val="000000"/>
                <w:vertAlign w:val="baseline"/>
              </w:rPr>
            </w:pPr>
            <w:r>
              <w:rPr>
                <w:rFonts w:ascii="Arial" w:eastAsia="Arial" w:hAnsi="Arial" w:cs="Arial"/>
                <w:b/>
                <w:color w:val="000000"/>
                <w:sz w:val="16"/>
                <w:szCs w:val="16"/>
                <w:vertAlign w:val="baseline"/>
              </w:rPr>
              <w:t>Objetivo principal</w:t>
            </w:r>
          </w:p>
        </w:tc>
        <w:tc>
          <w:tcPr>
            <w:tcW w:w="939" w:type="dxa"/>
            <w:tcBorders>
              <w:top w:val="single" w:sz="8" w:space="0" w:color="000000"/>
              <w:left w:val="single" w:sz="8" w:space="0" w:color="000000"/>
              <w:bottom w:val="single" w:sz="8" w:space="0" w:color="000000"/>
              <w:right w:val="single" w:sz="8" w:space="0" w:color="000000"/>
            </w:tcBorders>
            <w:shd w:val="clear" w:color="auto" w:fill="C6D9F1"/>
          </w:tcPr>
          <w:p w14:paraId="3529429B" w14:textId="77777777" w:rsidR="00634CDF" w:rsidRDefault="00F0051D">
            <w:pPr>
              <w:pBdr>
                <w:top w:val="nil"/>
                <w:left w:val="nil"/>
                <w:bottom w:val="nil"/>
                <w:right w:val="nil"/>
                <w:between w:val="nil"/>
              </w:pBdr>
              <w:spacing w:before="240" w:line="276" w:lineRule="auto"/>
              <w:ind w:left="0" w:hanging="2"/>
              <w:jc w:val="center"/>
              <w:rPr>
                <w:color w:val="000000"/>
                <w:vertAlign w:val="baseline"/>
              </w:rPr>
            </w:pPr>
            <w:r>
              <w:rPr>
                <w:rFonts w:ascii="Arial" w:eastAsia="Arial" w:hAnsi="Arial" w:cs="Arial"/>
                <w:b/>
                <w:color w:val="000000"/>
                <w:sz w:val="16"/>
                <w:szCs w:val="16"/>
                <w:vertAlign w:val="baseline"/>
              </w:rPr>
              <w:t>Duración</w:t>
            </w:r>
          </w:p>
        </w:tc>
      </w:tr>
      <w:tr w:rsidR="00634CDF" w14:paraId="429D8506" w14:textId="77777777" w:rsidTr="004E4268">
        <w:trPr>
          <w:trHeight w:val="2141"/>
        </w:trPr>
        <w:tc>
          <w:tcPr>
            <w:tcW w:w="1035" w:type="dxa"/>
            <w:tcBorders>
              <w:left w:val="single" w:sz="8" w:space="0" w:color="000000"/>
              <w:bottom w:val="single" w:sz="8" w:space="0" w:color="000000"/>
            </w:tcBorders>
            <w:shd w:val="clear" w:color="auto" w:fill="FFFFFF"/>
          </w:tcPr>
          <w:p w14:paraId="4092B884" w14:textId="77777777" w:rsidR="00634CDF" w:rsidRDefault="00F0051D">
            <w:pPr>
              <w:pBdr>
                <w:top w:val="nil"/>
                <w:left w:val="nil"/>
                <w:bottom w:val="nil"/>
                <w:right w:val="nil"/>
                <w:between w:val="nil"/>
              </w:pBdr>
              <w:spacing w:before="240" w:line="276" w:lineRule="auto"/>
              <w:ind w:left="0" w:hanging="2"/>
              <w:jc w:val="center"/>
              <w:rPr>
                <w:color w:val="000000"/>
                <w:vertAlign w:val="baseline"/>
              </w:rPr>
            </w:pPr>
            <w:r>
              <w:rPr>
                <w:rFonts w:ascii="Arial" w:eastAsia="Arial" w:hAnsi="Arial" w:cs="Arial"/>
                <w:b/>
                <w:color w:val="000000"/>
                <w:sz w:val="16"/>
                <w:szCs w:val="16"/>
                <w:vertAlign w:val="baseline"/>
              </w:rPr>
              <w:t>FH I</w:t>
            </w:r>
          </w:p>
        </w:tc>
        <w:tc>
          <w:tcPr>
            <w:tcW w:w="1260" w:type="dxa"/>
            <w:tcBorders>
              <w:left w:val="single" w:sz="8" w:space="0" w:color="000000"/>
              <w:bottom w:val="single" w:sz="8" w:space="0" w:color="000000"/>
            </w:tcBorders>
            <w:shd w:val="clear" w:color="auto" w:fill="FFFFFF"/>
          </w:tcPr>
          <w:p w14:paraId="57BD70F3" w14:textId="77777777" w:rsidR="00634CDF" w:rsidRDefault="00F0051D">
            <w:pPr>
              <w:pBdr>
                <w:top w:val="nil"/>
                <w:left w:val="nil"/>
                <w:bottom w:val="nil"/>
                <w:right w:val="nil"/>
                <w:between w:val="nil"/>
              </w:pBdr>
              <w:spacing w:before="240" w:line="276" w:lineRule="auto"/>
              <w:ind w:left="0" w:hanging="2"/>
              <w:jc w:val="center"/>
              <w:rPr>
                <w:color w:val="000000"/>
                <w:vertAlign w:val="baseline"/>
              </w:rPr>
            </w:pPr>
            <w:r>
              <w:rPr>
                <w:rFonts w:ascii="Arial" w:eastAsia="Arial" w:hAnsi="Arial" w:cs="Arial"/>
                <w:color w:val="000000"/>
                <w:sz w:val="16"/>
                <w:szCs w:val="16"/>
                <w:vertAlign w:val="baseline"/>
              </w:rPr>
              <w:t>Alirocumab 75-150 mg</w:t>
            </w:r>
          </w:p>
        </w:tc>
        <w:tc>
          <w:tcPr>
            <w:tcW w:w="1230" w:type="dxa"/>
            <w:tcBorders>
              <w:left w:val="single" w:sz="8" w:space="0" w:color="000000"/>
              <w:bottom w:val="single" w:sz="8" w:space="0" w:color="000000"/>
            </w:tcBorders>
            <w:shd w:val="clear" w:color="auto" w:fill="FFFFFF"/>
          </w:tcPr>
          <w:p w14:paraId="19A301AE" w14:textId="77777777" w:rsidR="00634CDF" w:rsidRDefault="00F0051D">
            <w:pPr>
              <w:pBdr>
                <w:top w:val="nil"/>
                <w:left w:val="nil"/>
                <w:bottom w:val="nil"/>
                <w:right w:val="nil"/>
                <w:between w:val="nil"/>
              </w:pBdr>
              <w:spacing w:before="240" w:line="276" w:lineRule="auto"/>
              <w:ind w:left="0" w:hanging="2"/>
              <w:jc w:val="center"/>
              <w:rPr>
                <w:color w:val="000000"/>
                <w:vertAlign w:val="baseline"/>
              </w:rPr>
            </w:pPr>
            <w:r>
              <w:rPr>
                <w:rFonts w:ascii="Arial" w:eastAsia="Arial" w:hAnsi="Arial" w:cs="Arial"/>
                <w:color w:val="000000"/>
                <w:sz w:val="16"/>
                <w:szCs w:val="16"/>
                <w:vertAlign w:val="baseline"/>
              </w:rPr>
              <w:t>Placebo</w:t>
            </w:r>
          </w:p>
        </w:tc>
        <w:tc>
          <w:tcPr>
            <w:tcW w:w="1366" w:type="dxa"/>
            <w:tcBorders>
              <w:left w:val="single" w:sz="8" w:space="0" w:color="000000"/>
              <w:bottom w:val="single" w:sz="8" w:space="0" w:color="000000"/>
            </w:tcBorders>
            <w:shd w:val="clear" w:color="auto" w:fill="FFFFFF"/>
          </w:tcPr>
          <w:p w14:paraId="1D843D2A" w14:textId="77777777" w:rsidR="00634CDF" w:rsidRDefault="00F0051D">
            <w:pPr>
              <w:pBdr>
                <w:top w:val="nil"/>
                <w:left w:val="nil"/>
                <w:bottom w:val="nil"/>
                <w:right w:val="nil"/>
                <w:between w:val="nil"/>
              </w:pBdr>
              <w:spacing w:before="240" w:line="276" w:lineRule="auto"/>
              <w:ind w:left="0" w:hanging="2"/>
              <w:jc w:val="center"/>
              <w:rPr>
                <w:rFonts w:ascii="Arial" w:eastAsia="Arial" w:hAnsi="Arial" w:cs="Arial"/>
                <w:color w:val="000000"/>
                <w:sz w:val="16"/>
                <w:szCs w:val="16"/>
                <w:vertAlign w:val="baseline"/>
              </w:rPr>
            </w:pPr>
            <w:r>
              <w:rPr>
                <w:rFonts w:ascii="Arial" w:eastAsia="Arial" w:hAnsi="Arial" w:cs="Arial"/>
                <w:color w:val="000000"/>
                <w:sz w:val="16"/>
                <w:szCs w:val="16"/>
                <w:vertAlign w:val="baseline"/>
              </w:rPr>
              <w:t>Pacientes con heFH sin control adecuado de las cifras de C-LDL a pesar del tratamiento con estatinas a dosis máximas</w:t>
            </w:r>
          </w:p>
          <w:p w14:paraId="752B3CA3" w14:textId="77777777" w:rsidR="00634CDF" w:rsidRDefault="00F0051D">
            <w:pPr>
              <w:pBdr>
                <w:top w:val="nil"/>
                <w:left w:val="nil"/>
                <w:bottom w:val="nil"/>
                <w:right w:val="nil"/>
                <w:between w:val="nil"/>
              </w:pBdr>
              <w:spacing w:before="240" w:line="276" w:lineRule="auto"/>
              <w:ind w:left="0" w:hanging="2"/>
              <w:jc w:val="center"/>
              <w:rPr>
                <w:rFonts w:ascii="Arial" w:eastAsia="Arial" w:hAnsi="Arial" w:cs="Arial"/>
                <w:color w:val="000000"/>
                <w:sz w:val="16"/>
                <w:szCs w:val="16"/>
                <w:vertAlign w:val="baseline"/>
              </w:rPr>
            </w:pPr>
            <w:r>
              <w:rPr>
                <w:rFonts w:ascii="Arial" w:eastAsia="Arial" w:hAnsi="Arial" w:cs="Arial"/>
                <w:color w:val="000000"/>
                <w:sz w:val="16"/>
                <w:szCs w:val="16"/>
                <w:vertAlign w:val="baseline"/>
              </w:rPr>
              <w:t xml:space="preserve"> pacientes mayores de 18 años con diagnóstico de hip</w:t>
            </w:r>
            <w:r w:rsidRPr="004E4268">
              <w:rPr>
                <w:rFonts w:ascii="Arial" w:eastAsia="Arial" w:hAnsi="Arial" w:cs="Arial"/>
                <w:color w:val="000000"/>
                <w:sz w:val="16"/>
                <w:szCs w:val="16"/>
                <w:vertAlign w:val="baseline"/>
              </w:rPr>
              <w:t>er</w:t>
            </w:r>
            <w:sdt>
              <w:sdtPr>
                <w:rPr>
                  <w:rFonts w:ascii="Arial" w:eastAsia="Arial" w:hAnsi="Arial" w:cs="Arial"/>
                  <w:color w:val="000000"/>
                  <w:sz w:val="16"/>
                  <w:szCs w:val="16"/>
                  <w:vertAlign w:val="baseline"/>
                </w:rPr>
                <w:tag w:val="goog_rdk_15"/>
                <w:id w:val="264734260"/>
              </w:sdtPr>
              <w:sdtEndPr/>
              <w:sdtContent>
                <w:r w:rsidRPr="004E4268">
                  <w:rPr>
                    <w:rFonts w:ascii="Arial" w:eastAsia="Arial" w:hAnsi="Arial" w:cs="Arial"/>
                    <w:color w:val="000000"/>
                    <w:sz w:val="16"/>
                    <w:szCs w:val="16"/>
                    <w:vertAlign w:val="baseline"/>
                  </w:rPr>
                  <w:t xml:space="preserve">colesterolemia heterocigótica familiar (determinado por genotipo o criterios clínicos) sin antecedentes de enfermedad cardiovascular que no cumplan con los valores de C-LDL que recomiendan las guías para prevención primaria (C-LDL ≥100mg/dL) o </w:t>
                </w:r>
                <w:r w:rsidRPr="004E4268">
                  <w:rPr>
                    <w:rFonts w:ascii="Arial" w:eastAsia="Arial" w:hAnsi="Arial" w:cs="Arial"/>
                    <w:color w:val="000000"/>
                    <w:sz w:val="16"/>
                    <w:szCs w:val="16"/>
                    <w:vertAlign w:val="baseline"/>
                  </w:rPr>
                  <w:lastRenderedPageBreak/>
                  <w:t>pacientes que hayan sufrido un infarto de miocardio o un accidente isquémico con cifras C-LDL ≥70mg/dL.</w:t>
                </w:r>
              </w:sdtContent>
            </w:sdt>
          </w:p>
        </w:tc>
        <w:tc>
          <w:tcPr>
            <w:tcW w:w="1814" w:type="dxa"/>
            <w:gridSpan w:val="3"/>
            <w:tcBorders>
              <w:left w:val="single" w:sz="8" w:space="0" w:color="000000"/>
              <w:bottom w:val="single" w:sz="8" w:space="0" w:color="000000"/>
            </w:tcBorders>
            <w:shd w:val="clear" w:color="auto" w:fill="FFFFFF"/>
          </w:tcPr>
          <w:p w14:paraId="16C224E4" w14:textId="77777777" w:rsidR="00634CDF" w:rsidRDefault="00F0051D">
            <w:pPr>
              <w:pBdr>
                <w:top w:val="nil"/>
                <w:left w:val="nil"/>
                <w:bottom w:val="nil"/>
                <w:right w:val="nil"/>
                <w:between w:val="nil"/>
              </w:pBdr>
              <w:spacing w:before="240" w:line="276" w:lineRule="auto"/>
              <w:ind w:left="0" w:hanging="2"/>
              <w:jc w:val="center"/>
              <w:rPr>
                <w:color w:val="000000"/>
                <w:vertAlign w:val="baseline"/>
              </w:rPr>
            </w:pPr>
            <w:r>
              <w:rPr>
                <w:rFonts w:ascii="Arial" w:eastAsia="Arial" w:hAnsi="Arial" w:cs="Arial"/>
                <w:b/>
                <w:color w:val="000000"/>
                <w:sz w:val="16"/>
                <w:szCs w:val="16"/>
                <w:vertAlign w:val="baseline"/>
              </w:rPr>
              <w:lastRenderedPageBreak/>
              <w:t xml:space="preserve">486 </w:t>
            </w:r>
            <w:r>
              <w:rPr>
                <w:rFonts w:ascii="Arial" w:eastAsia="Arial" w:hAnsi="Arial" w:cs="Arial"/>
                <w:color w:val="000000"/>
                <w:sz w:val="16"/>
                <w:szCs w:val="16"/>
                <w:vertAlign w:val="baseline"/>
              </w:rPr>
              <w:t>pacientes aleatorización 2:1 a Alirocumab 75-150 mg cada dos semanas vs placebo</w:t>
            </w:r>
          </w:p>
        </w:tc>
        <w:tc>
          <w:tcPr>
            <w:tcW w:w="1131" w:type="dxa"/>
            <w:tcBorders>
              <w:left w:val="single" w:sz="8" w:space="0" w:color="000000"/>
              <w:bottom w:val="single" w:sz="8" w:space="0" w:color="000000"/>
            </w:tcBorders>
            <w:shd w:val="clear" w:color="auto" w:fill="FFFFFF"/>
          </w:tcPr>
          <w:p w14:paraId="310DF30E" w14:textId="77777777" w:rsidR="00634CDF" w:rsidRDefault="00F0051D">
            <w:pPr>
              <w:pBdr>
                <w:top w:val="nil"/>
                <w:left w:val="nil"/>
                <w:bottom w:val="nil"/>
                <w:right w:val="nil"/>
                <w:between w:val="nil"/>
              </w:pBdr>
              <w:spacing w:before="240" w:line="276" w:lineRule="auto"/>
              <w:ind w:left="0" w:hanging="2"/>
              <w:jc w:val="center"/>
              <w:rPr>
                <w:color w:val="000000"/>
                <w:vertAlign w:val="baseline"/>
              </w:rPr>
            </w:pPr>
            <w:r>
              <w:rPr>
                <w:rFonts w:ascii="Arial" w:eastAsia="Arial" w:hAnsi="Arial" w:cs="Arial"/>
                <w:color w:val="000000"/>
                <w:sz w:val="16"/>
                <w:szCs w:val="16"/>
                <w:vertAlign w:val="baseline"/>
              </w:rPr>
              <w:t xml:space="preserve">% de reducción </w:t>
            </w:r>
            <w:r>
              <w:rPr>
                <w:rFonts w:ascii="Arial" w:eastAsia="Arial" w:hAnsi="Arial" w:cs="Arial"/>
                <w:sz w:val="16"/>
                <w:szCs w:val="16"/>
                <w:vertAlign w:val="baseline"/>
              </w:rPr>
              <w:t>C</w:t>
            </w:r>
            <w:r>
              <w:rPr>
                <w:rFonts w:ascii="Arial" w:eastAsia="Arial" w:hAnsi="Arial" w:cs="Arial"/>
                <w:color w:val="000000"/>
                <w:sz w:val="16"/>
                <w:szCs w:val="16"/>
                <w:vertAlign w:val="baseline"/>
              </w:rPr>
              <w:t>-LDL en la semana 24</w:t>
            </w:r>
          </w:p>
        </w:tc>
        <w:tc>
          <w:tcPr>
            <w:tcW w:w="939" w:type="dxa"/>
            <w:tcBorders>
              <w:left w:val="single" w:sz="8" w:space="0" w:color="000000"/>
              <w:bottom w:val="single" w:sz="8" w:space="0" w:color="000000"/>
              <w:right w:val="single" w:sz="8" w:space="0" w:color="000000"/>
            </w:tcBorders>
            <w:shd w:val="clear" w:color="auto" w:fill="FFFFFF"/>
          </w:tcPr>
          <w:p w14:paraId="7F322AB6" w14:textId="77777777" w:rsidR="00634CDF" w:rsidRDefault="00F0051D">
            <w:pPr>
              <w:pBdr>
                <w:top w:val="nil"/>
                <w:left w:val="nil"/>
                <w:bottom w:val="nil"/>
                <w:right w:val="nil"/>
                <w:between w:val="nil"/>
              </w:pBdr>
              <w:spacing w:before="240" w:line="276" w:lineRule="auto"/>
              <w:ind w:left="0" w:hanging="2"/>
              <w:jc w:val="center"/>
              <w:rPr>
                <w:color w:val="000000"/>
                <w:vertAlign w:val="baseline"/>
              </w:rPr>
            </w:pPr>
            <w:r>
              <w:rPr>
                <w:rFonts w:ascii="Arial" w:eastAsia="Arial" w:hAnsi="Arial" w:cs="Arial"/>
                <w:color w:val="000000"/>
                <w:sz w:val="16"/>
                <w:szCs w:val="16"/>
                <w:vertAlign w:val="baseline"/>
              </w:rPr>
              <w:t>78 semanas</w:t>
            </w:r>
          </w:p>
        </w:tc>
      </w:tr>
      <w:tr w:rsidR="00634CDF" w14:paraId="07993578" w14:textId="77777777" w:rsidTr="004E4268">
        <w:trPr>
          <w:trHeight w:val="1715"/>
        </w:trPr>
        <w:tc>
          <w:tcPr>
            <w:tcW w:w="1035" w:type="dxa"/>
            <w:tcBorders>
              <w:left w:val="single" w:sz="8" w:space="0" w:color="000000"/>
              <w:bottom w:val="single" w:sz="8" w:space="0" w:color="000000"/>
            </w:tcBorders>
            <w:shd w:val="clear" w:color="auto" w:fill="FFFFFF"/>
          </w:tcPr>
          <w:p w14:paraId="3005093A" w14:textId="77777777" w:rsidR="00634CDF" w:rsidRDefault="00F0051D">
            <w:pPr>
              <w:pBdr>
                <w:top w:val="nil"/>
                <w:left w:val="nil"/>
                <w:bottom w:val="nil"/>
                <w:right w:val="nil"/>
                <w:between w:val="nil"/>
              </w:pBdr>
              <w:spacing w:before="240" w:line="276" w:lineRule="auto"/>
              <w:ind w:left="0" w:hanging="2"/>
              <w:jc w:val="center"/>
              <w:rPr>
                <w:color w:val="000000"/>
                <w:vertAlign w:val="baseline"/>
              </w:rPr>
            </w:pPr>
            <w:r>
              <w:rPr>
                <w:rFonts w:ascii="Arial" w:eastAsia="Arial" w:hAnsi="Arial" w:cs="Arial"/>
                <w:b/>
                <w:color w:val="000000"/>
                <w:sz w:val="16"/>
                <w:szCs w:val="16"/>
                <w:vertAlign w:val="baseline"/>
              </w:rPr>
              <w:lastRenderedPageBreak/>
              <w:t>FH II</w:t>
            </w:r>
          </w:p>
        </w:tc>
        <w:tc>
          <w:tcPr>
            <w:tcW w:w="1260" w:type="dxa"/>
            <w:tcBorders>
              <w:left w:val="single" w:sz="8" w:space="0" w:color="000000"/>
              <w:bottom w:val="single" w:sz="8" w:space="0" w:color="000000"/>
            </w:tcBorders>
            <w:shd w:val="clear" w:color="auto" w:fill="FFFFFF"/>
          </w:tcPr>
          <w:p w14:paraId="4C3FCBF0" w14:textId="77777777" w:rsidR="00634CDF" w:rsidRDefault="00F0051D">
            <w:pPr>
              <w:pBdr>
                <w:top w:val="nil"/>
                <w:left w:val="nil"/>
                <w:bottom w:val="nil"/>
                <w:right w:val="nil"/>
                <w:between w:val="nil"/>
              </w:pBdr>
              <w:spacing w:before="240" w:line="276" w:lineRule="auto"/>
              <w:ind w:left="0" w:hanging="2"/>
              <w:jc w:val="center"/>
              <w:rPr>
                <w:color w:val="000000"/>
                <w:vertAlign w:val="baseline"/>
              </w:rPr>
            </w:pPr>
            <w:r>
              <w:rPr>
                <w:rFonts w:ascii="Arial" w:eastAsia="Arial" w:hAnsi="Arial" w:cs="Arial"/>
                <w:color w:val="000000"/>
                <w:sz w:val="16"/>
                <w:szCs w:val="16"/>
                <w:vertAlign w:val="baseline"/>
              </w:rPr>
              <w:t>Alirocumab 75-150 mg</w:t>
            </w:r>
          </w:p>
        </w:tc>
        <w:tc>
          <w:tcPr>
            <w:tcW w:w="1230" w:type="dxa"/>
            <w:tcBorders>
              <w:left w:val="single" w:sz="8" w:space="0" w:color="000000"/>
              <w:bottom w:val="single" w:sz="8" w:space="0" w:color="000000"/>
            </w:tcBorders>
            <w:shd w:val="clear" w:color="auto" w:fill="FFFFFF"/>
          </w:tcPr>
          <w:p w14:paraId="467F962C" w14:textId="77777777" w:rsidR="00634CDF" w:rsidRDefault="00F0051D">
            <w:pPr>
              <w:pBdr>
                <w:top w:val="nil"/>
                <w:left w:val="nil"/>
                <w:bottom w:val="nil"/>
                <w:right w:val="nil"/>
                <w:between w:val="nil"/>
              </w:pBdr>
              <w:spacing w:before="240" w:line="276" w:lineRule="auto"/>
              <w:ind w:left="0" w:hanging="2"/>
              <w:jc w:val="center"/>
              <w:rPr>
                <w:color w:val="000000"/>
                <w:vertAlign w:val="baseline"/>
              </w:rPr>
            </w:pPr>
            <w:r>
              <w:rPr>
                <w:rFonts w:ascii="Arial" w:eastAsia="Arial" w:hAnsi="Arial" w:cs="Arial"/>
                <w:color w:val="000000"/>
                <w:sz w:val="16"/>
                <w:szCs w:val="16"/>
                <w:vertAlign w:val="baseline"/>
              </w:rPr>
              <w:t>Placebo</w:t>
            </w:r>
          </w:p>
        </w:tc>
        <w:tc>
          <w:tcPr>
            <w:tcW w:w="1366" w:type="dxa"/>
            <w:tcBorders>
              <w:left w:val="single" w:sz="8" w:space="0" w:color="000000"/>
              <w:bottom w:val="single" w:sz="8" w:space="0" w:color="000000"/>
            </w:tcBorders>
            <w:shd w:val="clear" w:color="auto" w:fill="FFFFFF"/>
          </w:tcPr>
          <w:p w14:paraId="27B0E39D" w14:textId="77777777" w:rsidR="00634CDF" w:rsidRPr="004E4268" w:rsidRDefault="00F0051D">
            <w:pPr>
              <w:pBdr>
                <w:top w:val="nil"/>
                <w:left w:val="nil"/>
                <w:bottom w:val="nil"/>
                <w:right w:val="nil"/>
                <w:between w:val="nil"/>
              </w:pBdr>
              <w:spacing w:before="240" w:line="276" w:lineRule="auto"/>
              <w:ind w:left="0" w:hanging="2"/>
              <w:jc w:val="center"/>
              <w:rPr>
                <w:rFonts w:ascii="Arial" w:eastAsia="Arial" w:hAnsi="Arial" w:cs="Arial"/>
                <w:b/>
                <w:color w:val="000000"/>
                <w:sz w:val="16"/>
                <w:szCs w:val="16"/>
                <w:vertAlign w:val="baseline"/>
              </w:rPr>
            </w:pPr>
            <w:r w:rsidRPr="004E4268">
              <w:rPr>
                <w:rFonts w:ascii="Arial" w:eastAsia="Arial" w:hAnsi="Arial" w:cs="Arial"/>
                <w:b/>
                <w:color w:val="000000"/>
                <w:sz w:val="16"/>
                <w:szCs w:val="16"/>
                <w:vertAlign w:val="baseline"/>
              </w:rPr>
              <w:t>Pacientes con heFH sin control adecuado de las cifras de C-LDL a pesar del tratamiento con estatinas a dosis máximas</w:t>
            </w:r>
          </w:p>
          <w:p w14:paraId="4818B867" w14:textId="77777777" w:rsidR="00634CDF" w:rsidRDefault="00F0051D">
            <w:pPr>
              <w:pBdr>
                <w:top w:val="nil"/>
                <w:left w:val="nil"/>
                <w:bottom w:val="nil"/>
                <w:right w:val="nil"/>
                <w:between w:val="nil"/>
              </w:pBdr>
              <w:spacing w:before="240" w:line="276" w:lineRule="auto"/>
              <w:ind w:left="0" w:hanging="2"/>
              <w:jc w:val="center"/>
              <w:rPr>
                <w:rFonts w:ascii="Arial" w:eastAsia="Arial" w:hAnsi="Arial" w:cs="Arial"/>
                <w:color w:val="000000"/>
                <w:sz w:val="16"/>
                <w:szCs w:val="16"/>
                <w:vertAlign w:val="baseline"/>
              </w:rPr>
            </w:pPr>
            <w:r>
              <w:rPr>
                <w:rFonts w:ascii="Arial" w:eastAsia="Arial" w:hAnsi="Arial" w:cs="Arial"/>
                <w:color w:val="000000"/>
                <w:sz w:val="16"/>
                <w:szCs w:val="16"/>
                <w:vertAlign w:val="baseline"/>
              </w:rPr>
              <w:t>pacientes mayores de 18 años con diagnóstico de hip</w:t>
            </w:r>
            <w:r w:rsidRPr="004E4268">
              <w:rPr>
                <w:rFonts w:ascii="Arial" w:eastAsia="Arial" w:hAnsi="Arial" w:cs="Arial"/>
                <w:color w:val="000000"/>
                <w:sz w:val="16"/>
                <w:szCs w:val="16"/>
                <w:vertAlign w:val="baseline"/>
              </w:rPr>
              <w:t>er</w:t>
            </w:r>
            <w:sdt>
              <w:sdtPr>
                <w:rPr>
                  <w:rFonts w:ascii="Arial" w:eastAsia="Arial" w:hAnsi="Arial" w:cs="Arial"/>
                  <w:color w:val="000000"/>
                  <w:sz w:val="16"/>
                  <w:szCs w:val="16"/>
                  <w:vertAlign w:val="baseline"/>
                </w:rPr>
                <w:tag w:val="goog_rdk_16"/>
                <w:id w:val="-824055619"/>
              </w:sdtPr>
              <w:sdtEndPr/>
              <w:sdtContent>
                <w:r w:rsidRPr="004E4268">
                  <w:rPr>
                    <w:rFonts w:ascii="Arial" w:eastAsia="Arial" w:hAnsi="Arial" w:cs="Arial"/>
                    <w:color w:val="000000"/>
                    <w:sz w:val="16"/>
                    <w:szCs w:val="16"/>
                    <w:vertAlign w:val="baseline"/>
                  </w:rPr>
                  <w:t>colesterolemia heterocigótica familiar (determinado por genotipo o criterios clínicos) sin antecedentes de enfermedad cardiovascular que no cumplan con los valores de C-LDL que recomiendan las guías para prevención primaria (C-LDL ≥100mg/dL) o pacientes que hayan sufrido un infarto de miocardio o un accidente isquémico con cifras C-LDL ≥70mg/dL.</w:t>
                </w:r>
              </w:sdtContent>
            </w:sdt>
          </w:p>
        </w:tc>
        <w:tc>
          <w:tcPr>
            <w:tcW w:w="1814" w:type="dxa"/>
            <w:gridSpan w:val="3"/>
            <w:tcBorders>
              <w:left w:val="single" w:sz="8" w:space="0" w:color="000000"/>
              <w:bottom w:val="single" w:sz="8" w:space="0" w:color="000000"/>
            </w:tcBorders>
            <w:shd w:val="clear" w:color="auto" w:fill="FFFFFF"/>
          </w:tcPr>
          <w:p w14:paraId="7767345C" w14:textId="2F912833" w:rsidR="00634CDF" w:rsidRPr="004E4268" w:rsidRDefault="00F0051D">
            <w:pPr>
              <w:pBdr>
                <w:top w:val="nil"/>
                <w:left w:val="nil"/>
                <w:bottom w:val="nil"/>
                <w:right w:val="nil"/>
                <w:between w:val="nil"/>
              </w:pBdr>
              <w:spacing w:before="240" w:line="276" w:lineRule="auto"/>
              <w:ind w:left="0" w:hanging="2"/>
              <w:jc w:val="center"/>
              <w:rPr>
                <w:rFonts w:ascii="Arial" w:eastAsia="Arial" w:hAnsi="Arial" w:cs="Arial"/>
                <w:color w:val="000000"/>
                <w:sz w:val="16"/>
                <w:szCs w:val="16"/>
                <w:vertAlign w:val="baseline"/>
              </w:rPr>
            </w:pPr>
            <w:r w:rsidRPr="004E4268">
              <w:rPr>
                <w:rFonts w:ascii="Arial" w:eastAsia="Arial" w:hAnsi="Arial" w:cs="Arial"/>
                <w:color w:val="000000"/>
                <w:sz w:val="16"/>
                <w:szCs w:val="16"/>
                <w:vertAlign w:val="baseline"/>
              </w:rPr>
              <w:t xml:space="preserve">249 </w:t>
            </w:r>
            <w:r w:rsidR="004E4268">
              <w:rPr>
                <w:rFonts w:ascii="Arial" w:eastAsia="Arial" w:hAnsi="Arial" w:cs="Arial"/>
                <w:color w:val="000000"/>
                <w:sz w:val="16"/>
                <w:szCs w:val="16"/>
                <w:vertAlign w:val="baseline"/>
              </w:rPr>
              <w:t>pacientes aleatorización 2:1 a a</w:t>
            </w:r>
            <w:r>
              <w:rPr>
                <w:rFonts w:ascii="Arial" w:eastAsia="Arial" w:hAnsi="Arial" w:cs="Arial"/>
                <w:color w:val="000000"/>
                <w:sz w:val="16"/>
                <w:szCs w:val="16"/>
                <w:vertAlign w:val="baseline"/>
              </w:rPr>
              <w:t>lirocumab 75-150 mg cada dos semanas vs placebo</w:t>
            </w:r>
          </w:p>
        </w:tc>
        <w:tc>
          <w:tcPr>
            <w:tcW w:w="1131" w:type="dxa"/>
            <w:tcBorders>
              <w:left w:val="single" w:sz="8" w:space="0" w:color="000000"/>
              <w:bottom w:val="single" w:sz="8" w:space="0" w:color="000000"/>
            </w:tcBorders>
            <w:shd w:val="clear" w:color="auto" w:fill="FFFFFF"/>
          </w:tcPr>
          <w:p w14:paraId="4D50B1AB" w14:textId="77777777" w:rsidR="00634CDF" w:rsidRDefault="00F0051D">
            <w:pPr>
              <w:pBdr>
                <w:top w:val="nil"/>
                <w:left w:val="nil"/>
                <w:bottom w:val="nil"/>
                <w:right w:val="nil"/>
                <w:between w:val="nil"/>
              </w:pBdr>
              <w:spacing w:before="240" w:line="276" w:lineRule="auto"/>
              <w:ind w:left="0" w:hanging="2"/>
              <w:jc w:val="center"/>
              <w:rPr>
                <w:color w:val="000000"/>
                <w:vertAlign w:val="baseline"/>
              </w:rPr>
            </w:pPr>
            <w:r>
              <w:rPr>
                <w:rFonts w:ascii="Arial" w:eastAsia="Arial" w:hAnsi="Arial" w:cs="Arial"/>
                <w:color w:val="000000"/>
                <w:sz w:val="16"/>
                <w:szCs w:val="16"/>
                <w:vertAlign w:val="baseline"/>
              </w:rPr>
              <w:t>% de reducción c-LDL en la semana 24</w:t>
            </w:r>
          </w:p>
        </w:tc>
        <w:tc>
          <w:tcPr>
            <w:tcW w:w="939" w:type="dxa"/>
            <w:tcBorders>
              <w:left w:val="single" w:sz="8" w:space="0" w:color="000000"/>
              <w:bottom w:val="single" w:sz="8" w:space="0" w:color="000000"/>
              <w:right w:val="single" w:sz="8" w:space="0" w:color="000000"/>
            </w:tcBorders>
            <w:shd w:val="clear" w:color="auto" w:fill="FFFFFF"/>
          </w:tcPr>
          <w:p w14:paraId="2BBCDDE4" w14:textId="77777777" w:rsidR="00634CDF" w:rsidRDefault="00F0051D">
            <w:pPr>
              <w:pBdr>
                <w:top w:val="nil"/>
                <w:left w:val="nil"/>
                <w:bottom w:val="nil"/>
                <w:right w:val="nil"/>
                <w:between w:val="nil"/>
              </w:pBdr>
              <w:spacing w:before="240" w:line="276" w:lineRule="auto"/>
              <w:ind w:left="0" w:hanging="2"/>
              <w:jc w:val="center"/>
              <w:rPr>
                <w:color w:val="000000"/>
                <w:vertAlign w:val="baseline"/>
              </w:rPr>
            </w:pPr>
            <w:r>
              <w:rPr>
                <w:rFonts w:ascii="Arial" w:eastAsia="Arial" w:hAnsi="Arial" w:cs="Arial"/>
                <w:color w:val="000000"/>
                <w:sz w:val="16"/>
                <w:szCs w:val="16"/>
                <w:vertAlign w:val="baseline"/>
              </w:rPr>
              <w:t>78 semanas</w:t>
            </w:r>
          </w:p>
        </w:tc>
      </w:tr>
      <w:tr w:rsidR="00634CDF" w14:paraId="0739F446" w14:textId="77777777">
        <w:trPr>
          <w:trHeight w:val="1700"/>
        </w:trPr>
        <w:tc>
          <w:tcPr>
            <w:tcW w:w="1035" w:type="dxa"/>
            <w:tcBorders>
              <w:left w:val="single" w:sz="8" w:space="0" w:color="000000"/>
              <w:bottom w:val="single" w:sz="8" w:space="0" w:color="000000"/>
            </w:tcBorders>
            <w:shd w:val="clear" w:color="auto" w:fill="FFFFFF"/>
          </w:tcPr>
          <w:p w14:paraId="1BA4F491"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lastRenderedPageBreak/>
              <w:t>LONG TERM</w:t>
            </w:r>
          </w:p>
        </w:tc>
        <w:tc>
          <w:tcPr>
            <w:tcW w:w="1260" w:type="dxa"/>
            <w:tcBorders>
              <w:left w:val="single" w:sz="8" w:space="0" w:color="000000"/>
              <w:bottom w:val="single" w:sz="8" w:space="0" w:color="000000"/>
            </w:tcBorders>
            <w:shd w:val="clear" w:color="auto" w:fill="FFFFFF"/>
          </w:tcPr>
          <w:p w14:paraId="22472C74" w14:textId="77777777" w:rsidR="00634CDF" w:rsidRPr="00D66FD9" w:rsidRDefault="00F0051D">
            <w:pPr>
              <w:pBdr>
                <w:top w:val="nil"/>
                <w:left w:val="nil"/>
                <w:bottom w:val="nil"/>
                <w:right w:val="nil"/>
                <w:between w:val="nil"/>
              </w:pBdr>
              <w:spacing w:before="240" w:after="240" w:line="240" w:lineRule="auto"/>
              <w:ind w:left="0" w:hanging="2"/>
              <w:jc w:val="center"/>
              <w:rPr>
                <w:color w:val="000000"/>
                <w:vertAlign w:val="baseline"/>
              </w:rPr>
            </w:pPr>
            <w:r w:rsidRPr="00D66FD9">
              <w:rPr>
                <w:rFonts w:ascii="Arial" w:eastAsia="Arial" w:hAnsi="Arial" w:cs="Arial"/>
                <w:color w:val="000000"/>
                <w:sz w:val="16"/>
                <w:szCs w:val="16"/>
                <w:vertAlign w:val="baseline"/>
              </w:rPr>
              <w:t>Alirocumab 150 mg</w:t>
            </w:r>
          </w:p>
        </w:tc>
        <w:tc>
          <w:tcPr>
            <w:tcW w:w="1230" w:type="dxa"/>
            <w:tcBorders>
              <w:left w:val="single" w:sz="8" w:space="0" w:color="000000"/>
              <w:bottom w:val="single" w:sz="8" w:space="0" w:color="000000"/>
            </w:tcBorders>
            <w:shd w:val="clear" w:color="auto" w:fill="FFFFFF"/>
          </w:tcPr>
          <w:p w14:paraId="1F812673"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Placebo</w:t>
            </w:r>
          </w:p>
        </w:tc>
        <w:tc>
          <w:tcPr>
            <w:tcW w:w="1380" w:type="dxa"/>
            <w:gridSpan w:val="2"/>
            <w:tcBorders>
              <w:left w:val="single" w:sz="8" w:space="0" w:color="000000"/>
              <w:bottom w:val="single" w:sz="8" w:space="0" w:color="000000"/>
            </w:tcBorders>
            <w:shd w:val="clear" w:color="auto" w:fill="FFFFFF"/>
          </w:tcPr>
          <w:p w14:paraId="38ACC81E" w14:textId="77777777" w:rsidR="00634CDF" w:rsidRPr="004E4268" w:rsidRDefault="00F0051D">
            <w:pPr>
              <w:pBdr>
                <w:top w:val="nil"/>
                <w:left w:val="nil"/>
                <w:bottom w:val="nil"/>
                <w:right w:val="nil"/>
                <w:between w:val="nil"/>
              </w:pBdr>
              <w:spacing w:before="240" w:after="240" w:line="240" w:lineRule="auto"/>
              <w:ind w:left="0" w:hanging="2"/>
              <w:jc w:val="center"/>
              <w:rPr>
                <w:rFonts w:ascii="Arial" w:eastAsia="Arial" w:hAnsi="Arial" w:cs="Arial"/>
                <w:color w:val="000000"/>
                <w:sz w:val="16"/>
                <w:szCs w:val="16"/>
                <w:vertAlign w:val="baseline"/>
              </w:rPr>
            </w:pPr>
            <w:r>
              <w:rPr>
                <w:rFonts w:ascii="Arial" w:eastAsia="Arial" w:hAnsi="Arial" w:cs="Arial"/>
                <w:color w:val="000000"/>
                <w:sz w:val="16"/>
                <w:szCs w:val="16"/>
                <w:vertAlign w:val="baseline"/>
              </w:rPr>
              <w:t>Pacientes con heFH o no familiar con RCV elevado (ECV estable o riesgo cardiovascular equivalente a cardiopatía isquémica) sin control adecuado de las cifras de C-LDL a pesar del tratamiento con estatinas a dosis máximas</w:t>
            </w:r>
          </w:p>
        </w:tc>
        <w:tc>
          <w:tcPr>
            <w:tcW w:w="1800" w:type="dxa"/>
            <w:gridSpan w:val="2"/>
            <w:tcBorders>
              <w:left w:val="single" w:sz="8" w:space="0" w:color="000000"/>
              <w:bottom w:val="single" w:sz="8" w:space="0" w:color="000000"/>
            </w:tcBorders>
            <w:shd w:val="clear" w:color="auto" w:fill="FFFFFF"/>
          </w:tcPr>
          <w:p w14:paraId="5786058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2.341</w:t>
            </w:r>
            <w:r>
              <w:rPr>
                <w:rFonts w:ascii="Arial" w:eastAsia="Arial" w:hAnsi="Arial" w:cs="Arial"/>
                <w:color w:val="000000"/>
                <w:sz w:val="16"/>
                <w:szCs w:val="16"/>
                <w:vertAlign w:val="baseline"/>
              </w:rPr>
              <w:t xml:space="preserve"> pacientes (aleatorización 2:1 a Alirocumab 150mg cada dos semanas vs placebo.</w:t>
            </w:r>
          </w:p>
        </w:tc>
        <w:tc>
          <w:tcPr>
            <w:tcW w:w="1131" w:type="dxa"/>
            <w:tcBorders>
              <w:left w:val="single" w:sz="8" w:space="0" w:color="000000"/>
              <w:bottom w:val="single" w:sz="8" w:space="0" w:color="000000"/>
            </w:tcBorders>
            <w:shd w:val="clear" w:color="auto" w:fill="FFFFFF"/>
          </w:tcPr>
          <w:p w14:paraId="4B8F1C0E"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 de reducción c-LDL en la semana 24</w:t>
            </w:r>
          </w:p>
        </w:tc>
        <w:tc>
          <w:tcPr>
            <w:tcW w:w="939" w:type="dxa"/>
            <w:tcBorders>
              <w:left w:val="single" w:sz="8" w:space="0" w:color="000000"/>
              <w:bottom w:val="single" w:sz="8" w:space="0" w:color="000000"/>
              <w:right w:val="single" w:sz="8" w:space="0" w:color="000000"/>
            </w:tcBorders>
            <w:shd w:val="clear" w:color="auto" w:fill="FFFFFF"/>
          </w:tcPr>
          <w:p w14:paraId="4C342345"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78 semanas</w:t>
            </w:r>
          </w:p>
        </w:tc>
      </w:tr>
      <w:tr w:rsidR="00634CDF" w14:paraId="40B91B66" w14:textId="77777777">
        <w:trPr>
          <w:trHeight w:val="1445"/>
        </w:trPr>
        <w:tc>
          <w:tcPr>
            <w:tcW w:w="1035" w:type="dxa"/>
            <w:tcBorders>
              <w:left w:val="single" w:sz="8" w:space="0" w:color="000000"/>
              <w:bottom w:val="single" w:sz="8" w:space="0" w:color="000000"/>
            </w:tcBorders>
            <w:shd w:val="clear" w:color="auto" w:fill="FFFFFF"/>
          </w:tcPr>
          <w:p w14:paraId="555CCB9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COMBO I</w:t>
            </w:r>
          </w:p>
        </w:tc>
        <w:tc>
          <w:tcPr>
            <w:tcW w:w="1260" w:type="dxa"/>
            <w:tcBorders>
              <w:left w:val="single" w:sz="8" w:space="0" w:color="000000"/>
              <w:bottom w:val="single" w:sz="8" w:space="0" w:color="000000"/>
            </w:tcBorders>
            <w:shd w:val="clear" w:color="auto" w:fill="FFFFFF"/>
          </w:tcPr>
          <w:p w14:paraId="63FC29F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Alirocumab 75-150</w:t>
            </w:r>
            <w:r>
              <w:rPr>
                <w:rFonts w:ascii="Arial" w:eastAsia="Arial" w:hAnsi="Arial" w:cs="Arial"/>
                <w:sz w:val="16"/>
                <w:szCs w:val="16"/>
                <w:vertAlign w:val="baseline"/>
              </w:rPr>
              <w:t xml:space="preserve"> </w:t>
            </w:r>
            <w:r>
              <w:rPr>
                <w:rFonts w:ascii="Arial" w:eastAsia="Arial" w:hAnsi="Arial" w:cs="Arial"/>
                <w:color w:val="000000"/>
                <w:sz w:val="16"/>
                <w:szCs w:val="16"/>
                <w:vertAlign w:val="baseline"/>
              </w:rPr>
              <w:t>mg</w:t>
            </w:r>
          </w:p>
        </w:tc>
        <w:tc>
          <w:tcPr>
            <w:tcW w:w="1230" w:type="dxa"/>
            <w:tcBorders>
              <w:left w:val="single" w:sz="8" w:space="0" w:color="000000"/>
              <w:bottom w:val="single" w:sz="8" w:space="0" w:color="000000"/>
            </w:tcBorders>
            <w:shd w:val="clear" w:color="auto" w:fill="FFFFFF"/>
          </w:tcPr>
          <w:p w14:paraId="5BE3B496"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Placebo</w:t>
            </w:r>
          </w:p>
        </w:tc>
        <w:tc>
          <w:tcPr>
            <w:tcW w:w="1380" w:type="dxa"/>
            <w:gridSpan w:val="2"/>
            <w:tcBorders>
              <w:left w:val="single" w:sz="8" w:space="0" w:color="000000"/>
              <w:bottom w:val="single" w:sz="8" w:space="0" w:color="000000"/>
            </w:tcBorders>
            <w:shd w:val="clear" w:color="auto" w:fill="FFFFFF"/>
          </w:tcPr>
          <w:p w14:paraId="4993CAFD"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Pacientes con RCV elevado</w:t>
            </w:r>
            <w:r>
              <w:rPr>
                <w:rFonts w:ascii="Arial" w:eastAsia="Arial" w:hAnsi="Arial" w:cs="Arial"/>
                <w:color w:val="000000"/>
                <w:sz w:val="16"/>
                <w:szCs w:val="16"/>
                <w:vertAlign w:val="baseline"/>
              </w:rPr>
              <w:t xml:space="preserve"> sin control adecuado de las cifras de C-LDL a pesar del tratamiento con estatinas a dosis máximas</w:t>
            </w:r>
          </w:p>
        </w:tc>
        <w:tc>
          <w:tcPr>
            <w:tcW w:w="1800" w:type="dxa"/>
            <w:gridSpan w:val="2"/>
            <w:tcBorders>
              <w:left w:val="single" w:sz="8" w:space="0" w:color="000000"/>
              <w:bottom w:val="single" w:sz="8" w:space="0" w:color="000000"/>
            </w:tcBorders>
            <w:shd w:val="clear" w:color="auto" w:fill="FFFFFF"/>
          </w:tcPr>
          <w:p w14:paraId="45DF265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b/>
                <w:color w:val="000000"/>
                <w:sz w:val="16"/>
                <w:szCs w:val="16"/>
                <w:vertAlign w:val="baseline"/>
              </w:rPr>
              <w:t>316</w:t>
            </w:r>
            <w:r>
              <w:rPr>
                <w:rFonts w:ascii="Arial" w:eastAsia="Arial" w:hAnsi="Arial" w:cs="Arial"/>
                <w:color w:val="000000"/>
                <w:sz w:val="16"/>
                <w:szCs w:val="16"/>
                <w:vertAlign w:val="baseline"/>
              </w:rPr>
              <w:t xml:space="preserve"> pacientes aleatorización 2:1 a Alirocumab 75-15 0mg cada dos semanas vs placebo</w:t>
            </w:r>
          </w:p>
          <w:p w14:paraId="1CCF0764"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 xml:space="preserve"> </w:t>
            </w:r>
          </w:p>
        </w:tc>
        <w:tc>
          <w:tcPr>
            <w:tcW w:w="1131" w:type="dxa"/>
            <w:tcBorders>
              <w:left w:val="single" w:sz="8" w:space="0" w:color="000000"/>
              <w:bottom w:val="single" w:sz="8" w:space="0" w:color="000000"/>
            </w:tcBorders>
            <w:shd w:val="clear" w:color="auto" w:fill="FFFFFF"/>
          </w:tcPr>
          <w:p w14:paraId="4D5B3FC0"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 de reducción c-LDL en la semana 24</w:t>
            </w:r>
          </w:p>
        </w:tc>
        <w:tc>
          <w:tcPr>
            <w:tcW w:w="939" w:type="dxa"/>
            <w:tcBorders>
              <w:left w:val="single" w:sz="8" w:space="0" w:color="000000"/>
              <w:bottom w:val="single" w:sz="8" w:space="0" w:color="000000"/>
              <w:right w:val="single" w:sz="8" w:space="0" w:color="000000"/>
            </w:tcBorders>
            <w:shd w:val="clear" w:color="auto" w:fill="FFFFFF"/>
          </w:tcPr>
          <w:p w14:paraId="40A979F9"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color w:val="000000"/>
                <w:sz w:val="16"/>
                <w:szCs w:val="16"/>
                <w:vertAlign w:val="baseline"/>
              </w:rPr>
              <w:t>52 semanas</w:t>
            </w:r>
          </w:p>
        </w:tc>
      </w:tr>
      <w:tr w:rsidR="00634CDF" w14:paraId="13F830D8" w14:textId="77777777">
        <w:trPr>
          <w:trHeight w:val="1700"/>
        </w:trPr>
        <w:tc>
          <w:tcPr>
            <w:tcW w:w="1035" w:type="dxa"/>
            <w:tcBorders>
              <w:left w:val="single" w:sz="8" w:space="0" w:color="000000"/>
              <w:bottom w:val="single" w:sz="8" w:space="0" w:color="000000"/>
            </w:tcBorders>
          </w:tcPr>
          <w:p w14:paraId="185CFF02"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b/>
                <w:color w:val="000000"/>
                <w:sz w:val="16"/>
                <w:szCs w:val="16"/>
                <w:vertAlign w:val="baseline"/>
              </w:rPr>
              <w:t>RUTHERFORD-2</w:t>
            </w:r>
          </w:p>
        </w:tc>
        <w:tc>
          <w:tcPr>
            <w:tcW w:w="1260" w:type="dxa"/>
            <w:tcBorders>
              <w:left w:val="single" w:sz="8" w:space="0" w:color="000000"/>
              <w:bottom w:val="single" w:sz="8" w:space="0" w:color="000000"/>
            </w:tcBorders>
          </w:tcPr>
          <w:p w14:paraId="42AFB93B"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16"/>
                <w:szCs w:val="16"/>
                <w:vertAlign w:val="baseline"/>
              </w:rPr>
              <w:t>- Evolocumab 140 mg cada 2 semanas</w:t>
            </w:r>
          </w:p>
          <w:p w14:paraId="6A61ED8A"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16"/>
                <w:szCs w:val="16"/>
                <w:vertAlign w:val="baseline"/>
              </w:rPr>
              <w:t>- Evolocumab 420 mg cada 4 semanas</w:t>
            </w:r>
          </w:p>
        </w:tc>
        <w:tc>
          <w:tcPr>
            <w:tcW w:w="1230" w:type="dxa"/>
            <w:tcBorders>
              <w:left w:val="single" w:sz="8" w:space="0" w:color="000000"/>
              <w:bottom w:val="single" w:sz="8" w:space="0" w:color="000000"/>
            </w:tcBorders>
          </w:tcPr>
          <w:p w14:paraId="49E2B08E"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16"/>
                <w:szCs w:val="16"/>
                <w:vertAlign w:val="baseline"/>
              </w:rPr>
              <w:t>- Placebo cada 2 semanas</w:t>
            </w:r>
          </w:p>
          <w:p w14:paraId="189C273B"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16"/>
                <w:szCs w:val="16"/>
                <w:vertAlign w:val="baseline"/>
              </w:rPr>
              <w:t>- Placebo cada 4 semanas</w:t>
            </w:r>
          </w:p>
        </w:tc>
        <w:tc>
          <w:tcPr>
            <w:tcW w:w="1485" w:type="dxa"/>
            <w:gridSpan w:val="3"/>
            <w:tcBorders>
              <w:left w:val="single" w:sz="8" w:space="0" w:color="000000"/>
              <w:bottom w:val="single" w:sz="8" w:space="0" w:color="000000"/>
            </w:tcBorders>
          </w:tcPr>
          <w:p w14:paraId="3999CEA3"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b/>
                <w:i/>
                <w:color w:val="000000"/>
                <w:sz w:val="16"/>
                <w:szCs w:val="16"/>
                <w:vertAlign w:val="baseline"/>
              </w:rPr>
              <w:t>Pacientes con Hipercolesterolemia Familiar Heterocigótica</w:t>
            </w:r>
            <w:r>
              <w:rPr>
                <w:rFonts w:ascii="Arial" w:eastAsia="Arial" w:hAnsi="Arial" w:cs="Arial"/>
                <w:color w:val="000000"/>
                <w:sz w:val="16"/>
                <w:szCs w:val="16"/>
                <w:vertAlign w:val="baseline"/>
              </w:rPr>
              <w:t xml:space="preserve"> (criterios Simon Broome)</w:t>
            </w:r>
          </w:p>
        </w:tc>
        <w:tc>
          <w:tcPr>
            <w:tcW w:w="1695" w:type="dxa"/>
            <w:tcBorders>
              <w:left w:val="single" w:sz="8" w:space="0" w:color="000000"/>
              <w:bottom w:val="single" w:sz="8" w:space="0" w:color="000000"/>
            </w:tcBorders>
          </w:tcPr>
          <w:p w14:paraId="5C9912A3"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b/>
                <w:color w:val="000000"/>
                <w:sz w:val="16"/>
                <w:szCs w:val="16"/>
                <w:vertAlign w:val="baseline"/>
              </w:rPr>
              <w:t>329</w:t>
            </w:r>
            <w:r>
              <w:rPr>
                <w:rFonts w:ascii="Arial" w:eastAsia="Arial" w:hAnsi="Arial" w:cs="Arial"/>
                <w:color w:val="000000"/>
                <w:sz w:val="16"/>
                <w:szCs w:val="16"/>
                <w:vertAlign w:val="baseline"/>
              </w:rPr>
              <w:t xml:space="preserve"> pacientes aleatorizados (2:1:2:1) a recibir placebo cada 2 semanas, cada 4 semanas y cada una de las dos pautas de evolocumab</w:t>
            </w:r>
          </w:p>
        </w:tc>
        <w:tc>
          <w:tcPr>
            <w:tcW w:w="1131" w:type="dxa"/>
            <w:tcBorders>
              <w:left w:val="single" w:sz="8" w:space="0" w:color="000000"/>
              <w:bottom w:val="single" w:sz="8" w:space="0" w:color="000000"/>
            </w:tcBorders>
          </w:tcPr>
          <w:p w14:paraId="776CE5BB"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16"/>
                <w:szCs w:val="16"/>
                <w:vertAlign w:val="baseline"/>
              </w:rPr>
              <w:t xml:space="preserve">Variable coprimaria formada por: % Reducción de c-LDL en la semana 12 y la media del valor de c-LDL en las semanas 10 y 12. </w:t>
            </w:r>
          </w:p>
        </w:tc>
        <w:tc>
          <w:tcPr>
            <w:tcW w:w="939" w:type="dxa"/>
            <w:tcBorders>
              <w:left w:val="single" w:sz="8" w:space="0" w:color="000000"/>
              <w:bottom w:val="single" w:sz="8" w:space="0" w:color="000000"/>
              <w:right w:val="single" w:sz="8" w:space="0" w:color="000000"/>
            </w:tcBorders>
          </w:tcPr>
          <w:p w14:paraId="27B63411"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r>
              <w:rPr>
                <w:rFonts w:ascii="Arial" w:eastAsia="Arial" w:hAnsi="Arial" w:cs="Arial"/>
                <w:color w:val="000000"/>
                <w:sz w:val="16"/>
                <w:szCs w:val="16"/>
                <w:vertAlign w:val="baseline"/>
              </w:rPr>
              <w:t>12 semanas</w:t>
            </w:r>
          </w:p>
        </w:tc>
      </w:tr>
    </w:tbl>
    <w:p w14:paraId="33767894" w14:textId="77777777" w:rsidR="00634CDF" w:rsidRDefault="00F0051D">
      <w:pPr>
        <w:pBdr>
          <w:top w:val="nil"/>
          <w:left w:val="nil"/>
          <w:bottom w:val="nil"/>
          <w:right w:val="nil"/>
          <w:between w:val="nil"/>
        </w:pBdr>
        <w:spacing w:before="240" w:after="240" w:line="240" w:lineRule="auto"/>
        <w:ind w:left="0" w:hanging="2"/>
        <w:jc w:val="both"/>
        <w:rPr>
          <w:color w:val="000000"/>
          <w:vertAlign w:val="baseline"/>
        </w:rPr>
      </w:pPr>
      <w:bookmarkStart w:id="46" w:name="_heading=h.9nyx1kixz73u" w:colFirst="0" w:colLast="0"/>
      <w:bookmarkEnd w:id="46"/>
      <w:r>
        <w:rPr>
          <w:rFonts w:ascii="Arial" w:eastAsia="Arial" w:hAnsi="Arial" w:cs="Arial"/>
          <w:color w:val="000000"/>
          <w:sz w:val="20"/>
          <w:szCs w:val="20"/>
          <w:vertAlign w:val="baseline"/>
        </w:rPr>
        <w:t xml:space="preserve">Se resumen los ensayos realizados para alirocumab y evolocumab, con la misma variable </w:t>
      </w:r>
      <w:r>
        <w:rPr>
          <w:rFonts w:ascii="Arial" w:eastAsia="Arial" w:hAnsi="Arial" w:cs="Arial"/>
          <w:sz w:val="20"/>
          <w:szCs w:val="20"/>
          <w:vertAlign w:val="baseline"/>
        </w:rPr>
        <w:t>principal</w:t>
      </w:r>
      <w:r>
        <w:rPr>
          <w:rFonts w:ascii="Arial" w:eastAsia="Arial" w:hAnsi="Arial" w:cs="Arial"/>
          <w:color w:val="000000"/>
          <w:sz w:val="20"/>
          <w:szCs w:val="20"/>
          <w:vertAlign w:val="baseline"/>
        </w:rPr>
        <w:t>; variable intermedia y el mismo grupo comparador: No son los mismos diseños; criterios de selección y tiempo de evaluación de la variable principal. Por lo que no son metodológicamente aptos para realizar una comparación indirecta ajustada.</w:t>
      </w:r>
    </w:p>
    <w:p w14:paraId="62FCA2C0" w14:textId="77777777" w:rsidR="00634CDF" w:rsidRDefault="00F0051D">
      <w:pPr>
        <w:pBdr>
          <w:top w:val="nil"/>
          <w:left w:val="nil"/>
          <w:bottom w:val="nil"/>
          <w:right w:val="nil"/>
          <w:between w:val="nil"/>
        </w:pBdr>
        <w:spacing w:before="240" w:after="240" w:line="240" w:lineRule="auto"/>
        <w:ind w:left="0" w:hanging="2"/>
        <w:jc w:val="both"/>
        <w:rPr>
          <w:rFonts w:ascii="Arial" w:eastAsia="Arial" w:hAnsi="Arial" w:cs="Arial"/>
          <w:color w:val="000000"/>
          <w:sz w:val="20"/>
          <w:szCs w:val="20"/>
          <w:vertAlign w:val="baseline"/>
        </w:rPr>
      </w:pPr>
      <w:r>
        <w:rPr>
          <w:rFonts w:ascii="Arial" w:eastAsia="Arial" w:hAnsi="Arial" w:cs="Arial"/>
          <w:color w:val="000000"/>
          <w:sz w:val="20"/>
          <w:szCs w:val="20"/>
          <w:vertAlign w:val="baseline"/>
        </w:rPr>
        <w:t>Y los ensayos nuevos, con variable pri</w:t>
      </w:r>
      <w:r>
        <w:rPr>
          <w:rFonts w:ascii="Arial" w:eastAsia="Arial" w:hAnsi="Arial" w:cs="Arial"/>
          <w:sz w:val="20"/>
          <w:szCs w:val="20"/>
          <w:vertAlign w:val="baseline"/>
        </w:rPr>
        <w:t>ncipal</w:t>
      </w:r>
      <w:r>
        <w:rPr>
          <w:rFonts w:ascii="Arial" w:eastAsia="Arial" w:hAnsi="Arial" w:cs="Arial"/>
          <w:color w:val="000000"/>
          <w:sz w:val="20"/>
          <w:szCs w:val="20"/>
          <w:vertAlign w:val="baseline"/>
        </w:rPr>
        <w:t xml:space="preserve"> final, está pendiente de finalización el ORION-4, y se han realizado los ensayos para alirocumab y evolocumab, con distinto tiempo de seguimiento. </w:t>
      </w:r>
    </w:p>
    <w:p w14:paraId="10FC898D" w14:textId="77777777" w:rsidR="00634CDF" w:rsidRPr="004E4268" w:rsidRDefault="00F0051D">
      <w:pPr>
        <w:pBdr>
          <w:top w:val="single" w:sz="4" w:space="1" w:color="000000"/>
          <w:left w:val="single" w:sz="4" w:space="4" w:color="000000"/>
          <w:bottom w:val="single" w:sz="4" w:space="1" w:color="000000"/>
          <w:right w:val="single" w:sz="4" w:space="4" w:color="000000"/>
          <w:between w:val="nil"/>
        </w:pBdr>
        <w:shd w:val="clear" w:color="auto" w:fill="E6E6E6"/>
        <w:spacing w:line="240" w:lineRule="auto"/>
        <w:ind w:left="0" w:hanging="2"/>
        <w:rPr>
          <w:b/>
          <w:color w:val="000000"/>
          <w:vertAlign w:val="baseline"/>
        </w:rPr>
      </w:pPr>
      <w:bookmarkStart w:id="47" w:name="_heading=h.2bn6wsx" w:colFirst="0" w:colLast="0"/>
      <w:bookmarkEnd w:id="47"/>
      <w:r w:rsidRPr="004E4268">
        <w:rPr>
          <w:b/>
          <w:color w:val="000000"/>
          <w:sz w:val="20"/>
          <w:szCs w:val="20"/>
          <w:vertAlign w:val="baseline"/>
        </w:rPr>
        <w:t xml:space="preserve">C.3 Alternativas terapéuticas equivalentes (ATE) </w:t>
      </w:r>
    </w:p>
    <w:p w14:paraId="4335ABFB"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E0E0E"/>
          <w:sz w:val="20"/>
          <w:szCs w:val="20"/>
          <w:vertAlign w:val="baseline"/>
        </w:rPr>
      </w:pPr>
      <w:r>
        <w:rPr>
          <w:rFonts w:ascii="Arial" w:eastAsia="Arial" w:hAnsi="Arial" w:cs="Arial"/>
          <w:color w:val="0E0E0E"/>
          <w:sz w:val="20"/>
          <w:szCs w:val="20"/>
          <w:vertAlign w:val="baseline"/>
        </w:rPr>
        <w:t>No aplica en este momento</w:t>
      </w:r>
    </w:p>
    <w:p w14:paraId="7D139A24" w14:textId="77777777" w:rsidR="00634CDF" w:rsidRDefault="00634CDF">
      <w:pPr>
        <w:pBdr>
          <w:top w:val="nil"/>
          <w:left w:val="nil"/>
          <w:bottom w:val="nil"/>
          <w:right w:val="nil"/>
          <w:between w:val="nil"/>
        </w:pBdr>
        <w:spacing w:line="240" w:lineRule="auto"/>
        <w:ind w:left="0" w:hanging="2"/>
        <w:jc w:val="right"/>
        <w:rPr>
          <w:rFonts w:ascii="Arial" w:eastAsia="Arial" w:hAnsi="Arial" w:cs="Arial"/>
          <w:color w:val="FF0000"/>
          <w:sz w:val="16"/>
          <w:szCs w:val="16"/>
          <w:vertAlign w:val="baseline"/>
        </w:rPr>
      </w:pPr>
    </w:p>
    <w:p w14:paraId="740D4EBC"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bookmarkStart w:id="48" w:name="_heading=h.qsh70q" w:colFirst="0" w:colLast="0"/>
      <w:bookmarkEnd w:id="48"/>
      <w:r>
        <w:rPr>
          <w:rFonts w:ascii="Cambria" w:eastAsia="Cambria" w:hAnsi="Cambria" w:cs="Cambria"/>
          <w:b/>
          <w:i/>
          <w:color w:val="000000"/>
          <w:sz w:val="20"/>
          <w:szCs w:val="20"/>
          <w:vertAlign w:val="baseline"/>
        </w:rPr>
        <w:lastRenderedPageBreak/>
        <w:t xml:space="preserve">5.2.c Evaluación de las pruebas de cribado utilizadas </w:t>
      </w:r>
    </w:p>
    <w:p w14:paraId="3D9285A6" w14:textId="77777777" w:rsidR="00634CDF" w:rsidRDefault="00F0051D">
      <w:pPr>
        <w:pBdr>
          <w:top w:val="nil"/>
          <w:left w:val="nil"/>
          <w:bottom w:val="nil"/>
          <w:right w:val="nil"/>
          <w:between w:val="nil"/>
        </w:pBdr>
        <w:spacing w:line="240" w:lineRule="auto"/>
        <w:ind w:left="0" w:hanging="2"/>
        <w:rPr>
          <w:vertAlign w:val="baseline"/>
        </w:rPr>
      </w:pPr>
      <w:r>
        <w:rPr>
          <w:rFonts w:ascii="Arial" w:eastAsia="Arial" w:hAnsi="Arial" w:cs="Arial"/>
          <w:sz w:val="20"/>
          <w:szCs w:val="20"/>
          <w:vertAlign w:val="baseline"/>
        </w:rPr>
        <w:t xml:space="preserve">No procede </w:t>
      </w:r>
    </w:p>
    <w:p w14:paraId="391DF4D1"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D45C2A7"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bookmarkStart w:id="49" w:name="_heading=h.3as4poj" w:colFirst="0" w:colLast="0"/>
      <w:bookmarkEnd w:id="49"/>
      <w:r>
        <w:rPr>
          <w:rFonts w:ascii="Cambria" w:eastAsia="Cambria" w:hAnsi="Cambria" w:cs="Cambria"/>
          <w:b/>
          <w:i/>
          <w:color w:val="000000"/>
          <w:sz w:val="20"/>
          <w:szCs w:val="20"/>
          <w:vertAlign w:val="baseline"/>
        </w:rPr>
        <w:t xml:space="preserve">5.3 Revisiones sistemáticas publicadas, comparaciones indirectas y sus conclusiones </w:t>
      </w:r>
    </w:p>
    <w:p w14:paraId="08495A83"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80"/>
          <w:sz w:val="20"/>
          <w:szCs w:val="20"/>
          <w:vertAlign w:val="baseline"/>
        </w:rPr>
      </w:pPr>
    </w:p>
    <w:p w14:paraId="0121FEE7" w14:textId="77777777" w:rsidR="00634CDF" w:rsidRDefault="00634CDF">
      <w:pPr>
        <w:pBdr>
          <w:top w:val="nil"/>
          <w:left w:val="nil"/>
          <w:bottom w:val="nil"/>
          <w:right w:val="nil"/>
          <w:between w:val="nil"/>
        </w:pBdr>
        <w:spacing w:line="240" w:lineRule="auto"/>
        <w:ind w:left="0" w:hanging="2"/>
        <w:rPr>
          <w:rFonts w:ascii="Arial" w:eastAsia="Arial" w:hAnsi="Arial" w:cs="Arial"/>
          <w:color w:val="000080"/>
          <w:sz w:val="20"/>
          <w:szCs w:val="20"/>
          <w:vertAlign w:val="baseline"/>
        </w:rPr>
      </w:pPr>
    </w:p>
    <w:p w14:paraId="103C96F3" w14:textId="77777777" w:rsidR="00634CDF" w:rsidRPr="001779CA"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lang w:val="en-US"/>
        </w:rPr>
      </w:pPr>
      <w:r w:rsidRPr="001779CA">
        <w:rPr>
          <w:rFonts w:ascii="Cambria" w:eastAsia="Cambria" w:hAnsi="Cambria" w:cs="Cambria"/>
          <w:b/>
          <w:i/>
          <w:color w:val="000000"/>
          <w:sz w:val="20"/>
          <w:szCs w:val="20"/>
          <w:vertAlign w:val="baseline"/>
          <w:lang w:val="en-US"/>
        </w:rPr>
        <w:t>5.3.a Revisiones sistemáticas publicadas</w:t>
      </w:r>
    </w:p>
    <w:p w14:paraId="7F779023"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FF0000"/>
          <w:sz w:val="20"/>
          <w:szCs w:val="20"/>
          <w:vertAlign w:val="baseline"/>
          <w:lang w:val="en-US"/>
        </w:rPr>
        <w:t xml:space="preserve">   </w:t>
      </w:r>
    </w:p>
    <w:p w14:paraId="28E18C55" w14:textId="77777777" w:rsidR="00634CDF" w:rsidRPr="00574FA1" w:rsidRDefault="00782245">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hyperlink r:id="rId26">
        <w:r w:rsidR="00F0051D" w:rsidRPr="001779CA">
          <w:rPr>
            <w:rFonts w:ascii="Arial" w:eastAsia="Arial" w:hAnsi="Arial" w:cs="Arial"/>
            <w:i/>
            <w:color w:val="0000FF"/>
            <w:sz w:val="20"/>
            <w:szCs w:val="20"/>
            <w:u w:val="single"/>
            <w:vertAlign w:val="baseline"/>
            <w:lang w:val="en-US"/>
          </w:rPr>
          <w:t>Meta-Analysis of Inclisiran for the Treatment of Hypercholesterolemia</w:t>
        </w:r>
      </w:hyperlink>
      <w:hyperlink r:id="rId27">
        <w:r w:rsidR="00F0051D" w:rsidRPr="001779CA">
          <w:rPr>
            <w:rFonts w:ascii="Arial" w:eastAsia="Arial" w:hAnsi="Arial" w:cs="Arial"/>
            <w:color w:val="0000FF"/>
            <w:sz w:val="20"/>
            <w:szCs w:val="20"/>
            <w:u w:val="single"/>
            <w:vertAlign w:val="baseline"/>
            <w:lang w:val="en-US"/>
          </w:rPr>
          <w:t>.</w:t>
        </w:r>
      </w:hyperlink>
      <w:r w:rsidR="00F0051D" w:rsidRPr="001779CA">
        <w:rPr>
          <w:rFonts w:ascii="Arial" w:eastAsia="Arial" w:hAnsi="Arial" w:cs="Arial"/>
          <w:color w:val="000000"/>
          <w:sz w:val="20"/>
          <w:szCs w:val="20"/>
          <w:vertAlign w:val="baseline"/>
          <w:lang w:val="en-US"/>
        </w:rPr>
        <w:t xml:space="preserve"> </w:t>
      </w:r>
      <w:r w:rsidR="00F0051D" w:rsidRPr="00574FA1">
        <w:rPr>
          <w:rFonts w:ascii="Arial" w:eastAsia="Arial" w:hAnsi="Arial" w:cs="Arial"/>
          <w:color w:val="000000"/>
          <w:sz w:val="20"/>
          <w:szCs w:val="20"/>
          <w:vertAlign w:val="baseline"/>
        </w:rPr>
        <w:t xml:space="preserve">(21) </w:t>
      </w:r>
    </w:p>
    <w:p w14:paraId="6FD1739D" w14:textId="2B2A852F" w:rsidR="00634CDF" w:rsidRDefault="00C2216F">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M</w:t>
      </w:r>
      <w:r w:rsidR="00F0051D">
        <w:rPr>
          <w:rFonts w:ascii="Arial" w:eastAsia="Arial" w:hAnsi="Arial" w:cs="Arial"/>
          <w:color w:val="000000"/>
          <w:sz w:val="20"/>
          <w:szCs w:val="20"/>
          <w:vertAlign w:val="baseline"/>
        </w:rPr>
        <w:t xml:space="preserve">etanálisis </w:t>
      </w:r>
      <w:r>
        <w:rPr>
          <w:rFonts w:ascii="Arial" w:eastAsia="Arial" w:hAnsi="Arial" w:cs="Arial"/>
          <w:color w:val="000000"/>
          <w:sz w:val="20"/>
          <w:szCs w:val="20"/>
          <w:vertAlign w:val="baseline"/>
        </w:rPr>
        <w:t xml:space="preserve">con </w:t>
      </w:r>
      <w:r w:rsidR="00F0051D">
        <w:rPr>
          <w:rFonts w:ascii="Arial" w:eastAsia="Arial" w:hAnsi="Arial" w:cs="Arial"/>
          <w:color w:val="000000"/>
          <w:sz w:val="20"/>
          <w:szCs w:val="20"/>
          <w:vertAlign w:val="baseline"/>
        </w:rPr>
        <w:t>metodología PRISMA. Las variables a evaluar</w:t>
      </w:r>
      <w:r>
        <w:rPr>
          <w:rFonts w:ascii="Arial" w:eastAsia="Arial" w:hAnsi="Arial" w:cs="Arial"/>
          <w:color w:val="000000"/>
          <w:sz w:val="20"/>
          <w:szCs w:val="20"/>
          <w:vertAlign w:val="baseline"/>
        </w:rPr>
        <w:t>:</w:t>
      </w:r>
      <w:r w:rsidR="00F0051D">
        <w:rPr>
          <w:rFonts w:ascii="Arial" w:eastAsia="Arial" w:hAnsi="Arial" w:cs="Arial"/>
          <w:color w:val="000000"/>
          <w:sz w:val="20"/>
          <w:szCs w:val="20"/>
          <w:vertAlign w:val="baseline"/>
        </w:rPr>
        <w:t xml:space="preserve"> reducción de LDL</w:t>
      </w:r>
      <w:r>
        <w:rPr>
          <w:rFonts w:ascii="Arial" w:eastAsia="Arial" w:hAnsi="Arial" w:cs="Arial"/>
          <w:color w:val="000000"/>
          <w:sz w:val="20"/>
          <w:szCs w:val="20"/>
          <w:vertAlign w:val="baseline"/>
        </w:rPr>
        <w:t xml:space="preserve"> y </w:t>
      </w:r>
      <w:r w:rsidR="00F0051D">
        <w:rPr>
          <w:rFonts w:ascii="Arial" w:eastAsia="Arial" w:hAnsi="Arial" w:cs="Arial"/>
          <w:color w:val="000000"/>
          <w:sz w:val="20"/>
          <w:szCs w:val="20"/>
          <w:vertAlign w:val="baseline"/>
        </w:rPr>
        <w:t>tasa de MACE (compuesta de muerte cardiaca, cualquier signo o síntoma de paro cardiaco, infarto de miocardio no mortal e ictus). L</w:t>
      </w:r>
      <w:r>
        <w:rPr>
          <w:rFonts w:ascii="Arial" w:eastAsia="Arial" w:hAnsi="Arial" w:cs="Arial"/>
          <w:color w:val="000000"/>
          <w:sz w:val="20"/>
          <w:szCs w:val="20"/>
          <w:vertAlign w:val="baseline"/>
        </w:rPr>
        <w:t xml:space="preserve">a baja incidencia de </w:t>
      </w:r>
      <w:r w:rsidR="00F0051D">
        <w:rPr>
          <w:rFonts w:ascii="Arial" w:eastAsia="Arial" w:hAnsi="Arial" w:cs="Arial"/>
          <w:color w:val="000000"/>
          <w:sz w:val="20"/>
          <w:szCs w:val="20"/>
          <w:vertAlign w:val="baseline"/>
        </w:rPr>
        <w:t xml:space="preserve">mortalidad e infarto de miocardio no ha </w:t>
      </w:r>
      <w:r>
        <w:rPr>
          <w:rFonts w:ascii="Arial" w:eastAsia="Arial" w:hAnsi="Arial" w:cs="Arial"/>
          <w:color w:val="000000"/>
          <w:sz w:val="20"/>
          <w:szCs w:val="20"/>
          <w:vertAlign w:val="baseline"/>
        </w:rPr>
        <w:t xml:space="preserve">permitido </w:t>
      </w:r>
      <w:r w:rsidR="00F0051D">
        <w:rPr>
          <w:rFonts w:ascii="Arial" w:eastAsia="Arial" w:hAnsi="Arial" w:cs="Arial"/>
          <w:color w:val="000000"/>
          <w:sz w:val="20"/>
          <w:szCs w:val="20"/>
          <w:vertAlign w:val="baseline"/>
        </w:rPr>
        <w:t xml:space="preserve">realizar un análisis estadístico. </w:t>
      </w:r>
    </w:p>
    <w:p w14:paraId="514D4CF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Se incluyeron los tres ensayos clínicos. En la siguiente figura se muestran las características de cada estudio.</w:t>
      </w:r>
    </w:p>
    <w:p w14:paraId="1D8E6E2F" w14:textId="77777777" w:rsidR="00634CDF" w:rsidRDefault="00F0051D">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r>
        <w:rPr>
          <w:noProof/>
          <w:color w:val="000000"/>
          <w:vertAlign w:val="baseline"/>
          <w:lang w:eastAsia="es-ES"/>
        </w:rPr>
        <w:drawing>
          <wp:inline distT="0" distB="0" distL="114300" distR="114300" wp14:anchorId="69E986D3" wp14:editId="3EE62930">
            <wp:extent cx="5549900" cy="3540760"/>
            <wp:effectExtent l="0" t="0" r="0" b="0"/>
            <wp:docPr id="107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8"/>
                    <a:srcRect/>
                    <a:stretch>
                      <a:fillRect/>
                    </a:stretch>
                  </pic:blipFill>
                  <pic:spPr>
                    <a:xfrm>
                      <a:off x="0" y="0"/>
                      <a:ext cx="5549900" cy="3540760"/>
                    </a:xfrm>
                    <a:prstGeom prst="rect">
                      <a:avLst/>
                    </a:prstGeom>
                    <a:ln/>
                  </pic:spPr>
                </pic:pic>
              </a:graphicData>
            </a:graphic>
          </wp:inline>
        </w:drawing>
      </w:r>
    </w:p>
    <w:p w14:paraId="7C25BB5D" w14:textId="72A80E0C" w:rsidR="00634CDF" w:rsidRDefault="00F0051D">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r>
        <w:rPr>
          <w:rFonts w:ascii="Arial" w:eastAsia="Arial" w:hAnsi="Arial" w:cs="Arial"/>
          <w:sz w:val="20"/>
          <w:szCs w:val="20"/>
          <w:vertAlign w:val="baseline"/>
        </w:rPr>
        <w:t>Figura 13. Características principales de los estudios pivotales incluidos</w:t>
      </w:r>
      <w:r w:rsidR="00C2216F">
        <w:rPr>
          <w:rFonts w:ascii="Arial" w:eastAsia="Arial" w:hAnsi="Arial" w:cs="Arial"/>
          <w:sz w:val="20"/>
          <w:szCs w:val="20"/>
          <w:vertAlign w:val="baseline"/>
        </w:rPr>
        <w:t xml:space="preserve"> (21)</w:t>
      </w:r>
      <w:r>
        <w:rPr>
          <w:rFonts w:ascii="Arial" w:eastAsia="Arial" w:hAnsi="Arial" w:cs="Arial"/>
          <w:sz w:val="20"/>
          <w:szCs w:val="20"/>
          <w:vertAlign w:val="baseline"/>
        </w:rPr>
        <w:t>.</w:t>
      </w:r>
    </w:p>
    <w:p w14:paraId="4E91EB20"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4EF60CB5" w14:textId="673CF60B"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En los pacientes con hipercolesterolemia inclisiran redujo el cLDL un 51% (diferencias de medias ponderadas=-50,5 (IC95% -52,7 a -48,3) p menor de 0,001 comparado con placebo. Inclisiran redujo la tas</w:t>
      </w:r>
      <w:r w:rsidR="00D33EB1">
        <w:rPr>
          <w:rFonts w:ascii="Arial" w:eastAsia="Arial" w:hAnsi="Arial" w:cs="Arial"/>
          <w:color w:val="000000"/>
          <w:sz w:val="20"/>
          <w:szCs w:val="20"/>
          <w:vertAlign w:val="baseline"/>
        </w:rPr>
        <w:t>a de MACE un 24% (RR=0,76</w:t>
      </w:r>
      <w:r>
        <w:rPr>
          <w:rFonts w:ascii="Arial" w:eastAsia="Arial" w:hAnsi="Arial" w:cs="Arial"/>
          <w:color w:val="000000"/>
          <w:sz w:val="20"/>
          <w:szCs w:val="20"/>
          <w:vertAlign w:val="baseline"/>
        </w:rPr>
        <w:t>, IC95% 0,61 a 0,94) comparado con placebo. No se observó heterogeneidad entre ensayos para estas variables de eficacia (I2=0).</w:t>
      </w:r>
    </w:p>
    <w:p w14:paraId="50524CAD" w14:textId="7FB14F20"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No se asoció inclisiran con aumento de ningún evento adverso mayor (RR=1,01 IC95% 0,91 a 1,05), alteración de la función hepática (RR=1,11 IC95% 0,62 a 1,98) o elevación de creatin kinasa (RR=1,08 IC95% 0,61 a 1,93) en comparación con placebo.</w:t>
      </w:r>
      <w:r w:rsidR="00C2216F">
        <w:rPr>
          <w:rFonts w:ascii="Arial" w:eastAsia="Arial" w:hAnsi="Arial" w:cs="Arial"/>
          <w:color w:val="000000"/>
          <w:sz w:val="20"/>
          <w:szCs w:val="20"/>
          <w:vertAlign w:val="baseline"/>
        </w:rPr>
        <w:t xml:space="preserve"> </w:t>
      </w:r>
      <w:r>
        <w:rPr>
          <w:rFonts w:ascii="Arial" w:eastAsia="Arial" w:hAnsi="Arial" w:cs="Arial"/>
          <w:color w:val="000000"/>
          <w:sz w:val="20"/>
          <w:szCs w:val="20"/>
          <w:vertAlign w:val="baseline"/>
        </w:rPr>
        <w:t>Se asoció con aumento de las reacciones en el lugar de inyección (RR=6,24 IC95% 2,66 a 14,63).</w:t>
      </w:r>
    </w:p>
    <w:p w14:paraId="00546949" w14:textId="77777777" w:rsidR="00634CDF" w:rsidRDefault="00634CDF">
      <w:pPr>
        <w:pBdr>
          <w:top w:val="nil"/>
          <w:left w:val="nil"/>
          <w:bottom w:val="nil"/>
          <w:right w:val="nil"/>
          <w:between w:val="nil"/>
        </w:pBdr>
        <w:spacing w:line="240" w:lineRule="auto"/>
        <w:ind w:left="0" w:hanging="2"/>
        <w:rPr>
          <w:rFonts w:ascii="Arial" w:eastAsia="Arial" w:hAnsi="Arial" w:cs="Arial"/>
          <w:color w:val="FF0000"/>
          <w:sz w:val="20"/>
          <w:szCs w:val="20"/>
          <w:vertAlign w:val="baseline"/>
        </w:rPr>
      </w:pPr>
    </w:p>
    <w:p w14:paraId="4157C03B" w14:textId="77777777" w:rsidR="00634CDF" w:rsidRPr="001779CA" w:rsidRDefault="00782245">
      <w:pPr>
        <w:pBdr>
          <w:top w:val="nil"/>
          <w:left w:val="nil"/>
          <w:bottom w:val="nil"/>
          <w:right w:val="nil"/>
          <w:between w:val="nil"/>
        </w:pBdr>
        <w:spacing w:line="240" w:lineRule="auto"/>
        <w:ind w:left="0" w:hanging="2"/>
        <w:rPr>
          <w:rFonts w:ascii="Arial" w:eastAsia="Arial" w:hAnsi="Arial" w:cs="Arial"/>
          <w:i/>
          <w:color w:val="000000"/>
          <w:sz w:val="20"/>
          <w:szCs w:val="20"/>
          <w:vertAlign w:val="baseline"/>
          <w:lang w:val="en-US"/>
        </w:rPr>
      </w:pPr>
      <w:hyperlink r:id="rId29">
        <w:r w:rsidR="00F0051D" w:rsidRPr="001779CA">
          <w:rPr>
            <w:rFonts w:ascii="Arial" w:eastAsia="Arial" w:hAnsi="Arial" w:cs="Arial"/>
            <w:i/>
            <w:color w:val="0000FF"/>
            <w:sz w:val="20"/>
            <w:szCs w:val="20"/>
            <w:u w:val="single"/>
            <w:vertAlign w:val="baseline"/>
            <w:lang w:val="en-US"/>
          </w:rPr>
          <w:t>A Meta-Analysis of Cardiovascular Outcomes in Patients With Hypercholesterolemia Treated With Inclisiran</w:t>
        </w:r>
      </w:hyperlink>
      <w:r w:rsidR="00F0051D" w:rsidRPr="001779CA">
        <w:rPr>
          <w:rFonts w:ascii="Arial" w:eastAsia="Arial" w:hAnsi="Arial" w:cs="Arial"/>
          <w:i/>
          <w:color w:val="000000"/>
          <w:sz w:val="20"/>
          <w:szCs w:val="20"/>
          <w:vertAlign w:val="baseline"/>
          <w:lang w:val="en-US"/>
        </w:rPr>
        <w:t xml:space="preserve"> (22)</w:t>
      </w:r>
    </w:p>
    <w:p w14:paraId="5E765F71"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i/>
          <w:sz w:val="20"/>
          <w:szCs w:val="20"/>
          <w:vertAlign w:val="baseline"/>
          <w:lang w:val="en-US"/>
        </w:rPr>
      </w:pPr>
    </w:p>
    <w:p w14:paraId="7E384944" w14:textId="4459D62A" w:rsidR="00634CDF" w:rsidRDefault="00C2216F">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M</w:t>
      </w:r>
      <w:r w:rsidR="00F0051D">
        <w:rPr>
          <w:rFonts w:ascii="Arial" w:eastAsia="Arial" w:hAnsi="Arial" w:cs="Arial"/>
          <w:color w:val="000000"/>
          <w:sz w:val="20"/>
          <w:szCs w:val="20"/>
          <w:vertAlign w:val="baseline"/>
        </w:rPr>
        <w:t>etanálisis de los ensayos clínicos con inclisiran</w:t>
      </w:r>
      <w:r>
        <w:rPr>
          <w:rFonts w:ascii="Arial" w:eastAsia="Arial" w:hAnsi="Arial" w:cs="Arial"/>
          <w:color w:val="000000"/>
          <w:sz w:val="20"/>
          <w:szCs w:val="20"/>
          <w:vertAlign w:val="baseline"/>
        </w:rPr>
        <w:t>. V</w:t>
      </w:r>
      <w:r w:rsidR="00F0051D">
        <w:rPr>
          <w:rFonts w:ascii="Arial" w:eastAsia="Arial" w:hAnsi="Arial" w:cs="Arial"/>
          <w:color w:val="000000"/>
          <w:sz w:val="20"/>
          <w:szCs w:val="20"/>
          <w:vertAlign w:val="baseline"/>
        </w:rPr>
        <w:t xml:space="preserve">ariables principales </w:t>
      </w:r>
      <w:r>
        <w:rPr>
          <w:rFonts w:ascii="Arial" w:eastAsia="Arial" w:hAnsi="Arial" w:cs="Arial"/>
          <w:color w:val="000000"/>
          <w:sz w:val="20"/>
          <w:szCs w:val="20"/>
          <w:vertAlign w:val="baseline"/>
        </w:rPr>
        <w:t>las</w:t>
      </w:r>
      <w:r w:rsidR="00F0051D">
        <w:rPr>
          <w:rFonts w:ascii="Arial" w:eastAsia="Arial" w:hAnsi="Arial" w:cs="Arial"/>
          <w:sz w:val="20"/>
          <w:szCs w:val="20"/>
          <w:vertAlign w:val="baseline"/>
        </w:rPr>
        <w:t>relacionadas con</w:t>
      </w:r>
      <w:r w:rsidR="00F0051D">
        <w:rPr>
          <w:rFonts w:ascii="Arial" w:eastAsia="Arial" w:hAnsi="Arial" w:cs="Arial"/>
          <w:color w:val="000000"/>
          <w:sz w:val="20"/>
          <w:szCs w:val="20"/>
          <w:vertAlign w:val="baseline"/>
        </w:rPr>
        <w:t xml:space="preserve"> isquemia cardiovascular. Se empleó el método de Mantel Haenszel y el modelo de efectos aleatorios. Se incluyeron los tres estudios de inclisiran con 3.783 pacientes aleatorizados (1.895 </w:t>
      </w:r>
      <w:r w:rsidR="00F0051D">
        <w:rPr>
          <w:rFonts w:ascii="Arial" w:eastAsia="Arial" w:hAnsi="Arial" w:cs="Arial"/>
          <w:color w:val="000000"/>
          <w:sz w:val="20"/>
          <w:szCs w:val="20"/>
          <w:vertAlign w:val="baseline"/>
        </w:rPr>
        <w:lastRenderedPageBreak/>
        <w:t xml:space="preserve">pacientes a inclisiran y 1.888 pacientes al grupo placebo). La media de edad era 62,6 años y el 67,3% de los participantes eran hombres. El LDL basal era 122,9 mg/dL, y el 91,8% de los pacientes estaba tratado con la máxima dosis tolerada de estatinas. El 35,2% de los pacientes tenían diabetes mellitus y el 84,5% de los pacientes tenía enfermedad cardiovascular aterosclerótica. Los resultados de seguridad estaban disponibles para el 98,8% de los pacientes con una media de seguimiento de 458 días. </w:t>
      </w:r>
    </w:p>
    <w:p w14:paraId="505FA007" w14:textId="7040A54B"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Se incluyeron los estudios ORION-9, ORION-10 y 11 para las variables infarto de miocardio e ictus. No se observaron diferencias estadísticamente significativas en el riesgo de infarto de miocardio en pacientes aleatorizados a inclisiran en comparación con placebo RR=0,85 (IC95% 0,37 a 1,95),</w:t>
      </w:r>
      <w:r w:rsidR="00C2216F">
        <w:rPr>
          <w:rFonts w:ascii="Arial" w:eastAsia="Arial" w:hAnsi="Arial" w:cs="Arial"/>
          <w:color w:val="000000"/>
          <w:sz w:val="20"/>
          <w:szCs w:val="20"/>
          <w:vertAlign w:val="baseline"/>
        </w:rPr>
        <w:t xml:space="preserve"> </w:t>
      </w:r>
      <w:r>
        <w:rPr>
          <w:rFonts w:ascii="Arial" w:eastAsia="Arial" w:hAnsi="Arial" w:cs="Arial"/>
          <w:color w:val="000000"/>
          <w:sz w:val="20"/>
          <w:szCs w:val="20"/>
          <w:vertAlign w:val="baseline"/>
        </w:rPr>
        <w:t>p=0,70, I2=57%. Tampoco se observó diferencia estadísticamente significativa en el riesgo de ictus mortal y no mortal RR=0,69 (IC95% 0,11 a 4,21),</w:t>
      </w:r>
      <w:r w:rsidR="00C2216F">
        <w:rPr>
          <w:rFonts w:ascii="Arial" w:eastAsia="Arial" w:hAnsi="Arial" w:cs="Arial"/>
          <w:color w:val="000000"/>
          <w:sz w:val="20"/>
          <w:szCs w:val="20"/>
          <w:vertAlign w:val="baseline"/>
        </w:rPr>
        <w:t xml:space="preserve"> </w:t>
      </w:r>
      <w:r>
        <w:rPr>
          <w:rFonts w:ascii="Arial" w:eastAsia="Arial" w:hAnsi="Arial" w:cs="Arial"/>
          <w:color w:val="000000"/>
          <w:sz w:val="20"/>
          <w:szCs w:val="20"/>
          <w:vertAlign w:val="baseline"/>
        </w:rPr>
        <w:t xml:space="preserve">p=0,69, I2=75%. </w:t>
      </w:r>
    </w:p>
    <w:p w14:paraId="7F8AFCC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Se incluyeron cuatro ensayos clínicos (ORION-1, ORION-9, ORION-10 y 11 para la variable mortalidad cardiovascular. No se observó diferencia estadísticamente significativa en la mortalidad cardiovascular para ambos grupos RR=1,11 (IC95% 0,56 a 2,21) p=0,77, I2=0%.</w:t>
      </w:r>
    </w:p>
    <w:p w14:paraId="1210BFD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Por lo que, en ninguno de los casos, se observaron reducciones en las variables cardiovasculares al comparar ambos grupos de tratamiento. A pesar de que en los cuatro estudios se consiguieron reducciones estadísticamente significativas en niveles de LDL y PCKS9.</w:t>
      </w:r>
    </w:p>
    <w:p w14:paraId="279BF7F7"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584914E" w14:textId="77777777" w:rsidR="00634CDF" w:rsidRPr="001779CA" w:rsidRDefault="00782245">
      <w:pPr>
        <w:pBdr>
          <w:top w:val="nil"/>
          <w:left w:val="nil"/>
          <w:bottom w:val="nil"/>
          <w:right w:val="nil"/>
          <w:between w:val="nil"/>
        </w:pBdr>
        <w:spacing w:line="240" w:lineRule="auto"/>
        <w:ind w:left="0" w:hanging="2"/>
        <w:rPr>
          <w:rFonts w:ascii="Arial" w:eastAsia="Arial" w:hAnsi="Arial" w:cs="Arial"/>
          <w:color w:val="000000"/>
          <w:sz w:val="20"/>
          <w:szCs w:val="20"/>
          <w:vertAlign w:val="baseline"/>
          <w:lang w:val="en-US"/>
        </w:rPr>
      </w:pPr>
      <w:hyperlink r:id="rId30">
        <w:r w:rsidR="00F0051D" w:rsidRPr="001779CA">
          <w:rPr>
            <w:rFonts w:ascii="Arial" w:eastAsia="Arial" w:hAnsi="Arial" w:cs="Arial"/>
            <w:i/>
            <w:color w:val="0000FF"/>
            <w:sz w:val="20"/>
            <w:szCs w:val="20"/>
            <w:u w:val="single"/>
            <w:vertAlign w:val="baseline"/>
            <w:lang w:val="en-US"/>
          </w:rPr>
          <w:t>Estimation of the major cardiovascular events prevention with Inclisiran</w:t>
        </w:r>
      </w:hyperlink>
      <w:r w:rsidR="00F0051D" w:rsidRPr="001779CA">
        <w:rPr>
          <w:rFonts w:ascii="Arial" w:eastAsia="Arial" w:hAnsi="Arial" w:cs="Arial"/>
          <w:sz w:val="20"/>
          <w:szCs w:val="20"/>
          <w:vertAlign w:val="baseline"/>
          <w:lang w:val="en-US"/>
        </w:rPr>
        <w:t xml:space="preserve"> (23)</w:t>
      </w:r>
    </w:p>
    <w:p w14:paraId="69C7174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Se realizó una </w:t>
      </w:r>
      <w:r>
        <w:rPr>
          <w:rFonts w:ascii="Arial" w:eastAsia="Arial" w:hAnsi="Arial" w:cs="Arial"/>
          <w:sz w:val="20"/>
          <w:szCs w:val="20"/>
          <w:vertAlign w:val="baseline"/>
        </w:rPr>
        <w:t>revisión</w:t>
      </w:r>
      <w:r>
        <w:rPr>
          <w:rFonts w:ascii="Arial" w:eastAsia="Arial" w:hAnsi="Arial" w:cs="Arial"/>
          <w:color w:val="000000"/>
          <w:sz w:val="20"/>
          <w:szCs w:val="20"/>
          <w:vertAlign w:val="baseline"/>
        </w:rPr>
        <w:t xml:space="preserve"> sistemática y  metanálisis de los estudios disponibles con inhibidores de PCSK9 e inclisiran, con los estudios con duración de más de seis meses que incluyeran resultados de MACE. Se incluyeron siete ensayos clínicos; cinco de ellos no tenían como variable principal eventos MACE (OSLER, ODYSSEY LONG TERM, GLAGOW, ORION -10 y 11). Dos de ellos tenían como variable principal MACE (FOURIER y ODYSSEY OUTCOMES).</w:t>
      </w:r>
    </w:p>
    <w:p w14:paraId="15D4021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La variable metanalizada era incidencia de MACE definida según cada protocolo de estudio. Se realizó el metanálisis según recomendaciones Cochrane y siguiendo metodología PRISMA. La heterogeneidad estadística se evaluó mediante I2 y las potenciales fuentes de heterogeneidad se evaluaron mediante análisis de metaregresión y análisis de sensibilidad.</w:t>
      </w:r>
    </w:p>
    <w:p w14:paraId="0161E2C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Se incluyeron 57.431 pacientes en el metanálisis, 1.592 tratados con inclisiran, 17.244 con evolocumab y 11.015 con alirocumab. El tratamiento se asoció con RR=0,84 (IC95% 0,80 a 0,89), observándose un mayor efecto en los ensayos que no tenían como variable principal la incidencia de MACE.  </w:t>
      </w:r>
    </w:p>
    <w:p w14:paraId="2346011A"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FA5123F"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noProof/>
          <w:color w:val="000000"/>
          <w:vertAlign w:val="baseline"/>
          <w:lang w:eastAsia="es-ES"/>
        </w:rPr>
        <w:drawing>
          <wp:inline distT="0" distB="0" distL="114300" distR="114300" wp14:anchorId="1EC6FCCB" wp14:editId="52DCAFDE">
            <wp:extent cx="5551170" cy="1969135"/>
            <wp:effectExtent l="0" t="0" r="0" b="0"/>
            <wp:docPr id="108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1"/>
                    <a:srcRect/>
                    <a:stretch>
                      <a:fillRect/>
                    </a:stretch>
                  </pic:blipFill>
                  <pic:spPr>
                    <a:xfrm>
                      <a:off x="0" y="0"/>
                      <a:ext cx="5551170" cy="1969135"/>
                    </a:xfrm>
                    <a:prstGeom prst="rect">
                      <a:avLst/>
                    </a:prstGeom>
                    <a:ln/>
                  </pic:spPr>
                </pic:pic>
              </a:graphicData>
            </a:graphic>
          </wp:inline>
        </w:drawing>
      </w:r>
    </w:p>
    <w:p w14:paraId="0AB9CB07"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4AE75F5" w14:textId="3A4B09CA"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Figura 14. Principales características y resultados de los estudios incluidos</w:t>
      </w:r>
      <w:r w:rsidR="00C2216F">
        <w:rPr>
          <w:rFonts w:ascii="Arial" w:eastAsia="Arial" w:hAnsi="Arial" w:cs="Arial"/>
          <w:color w:val="000000"/>
          <w:sz w:val="20"/>
          <w:szCs w:val="20"/>
          <w:vertAlign w:val="baseline"/>
        </w:rPr>
        <w:t xml:space="preserve"> (23)</w:t>
      </w:r>
    </w:p>
    <w:p w14:paraId="03EFE424"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50FEC0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6EDEB629"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70FF3921"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0A3F991C"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4E16CDC"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noProof/>
          <w:color w:val="000000"/>
          <w:vertAlign w:val="baseline"/>
          <w:lang w:eastAsia="es-ES"/>
        </w:rPr>
        <w:lastRenderedPageBreak/>
        <w:drawing>
          <wp:inline distT="0" distB="0" distL="114300" distR="114300" wp14:anchorId="7753B35C" wp14:editId="6114B6D9">
            <wp:extent cx="4257675" cy="3028950"/>
            <wp:effectExtent l="0" t="0" r="0" b="0"/>
            <wp:docPr id="107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2"/>
                    <a:srcRect/>
                    <a:stretch>
                      <a:fillRect/>
                    </a:stretch>
                  </pic:blipFill>
                  <pic:spPr>
                    <a:xfrm>
                      <a:off x="0" y="0"/>
                      <a:ext cx="4257675" cy="3028950"/>
                    </a:xfrm>
                    <a:prstGeom prst="rect">
                      <a:avLst/>
                    </a:prstGeom>
                    <a:ln/>
                  </pic:spPr>
                </pic:pic>
              </a:graphicData>
            </a:graphic>
          </wp:inline>
        </w:drawing>
      </w:r>
    </w:p>
    <w:p w14:paraId="171A1BC6"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5FA84B53" w14:textId="00EE4548"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Figura 15. Representación </w:t>
      </w:r>
      <w:r>
        <w:rPr>
          <w:rFonts w:ascii="Arial" w:eastAsia="Arial" w:hAnsi="Arial" w:cs="Arial"/>
          <w:sz w:val="20"/>
          <w:szCs w:val="20"/>
          <w:vertAlign w:val="baseline"/>
        </w:rPr>
        <w:t>gráfica del metanálisis realizado</w:t>
      </w:r>
      <w:r w:rsidR="00C2216F">
        <w:rPr>
          <w:rFonts w:ascii="Arial" w:eastAsia="Arial" w:hAnsi="Arial" w:cs="Arial"/>
          <w:sz w:val="20"/>
          <w:szCs w:val="20"/>
          <w:vertAlign w:val="baseline"/>
        </w:rPr>
        <w:t xml:space="preserve"> (23)</w:t>
      </w:r>
      <w:r>
        <w:rPr>
          <w:rFonts w:ascii="Arial" w:eastAsia="Arial" w:hAnsi="Arial" w:cs="Arial"/>
          <w:sz w:val="20"/>
          <w:szCs w:val="20"/>
          <w:vertAlign w:val="baseline"/>
        </w:rPr>
        <w:t>.</w:t>
      </w:r>
    </w:p>
    <w:p w14:paraId="565EAB8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08E76E54" w14:textId="7B122C6C" w:rsidR="00634CDF" w:rsidRDefault="00F0051D">
      <w:pPr>
        <w:pBdr>
          <w:top w:val="nil"/>
          <w:left w:val="nil"/>
          <w:bottom w:val="nil"/>
          <w:right w:val="nil"/>
          <w:between w:val="nil"/>
        </w:pBdr>
        <w:spacing w:line="240" w:lineRule="auto"/>
        <w:ind w:left="0" w:hanging="2"/>
        <w:jc w:val="both"/>
        <w:rPr>
          <w:color w:val="000000"/>
          <w:vertAlign w:val="baseline"/>
        </w:rPr>
      </w:pPr>
      <w:bookmarkStart w:id="50" w:name="_heading=h.1pxezwc" w:colFirst="0" w:colLast="0"/>
      <w:bookmarkEnd w:id="50"/>
      <w:r>
        <w:rPr>
          <w:rFonts w:ascii="Arial" w:eastAsia="Arial" w:hAnsi="Arial" w:cs="Arial"/>
          <w:color w:val="000000"/>
          <w:sz w:val="20"/>
          <w:szCs w:val="20"/>
          <w:vertAlign w:val="baseline"/>
        </w:rPr>
        <w:t xml:space="preserve">(Comentario de los </w:t>
      </w:r>
      <w:r w:rsidR="00C2216F">
        <w:rPr>
          <w:rFonts w:ascii="Arial" w:eastAsia="Arial" w:hAnsi="Arial" w:cs="Arial"/>
          <w:color w:val="000000"/>
          <w:sz w:val="20"/>
          <w:szCs w:val="20"/>
          <w:vertAlign w:val="baseline"/>
        </w:rPr>
        <w:t>autores</w:t>
      </w:r>
      <w:r>
        <w:rPr>
          <w:rFonts w:ascii="Arial" w:eastAsia="Arial" w:hAnsi="Arial" w:cs="Arial"/>
          <w:color w:val="000000"/>
          <w:sz w:val="20"/>
          <w:szCs w:val="20"/>
          <w:vertAlign w:val="baseline"/>
        </w:rPr>
        <w:t xml:space="preserve"> de</w:t>
      </w:r>
      <w:r>
        <w:rPr>
          <w:rFonts w:ascii="Arial" w:eastAsia="Arial" w:hAnsi="Arial" w:cs="Arial"/>
          <w:sz w:val="20"/>
          <w:szCs w:val="20"/>
          <w:vertAlign w:val="baseline"/>
        </w:rPr>
        <w:t xml:space="preserve"> este informe de inclisiran</w:t>
      </w:r>
      <w:r>
        <w:rPr>
          <w:rFonts w:ascii="Arial" w:eastAsia="Arial" w:hAnsi="Arial" w:cs="Arial"/>
          <w:color w:val="000000"/>
          <w:sz w:val="20"/>
          <w:szCs w:val="20"/>
          <w:vertAlign w:val="baseline"/>
        </w:rPr>
        <w:t xml:space="preserve"> sobre este metanálisis: Los estudios no se han diseñado con la potencia estadística suficiente para detectar reducción de eventos MACE ni tienen el mismo diseño como para metanalizarse de forma conjunta).</w:t>
      </w:r>
    </w:p>
    <w:p w14:paraId="5628D003" w14:textId="77777777" w:rsidR="0061635C" w:rsidRDefault="0061635C">
      <w:pPr>
        <w:pBdr>
          <w:top w:val="nil"/>
          <w:left w:val="nil"/>
          <w:bottom w:val="nil"/>
          <w:right w:val="nil"/>
          <w:between w:val="nil"/>
        </w:pBdr>
        <w:spacing w:line="240" w:lineRule="auto"/>
        <w:ind w:left="0" w:hanging="2"/>
        <w:rPr>
          <w:rFonts w:ascii="Arial" w:eastAsia="Arial" w:hAnsi="Arial" w:cs="Arial"/>
          <w:color w:val="FF0000"/>
          <w:sz w:val="20"/>
          <w:szCs w:val="20"/>
          <w:vertAlign w:val="baseline"/>
        </w:rPr>
      </w:pPr>
    </w:p>
    <w:p w14:paraId="318051E7" w14:textId="40BA1C24" w:rsidR="00634CDF" w:rsidRPr="0061635C" w:rsidRDefault="0061635C" w:rsidP="0061635C">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sidRPr="0061635C">
        <w:rPr>
          <w:rFonts w:ascii="Arial" w:eastAsia="Arial" w:hAnsi="Arial" w:cs="Arial"/>
          <w:color w:val="000000"/>
          <w:sz w:val="20"/>
          <w:szCs w:val="20"/>
          <w:vertAlign w:val="baseline"/>
        </w:rPr>
        <w:t xml:space="preserve">En esta publicación se realizó un estudio de meta-regresión en la que se demostró una concordancia entre la disminución del c-LDL y la disminución de MACE </w:t>
      </w:r>
      <w:r w:rsidR="00A92C33">
        <w:rPr>
          <w:rFonts w:ascii="Arial" w:eastAsia="Arial" w:hAnsi="Arial" w:cs="Arial"/>
          <w:color w:val="000000"/>
          <w:sz w:val="20"/>
          <w:szCs w:val="20"/>
          <w:vertAlign w:val="baseline"/>
        </w:rPr>
        <w:t xml:space="preserve">similar entre </w:t>
      </w:r>
      <w:r w:rsidRPr="0061635C">
        <w:rPr>
          <w:rFonts w:ascii="Arial" w:eastAsia="Arial" w:hAnsi="Arial" w:cs="Arial"/>
          <w:color w:val="000000"/>
          <w:sz w:val="20"/>
          <w:szCs w:val="20"/>
          <w:vertAlign w:val="baseline"/>
        </w:rPr>
        <w:t>los estudio</w:t>
      </w:r>
      <w:r w:rsidR="00A92C33">
        <w:rPr>
          <w:rFonts w:ascii="Arial" w:eastAsia="Arial" w:hAnsi="Arial" w:cs="Arial"/>
          <w:color w:val="000000"/>
          <w:sz w:val="20"/>
          <w:szCs w:val="20"/>
          <w:vertAlign w:val="baseline"/>
        </w:rPr>
        <w:t>s</w:t>
      </w:r>
      <w:r w:rsidRPr="0061635C">
        <w:rPr>
          <w:rFonts w:ascii="Arial" w:eastAsia="Arial" w:hAnsi="Arial" w:cs="Arial"/>
          <w:color w:val="000000"/>
          <w:sz w:val="20"/>
          <w:szCs w:val="20"/>
          <w:vertAlign w:val="baseline"/>
        </w:rPr>
        <w:t xml:space="preserve"> FOURIER, ODISSEY y ORION 10 y 11. Sin embargo, los propios autores señalan la necesidad de conocer los datos definitivos en este sentido a través el ORION- 4. </w:t>
      </w:r>
    </w:p>
    <w:p w14:paraId="22D2C60A" w14:textId="77777777" w:rsidR="00634CDF" w:rsidRDefault="00634CDF">
      <w:pPr>
        <w:pBdr>
          <w:top w:val="nil"/>
          <w:left w:val="nil"/>
          <w:bottom w:val="nil"/>
          <w:right w:val="nil"/>
          <w:between w:val="nil"/>
        </w:pBdr>
        <w:spacing w:line="240" w:lineRule="auto"/>
        <w:ind w:left="0" w:hanging="2"/>
        <w:jc w:val="right"/>
        <w:rPr>
          <w:rFonts w:ascii="Arial" w:eastAsia="Arial" w:hAnsi="Arial" w:cs="Arial"/>
          <w:color w:val="000000"/>
          <w:sz w:val="20"/>
          <w:szCs w:val="20"/>
          <w:vertAlign w:val="baseline"/>
        </w:rPr>
      </w:pPr>
      <w:bookmarkStart w:id="51" w:name="_heading=h.49x2ik5" w:colFirst="0" w:colLast="0"/>
      <w:bookmarkEnd w:id="51"/>
    </w:p>
    <w:p w14:paraId="0B042D2D"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5.3.b Comparaciones indirectas (CCII)</w:t>
      </w:r>
    </w:p>
    <w:p w14:paraId="3A45CC06"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highlight w:val="yellow"/>
          <w:vertAlign w:val="baseline"/>
        </w:rPr>
      </w:pPr>
    </w:p>
    <w:p w14:paraId="22B0D042"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5.3.b.1 Comparaciones Indirectas publicadas</w:t>
      </w:r>
    </w:p>
    <w:p w14:paraId="743231CA" w14:textId="77777777" w:rsidR="00634CDF" w:rsidRDefault="00634CDF">
      <w:pPr>
        <w:pBdr>
          <w:top w:val="nil"/>
          <w:left w:val="nil"/>
          <w:bottom w:val="nil"/>
          <w:right w:val="nil"/>
          <w:between w:val="nil"/>
        </w:pBdr>
        <w:spacing w:line="240" w:lineRule="auto"/>
        <w:ind w:left="0" w:hanging="2"/>
        <w:rPr>
          <w:rFonts w:ascii="Arial" w:eastAsia="Arial" w:hAnsi="Arial" w:cs="Arial"/>
          <w:color w:val="FF0000"/>
          <w:sz w:val="20"/>
          <w:szCs w:val="20"/>
          <w:vertAlign w:val="baseline"/>
        </w:rPr>
      </w:pPr>
    </w:p>
    <w:p w14:paraId="44AD0CF7" w14:textId="77777777" w:rsidR="00634CDF" w:rsidRDefault="00F0051D">
      <w:pPr>
        <w:pBdr>
          <w:top w:val="nil"/>
          <w:left w:val="nil"/>
          <w:bottom w:val="nil"/>
          <w:right w:val="nil"/>
          <w:between w:val="nil"/>
        </w:pBdr>
        <w:spacing w:line="240" w:lineRule="auto"/>
        <w:ind w:left="0" w:hanging="2"/>
        <w:rPr>
          <w:vertAlign w:val="baseline"/>
        </w:rPr>
      </w:pPr>
      <w:r>
        <w:rPr>
          <w:rFonts w:ascii="Arial" w:eastAsia="Arial" w:hAnsi="Arial" w:cs="Arial"/>
          <w:color w:val="000000"/>
          <w:sz w:val="20"/>
          <w:szCs w:val="20"/>
          <w:vertAlign w:val="baseline"/>
        </w:rPr>
        <w:t>No localizadas</w:t>
      </w:r>
    </w:p>
    <w:p w14:paraId="3DD73FDD" w14:textId="77777777" w:rsidR="00634CDF" w:rsidRDefault="00634CDF">
      <w:pPr>
        <w:pBdr>
          <w:top w:val="nil"/>
          <w:left w:val="nil"/>
          <w:bottom w:val="nil"/>
          <w:right w:val="nil"/>
          <w:between w:val="nil"/>
        </w:pBdr>
        <w:spacing w:line="240" w:lineRule="auto"/>
        <w:ind w:left="0" w:hanging="2"/>
        <w:rPr>
          <w:rFonts w:ascii="Arial" w:eastAsia="Arial" w:hAnsi="Arial" w:cs="Arial"/>
          <w:color w:val="000080"/>
          <w:sz w:val="20"/>
          <w:szCs w:val="20"/>
          <w:vertAlign w:val="baseline"/>
        </w:rPr>
      </w:pPr>
    </w:p>
    <w:p w14:paraId="05B9DCDA"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bookmarkStart w:id="52" w:name="_heading=h.147n2zr" w:colFirst="0" w:colLast="0"/>
      <w:bookmarkEnd w:id="52"/>
      <w:r>
        <w:rPr>
          <w:rFonts w:ascii="Cambria" w:eastAsia="Cambria" w:hAnsi="Cambria" w:cs="Cambria"/>
          <w:b/>
          <w:i/>
          <w:color w:val="000000"/>
          <w:sz w:val="20"/>
          <w:szCs w:val="20"/>
          <w:vertAlign w:val="baseline"/>
        </w:rPr>
        <w:t>5.3.b.2 Comparaciones indirectas de elaboración propia</w:t>
      </w:r>
    </w:p>
    <w:p w14:paraId="465A4953" w14:textId="77777777" w:rsidR="00634CDF" w:rsidRDefault="00F0051D">
      <w:pPr>
        <w:pBdr>
          <w:top w:val="nil"/>
          <w:left w:val="nil"/>
          <w:bottom w:val="nil"/>
          <w:right w:val="nil"/>
          <w:between w:val="nil"/>
        </w:pBdr>
        <w:spacing w:line="240" w:lineRule="auto"/>
        <w:ind w:left="0" w:hanging="2"/>
        <w:rPr>
          <w:color w:val="000000"/>
          <w:vertAlign w:val="baseline"/>
        </w:rPr>
      </w:pPr>
      <w:bookmarkStart w:id="53" w:name="_heading=h.du5vekkoc36l" w:colFirst="0" w:colLast="0"/>
      <w:bookmarkEnd w:id="53"/>
      <w:r>
        <w:rPr>
          <w:rFonts w:ascii="Arial" w:eastAsia="Arial" w:hAnsi="Arial" w:cs="Arial"/>
          <w:color w:val="FF0000"/>
          <w:sz w:val="20"/>
          <w:szCs w:val="20"/>
          <w:vertAlign w:val="baseline"/>
        </w:rPr>
        <w:t xml:space="preserve">   </w:t>
      </w:r>
    </w:p>
    <w:p w14:paraId="10BBBC7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20"/>
          <w:szCs w:val="20"/>
          <w:vertAlign w:val="baseline"/>
        </w:rPr>
        <w:t>No se considera metodológicamente adecuad</w:t>
      </w:r>
      <w:r>
        <w:rPr>
          <w:rFonts w:ascii="Arial" w:eastAsia="Arial" w:hAnsi="Arial" w:cs="Arial"/>
          <w:sz w:val="20"/>
          <w:szCs w:val="20"/>
          <w:vertAlign w:val="baseline"/>
        </w:rPr>
        <w:t>a</w:t>
      </w:r>
      <w:r>
        <w:rPr>
          <w:rFonts w:ascii="Arial" w:eastAsia="Arial" w:hAnsi="Arial" w:cs="Arial"/>
          <w:color w:val="000000"/>
          <w:sz w:val="20"/>
          <w:szCs w:val="20"/>
          <w:vertAlign w:val="baseline"/>
        </w:rPr>
        <w:t xml:space="preserve"> su realización.</w:t>
      </w:r>
    </w:p>
    <w:p w14:paraId="0D3AB7E4"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bookmarkStart w:id="54" w:name="_heading=h.3o7alnk" w:colFirst="0" w:colLast="0"/>
      <w:bookmarkEnd w:id="54"/>
    </w:p>
    <w:p w14:paraId="20AD6D50"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 xml:space="preserve">5.4 Evaluación de fuentes secundarias </w:t>
      </w:r>
    </w:p>
    <w:p w14:paraId="3847547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FF"/>
          <w:sz w:val="20"/>
          <w:szCs w:val="20"/>
          <w:vertAlign w:val="baseline"/>
        </w:rPr>
      </w:pPr>
      <w:bookmarkStart w:id="55" w:name="_heading=h.23ckvvd" w:colFirst="0" w:colLast="0"/>
      <w:bookmarkEnd w:id="55"/>
    </w:p>
    <w:p w14:paraId="2380B1ED"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 xml:space="preserve">5.4.1 Guías de Práctica clínica </w:t>
      </w:r>
    </w:p>
    <w:p w14:paraId="1B369044"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bookmarkStart w:id="56" w:name="_heading=h.fspetva48e8v" w:colFirst="0" w:colLast="0"/>
      <w:bookmarkEnd w:id="56"/>
    </w:p>
    <w:p w14:paraId="174938E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Ya se han desarrollado anteriormente. En este apartado se incluyen además las guías americanas más actuales localizadas.</w:t>
      </w:r>
    </w:p>
    <w:p w14:paraId="6F18B23C"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17A8A1B" w14:textId="033F26F2" w:rsidR="00634CDF" w:rsidRDefault="00C2216F">
      <w:pPr>
        <w:pBdr>
          <w:top w:val="nil"/>
          <w:left w:val="nil"/>
          <w:bottom w:val="nil"/>
          <w:right w:val="nil"/>
          <w:between w:val="nil"/>
        </w:pBdr>
        <w:spacing w:after="240" w:line="240" w:lineRule="auto"/>
        <w:ind w:left="0" w:hanging="2"/>
        <w:jc w:val="both"/>
        <w:rPr>
          <w:color w:val="000000"/>
          <w:vertAlign w:val="baseline"/>
        </w:rPr>
      </w:pPr>
      <w:r>
        <w:rPr>
          <w:rFonts w:ascii="Arial" w:eastAsia="Arial" w:hAnsi="Arial" w:cs="Arial"/>
          <w:b/>
          <w:color w:val="000000"/>
          <w:sz w:val="20"/>
          <w:szCs w:val="20"/>
          <w:vertAlign w:val="baseline"/>
        </w:rPr>
        <w:t>Guía</w:t>
      </w:r>
      <w:r w:rsidR="00F0051D">
        <w:rPr>
          <w:rFonts w:ascii="Arial" w:eastAsia="Arial" w:hAnsi="Arial" w:cs="Arial"/>
          <w:b/>
          <w:color w:val="000000"/>
          <w:sz w:val="20"/>
          <w:szCs w:val="20"/>
          <w:vertAlign w:val="baseline"/>
        </w:rPr>
        <w:t xml:space="preserve"> para la prevención primaria de enfermedad cardiovascular de la American College of Cardiology</w:t>
      </w:r>
      <w:r>
        <w:rPr>
          <w:rFonts w:ascii="Arial" w:eastAsia="Arial" w:hAnsi="Arial" w:cs="Arial"/>
          <w:b/>
          <w:color w:val="000000"/>
          <w:sz w:val="20"/>
          <w:szCs w:val="20"/>
          <w:vertAlign w:val="baseline"/>
        </w:rPr>
        <w:t xml:space="preserve"> </w:t>
      </w:r>
      <w:r w:rsidR="00F0051D">
        <w:rPr>
          <w:rFonts w:ascii="Arial" w:eastAsia="Arial" w:hAnsi="Arial" w:cs="Arial"/>
          <w:b/>
          <w:color w:val="000000"/>
          <w:sz w:val="20"/>
          <w:szCs w:val="20"/>
          <w:vertAlign w:val="baseline"/>
        </w:rPr>
        <w:t>(ACC) y la American Heart Association</w:t>
      </w:r>
      <w:r>
        <w:rPr>
          <w:rFonts w:ascii="Arial" w:eastAsia="Arial" w:hAnsi="Arial" w:cs="Arial"/>
          <w:b/>
          <w:color w:val="000000"/>
          <w:sz w:val="20"/>
          <w:szCs w:val="20"/>
          <w:vertAlign w:val="baseline"/>
        </w:rPr>
        <w:t xml:space="preserve"> </w:t>
      </w:r>
      <w:r w:rsidR="00F0051D">
        <w:rPr>
          <w:rFonts w:ascii="Arial" w:eastAsia="Arial" w:hAnsi="Arial" w:cs="Arial"/>
          <w:b/>
          <w:color w:val="000000"/>
          <w:sz w:val="20"/>
          <w:szCs w:val="20"/>
          <w:vertAlign w:val="baseline"/>
        </w:rPr>
        <w:t>(AHA)</w:t>
      </w:r>
      <w:r w:rsidR="00F0051D">
        <w:rPr>
          <w:rFonts w:ascii="Arial" w:eastAsia="Arial" w:hAnsi="Arial" w:cs="Arial"/>
          <w:color w:val="000000"/>
          <w:sz w:val="20"/>
          <w:szCs w:val="20"/>
          <w:vertAlign w:val="baseline"/>
        </w:rPr>
        <w:t>(</w:t>
      </w:r>
      <w:r w:rsidR="00F0051D">
        <w:rPr>
          <w:rFonts w:ascii="Arial" w:eastAsia="Arial" w:hAnsi="Arial" w:cs="Arial"/>
          <w:sz w:val="20"/>
          <w:szCs w:val="20"/>
          <w:vertAlign w:val="baseline"/>
        </w:rPr>
        <w:t>24)</w:t>
      </w:r>
    </w:p>
    <w:p w14:paraId="7510ED45" w14:textId="77777777" w:rsidR="00634CDF" w:rsidRDefault="00F0051D">
      <w:pPr>
        <w:pBdr>
          <w:top w:val="nil"/>
          <w:left w:val="nil"/>
          <w:bottom w:val="nil"/>
          <w:right w:val="nil"/>
          <w:between w:val="nil"/>
        </w:pBdr>
        <w:spacing w:after="240" w:line="240" w:lineRule="auto"/>
        <w:ind w:left="0" w:hanging="2"/>
        <w:jc w:val="both"/>
        <w:rPr>
          <w:color w:val="000000"/>
          <w:vertAlign w:val="baseline"/>
        </w:rPr>
      </w:pPr>
      <w:r>
        <w:rPr>
          <w:rFonts w:ascii="Arial" w:eastAsia="Arial" w:hAnsi="Arial" w:cs="Arial"/>
          <w:color w:val="000000"/>
          <w:sz w:val="20"/>
          <w:szCs w:val="20"/>
          <w:vertAlign w:val="baseline"/>
        </w:rPr>
        <w:t xml:space="preserve">La recomendación para el tratamiento de la hipercolesterolemia en </w:t>
      </w:r>
      <w:r w:rsidRPr="004E4268">
        <w:rPr>
          <w:rFonts w:ascii="Arial" w:eastAsia="Arial" w:hAnsi="Arial" w:cs="Arial"/>
          <w:b/>
          <w:color w:val="000000"/>
          <w:sz w:val="20"/>
          <w:szCs w:val="20"/>
          <w:vertAlign w:val="baseline"/>
        </w:rPr>
        <w:t>prevención primaria de</w:t>
      </w:r>
      <w:r>
        <w:rPr>
          <w:rFonts w:ascii="Arial" w:eastAsia="Arial" w:hAnsi="Arial" w:cs="Arial"/>
          <w:color w:val="000000"/>
          <w:sz w:val="20"/>
          <w:szCs w:val="20"/>
          <w:vertAlign w:val="baseline"/>
        </w:rPr>
        <w:t xml:space="preserve"> esta guía es el </w:t>
      </w:r>
      <w:r>
        <w:rPr>
          <w:rFonts w:ascii="Arial" w:eastAsia="Arial" w:hAnsi="Arial" w:cs="Arial"/>
          <w:color w:val="000000"/>
          <w:sz w:val="20"/>
          <w:szCs w:val="20"/>
          <w:u w:val="single"/>
          <w:vertAlign w:val="baseline"/>
        </w:rPr>
        <w:t>uso de terapia con estatinas</w:t>
      </w:r>
      <w:r>
        <w:rPr>
          <w:rFonts w:ascii="Arial" w:eastAsia="Arial" w:hAnsi="Arial" w:cs="Arial"/>
          <w:color w:val="000000"/>
          <w:sz w:val="20"/>
          <w:szCs w:val="20"/>
          <w:vertAlign w:val="baseline"/>
        </w:rPr>
        <w:t xml:space="preserve">. Según el riesgo del paciente, ésta será intensiva o moderada. </w:t>
      </w:r>
    </w:p>
    <w:p w14:paraId="256B6A80" w14:textId="77777777" w:rsidR="00634CDF" w:rsidRDefault="00F0051D">
      <w:pPr>
        <w:numPr>
          <w:ilvl w:val="0"/>
          <w:numId w:val="4"/>
        </w:num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u w:val="single"/>
          <w:vertAlign w:val="baseline"/>
        </w:rPr>
        <w:lastRenderedPageBreak/>
        <w:t xml:space="preserve">Alto riesgo </w:t>
      </w:r>
      <w:r>
        <w:rPr>
          <w:rFonts w:ascii="Arial" w:eastAsia="Arial" w:hAnsi="Arial" w:cs="Arial"/>
          <w:color w:val="000000"/>
          <w:sz w:val="20"/>
          <w:szCs w:val="20"/>
          <w:vertAlign w:val="baseline"/>
        </w:rPr>
        <w:t>(&gt;20% riesgo de evento mayor cardiovascular a los 10 años): terapia intensiva con dosis máximas de estatinas (IA).</w:t>
      </w:r>
    </w:p>
    <w:p w14:paraId="24E182D9" w14:textId="77777777" w:rsidR="00634CDF" w:rsidRDefault="00F0051D">
      <w:pPr>
        <w:numPr>
          <w:ilvl w:val="0"/>
          <w:numId w:val="4"/>
        </w:num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u w:val="single"/>
          <w:vertAlign w:val="baseline"/>
        </w:rPr>
        <w:t xml:space="preserve">Riesgo intermedio </w:t>
      </w:r>
      <w:r>
        <w:rPr>
          <w:rFonts w:ascii="Arial" w:eastAsia="Arial" w:hAnsi="Arial" w:cs="Arial"/>
          <w:color w:val="000000"/>
          <w:sz w:val="20"/>
          <w:szCs w:val="20"/>
          <w:vertAlign w:val="baseline"/>
        </w:rPr>
        <w:t>(7,5-20% riesgo de evento mayor cardiovascular a los 10 años): terapia moderada con estatinas a dosis intermedias. (IA)</w:t>
      </w:r>
    </w:p>
    <w:p w14:paraId="7A658A35" w14:textId="77777777" w:rsidR="00634CDF" w:rsidRDefault="00F0051D">
      <w:pPr>
        <w:numPr>
          <w:ilvl w:val="0"/>
          <w:numId w:val="4"/>
        </w:num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u w:val="single"/>
          <w:vertAlign w:val="baseline"/>
        </w:rPr>
        <w:t>Pacientes de 40-75 años con diabetes</w:t>
      </w:r>
      <w:r>
        <w:rPr>
          <w:rFonts w:ascii="Arial" w:eastAsia="Arial" w:hAnsi="Arial" w:cs="Arial"/>
          <w:color w:val="000000"/>
          <w:sz w:val="20"/>
          <w:szCs w:val="20"/>
          <w:vertAlign w:val="baseline"/>
        </w:rPr>
        <w:t xml:space="preserve"> terapia con estatinas a dosis intermedias(IA).</w:t>
      </w:r>
    </w:p>
    <w:p w14:paraId="2474091E" w14:textId="77777777" w:rsidR="00634CDF" w:rsidRDefault="00F0051D">
      <w:pPr>
        <w:numPr>
          <w:ilvl w:val="0"/>
          <w:numId w:val="4"/>
        </w:num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P</w:t>
      </w:r>
      <w:r>
        <w:rPr>
          <w:rFonts w:ascii="Arial" w:eastAsia="Arial" w:hAnsi="Arial" w:cs="Arial"/>
          <w:color w:val="000000"/>
          <w:sz w:val="20"/>
          <w:szCs w:val="20"/>
          <w:u w:val="single"/>
          <w:vertAlign w:val="baseline"/>
        </w:rPr>
        <w:t xml:space="preserve">acientes de 20-75 años con </w:t>
      </w:r>
      <w:r>
        <w:rPr>
          <w:rFonts w:ascii="Arial" w:eastAsia="Arial" w:hAnsi="Arial" w:cs="Arial"/>
          <w:sz w:val="20"/>
          <w:szCs w:val="20"/>
          <w:u w:val="single"/>
          <w:vertAlign w:val="baseline"/>
        </w:rPr>
        <w:t>C</w:t>
      </w:r>
      <w:r>
        <w:rPr>
          <w:rFonts w:ascii="Arial" w:eastAsia="Arial" w:hAnsi="Arial" w:cs="Arial"/>
          <w:color w:val="000000"/>
          <w:sz w:val="20"/>
          <w:szCs w:val="20"/>
          <w:u w:val="single"/>
          <w:vertAlign w:val="baseline"/>
        </w:rPr>
        <w:t>-LDL&gt;190 mg/dL</w:t>
      </w:r>
      <w:r>
        <w:rPr>
          <w:rFonts w:ascii="Arial" w:eastAsia="Arial" w:hAnsi="Arial" w:cs="Arial"/>
          <w:color w:val="000000"/>
          <w:sz w:val="20"/>
          <w:szCs w:val="20"/>
          <w:vertAlign w:val="baseline"/>
        </w:rPr>
        <w:t xml:space="preserve"> terapia intensiva con estatinas a dosis máximas (IB-R). Si no se consigue la reducción por debajo de 100 mg/dL se recomienda añadir ezetimiba. </w:t>
      </w:r>
    </w:p>
    <w:p w14:paraId="128E931A" w14:textId="757F8505" w:rsidR="00634CDF" w:rsidRDefault="00F0051D">
      <w:pPr>
        <w:numPr>
          <w:ilvl w:val="0"/>
          <w:numId w:val="4"/>
        </w:numPr>
        <w:pBdr>
          <w:top w:val="nil"/>
          <w:left w:val="nil"/>
          <w:bottom w:val="nil"/>
          <w:right w:val="nil"/>
          <w:between w:val="nil"/>
        </w:pBdr>
        <w:spacing w:after="240" w:line="240" w:lineRule="auto"/>
        <w:ind w:left="0" w:hanging="2"/>
        <w:jc w:val="both"/>
        <w:rPr>
          <w:color w:val="000000"/>
          <w:vertAlign w:val="baseline"/>
        </w:rPr>
      </w:pPr>
      <w:r>
        <w:rPr>
          <w:rFonts w:ascii="Arial" w:eastAsia="Arial" w:hAnsi="Arial" w:cs="Arial"/>
          <w:color w:val="000000"/>
          <w:sz w:val="20"/>
          <w:szCs w:val="20"/>
          <w:vertAlign w:val="baseline"/>
        </w:rPr>
        <w:t>Pacientes de 40 a 75 años con</w:t>
      </w:r>
      <w:r>
        <w:rPr>
          <w:rFonts w:ascii="Arial" w:eastAsia="Arial" w:hAnsi="Arial" w:cs="Arial"/>
          <w:sz w:val="20"/>
          <w:szCs w:val="20"/>
          <w:vertAlign w:val="baseline"/>
        </w:rPr>
        <w:t xml:space="preserve"> C-</w:t>
      </w:r>
      <w:r>
        <w:rPr>
          <w:rFonts w:ascii="Arial" w:eastAsia="Arial" w:hAnsi="Arial" w:cs="Arial"/>
          <w:color w:val="000000"/>
          <w:sz w:val="20"/>
          <w:szCs w:val="20"/>
          <w:vertAlign w:val="baseline"/>
        </w:rPr>
        <w:t>LDL de 220 mg/dL o superior. Si no se consigue la reducción por debajo de 130 con terapia intensiva con estatinas a dosis máximas y ezetimiba se puede conside</w:t>
      </w:r>
      <w:r w:rsidR="00D33EB1">
        <w:rPr>
          <w:rFonts w:ascii="Arial" w:eastAsia="Arial" w:hAnsi="Arial" w:cs="Arial"/>
          <w:color w:val="000000"/>
          <w:sz w:val="20"/>
          <w:szCs w:val="20"/>
          <w:vertAlign w:val="baseline"/>
        </w:rPr>
        <w:t xml:space="preserve">rar la adición de inhibidor de </w:t>
      </w:r>
      <w:r>
        <w:rPr>
          <w:rFonts w:ascii="Arial" w:eastAsia="Arial" w:hAnsi="Arial" w:cs="Arial"/>
          <w:color w:val="000000"/>
          <w:sz w:val="20"/>
          <w:szCs w:val="20"/>
          <w:vertAlign w:val="baseline"/>
        </w:rPr>
        <w:t>PCSK9 (IIb).</w:t>
      </w:r>
    </w:p>
    <w:p w14:paraId="02ADFFB3" w14:textId="28C5C132" w:rsidR="00634CDF" w:rsidRDefault="00C2216F">
      <w:pPr>
        <w:pBdr>
          <w:top w:val="nil"/>
          <w:left w:val="nil"/>
          <w:bottom w:val="nil"/>
          <w:right w:val="nil"/>
          <w:between w:val="nil"/>
        </w:pBdr>
        <w:spacing w:after="240" w:line="240" w:lineRule="auto"/>
        <w:ind w:left="0" w:hanging="2"/>
        <w:jc w:val="both"/>
        <w:rPr>
          <w:color w:val="000000"/>
          <w:vertAlign w:val="baseline"/>
        </w:rPr>
      </w:pPr>
      <w:r>
        <w:rPr>
          <w:rFonts w:ascii="Arial" w:eastAsia="Arial" w:hAnsi="Arial" w:cs="Arial"/>
          <w:b/>
          <w:i/>
          <w:color w:val="000000"/>
          <w:sz w:val="20"/>
          <w:szCs w:val="20"/>
          <w:vertAlign w:val="baseline"/>
        </w:rPr>
        <w:t>Guía</w:t>
      </w:r>
      <w:r w:rsidR="00F0051D">
        <w:rPr>
          <w:rFonts w:ascii="Arial" w:eastAsia="Arial" w:hAnsi="Arial" w:cs="Arial"/>
          <w:b/>
          <w:i/>
          <w:color w:val="000000"/>
          <w:sz w:val="20"/>
          <w:szCs w:val="20"/>
          <w:vertAlign w:val="baseline"/>
        </w:rPr>
        <w:t xml:space="preserve"> para el tratamiento del manejo de la </w:t>
      </w:r>
      <w:r>
        <w:rPr>
          <w:rFonts w:ascii="Arial" w:eastAsia="Arial" w:hAnsi="Arial" w:cs="Arial"/>
          <w:b/>
          <w:i/>
          <w:color w:val="000000"/>
          <w:sz w:val="20"/>
          <w:szCs w:val="20"/>
          <w:vertAlign w:val="baseline"/>
        </w:rPr>
        <w:t>hiper</w:t>
      </w:r>
      <w:r w:rsidR="00F0051D">
        <w:rPr>
          <w:rFonts w:ascii="Arial" w:eastAsia="Arial" w:hAnsi="Arial" w:cs="Arial"/>
          <w:b/>
          <w:i/>
          <w:color w:val="000000"/>
          <w:sz w:val="20"/>
          <w:szCs w:val="20"/>
          <w:vertAlign w:val="baseline"/>
        </w:rPr>
        <w:t>colesterolemia de la American College of Cardiology</w:t>
      </w:r>
      <w:r>
        <w:rPr>
          <w:rFonts w:ascii="Arial" w:eastAsia="Arial" w:hAnsi="Arial" w:cs="Arial"/>
          <w:b/>
          <w:i/>
          <w:color w:val="000000"/>
          <w:sz w:val="20"/>
          <w:szCs w:val="20"/>
          <w:vertAlign w:val="baseline"/>
        </w:rPr>
        <w:t xml:space="preserve"> </w:t>
      </w:r>
      <w:r w:rsidR="00F0051D">
        <w:rPr>
          <w:rFonts w:ascii="Arial" w:eastAsia="Arial" w:hAnsi="Arial" w:cs="Arial"/>
          <w:b/>
          <w:i/>
          <w:color w:val="000000"/>
          <w:sz w:val="20"/>
          <w:szCs w:val="20"/>
          <w:vertAlign w:val="baseline"/>
        </w:rPr>
        <w:t>(ACC) y la American Heart Association</w:t>
      </w:r>
      <w:r>
        <w:rPr>
          <w:rFonts w:ascii="Arial" w:eastAsia="Arial" w:hAnsi="Arial" w:cs="Arial"/>
          <w:b/>
          <w:i/>
          <w:color w:val="000000"/>
          <w:sz w:val="20"/>
          <w:szCs w:val="20"/>
          <w:vertAlign w:val="baseline"/>
        </w:rPr>
        <w:t xml:space="preserve"> </w:t>
      </w:r>
      <w:r w:rsidR="00F0051D">
        <w:rPr>
          <w:rFonts w:ascii="Arial" w:eastAsia="Arial" w:hAnsi="Arial" w:cs="Arial"/>
          <w:b/>
          <w:i/>
          <w:color w:val="000000"/>
          <w:sz w:val="20"/>
          <w:szCs w:val="20"/>
          <w:vertAlign w:val="baseline"/>
        </w:rPr>
        <w:t>(AHA)</w:t>
      </w:r>
      <w:r w:rsidR="00F0051D">
        <w:rPr>
          <w:rFonts w:ascii="Arial" w:eastAsia="Arial" w:hAnsi="Arial" w:cs="Arial"/>
          <w:color w:val="000000"/>
          <w:sz w:val="20"/>
          <w:szCs w:val="20"/>
          <w:vertAlign w:val="baseline"/>
        </w:rPr>
        <w:t>(2</w:t>
      </w:r>
      <w:r w:rsidR="00F0051D">
        <w:rPr>
          <w:rFonts w:ascii="Arial" w:eastAsia="Arial" w:hAnsi="Arial" w:cs="Arial"/>
          <w:sz w:val="20"/>
          <w:szCs w:val="20"/>
          <w:vertAlign w:val="baseline"/>
        </w:rPr>
        <w:t>5</w:t>
      </w:r>
      <w:r w:rsidR="00F0051D">
        <w:rPr>
          <w:rFonts w:ascii="Arial" w:eastAsia="Arial" w:hAnsi="Arial" w:cs="Arial"/>
          <w:color w:val="000000"/>
          <w:sz w:val="20"/>
          <w:szCs w:val="20"/>
          <w:vertAlign w:val="baseline"/>
        </w:rPr>
        <w:t>)</w:t>
      </w:r>
    </w:p>
    <w:p w14:paraId="683732CB" w14:textId="77777777" w:rsidR="00634CDF" w:rsidRDefault="00F0051D">
      <w:pPr>
        <w:pBdr>
          <w:top w:val="nil"/>
          <w:left w:val="nil"/>
          <w:bottom w:val="nil"/>
          <w:right w:val="nil"/>
          <w:between w:val="nil"/>
        </w:pBdr>
        <w:spacing w:after="240" w:line="240" w:lineRule="auto"/>
        <w:ind w:left="0" w:hanging="2"/>
        <w:jc w:val="both"/>
        <w:rPr>
          <w:color w:val="000000"/>
          <w:vertAlign w:val="baseline"/>
        </w:rPr>
      </w:pPr>
      <w:r>
        <w:rPr>
          <w:rFonts w:ascii="Arial" w:eastAsia="Arial" w:hAnsi="Arial" w:cs="Arial"/>
          <w:color w:val="000000"/>
          <w:sz w:val="20"/>
          <w:szCs w:val="20"/>
          <w:u w:val="single"/>
          <w:vertAlign w:val="baseline"/>
        </w:rPr>
        <w:t>Prevención primaria.</w:t>
      </w:r>
    </w:p>
    <w:p w14:paraId="28A47B81" w14:textId="77777777" w:rsidR="00634CDF" w:rsidRDefault="00F0051D">
      <w:pPr>
        <w:pBdr>
          <w:top w:val="nil"/>
          <w:left w:val="nil"/>
          <w:bottom w:val="nil"/>
          <w:right w:val="nil"/>
          <w:between w:val="nil"/>
        </w:pBdr>
        <w:spacing w:after="240" w:line="240" w:lineRule="auto"/>
        <w:ind w:left="0" w:hanging="2"/>
        <w:jc w:val="both"/>
        <w:rPr>
          <w:color w:val="000000"/>
          <w:vertAlign w:val="baseline"/>
        </w:rPr>
      </w:pPr>
      <w:r>
        <w:rPr>
          <w:rFonts w:ascii="Arial" w:eastAsia="Arial" w:hAnsi="Arial" w:cs="Arial"/>
          <w:color w:val="000000"/>
          <w:sz w:val="20"/>
          <w:szCs w:val="20"/>
          <w:vertAlign w:val="baseline"/>
        </w:rPr>
        <w:t xml:space="preserve">Las recomendaciones son iguales a las de la guía </w:t>
      </w:r>
      <w:r>
        <w:rPr>
          <w:rFonts w:ascii="Arial" w:eastAsia="Arial" w:hAnsi="Arial" w:cs="Arial"/>
          <w:sz w:val="20"/>
          <w:szCs w:val="20"/>
          <w:vertAlign w:val="baseline"/>
        </w:rPr>
        <w:t>anteriormente expuesta (24)</w:t>
      </w:r>
      <w:r>
        <w:rPr>
          <w:rFonts w:ascii="Arial" w:eastAsia="Arial" w:hAnsi="Arial" w:cs="Arial"/>
          <w:color w:val="000000"/>
          <w:sz w:val="20"/>
          <w:szCs w:val="20"/>
          <w:vertAlign w:val="baseline"/>
        </w:rPr>
        <w:t>. Terapia moderada o intensiva con estatinas en función del riesgo calculado o factores de riesgo cardiovascular relevantes como la diabetes.</w:t>
      </w:r>
    </w:p>
    <w:p w14:paraId="4922C19B" w14:textId="77777777" w:rsidR="00634CDF" w:rsidRDefault="00F0051D">
      <w:pPr>
        <w:pBdr>
          <w:top w:val="nil"/>
          <w:left w:val="nil"/>
          <w:bottom w:val="nil"/>
          <w:right w:val="nil"/>
          <w:between w:val="nil"/>
        </w:pBdr>
        <w:spacing w:after="240" w:line="240" w:lineRule="auto"/>
        <w:ind w:left="0" w:hanging="2"/>
        <w:jc w:val="both"/>
        <w:rPr>
          <w:color w:val="000000"/>
          <w:vertAlign w:val="baseline"/>
        </w:rPr>
      </w:pPr>
      <w:r>
        <w:rPr>
          <w:rFonts w:ascii="Arial" w:eastAsia="Arial" w:hAnsi="Arial" w:cs="Arial"/>
          <w:color w:val="000000"/>
          <w:sz w:val="20"/>
          <w:szCs w:val="20"/>
          <w:u w:val="single"/>
          <w:vertAlign w:val="baseline"/>
        </w:rPr>
        <w:t>Pacientes con hipercolesterolemia familiar heterocigótica.</w:t>
      </w:r>
    </w:p>
    <w:p w14:paraId="556A248F" w14:textId="2420975B" w:rsidR="00634CDF" w:rsidRPr="00D33EB1" w:rsidRDefault="00F0051D">
      <w:pPr>
        <w:numPr>
          <w:ilvl w:val="0"/>
          <w:numId w:val="10"/>
        </w:numPr>
        <w:pBdr>
          <w:top w:val="nil"/>
          <w:left w:val="nil"/>
          <w:bottom w:val="nil"/>
          <w:right w:val="nil"/>
          <w:between w:val="nil"/>
        </w:pBdr>
        <w:spacing w:after="240" w:line="240" w:lineRule="auto"/>
        <w:ind w:left="0" w:hanging="2"/>
        <w:jc w:val="both"/>
        <w:rPr>
          <w:rFonts w:ascii="Arial" w:eastAsia="Arial" w:hAnsi="Arial" w:cs="Arial"/>
          <w:color w:val="000000"/>
          <w:sz w:val="20"/>
          <w:szCs w:val="20"/>
          <w:vertAlign w:val="baseline"/>
        </w:rPr>
      </w:pPr>
      <w:r>
        <w:rPr>
          <w:rFonts w:ascii="Arial" w:eastAsia="Arial" w:hAnsi="Arial" w:cs="Arial"/>
          <w:color w:val="000000"/>
          <w:sz w:val="20"/>
          <w:szCs w:val="20"/>
          <w:vertAlign w:val="baseline"/>
        </w:rPr>
        <w:t xml:space="preserve">Tratamiento intensivo con estatinas a máximas dosis toleradas con o sin ezetimiba. Si </w:t>
      </w:r>
      <w:r w:rsidRPr="00D33EB1">
        <w:rPr>
          <w:rFonts w:ascii="Arial" w:eastAsia="Arial" w:hAnsi="Arial" w:cs="Arial"/>
          <w:color w:val="000000"/>
          <w:sz w:val="20"/>
          <w:szCs w:val="20"/>
          <w:vertAlign w:val="baseline"/>
        </w:rPr>
        <w:t>C-LDL≥ 100 mg/dL a pesar de terapia con estatinas a máximas dosis + ezetimiba se puede considerar un iPCSK9 (IIb B-R)</w:t>
      </w:r>
    </w:p>
    <w:p w14:paraId="64096634" w14:textId="77777777" w:rsidR="00634CDF" w:rsidRDefault="00F0051D">
      <w:pPr>
        <w:pBdr>
          <w:top w:val="nil"/>
          <w:left w:val="nil"/>
          <w:bottom w:val="nil"/>
          <w:right w:val="nil"/>
          <w:between w:val="nil"/>
        </w:pBdr>
        <w:spacing w:after="240" w:line="240" w:lineRule="auto"/>
        <w:ind w:left="0" w:hanging="2"/>
        <w:jc w:val="both"/>
        <w:rPr>
          <w:rFonts w:ascii="Arial" w:eastAsia="Arial" w:hAnsi="Arial" w:cs="Arial"/>
          <w:color w:val="000000"/>
          <w:vertAlign w:val="baseline"/>
        </w:rPr>
      </w:pPr>
      <w:r>
        <w:rPr>
          <w:rFonts w:ascii="Arial" w:eastAsia="Arial" w:hAnsi="Arial" w:cs="Arial"/>
          <w:color w:val="000000"/>
          <w:sz w:val="20"/>
          <w:szCs w:val="20"/>
          <w:u w:val="single"/>
          <w:vertAlign w:val="baseline"/>
        </w:rPr>
        <w:t>Prevención secundaria.</w:t>
      </w:r>
    </w:p>
    <w:p w14:paraId="57A2B414" w14:textId="77777777" w:rsidR="00634CDF" w:rsidRDefault="00F0051D">
      <w:pPr>
        <w:numPr>
          <w:ilvl w:val="0"/>
          <w:numId w:val="2"/>
        </w:numPr>
        <w:pBdr>
          <w:top w:val="nil"/>
          <w:left w:val="nil"/>
          <w:bottom w:val="nil"/>
          <w:right w:val="nil"/>
          <w:between w:val="nil"/>
        </w:pBdr>
        <w:spacing w:after="240" w:line="240" w:lineRule="auto"/>
        <w:ind w:left="0" w:hanging="2"/>
        <w:jc w:val="both"/>
        <w:rPr>
          <w:color w:val="000000"/>
          <w:vertAlign w:val="baseline"/>
        </w:rPr>
      </w:pPr>
      <w:r>
        <w:rPr>
          <w:rFonts w:ascii="Arial" w:eastAsia="Arial" w:hAnsi="Arial" w:cs="Arial"/>
          <w:color w:val="000000"/>
          <w:sz w:val="20"/>
          <w:szCs w:val="20"/>
          <w:u w:val="single"/>
          <w:vertAlign w:val="baseline"/>
        </w:rPr>
        <w:t xml:space="preserve">Pacientes con muy alto riesgo </w:t>
      </w:r>
      <w:r>
        <w:rPr>
          <w:rFonts w:ascii="Arial" w:eastAsia="Arial" w:hAnsi="Arial" w:cs="Arial"/>
          <w:color w:val="000000"/>
          <w:sz w:val="20"/>
          <w:szCs w:val="20"/>
          <w:vertAlign w:val="baseline"/>
        </w:rPr>
        <w:t xml:space="preserve">(historia de múltiples eventos de enfermedad cardiovascular aterosclerótica o 1 evento con múltiples factores de riesgo): terapia intensiva con estatinas (máxima dosis tolerada) (IA). Si </w:t>
      </w:r>
      <w:r w:rsidRPr="00D33EB1">
        <w:rPr>
          <w:rFonts w:ascii="Arial" w:eastAsia="Arial" w:hAnsi="Arial" w:cs="Arial"/>
          <w:color w:val="000000"/>
          <w:sz w:val="20"/>
          <w:szCs w:val="20"/>
          <w:vertAlign w:val="baseline"/>
        </w:rPr>
        <w:t>C</w:t>
      </w:r>
      <w:sdt>
        <w:sdtPr>
          <w:rPr>
            <w:rFonts w:ascii="Arial" w:eastAsia="Arial" w:hAnsi="Arial" w:cs="Arial"/>
            <w:color w:val="000000"/>
            <w:sz w:val="20"/>
            <w:szCs w:val="20"/>
            <w:vertAlign w:val="baseline"/>
          </w:rPr>
          <w:tag w:val="goog_rdk_18"/>
          <w:id w:val="1943415891"/>
        </w:sdtPr>
        <w:sdtEndPr/>
        <w:sdtContent>
          <w:r w:rsidRPr="00D33EB1">
            <w:rPr>
              <w:rFonts w:ascii="Arial" w:eastAsia="Arial" w:hAnsi="Arial" w:cs="Arial"/>
              <w:color w:val="000000"/>
              <w:sz w:val="20"/>
              <w:szCs w:val="20"/>
              <w:vertAlign w:val="baseline"/>
            </w:rPr>
            <w:t xml:space="preserve">-LDL continua ≥70mg/dL recomiendan introducir ezetimiba (IIa B-R). Si aún así no se alcanza el objetivo recomiendan añadir un iPCSK9, pero siempre que haya estado en tratamiento previo con dosis máxima tolerada de estatinas con ezetimiba (IB-NR). Esta recomendación de añadir ezetimiba antes de pasar al iPCSK9 la hacen en base a dos </w:t>
          </w:r>
        </w:sdtContent>
      </w:sdt>
      <w:r w:rsidRPr="00D33EB1">
        <w:rPr>
          <w:rFonts w:ascii="Arial" w:eastAsia="Arial" w:hAnsi="Arial" w:cs="Arial"/>
          <w:color w:val="000000"/>
          <w:sz w:val="20"/>
          <w:szCs w:val="20"/>
          <w:vertAlign w:val="baseline"/>
        </w:rPr>
        <w:t>premisas (26,27)</w:t>
      </w:r>
      <w:r>
        <w:rPr>
          <w:rFonts w:ascii="Arial" w:eastAsia="Arial" w:hAnsi="Arial" w:cs="Arial"/>
          <w:color w:val="000000"/>
          <w:sz w:val="20"/>
          <w:szCs w:val="20"/>
          <w:vertAlign w:val="baseline"/>
        </w:rPr>
        <w:t xml:space="preserve"> en las que se demuestra que la mayoría de pacientes reduciran el </w:t>
      </w:r>
      <w:r w:rsidRPr="00D33EB1">
        <w:rPr>
          <w:rFonts w:ascii="Arial" w:eastAsia="Arial" w:hAnsi="Arial" w:cs="Arial"/>
          <w:color w:val="000000"/>
          <w:sz w:val="20"/>
          <w:szCs w:val="20"/>
          <w:vertAlign w:val="baseline"/>
        </w:rPr>
        <w:t>C</w:t>
      </w:r>
      <w:r>
        <w:rPr>
          <w:rFonts w:ascii="Arial" w:eastAsia="Arial" w:hAnsi="Arial" w:cs="Arial"/>
          <w:color w:val="000000"/>
          <w:sz w:val="20"/>
          <w:szCs w:val="20"/>
          <w:vertAlign w:val="baseline"/>
        </w:rPr>
        <w:t>-LDL a menos de 70 mg/dL dejando una minoría que sería candidata al iPCSK9, mejorando así el coste-efectividad.</w:t>
      </w:r>
    </w:p>
    <w:p w14:paraId="17E33F48" w14:textId="6301D830" w:rsidR="00634CDF" w:rsidRPr="00D33EB1" w:rsidRDefault="00F0051D">
      <w:pPr>
        <w:numPr>
          <w:ilvl w:val="0"/>
          <w:numId w:val="2"/>
        </w:numPr>
        <w:pBdr>
          <w:top w:val="nil"/>
          <w:left w:val="nil"/>
          <w:bottom w:val="nil"/>
          <w:right w:val="nil"/>
          <w:between w:val="nil"/>
        </w:pBdr>
        <w:spacing w:after="240" w:line="240" w:lineRule="auto"/>
        <w:ind w:left="0" w:hanging="2"/>
        <w:jc w:val="both"/>
        <w:rPr>
          <w:rFonts w:ascii="Arial" w:eastAsia="Arial" w:hAnsi="Arial" w:cs="Arial"/>
          <w:color w:val="000000"/>
          <w:sz w:val="20"/>
          <w:szCs w:val="20"/>
          <w:vertAlign w:val="baseline"/>
        </w:rPr>
      </w:pPr>
      <w:r w:rsidRPr="00D33EB1">
        <w:rPr>
          <w:rFonts w:ascii="Arial" w:eastAsia="Arial" w:hAnsi="Arial" w:cs="Arial"/>
          <w:color w:val="000000"/>
          <w:sz w:val="20"/>
          <w:szCs w:val="20"/>
          <w:u w:val="single"/>
          <w:vertAlign w:val="baseline"/>
        </w:rPr>
        <w:t>Pacientes sin alto riesgo:</w:t>
      </w:r>
      <w:r w:rsidRPr="00D33EB1">
        <w:rPr>
          <w:rFonts w:ascii="Arial" w:eastAsia="Arial" w:hAnsi="Arial" w:cs="Arial"/>
          <w:color w:val="000000"/>
          <w:sz w:val="20"/>
          <w:szCs w:val="20"/>
          <w:vertAlign w:val="baseline"/>
        </w:rPr>
        <w:t xml:space="preserve"> Si son menores de 75 años se recomienda terapia intensiva con estatinas para una reducción ≥50%(IA). Si con terapia intensiva no se consigue &lt; 70 mg/dL se puede añadir </w:t>
      </w:r>
      <w:r w:rsidR="00D33EB1" w:rsidRPr="00D33EB1">
        <w:rPr>
          <w:rFonts w:ascii="Arial" w:eastAsia="Arial" w:hAnsi="Arial" w:cs="Arial"/>
          <w:color w:val="000000"/>
          <w:sz w:val="20"/>
          <w:szCs w:val="20"/>
          <w:vertAlign w:val="baseline"/>
        </w:rPr>
        <w:t>ezetimiba (</w:t>
      </w:r>
      <w:r w:rsidRPr="00D33EB1">
        <w:rPr>
          <w:rFonts w:ascii="Arial" w:eastAsia="Arial" w:hAnsi="Arial" w:cs="Arial"/>
          <w:color w:val="000000"/>
          <w:sz w:val="20"/>
          <w:szCs w:val="20"/>
          <w:vertAlign w:val="baseline"/>
        </w:rPr>
        <w:t>IIb B-R). En pacientes mayores de 75 años se recomienda utilizar terapia moderada-intensiva con estatinas valorando el beneficio-riesgo previamente (IIa B-R).</w:t>
      </w:r>
    </w:p>
    <w:p w14:paraId="03FF62BC"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777B74E6"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5.4.2 Evaluaciones previas por organismos independientes</w:t>
      </w:r>
    </w:p>
    <w:p w14:paraId="56409B0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ab/>
      </w:r>
    </w:p>
    <w:p w14:paraId="728DCF28" w14:textId="5BCC4D9A"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bookmarkStart w:id="57" w:name="_heading=h.ihv636" w:colFirst="0" w:colLast="0"/>
      <w:bookmarkEnd w:id="57"/>
      <w:r>
        <w:rPr>
          <w:rFonts w:ascii="Arial" w:eastAsia="Arial" w:hAnsi="Arial" w:cs="Arial"/>
          <w:color w:val="000000"/>
          <w:sz w:val="20"/>
          <w:szCs w:val="20"/>
          <w:vertAlign w:val="baseline"/>
        </w:rPr>
        <w:t xml:space="preserve">Con fecha 9 de </w:t>
      </w:r>
      <w:r>
        <w:rPr>
          <w:rFonts w:ascii="Arial" w:eastAsia="Arial" w:hAnsi="Arial" w:cs="Arial"/>
          <w:sz w:val="20"/>
          <w:szCs w:val="20"/>
          <w:vertAlign w:val="baseline"/>
        </w:rPr>
        <w:t>octubre</w:t>
      </w:r>
      <w:r>
        <w:rPr>
          <w:rFonts w:ascii="Arial" w:eastAsia="Arial" w:hAnsi="Arial" w:cs="Arial"/>
          <w:color w:val="000000"/>
          <w:sz w:val="20"/>
          <w:szCs w:val="20"/>
          <w:vertAlign w:val="baseline"/>
        </w:rPr>
        <w:t xml:space="preserve"> </w:t>
      </w:r>
      <w:r w:rsidR="00C2216F">
        <w:rPr>
          <w:rFonts w:ascii="Arial" w:eastAsia="Arial" w:hAnsi="Arial" w:cs="Arial"/>
          <w:color w:val="000000"/>
          <w:sz w:val="20"/>
          <w:szCs w:val="20"/>
          <w:vertAlign w:val="baseline"/>
        </w:rPr>
        <w:t xml:space="preserve">de 2021 </w:t>
      </w:r>
      <w:r>
        <w:rPr>
          <w:rFonts w:ascii="Arial" w:eastAsia="Arial" w:hAnsi="Arial" w:cs="Arial"/>
          <w:color w:val="000000"/>
          <w:sz w:val="20"/>
          <w:szCs w:val="20"/>
          <w:vertAlign w:val="baseline"/>
        </w:rPr>
        <w:t xml:space="preserve">se han localizado </w:t>
      </w:r>
      <w:r>
        <w:rPr>
          <w:rFonts w:ascii="Arial" w:eastAsia="Arial" w:hAnsi="Arial" w:cs="Arial"/>
          <w:sz w:val="20"/>
          <w:szCs w:val="20"/>
          <w:vertAlign w:val="baseline"/>
        </w:rPr>
        <w:t>los siguientes informes:</w:t>
      </w:r>
    </w:p>
    <w:p w14:paraId="45511E41" w14:textId="77777777" w:rsidR="00634CDF" w:rsidRDefault="00634CDF">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p>
    <w:p w14:paraId="54026CAB" w14:textId="77777777" w:rsidR="00634CDF" w:rsidRDefault="00F0051D">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r>
        <w:rPr>
          <w:rFonts w:ascii="Arial" w:eastAsia="Arial" w:hAnsi="Arial" w:cs="Arial"/>
          <w:sz w:val="20"/>
          <w:szCs w:val="20"/>
          <w:vertAlign w:val="baseline"/>
        </w:rPr>
        <w:t>En julio de 2021 se localiza el informe publicado por el Scotish Medicines Consortium (28) en el que se restringe el uso de inclisiran para pacientes con alto riesgo cardiovascular definido como:</w:t>
      </w:r>
    </w:p>
    <w:p w14:paraId="7C0FB9C7" w14:textId="77777777" w:rsidR="00634CDF" w:rsidRPr="004E4268" w:rsidRDefault="00634CDF">
      <w:pPr>
        <w:pBdr>
          <w:top w:val="nil"/>
          <w:left w:val="nil"/>
          <w:bottom w:val="nil"/>
          <w:right w:val="nil"/>
          <w:between w:val="nil"/>
        </w:pBdr>
        <w:spacing w:line="240" w:lineRule="auto"/>
        <w:ind w:left="0" w:hanging="2"/>
        <w:jc w:val="both"/>
        <w:rPr>
          <w:rFonts w:ascii="Arial" w:eastAsia="Arial Unicode MS" w:hAnsi="Arial" w:cs="Arial"/>
          <w:sz w:val="20"/>
          <w:szCs w:val="20"/>
          <w:vertAlign w:val="baseline"/>
        </w:rPr>
      </w:pPr>
    </w:p>
    <w:p w14:paraId="02570973" w14:textId="05A2FA3D" w:rsidR="00634CDF" w:rsidRPr="00D33EB1" w:rsidRDefault="00F0051D">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r w:rsidRPr="004E4268">
        <w:rPr>
          <w:rFonts w:ascii="Arial" w:eastAsia="Arial Unicode MS" w:hAnsi="Arial" w:cs="Arial"/>
          <w:sz w:val="20"/>
          <w:szCs w:val="20"/>
          <w:vertAlign w:val="baseline"/>
        </w:rPr>
        <w:t xml:space="preserve">• </w:t>
      </w:r>
      <w:r w:rsidR="00C2216F">
        <w:rPr>
          <w:rFonts w:ascii="Arial" w:eastAsia="Arial Unicode MS" w:hAnsi="Arial" w:cs="Arial"/>
          <w:sz w:val="20"/>
          <w:szCs w:val="20"/>
          <w:vertAlign w:val="baseline"/>
        </w:rPr>
        <w:t>P</w:t>
      </w:r>
      <w:r w:rsidRPr="00D33EB1">
        <w:rPr>
          <w:rFonts w:ascii="Arial" w:eastAsia="Arial Unicode MS" w:hAnsi="Arial" w:cs="Arial"/>
          <w:sz w:val="20"/>
          <w:szCs w:val="20"/>
          <w:vertAlign w:val="baseline"/>
        </w:rPr>
        <w:t>acientes con hipercolesterolemia familiar heterocigótica y C- LDL ≥200 mg/</w:t>
      </w:r>
      <w:r w:rsidR="00C2216F" w:rsidRPr="00D33EB1">
        <w:rPr>
          <w:rFonts w:ascii="Arial" w:eastAsia="Arial Unicode MS" w:hAnsi="Arial" w:cs="Arial"/>
          <w:sz w:val="20"/>
          <w:szCs w:val="20"/>
          <w:vertAlign w:val="baseline"/>
        </w:rPr>
        <w:t>dl</w:t>
      </w:r>
      <w:r w:rsidRPr="00D33EB1">
        <w:rPr>
          <w:rFonts w:ascii="Arial" w:eastAsia="Arial Unicode MS" w:hAnsi="Arial" w:cs="Arial"/>
          <w:sz w:val="20"/>
          <w:szCs w:val="20"/>
          <w:vertAlign w:val="baseline"/>
        </w:rPr>
        <w:t>, para prevención primaria o,</w:t>
      </w:r>
    </w:p>
    <w:p w14:paraId="60122185" w14:textId="5866B480" w:rsidR="00634CDF" w:rsidRPr="00D33EB1" w:rsidRDefault="00F0051D">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r w:rsidRPr="00D33EB1">
        <w:rPr>
          <w:rFonts w:ascii="Arial" w:eastAsia="Arial Unicode MS" w:hAnsi="Arial" w:cs="Arial"/>
          <w:sz w:val="20"/>
          <w:szCs w:val="20"/>
          <w:vertAlign w:val="baseline"/>
        </w:rPr>
        <w:t xml:space="preserve">• </w:t>
      </w:r>
      <w:r w:rsidR="00C2216F">
        <w:rPr>
          <w:rFonts w:ascii="Arial" w:eastAsia="Arial Unicode MS" w:hAnsi="Arial" w:cs="Arial"/>
          <w:sz w:val="20"/>
          <w:szCs w:val="20"/>
          <w:vertAlign w:val="baseline"/>
        </w:rPr>
        <w:t>P</w:t>
      </w:r>
      <w:r w:rsidRPr="00D33EB1">
        <w:rPr>
          <w:rFonts w:ascii="Arial" w:eastAsia="Arial Unicode MS" w:hAnsi="Arial" w:cs="Arial"/>
          <w:sz w:val="20"/>
          <w:szCs w:val="20"/>
          <w:vertAlign w:val="baseline"/>
        </w:rPr>
        <w:t>acientes con hipercolesterolemia familiar heterocigótica y C-LDL≥135 mg/</w:t>
      </w:r>
      <w:r w:rsidR="00C2216F" w:rsidRPr="00D33EB1">
        <w:rPr>
          <w:rFonts w:ascii="Arial" w:eastAsia="Arial Unicode MS" w:hAnsi="Arial" w:cs="Arial"/>
          <w:sz w:val="20"/>
          <w:szCs w:val="20"/>
          <w:vertAlign w:val="baseline"/>
        </w:rPr>
        <w:t>dl</w:t>
      </w:r>
      <w:r w:rsidRPr="00D33EB1">
        <w:rPr>
          <w:rFonts w:ascii="Arial" w:eastAsia="Arial Unicode MS" w:hAnsi="Arial" w:cs="Arial"/>
          <w:sz w:val="20"/>
          <w:szCs w:val="20"/>
          <w:vertAlign w:val="baseline"/>
        </w:rPr>
        <w:t>, para prevención secundaria de eventos cardiovasculares o</w:t>
      </w:r>
    </w:p>
    <w:p w14:paraId="329CD39F" w14:textId="77277122" w:rsidR="00634CDF" w:rsidRPr="00D33EB1" w:rsidRDefault="00F0051D">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r w:rsidRPr="00D33EB1">
        <w:rPr>
          <w:rFonts w:ascii="Arial" w:eastAsia="Arial Unicode MS" w:hAnsi="Arial" w:cs="Arial"/>
          <w:sz w:val="20"/>
          <w:szCs w:val="20"/>
          <w:vertAlign w:val="baseline"/>
        </w:rPr>
        <w:t xml:space="preserve">• </w:t>
      </w:r>
      <w:r w:rsidR="00C2216F">
        <w:rPr>
          <w:rFonts w:ascii="Arial" w:eastAsia="Arial Unicode MS" w:hAnsi="Arial" w:cs="Arial"/>
          <w:sz w:val="20"/>
          <w:szCs w:val="20"/>
          <w:vertAlign w:val="baseline"/>
        </w:rPr>
        <w:t>P</w:t>
      </w:r>
      <w:r w:rsidRPr="00D33EB1">
        <w:rPr>
          <w:rFonts w:ascii="Arial" w:eastAsia="Arial Unicode MS" w:hAnsi="Arial" w:cs="Arial"/>
          <w:sz w:val="20"/>
          <w:szCs w:val="20"/>
          <w:vertAlign w:val="baseline"/>
        </w:rPr>
        <w:t>acientes con alto riesgo debido a eventos cardiovasculares previos y C-LDL≥154 mg/dL</w:t>
      </w:r>
    </w:p>
    <w:p w14:paraId="456F3F3F" w14:textId="77777777" w:rsidR="00634CDF" w:rsidRDefault="00F0051D">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r w:rsidRPr="00D33EB1">
        <w:rPr>
          <w:rFonts w:ascii="Arial" w:eastAsia="Arial" w:hAnsi="Arial" w:cs="Arial"/>
          <w:sz w:val="20"/>
          <w:szCs w:val="20"/>
          <w:vertAlign w:val="baseline"/>
        </w:rPr>
        <w:lastRenderedPageBreak/>
        <w:t>o,</w:t>
      </w:r>
    </w:p>
    <w:p w14:paraId="66DCC946" w14:textId="6DC40D74" w:rsidR="00C2216F" w:rsidRPr="004E4268" w:rsidRDefault="00C2216F" w:rsidP="004E4268">
      <w:pPr>
        <w:pStyle w:val="WW-normal"/>
        <w:numPr>
          <w:ilvl w:val="0"/>
          <w:numId w:val="17"/>
        </w:numPr>
        <w:ind w:leftChars="0" w:firstLineChars="0"/>
        <w:rPr>
          <w:rFonts w:eastAsia="Arial"/>
        </w:rPr>
      </w:pPr>
      <w:r>
        <w:rPr>
          <w:rFonts w:ascii="Arial" w:eastAsia="Arial Unicode MS" w:hAnsi="Arial" w:cs="Arial"/>
          <w:sz w:val="20"/>
          <w:szCs w:val="20"/>
          <w:vertAlign w:val="baseline"/>
        </w:rPr>
        <w:t>P</w:t>
      </w:r>
      <w:r w:rsidRPr="00D33EB1">
        <w:rPr>
          <w:rFonts w:ascii="Arial" w:eastAsia="Arial Unicode MS" w:hAnsi="Arial" w:cs="Arial"/>
          <w:sz w:val="20"/>
          <w:szCs w:val="20"/>
          <w:vertAlign w:val="baseline"/>
        </w:rPr>
        <w:t>acientes con enfermedad recurre</w:t>
      </w:r>
      <w:r w:rsidR="00D66FD9">
        <w:rPr>
          <w:rFonts w:ascii="Arial" w:eastAsia="Arial Unicode MS" w:hAnsi="Arial" w:cs="Arial"/>
          <w:sz w:val="20"/>
          <w:szCs w:val="20"/>
          <w:vertAlign w:val="baseline"/>
        </w:rPr>
        <w:t xml:space="preserve">nte o multivaso y </w:t>
      </w:r>
      <w:r w:rsidRPr="00D33EB1">
        <w:rPr>
          <w:rFonts w:ascii="Arial" w:eastAsia="Arial Unicode MS" w:hAnsi="Arial" w:cs="Arial"/>
          <w:sz w:val="20"/>
          <w:szCs w:val="20"/>
          <w:vertAlign w:val="baseline"/>
        </w:rPr>
        <w:t>C-LDL≥135 mg/dL.</w:t>
      </w:r>
    </w:p>
    <w:p w14:paraId="57DA2E79" w14:textId="3F2C0F00" w:rsidR="00634CDF" w:rsidRPr="00D33EB1" w:rsidRDefault="00782245">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sdt>
        <w:sdtPr>
          <w:rPr>
            <w:rFonts w:ascii="Arial" w:hAnsi="Arial" w:cs="Arial"/>
          </w:rPr>
          <w:tag w:val="goog_rdk_23"/>
          <w:id w:val="-398517959"/>
        </w:sdtPr>
        <w:sdtEndPr/>
        <w:sdtContent>
          <w:r w:rsidR="00F0051D" w:rsidRPr="00D33EB1">
            <w:rPr>
              <w:rFonts w:ascii="Arial" w:eastAsia="Arial Unicode MS" w:hAnsi="Arial" w:cs="Arial"/>
              <w:sz w:val="20"/>
              <w:szCs w:val="20"/>
              <w:vertAlign w:val="baseline"/>
            </w:rPr>
            <w:t xml:space="preserve">• </w:t>
          </w:r>
        </w:sdtContent>
      </w:sdt>
    </w:p>
    <w:p w14:paraId="6835C8F2" w14:textId="77777777" w:rsidR="00634CDF" w:rsidRDefault="00634CDF">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p>
    <w:p w14:paraId="726AE8D1" w14:textId="4CC194E8" w:rsidR="00634CDF" w:rsidRDefault="00D33EB1">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r>
        <w:rPr>
          <w:rFonts w:ascii="Arial" w:eastAsia="Arial" w:hAnsi="Arial" w:cs="Arial"/>
          <w:sz w:val="20"/>
          <w:szCs w:val="20"/>
          <w:vertAlign w:val="baseline"/>
        </w:rPr>
        <w:t xml:space="preserve">En octubre 2021 se localiza </w:t>
      </w:r>
      <w:r w:rsidR="00F0051D">
        <w:rPr>
          <w:rFonts w:ascii="Arial" w:eastAsia="Arial" w:hAnsi="Arial" w:cs="Arial"/>
          <w:sz w:val="20"/>
          <w:szCs w:val="20"/>
          <w:vertAlign w:val="baseline"/>
        </w:rPr>
        <w:t>el documento del NICE en el que se evalúa inclisiran para el tratamiento de la hipercolesterolemia primaria o dislipemia mixta (29)</w:t>
      </w:r>
      <w:r w:rsidR="00B00408">
        <w:rPr>
          <w:rFonts w:ascii="Arial" w:eastAsia="Arial" w:hAnsi="Arial" w:cs="Arial"/>
          <w:sz w:val="20"/>
          <w:szCs w:val="20"/>
          <w:vertAlign w:val="baseline"/>
        </w:rPr>
        <w:t>.</w:t>
      </w:r>
    </w:p>
    <w:p w14:paraId="0A729244" w14:textId="3490A1EB" w:rsidR="00634CDF" w:rsidRDefault="00B00408" w:rsidP="004E4268">
      <w:pPr>
        <w:ind w:left="-2" w:firstLineChars="0" w:firstLine="0"/>
        <w:jc w:val="both"/>
        <w:rPr>
          <w:rFonts w:ascii="Arial" w:eastAsia="Arial" w:hAnsi="Arial" w:cs="Arial"/>
          <w:sz w:val="20"/>
          <w:szCs w:val="20"/>
          <w:vertAlign w:val="baseline"/>
        </w:rPr>
      </w:pPr>
      <w:r>
        <w:rPr>
          <w:rFonts w:ascii="Arial" w:eastAsia="Arial" w:hAnsi="Arial" w:cs="Arial"/>
          <w:sz w:val="20"/>
          <w:szCs w:val="20"/>
          <w:vertAlign w:val="baseline"/>
        </w:rPr>
        <w:t xml:space="preserve"> </w:t>
      </w:r>
      <w:r w:rsidR="00F0051D">
        <w:rPr>
          <w:rFonts w:ascii="Arial" w:eastAsia="Arial" w:hAnsi="Arial" w:cs="Arial"/>
          <w:sz w:val="20"/>
          <w:szCs w:val="20"/>
          <w:vertAlign w:val="baseline"/>
        </w:rPr>
        <w:t>NICE propone el uso de inclisiran en pacientes con algún evento cardiovascular previo y que no consiguen el objetivo de C-L</w:t>
      </w:r>
      <w:r>
        <w:rPr>
          <w:rFonts w:ascii="Arial" w:eastAsia="Arial" w:hAnsi="Arial" w:cs="Arial"/>
          <w:sz w:val="20"/>
          <w:szCs w:val="20"/>
          <w:vertAlign w:val="baseline"/>
        </w:rPr>
        <w:t xml:space="preserve">DL </w:t>
      </w:r>
      <w:r w:rsidR="00F0051D">
        <w:rPr>
          <w:rFonts w:ascii="Arial" w:eastAsia="Arial" w:hAnsi="Arial" w:cs="Arial"/>
          <w:sz w:val="20"/>
          <w:szCs w:val="20"/>
          <w:vertAlign w:val="baseline"/>
        </w:rPr>
        <w:t>(&gt;100 mg/dl) a pesar de tratamiento hipolipemiante a dosis máximas toleradas, además de cumplir el acuerdo de precio. En prevención primaria, NICE no recomienda el uso de inclisiran salvo en investigación.</w:t>
      </w:r>
    </w:p>
    <w:p w14:paraId="6861E363" w14:textId="77777777" w:rsidR="00634CDF" w:rsidRDefault="00F0051D">
      <w:pPr>
        <w:ind w:left="0" w:hanging="2"/>
        <w:jc w:val="both"/>
        <w:rPr>
          <w:rFonts w:ascii="Arial" w:eastAsia="Arial" w:hAnsi="Arial" w:cs="Arial"/>
          <w:sz w:val="20"/>
          <w:szCs w:val="20"/>
          <w:vertAlign w:val="baseline"/>
        </w:rPr>
      </w:pPr>
      <w:r>
        <w:rPr>
          <w:rFonts w:ascii="Arial" w:eastAsia="Arial" w:hAnsi="Arial" w:cs="Arial"/>
          <w:sz w:val="20"/>
          <w:szCs w:val="20"/>
          <w:vertAlign w:val="baseline"/>
        </w:rPr>
        <w:t xml:space="preserve"> </w:t>
      </w:r>
    </w:p>
    <w:p w14:paraId="0E5D3F02" w14:textId="6ABAC01D" w:rsidR="00634CDF" w:rsidRDefault="00F0051D">
      <w:pPr>
        <w:ind w:left="0" w:hanging="2"/>
        <w:jc w:val="both"/>
        <w:rPr>
          <w:rFonts w:ascii="Arial" w:eastAsia="Arial" w:hAnsi="Arial" w:cs="Arial"/>
          <w:sz w:val="20"/>
          <w:szCs w:val="20"/>
          <w:vertAlign w:val="baseline"/>
        </w:rPr>
      </w:pPr>
      <w:r>
        <w:rPr>
          <w:rFonts w:ascii="Arial" w:eastAsia="Arial" w:hAnsi="Arial" w:cs="Arial"/>
          <w:sz w:val="20"/>
          <w:szCs w:val="20"/>
          <w:vertAlign w:val="baseline"/>
        </w:rPr>
        <w:t xml:space="preserve">También se ha localizado el </w:t>
      </w:r>
      <w:r w:rsidRPr="00F20431">
        <w:rPr>
          <w:rFonts w:ascii="Arial" w:eastAsia="Arial" w:hAnsi="Arial" w:cs="Arial"/>
          <w:sz w:val="20"/>
          <w:szCs w:val="20"/>
          <w:vertAlign w:val="baseline"/>
        </w:rPr>
        <w:t xml:space="preserve">informe de la </w:t>
      </w:r>
      <w:r w:rsidR="00B00408" w:rsidRPr="00F20431">
        <w:rPr>
          <w:rFonts w:ascii="Arial" w:eastAsia="Arial" w:hAnsi="Arial" w:cs="Arial"/>
          <w:sz w:val="20"/>
          <w:szCs w:val="20"/>
          <w:vertAlign w:val="baseline"/>
        </w:rPr>
        <w:t>Agencia Canadiense de Evaluación de Tecnologías S</w:t>
      </w:r>
      <w:r w:rsidRPr="00F20431">
        <w:rPr>
          <w:rFonts w:ascii="Arial" w:eastAsia="Arial" w:hAnsi="Arial" w:cs="Arial"/>
          <w:sz w:val="20"/>
          <w:szCs w:val="20"/>
          <w:vertAlign w:val="baseline"/>
        </w:rPr>
        <w:t xml:space="preserve">anitarias (30) </w:t>
      </w:r>
      <w:r w:rsidR="00B00408" w:rsidRPr="00F20431">
        <w:rPr>
          <w:rFonts w:ascii="Arial" w:eastAsia="Arial" w:hAnsi="Arial" w:cs="Arial"/>
          <w:sz w:val="20"/>
          <w:szCs w:val="20"/>
          <w:vertAlign w:val="baseline"/>
        </w:rPr>
        <w:t>cuya conclusión es NO</w:t>
      </w:r>
      <w:r w:rsidRPr="00F20431">
        <w:rPr>
          <w:rFonts w:ascii="Arial" w:eastAsia="Arial" w:hAnsi="Arial" w:cs="Arial"/>
          <w:sz w:val="20"/>
          <w:szCs w:val="20"/>
          <w:vertAlign w:val="baseline"/>
        </w:rPr>
        <w:t xml:space="preserve"> </w:t>
      </w:r>
      <w:r w:rsidR="00B00408" w:rsidRPr="00F20431">
        <w:rPr>
          <w:rFonts w:ascii="Arial" w:eastAsia="Arial" w:hAnsi="Arial" w:cs="Arial"/>
          <w:sz w:val="20"/>
          <w:szCs w:val="20"/>
          <w:vertAlign w:val="baseline"/>
        </w:rPr>
        <w:t>recomendar</w:t>
      </w:r>
      <w:r w:rsidR="00B00408">
        <w:rPr>
          <w:rFonts w:ascii="Arial" w:eastAsia="Arial" w:hAnsi="Arial" w:cs="Arial"/>
          <w:sz w:val="20"/>
          <w:szCs w:val="20"/>
          <w:vertAlign w:val="baseline"/>
        </w:rPr>
        <w:t xml:space="preserve"> </w:t>
      </w:r>
      <w:r>
        <w:rPr>
          <w:rFonts w:ascii="Arial" w:eastAsia="Arial" w:hAnsi="Arial" w:cs="Arial"/>
          <w:sz w:val="20"/>
          <w:szCs w:val="20"/>
          <w:vertAlign w:val="baseline"/>
        </w:rPr>
        <w:t xml:space="preserve">el reembolso de inclisiran en el sistema </w:t>
      </w:r>
      <w:r w:rsidR="00D33EB1">
        <w:rPr>
          <w:rFonts w:ascii="Arial" w:eastAsia="Arial" w:hAnsi="Arial" w:cs="Arial"/>
          <w:sz w:val="20"/>
          <w:szCs w:val="20"/>
          <w:vertAlign w:val="baseline"/>
        </w:rPr>
        <w:t>canadiense</w:t>
      </w:r>
      <w:r>
        <w:rPr>
          <w:rFonts w:ascii="Arial" w:eastAsia="Arial" w:hAnsi="Arial" w:cs="Arial"/>
          <w:sz w:val="20"/>
          <w:szCs w:val="20"/>
          <w:vertAlign w:val="baseline"/>
        </w:rPr>
        <w:t xml:space="preserve"> de salud, discutiendo los siguientes aspectos:</w:t>
      </w:r>
    </w:p>
    <w:p w14:paraId="2A46F4BD" w14:textId="77777777" w:rsidR="00634CDF" w:rsidRDefault="00634CDF">
      <w:pPr>
        <w:ind w:left="0" w:hanging="2"/>
        <w:jc w:val="both"/>
        <w:rPr>
          <w:rFonts w:ascii="Arial" w:eastAsia="Arial" w:hAnsi="Arial" w:cs="Arial"/>
          <w:sz w:val="20"/>
          <w:szCs w:val="20"/>
          <w:vertAlign w:val="baseline"/>
        </w:rPr>
      </w:pPr>
    </w:p>
    <w:p w14:paraId="7F27B54C" w14:textId="196914D8" w:rsidR="00634CDF" w:rsidRPr="004E4268" w:rsidRDefault="00F0051D" w:rsidP="004E4268">
      <w:pPr>
        <w:pStyle w:val="Prrafodelista"/>
        <w:numPr>
          <w:ilvl w:val="0"/>
          <w:numId w:val="18"/>
        </w:numPr>
        <w:ind w:leftChars="0" w:firstLineChars="0"/>
        <w:jc w:val="both"/>
        <w:rPr>
          <w:rFonts w:ascii="Arial" w:eastAsia="Arial" w:hAnsi="Arial" w:cs="Arial"/>
          <w:sz w:val="20"/>
          <w:szCs w:val="20"/>
          <w:vertAlign w:val="baseline"/>
        </w:rPr>
      </w:pPr>
      <w:r w:rsidRPr="004E4268">
        <w:rPr>
          <w:rFonts w:ascii="Arial" w:eastAsia="Arial" w:hAnsi="Arial" w:cs="Arial"/>
          <w:sz w:val="20"/>
          <w:szCs w:val="20"/>
          <w:vertAlign w:val="baseline"/>
        </w:rPr>
        <w:t xml:space="preserve">No hay suficiente evidencia para evaluar el beneficio clínico de inclisiran para reducir eventos cardiovasculares en pacientes con hipercolesterolemia familiar heterocigótica, hipercolesterolemia no familiar o pacientes con FRCV. </w:t>
      </w:r>
    </w:p>
    <w:p w14:paraId="31631F1E" w14:textId="6F51630E" w:rsidR="00634CDF" w:rsidRPr="004E4268" w:rsidRDefault="00F0051D" w:rsidP="004E4268">
      <w:pPr>
        <w:pStyle w:val="Prrafodelista"/>
        <w:numPr>
          <w:ilvl w:val="0"/>
          <w:numId w:val="18"/>
        </w:numPr>
        <w:ind w:leftChars="0" w:firstLineChars="0"/>
        <w:jc w:val="both"/>
        <w:rPr>
          <w:rFonts w:ascii="Arial" w:eastAsia="Arial" w:hAnsi="Arial" w:cs="Arial"/>
          <w:sz w:val="20"/>
          <w:szCs w:val="20"/>
          <w:vertAlign w:val="baseline"/>
        </w:rPr>
      </w:pPr>
      <w:r w:rsidRPr="004E4268">
        <w:rPr>
          <w:rFonts w:ascii="Arial" w:eastAsia="Arial" w:hAnsi="Arial" w:cs="Arial"/>
          <w:sz w:val="20"/>
          <w:szCs w:val="20"/>
          <w:vertAlign w:val="baseline"/>
        </w:rPr>
        <w:t xml:space="preserve">Hay dos estudios en desarrollo: ORION-4 and ORION-8 de los que se espera que proporcionen mayor evidencia para caracterizar más completamente inclisiran en relación a la prevención de eventos cardiovasculares y muertes relacionadas con eventos </w:t>
      </w:r>
      <w:r w:rsidR="00D33EB1" w:rsidRPr="004E4268">
        <w:rPr>
          <w:rFonts w:ascii="Arial" w:eastAsia="Arial" w:hAnsi="Arial" w:cs="Arial"/>
          <w:sz w:val="20"/>
          <w:szCs w:val="20"/>
          <w:vertAlign w:val="baseline"/>
        </w:rPr>
        <w:t>cardiovasculares,</w:t>
      </w:r>
      <w:r w:rsidRPr="004E4268">
        <w:rPr>
          <w:rFonts w:ascii="Arial" w:eastAsia="Arial" w:hAnsi="Arial" w:cs="Arial"/>
          <w:sz w:val="20"/>
          <w:szCs w:val="20"/>
          <w:vertAlign w:val="baseline"/>
        </w:rPr>
        <w:t xml:space="preserve"> así como proporcionar resultados a largo plazo de eficacia y seguridad.</w:t>
      </w:r>
    </w:p>
    <w:p w14:paraId="42AD9B23" w14:textId="2051FFF5" w:rsidR="00634CDF" w:rsidRPr="004E4268" w:rsidRDefault="00F0051D" w:rsidP="004E4268">
      <w:pPr>
        <w:pStyle w:val="Prrafodelista"/>
        <w:numPr>
          <w:ilvl w:val="0"/>
          <w:numId w:val="18"/>
        </w:numPr>
        <w:ind w:leftChars="0" w:firstLineChars="0"/>
        <w:jc w:val="both"/>
        <w:rPr>
          <w:rFonts w:ascii="Arial" w:eastAsia="Arial" w:hAnsi="Arial" w:cs="Arial"/>
          <w:sz w:val="20"/>
          <w:szCs w:val="20"/>
          <w:vertAlign w:val="baseline"/>
        </w:rPr>
      </w:pPr>
      <w:r w:rsidRPr="004E4268">
        <w:rPr>
          <w:rFonts w:ascii="Arial" w:eastAsia="Arial" w:hAnsi="Arial" w:cs="Arial"/>
          <w:sz w:val="20"/>
          <w:szCs w:val="20"/>
          <w:vertAlign w:val="baseline"/>
        </w:rPr>
        <w:t xml:space="preserve">No hay evidencia de que inclisiran sea mejor tolerado en pacientes no respondedores o intolerantes a inhibidores de PSCK9 y que hay incertidumbre actualmente sobre la eficacia de cambiar de estos fármacos a inclisiran en relación a la reducción de niveles de C-LDL, morbi y mortalidad cardiovascular </w:t>
      </w:r>
    </w:p>
    <w:p w14:paraId="1925745F" w14:textId="04D514D4" w:rsidR="00634CDF" w:rsidRPr="004E4268" w:rsidRDefault="00F0051D" w:rsidP="004E4268">
      <w:pPr>
        <w:pStyle w:val="Prrafodelista"/>
        <w:numPr>
          <w:ilvl w:val="0"/>
          <w:numId w:val="18"/>
        </w:numPr>
        <w:ind w:leftChars="0" w:firstLineChars="0"/>
        <w:jc w:val="both"/>
        <w:rPr>
          <w:rFonts w:ascii="Arial" w:eastAsia="Arial" w:hAnsi="Arial" w:cs="Arial"/>
          <w:sz w:val="20"/>
          <w:szCs w:val="20"/>
          <w:vertAlign w:val="baseline"/>
        </w:rPr>
      </w:pPr>
      <w:r w:rsidRPr="004E4268">
        <w:rPr>
          <w:rFonts w:ascii="Arial" w:eastAsia="Arial" w:hAnsi="Arial" w:cs="Arial"/>
          <w:sz w:val="20"/>
          <w:szCs w:val="20"/>
          <w:vertAlign w:val="baseline"/>
        </w:rPr>
        <w:t xml:space="preserve">Actualmente hay incertidumbre en relación a los resultados a largo plazo de eficacia y seguridad de inclisiran, con un novedoso mecanismo de acción, en relación a alirocumab y evolocumab. </w:t>
      </w:r>
    </w:p>
    <w:p w14:paraId="4CEE0E25" w14:textId="77777777" w:rsidR="00634CDF" w:rsidRDefault="00634CDF">
      <w:pPr>
        <w:ind w:left="0" w:hanging="2"/>
        <w:jc w:val="both"/>
        <w:rPr>
          <w:rFonts w:ascii="Arial" w:eastAsia="Arial" w:hAnsi="Arial" w:cs="Arial"/>
          <w:sz w:val="20"/>
          <w:szCs w:val="20"/>
          <w:vertAlign w:val="baseline"/>
        </w:rPr>
      </w:pPr>
    </w:p>
    <w:p w14:paraId="63A16CAB" w14:textId="1A21059C" w:rsidR="00634CDF" w:rsidRDefault="00F0051D">
      <w:pPr>
        <w:ind w:left="0" w:hanging="2"/>
        <w:jc w:val="both"/>
        <w:rPr>
          <w:rFonts w:ascii="Arial" w:eastAsia="Arial" w:hAnsi="Arial" w:cs="Arial"/>
          <w:sz w:val="20"/>
          <w:szCs w:val="20"/>
          <w:vertAlign w:val="baseline"/>
        </w:rPr>
      </w:pPr>
      <w:r>
        <w:rPr>
          <w:rFonts w:ascii="Arial" w:eastAsia="Arial" w:hAnsi="Arial" w:cs="Arial"/>
          <w:sz w:val="20"/>
          <w:szCs w:val="20"/>
          <w:vertAlign w:val="baseline"/>
        </w:rPr>
        <w:t xml:space="preserve">No se ha identificado evidencia de comparaciones directas entre inhibidores PCSK9 u otros fármacos que se adicionan al tratamiento como ezetimiba. La compañía proporcionó una comparación indirecta en la que sugería que inclisiran no tiene diferencias en eficacia, reducción de C-LDL comparado con alirocumab o evolocumab. Hay incertidumbre en los resultados de la comparación indirecta debido a la heterogeneidad inherente entre </w:t>
      </w:r>
      <w:r w:rsidR="00D33EB1">
        <w:rPr>
          <w:rFonts w:ascii="Arial" w:eastAsia="Arial" w:hAnsi="Arial" w:cs="Arial"/>
          <w:sz w:val="20"/>
          <w:szCs w:val="20"/>
          <w:vertAlign w:val="baseline"/>
        </w:rPr>
        <w:t>los estudios</w:t>
      </w:r>
      <w:r>
        <w:rPr>
          <w:rFonts w:ascii="Arial" w:eastAsia="Arial" w:hAnsi="Arial" w:cs="Arial"/>
          <w:sz w:val="20"/>
          <w:szCs w:val="20"/>
          <w:vertAlign w:val="baseline"/>
        </w:rPr>
        <w:t xml:space="preserve"> incluidos en los metanálisis. </w:t>
      </w:r>
      <w:r w:rsidR="00D33EB1">
        <w:rPr>
          <w:rFonts w:ascii="Arial" w:eastAsia="Arial" w:hAnsi="Arial" w:cs="Arial"/>
          <w:sz w:val="20"/>
          <w:szCs w:val="20"/>
          <w:vertAlign w:val="baseline"/>
        </w:rPr>
        <w:t>Además,</w:t>
      </w:r>
      <w:r>
        <w:rPr>
          <w:rFonts w:ascii="Arial" w:eastAsia="Arial" w:hAnsi="Arial" w:cs="Arial"/>
          <w:sz w:val="20"/>
          <w:szCs w:val="20"/>
          <w:vertAlign w:val="baseline"/>
        </w:rPr>
        <w:t xml:space="preserve"> se emplearon variables obtenidas a las 24 semanas, duración relativamente corta para una patología crónica como hipercolesterolemia.</w:t>
      </w:r>
    </w:p>
    <w:p w14:paraId="42D2C40C" w14:textId="77777777" w:rsidR="00634CDF" w:rsidRDefault="00634CDF">
      <w:pPr>
        <w:ind w:left="0" w:hanging="2"/>
        <w:jc w:val="both"/>
        <w:rPr>
          <w:rFonts w:ascii="Arial" w:eastAsia="Arial" w:hAnsi="Arial" w:cs="Arial"/>
          <w:sz w:val="20"/>
          <w:szCs w:val="20"/>
          <w:vertAlign w:val="baseline"/>
        </w:rPr>
      </w:pPr>
    </w:p>
    <w:p w14:paraId="2AB7D7BA"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 xml:space="preserve">5.4.3 Opiniones de expertos </w:t>
      </w:r>
    </w:p>
    <w:p w14:paraId="69DBCC77"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bookmarkStart w:id="58" w:name="_heading=h.1hmsyys" w:colFirst="0" w:colLast="0"/>
      <w:bookmarkEnd w:id="58"/>
    </w:p>
    <w:p w14:paraId="303FDF87"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5.4.4 Otras fuentes.</w:t>
      </w:r>
    </w:p>
    <w:p w14:paraId="1D6EFFE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 xml:space="preserve">                 </w:t>
      </w:r>
    </w:p>
    <w:tbl>
      <w:tblPr>
        <w:tblStyle w:val="af7"/>
        <w:tblW w:w="8910" w:type="dxa"/>
        <w:tblInd w:w="-5" w:type="dxa"/>
        <w:tblLayout w:type="fixed"/>
        <w:tblLook w:val="0000" w:firstRow="0" w:lastRow="0" w:firstColumn="0" w:lastColumn="0" w:noHBand="0" w:noVBand="0"/>
      </w:tblPr>
      <w:tblGrid>
        <w:gridCol w:w="8910"/>
      </w:tblGrid>
      <w:tr w:rsidR="00634CDF" w14:paraId="5A49CA4E" w14:textId="77777777">
        <w:trPr>
          <w:trHeight w:val="228"/>
        </w:trPr>
        <w:tc>
          <w:tcPr>
            <w:tcW w:w="8910" w:type="dxa"/>
            <w:tcBorders>
              <w:top w:val="single" w:sz="4" w:space="0" w:color="000000"/>
              <w:left w:val="single" w:sz="4" w:space="0" w:color="000000"/>
              <w:bottom w:val="single" w:sz="4" w:space="0" w:color="000000"/>
              <w:right w:val="single" w:sz="4" w:space="0" w:color="000000"/>
            </w:tcBorders>
            <w:shd w:val="clear" w:color="auto" w:fill="B3B3B3"/>
          </w:tcPr>
          <w:p w14:paraId="465C3428" w14:textId="77777777" w:rsidR="00634CDF" w:rsidRDefault="00F0051D">
            <w:pPr>
              <w:keepNext/>
              <w:pBdr>
                <w:top w:val="none" w:sz="0" w:space="0" w:color="000000"/>
                <w:left w:val="none" w:sz="0" w:space="0" w:color="000000"/>
                <w:bottom w:val="none" w:sz="0" w:space="0" w:color="000000"/>
                <w:right w:val="none" w:sz="0" w:space="0" w:color="000000"/>
                <w:between w:val="nil"/>
              </w:pBdr>
              <w:shd w:val="clear" w:color="auto" w:fill="A6A6A6"/>
              <w:spacing w:line="240" w:lineRule="auto"/>
              <w:ind w:left="0" w:hanging="2"/>
              <w:rPr>
                <w:color w:val="000000"/>
                <w:vertAlign w:val="baseline"/>
              </w:rPr>
            </w:pPr>
            <w:r>
              <w:rPr>
                <w:rFonts w:ascii="Arial" w:eastAsia="Arial" w:hAnsi="Arial" w:cs="Arial"/>
                <w:b/>
                <w:color w:val="000000"/>
                <w:sz w:val="20"/>
                <w:szCs w:val="20"/>
                <w:vertAlign w:val="baseline"/>
              </w:rPr>
              <w:t xml:space="preserve">6. EVALUACIÓN DE LA SEGURIDAD. </w:t>
            </w:r>
          </w:p>
        </w:tc>
      </w:tr>
    </w:tbl>
    <w:p w14:paraId="5BE30221"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bookmarkStart w:id="59" w:name="_heading=h.41mghml" w:colFirst="0" w:colLast="0"/>
      <w:bookmarkEnd w:id="59"/>
    </w:p>
    <w:p w14:paraId="2ED58621"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6.1.a Descripción de la búsqueda bibliográfica</w:t>
      </w:r>
    </w:p>
    <w:p w14:paraId="5087672B" w14:textId="77777777" w:rsidR="00634CDF" w:rsidRDefault="00634CDF">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20"/>
          <w:szCs w:val="20"/>
          <w:vertAlign w:val="baseline"/>
        </w:rPr>
      </w:pPr>
    </w:p>
    <w:p w14:paraId="758DCBE3" w14:textId="77777777" w:rsidR="00634CDF" w:rsidRDefault="00F0051D">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20"/>
          <w:szCs w:val="20"/>
          <w:vertAlign w:val="baseline"/>
        </w:rPr>
      </w:pPr>
      <w:r>
        <w:rPr>
          <w:rFonts w:ascii="Arial" w:eastAsia="Arial" w:hAnsi="Arial" w:cs="Arial"/>
          <w:color w:val="000000"/>
          <w:sz w:val="20"/>
          <w:szCs w:val="20"/>
          <w:vertAlign w:val="baseline"/>
        </w:rPr>
        <w:t>La información incluida con respecto a seguridad en el presente informe está fundamentada en la aportada por</w:t>
      </w:r>
      <w:r>
        <w:rPr>
          <w:rFonts w:ascii="Arial" w:eastAsia="Arial" w:hAnsi="Arial" w:cs="Arial"/>
          <w:i/>
          <w:color w:val="000000"/>
          <w:sz w:val="20"/>
          <w:szCs w:val="20"/>
          <w:vertAlign w:val="baseline"/>
        </w:rPr>
        <w:t xml:space="preserve"> el European Public Assessment Report (EPAR) de Leqvio</w:t>
      </w:r>
      <w:r>
        <w:rPr>
          <w:rFonts w:ascii="Calibri" w:eastAsia="Calibri" w:hAnsi="Calibri" w:cs="Calibri"/>
          <w:i/>
          <w:color w:val="000000"/>
          <w:sz w:val="20"/>
          <w:szCs w:val="20"/>
          <w:vertAlign w:val="baseline"/>
        </w:rPr>
        <w:t>®</w:t>
      </w:r>
      <w:r>
        <w:rPr>
          <w:rFonts w:ascii="Arial" w:eastAsia="Arial" w:hAnsi="Arial" w:cs="Arial"/>
          <w:color w:val="000000"/>
          <w:sz w:val="20"/>
          <w:szCs w:val="20"/>
          <w:vertAlign w:val="baseline"/>
        </w:rPr>
        <w:t xml:space="preserve"> (Inclisiran) que </w:t>
      </w:r>
      <w:r w:rsidRPr="00D33EB1">
        <w:rPr>
          <w:rFonts w:ascii="Arial" w:eastAsia="Arial" w:hAnsi="Arial" w:cs="Arial"/>
          <w:color w:val="000000"/>
          <w:sz w:val="20"/>
          <w:szCs w:val="20"/>
          <w:vertAlign w:val="baseline"/>
        </w:rPr>
        <w:t xml:space="preserve">incluye información del ensayo fase II ORION-1 y fase III (ORION-9, ORION-10 y ORION-11) </w:t>
      </w:r>
      <w:r w:rsidRPr="00D66FD9">
        <w:rPr>
          <w:rFonts w:ascii="Arial" w:eastAsia="Arial" w:hAnsi="Arial" w:cs="Arial"/>
          <w:color w:val="000000"/>
          <w:sz w:val="20"/>
          <w:szCs w:val="20"/>
          <w:shd w:val="clear" w:color="auto" w:fill="FFCC99"/>
          <w:vertAlign w:val="baseline"/>
        </w:rPr>
        <w:t>(16</w:t>
      </w:r>
      <w:r w:rsidRPr="00D66FD9">
        <w:rPr>
          <w:rFonts w:ascii="Arial" w:eastAsia="Arial" w:hAnsi="Arial" w:cs="Arial"/>
          <w:color w:val="FFFFFF" w:themeColor="background1"/>
          <w:sz w:val="20"/>
          <w:szCs w:val="20"/>
          <w:shd w:val="clear" w:color="auto" w:fill="FFCC99"/>
          <w:vertAlign w:val="baseline"/>
        </w:rPr>
        <w:t>)</w:t>
      </w:r>
      <w:r w:rsidRPr="00D66FD9">
        <w:rPr>
          <w:rFonts w:ascii="Arial" w:eastAsia="Arial" w:hAnsi="Arial" w:cs="Arial"/>
          <w:color w:val="FFFFFF" w:themeColor="background1"/>
          <w:sz w:val="20"/>
          <w:szCs w:val="20"/>
          <w:vertAlign w:val="baseline"/>
        </w:rPr>
        <w:t xml:space="preserve">. </w:t>
      </w:r>
      <w:r>
        <w:rPr>
          <w:rFonts w:ascii="Arial" w:eastAsia="Arial" w:hAnsi="Arial" w:cs="Arial"/>
          <w:color w:val="000000"/>
          <w:sz w:val="20"/>
          <w:szCs w:val="20"/>
          <w:vertAlign w:val="baseline"/>
        </w:rPr>
        <w:t>La población incluida en los ensayos fase III se considera globalmente un pool de población de seguridad y en el EPAR se evalúa de forma conjunta (ensayos clínicos agregados). Además, se revisaron los artículos científicos que publicaron los principales resultados de los ensayos ORION-9, ORION-10 y ORION-11</w:t>
      </w:r>
      <w:r>
        <w:rPr>
          <w:rFonts w:ascii="Arial" w:eastAsia="Arial" w:hAnsi="Arial" w:cs="Arial"/>
          <w:i/>
          <w:color w:val="000000"/>
          <w:sz w:val="20"/>
          <w:szCs w:val="20"/>
          <w:vertAlign w:val="baseline"/>
        </w:rPr>
        <w:t xml:space="preserve"> </w:t>
      </w:r>
      <w:r>
        <w:rPr>
          <w:rFonts w:ascii="Arial" w:eastAsia="Arial" w:hAnsi="Arial" w:cs="Arial"/>
          <w:color w:val="000000"/>
          <w:sz w:val="20"/>
          <w:szCs w:val="20"/>
          <w:vertAlign w:val="baseline"/>
        </w:rPr>
        <w:t>(</w:t>
      </w:r>
      <w:r>
        <w:rPr>
          <w:rFonts w:ascii="Arial" w:eastAsia="Arial" w:hAnsi="Arial" w:cs="Arial"/>
          <w:sz w:val="20"/>
          <w:szCs w:val="20"/>
          <w:vertAlign w:val="baseline"/>
        </w:rPr>
        <w:t>17,18</w:t>
      </w:r>
      <w:r>
        <w:rPr>
          <w:rFonts w:ascii="Arial" w:eastAsia="Arial" w:hAnsi="Arial" w:cs="Arial"/>
          <w:color w:val="000000"/>
          <w:sz w:val="20"/>
          <w:szCs w:val="20"/>
          <w:vertAlign w:val="baseline"/>
        </w:rPr>
        <w:t>).</w:t>
      </w:r>
    </w:p>
    <w:p w14:paraId="5BD3B98D" w14:textId="77777777" w:rsidR="00634CDF" w:rsidRDefault="00634CDF">
      <w:pPr>
        <w:pBdr>
          <w:top w:val="nil"/>
          <w:left w:val="nil"/>
          <w:bottom w:val="nil"/>
          <w:right w:val="nil"/>
          <w:between w:val="nil"/>
        </w:pBdr>
        <w:spacing w:line="240" w:lineRule="auto"/>
        <w:ind w:left="0" w:hanging="2"/>
        <w:rPr>
          <w:rFonts w:ascii="Arial" w:eastAsia="Arial" w:hAnsi="Arial" w:cs="Arial"/>
          <w:color w:val="FF0000"/>
          <w:sz w:val="20"/>
          <w:szCs w:val="20"/>
          <w:vertAlign w:val="baseline"/>
        </w:rPr>
      </w:pPr>
    </w:p>
    <w:p w14:paraId="64823A40"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6.1.b Descripción de los efectos adversos más significativos</w:t>
      </w:r>
    </w:p>
    <w:p w14:paraId="730195E5" w14:textId="77777777" w:rsidR="00634CDF" w:rsidRDefault="00634CDF">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20"/>
          <w:szCs w:val="20"/>
          <w:vertAlign w:val="baseline"/>
        </w:rPr>
      </w:pPr>
    </w:p>
    <w:p w14:paraId="1EE05A92" w14:textId="77777777" w:rsidR="00634CDF" w:rsidRDefault="00F0051D">
      <w:pPr>
        <w:pBdr>
          <w:top w:val="nil"/>
          <w:left w:val="nil"/>
          <w:bottom w:val="nil"/>
          <w:right w:val="nil"/>
          <w:between w:val="nil"/>
        </w:pBdr>
        <w:shd w:val="clear" w:color="auto" w:fill="FFFFFF"/>
        <w:spacing w:line="240" w:lineRule="auto"/>
        <w:ind w:left="0" w:hanging="2"/>
        <w:jc w:val="both"/>
        <w:rPr>
          <w:rFonts w:ascii="Arial" w:eastAsia="Arial" w:hAnsi="Arial" w:cs="Arial"/>
          <w:b/>
          <w:color w:val="000000"/>
          <w:sz w:val="20"/>
          <w:szCs w:val="20"/>
          <w:u w:val="single"/>
          <w:vertAlign w:val="baseline"/>
        </w:rPr>
      </w:pPr>
      <w:r>
        <w:rPr>
          <w:rFonts w:ascii="Arial" w:eastAsia="Arial" w:hAnsi="Arial" w:cs="Arial"/>
          <w:b/>
          <w:color w:val="000000"/>
          <w:sz w:val="20"/>
          <w:szCs w:val="20"/>
          <w:u w:val="single"/>
          <w:vertAlign w:val="baseline"/>
        </w:rPr>
        <w:lastRenderedPageBreak/>
        <w:t>Ensayos clínicos agregados</w:t>
      </w:r>
    </w:p>
    <w:p w14:paraId="5C9350D8" w14:textId="77777777" w:rsidR="00B00408" w:rsidRPr="004E4268" w:rsidRDefault="00B00408" w:rsidP="004E4268">
      <w:pPr>
        <w:pStyle w:val="WW-normal"/>
        <w:ind w:left="0" w:hanging="2"/>
      </w:pPr>
    </w:p>
    <w:p w14:paraId="1FFF4791" w14:textId="25219041"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20"/>
          <w:szCs w:val="20"/>
          <w:vertAlign w:val="baseline"/>
        </w:rPr>
        <w:t xml:space="preserve">En total el </w:t>
      </w:r>
      <w:r w:rsidRPr="004E4268">
        <w:rPr>
          <w:rFonts w:ascii="Arial" w:eastAsia="Arial" w:hAnsi="Arial" w:cs="Arial"/>
          <w:i/>
          <w:color w:val="000000"/>
          <w:sz w:val="20"/>
          <w:szCs w:val="20"/>
          <w:vertAlign w:val="baseline"/>
        </w:rPr>
        <w:t xml:space="preserve">pool </w:t>
      </w:r>
      <w:r>
        <w:rPr>
          <w:rFonts w:ascii="Arial" w:eastAsia="Arial" w:hAnsi="Arial" w:cs="Arial"/>
          <w:color w:val="000000"/>
          <w:sz w:val="20"/>
          <w:szCs w:val="20"/>
          <w:vertAlign w:val="baseline"/>
        </w:rPr>
        <w:t>de seguridad incluye a 3</w:t>
      </w:r>
      <w:r w:rsidR="00D33EB1">
        <w:rPr>
          <w:rFonts w:ascii="Arial" w:eastAsia="Arial" w:hAnsi="Arial" w:cs="Arial"/>
          <w:color w:val="000000"/>
          <w:sz w:val="20"/>
          <w:szCs w:val="20"/>
          <w:vertAlign w:val="baseline"/>
        </w:rPr>
        <w:t>.</w:t>
      </w:r>
      <w:r>
        <w:rPr>
          <w:rFonts w:ascii="Arial" w:eastAsia="Arial" w:hAnsi="Arial" w:cs="Arial"/>
          <w:color w:val="000000"/>
          <w:sz w:val="20"/>
          <w:szCs w:val="20"/>
          <w:vertAlign w:val="baseline"/>
        </w:rPr>
        <w:t>655 pacientes de los cuales 1833 estuvieron expuestos a inclisiran y un 90,9% recibieron las 4 dosis de inclisiran previstas antes de la finalización de los ensayos. En el pool de seguridad un 77,3% de los pacientes con placebo y un 78% de los pacientes con inclisiran tuvieron algún evento adverso (EA). Un 23% en el grupo de placebo y un 20,4% en inclisiran tuvo algún evento grave (EAG).</w:t>
      </w:r>
    </w:p>
    <w:p w14:paraId="1F6945D1"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20"/>
          <w:szCs w:val="20"/>
          <w:vertAlign w:val="baseline"/>
        </w:rPr>
        <w:t>Los eventos adversos más frecuentes en el grupo de inclisiran (con respecto a placebo) fueron diabetes mellitus, nasofaringitis, artralgia, dolor de espalda, infección del tracto urinario, diarrea, bronquitis, tos, dolor de cabeza, angina, mareo, dolor en extremidades, disnea y reacción en el sitio de inyección. Excepto para la reacción en el sitio de inyección, las diferencias entre inclisiran y placebo fueron pequeñas. Además, las reacciones fueron normalmente leves o moderadas, transitorias y se resolvieron sin secuelas. Ningún paciente tuvo una reacción grave.</w:t>
      </w:r>
    </w:p>
    <w:p w14:paraId="24A828FC" w14:textId="77777777" w:rsidR="00634CDF" w:rsidRDefault="00634CDF">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20"/>
          <w:szCs w:val="20"/>
          <w:vertAlign w:val="baseline"/>
        </w:rPr>
      </w:pPr>
    </w:p>
    <w:p w14:paraId="62391F04" w14:textId="77777777" w:rsidR="00634CDF" w:rsidRDefault="00634CDF">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20"/>
          <w:szCs w:val="20"/>
          <w:vertAlign w:val="baseline"/>
        </w:rPr>
      </w:pPr>
    </w:p>
    <w:tbl>
      <w:tblPr>
        <w:tblStyle w:val="af8"/>
        <w:tblW w:w="8900" w:type="dxa"/>
        <w:tblInd w:w="-5" w:type="dxa"/>
        <w:tblLayout w:type="fixed"/>
        <w:tblLook w:val="0000" w:firstRow="0" w:lastRow="0" w:firstColumn="0" w:lastColumn="0" w:noHBand="0" w:noVBand="0"/>
      </w:tblPr>
      <w:tblGrid>
        <w:gridCol w:w="2691"/>
        <w:gridCol w:w="1261"/>
        <w:gridCol w:w="1095"/>
        <w:gridCol w:w="1829"/>
        <w:gridCol w:w="690"/>
        <w:gridCol w:w="1334"/>
      </w:tblGrid>
      <w:tr w:rsidR="00634CDF" w14:paraId="42C2AD4C" w14:textId="77777777">
        <w:tc>
          <w:tcPr>
            <w:tcW w:w="8900" w:type="dxa"/>
            <w:gridSpan w:val="6"/>
            <w:tcBorders>
              <w:top w:val="single" w:sz="4" w:space="0" w:color="000000"/>
              <w:left w:val="single" w:sz="4" w:space="0" w:color="000000"/>
              <w:bottom w:val="single" w:sz="4" w:space="0" w:color="000000"/>
              <w:right w:val="single" w:sz="4" w:space="0" w:color="000000"/>
            </w:tcBorders>
            <w:shd w:val="clear" w:color="auto" w:fill="CCFFCC"/>
          </w:tcPr>
          <w:p w14:paraId="4467C3A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8"/>
                <w:szCs w:val="18"/>
                <w:vertAlign w:val="baseline"/>
              </w:rPr>
              <w:t>Tabla 16.</w:t>
            </w:r>
            <w:r>
              <w:rPr>
                <w:rFonts w:ascii="Arial" w:eastAsia="Arial" w:hAnsi="Arial" w:cs="Arial"/>
                <w:i/>
                <w:color w:val="000000"/>
                <w:sz w:val="18"/>
                <w:szCs w:val="18"/>
                <w:vertAlign w:val="baseline"/>
              </w:rPr>
              <w:t xml:space="preserve"> </w:t>
            </w:r>
            <w:r>
              <w:rPr>
                <w:rFonts w:ascii="Arial" w:eastAsia="Arial" w:hAnsi="Arial" w:cs="Arial"/>
                <w:b/>
                <w:i/>
                <w:color w:val="000000"/>
                <w:sz w:val="18"/>
                <w:szCs w:val="18"/>
                <w:vertAlign w:val="baseline"/>
              </w:rPr>
              <w:t xml:space="preserve">Eventos adversos. Pool de seguridad (16). </w:t>
            </w:r>
          </w:p>
          <w:p w14:paraId="5BC8D5E6"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r>
      <w:tr w:rsidR="00634CDF" w14:paraId="460E0E9C" w14:textId="77777777">
        <w:tc>
          <w:tcPr>
            <w:tcW w:w="8900" w:type="dxa"/>
            <w:gridSpan w:val="6"/>
            <w:tcBorders>
              <w:top w:val="single" w:sz="4" w:space="0" w:color="000000"/>
              <w:left w:val="single" w:sz="4" w:space="0" w:color="000000"/>
              <w:bottom w:val="single" w:sz="4" w:space="0" w:color="000000"/>
              <w:right w:val="single" w:sz="4" w:space="0" w:color="000000"/>
            </w:tcBorders>
          </w:tcPr>
          <w:p w14:paraId="417F2728"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Fase III, aleatorizado, doble ciego, multicéntrico.(ORION-9,10 y 11)</w:t>
            </w:r>
          </w:p>
        </w:tc>
      </w:tr>
      <w:tr w:rsidR="00634CDF" w14:paraId="2B756111" w14:textId="77777777">
        <w:tc>
          <w:tcPr>
            <w:tcW w:w="8900" w:type="dxa"/>
            <w:gridSpan w:val="6"/>
            <w:tcBorders>
              <w:top w:val="single" w:sz="4" w:space="0" w:color="000000"/>
              <w:left w:val="single" w:sz="4" w:space="0" w:color="000000"/>
              <w:bottom w:val="single" w:sz="4" w:space="0" w:color="000000"/>
              <w:right w:val="single" w:sz="4" w:space="0" w:color="000000"/>
            </w:tcBorders>
            <w:shd w:val="clear" w:color="auto" w:fill="CCFFCC"/>
          </w:tcPr>
          <w:p w14:paraId="245351C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Resultados de seguridad</w:t>
            </w:r>
          </w:p>
        </w:tc>
      </w:tr>
      <w:tr w:rsidR="00634CDF" w14:paraId="6C053313" w14:textId="77777777">
        <w:trPr>
          <w:trHeight w:val="675"/>
        </w:trPr>
        <w:tc>
          <w:tcPr>
            <w:tcW w:w="2691" w:type="dxa"/>
            <w:tcBorders>
              <w:top w:val="single" w:sz="4" w:space="0" w:color="000000"/>
              <w:left w:val="single" w:sz="4" w:space="0" w:color="000000"/>
              <w:bottom w:val="single" w:sz="4" w:space="0" w:color="000000"/>
            </w:tcBorders>
          </w:tcPr>
          <w:p w14:paraId="511982D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t>Variable de seguridad evaluada en el estudio</w:t>
            </w:r>
          </w:p>
        </w:tc>
        <w:tc>
          <w:tcPr>
            <w:tcW w:w="1261" w:type="dxa"/>
            <w:tcBorders>
              <w:top w:val="single" w:sz="4" w:space="0" w:color="000000"/>
              <w:left w:val="single" w:sz="4" w:space="0" w:color="000000"/>
              <w:bottom w:val="single" w:sz="4" w:space="0" w:color="000000"/>
            </w:tcBorders>
          </w:tcPr>
          <w:p w14:paraId="5ABE799B"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 Inclisiran</w:t>
            </w:r>
          </w:p>
          <w:p w14:paraId="584C0BEB"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N (1833)</w:t>
            </w:r>
          </w:p>
        </w:tc>
        <w:tc>
          <w:tcPr>
            <w:tcW w:w="1095" w:type="dxa"/>
            <w:tcBorders>
              <w:top w:val="single" w:sz="4" w:space="0" w:color="000000"/>
              <w:left w:val="single" w:sz="4" w:space="0" w:color="000000"/>
              <w:bottom w:val="single" w:sz="4" w:space="0" w:color="000000"/>
            </w:tcBorders>
          </w:tcPr>
          <w:p w14:paraId="787223B0"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Placebo </w:t>
            </w:r>
          </w:p>
          <w:p w14:paraId="4DD017AA"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N (1822) </w:t>
            </w:r>
          </w:p>
        </w:tc>
        <w:tc>
          <w:tcPr>
            <w:tcW w:w="1829" w:type="dxa"/>
            <w:tcBorders>
              <w:top w:val="single" w:sz="4" w:space="0" w:color="000000"/>
              <w:left w:val="single" w:sz="4" w:space="0" w:color="000000"/>
              <w:bottom w:val="single" w:sz="4" w:space="0" w:color="000000"/>
            </w:tcBorders>
          </w:tcPr>
          <w:p w14:paraId="4328B0FF"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RAR (IC 95%)</w:t>
            </w:r>
            <w:r>
              <w:rPr>
                <w:rFonts w:ascii="Arial" w:eastAsia="Arial" w:hAnsi="Arial" w:cs="Arial"/>
                <w:color w:val="000000"/>
                <w:sz w:val="16"/>
                <w:szCs w:val="16"/>
                <w:vertAlign w:val="baseline"/>
              </w:rPr>
              <w:t xml:space="preserve"> Diferencia Riesgo Absoluto</w:t>
            </w:r>
            <w:r>
              <w:rPr>
                <w:rFonts w:ascii="Arial" w:eastAsia="Arial" w:hAnsi="Arial" w:cs="Arial"/>
                <w:b/>
                <w:i/>
                <w:color w:val="000000"/>
                <w:sz w:val="16"/>
                <w:szCs w:val="16"/>
                <w:vertAlign w:val="baseline"/>
              </w:rPr>
              <w:t xml:space="preserve"> *</w:t>
            </w:r>
          </w:p>
        </w:tc>
        <w:tc>
          <w:tcPr>
            <w:tcW w:w="690" w:type="dxa"/>
            <w:tcBorders>
              <w:top w:val="single" w:sz="4" w:space="0" w:color="000000"/>
              <w:left w:val="single" w:sz="4" w:space="0" w:color="000000"/>
              <w:bottom w:val="single" w:sz="4" w:space="0" w:color="000000"/>
            </w:tcBorders>
          </w:tcPr>
          <w:p w14:paraId="0B1AF11E" w14:textId="77777777" w:rsidR="00634CDF" w:rsidRDefault="00F0051D">
            <w:pPr>
              <w:pBdr>
                <w:top w:val="nil"/>
                <w:left w:val="nil"/>
                <w:bottom w:val="nil"/>
                <w:right w:val="nil"/>
                <w:between w:val="nil"/>
              </w:pBdr>
              <w:tabs>
                <w:tab w:val="left" w:pos="1673"/>
              </w:tabs>
              <w:spacing w:line="240" w:lineRule="auto"/>
              <w:ind w:left="0" w:hanging="2"/>
              <w:jc w:val="both"/>
              <w:rPr>
                <w:color w:val="000000"/>
                <w:vertAlign w:val="baseline"/>
              </w:rPr>
            </w:pPr>
            <w:r>
              <w:rPr>
                <w:rFonts w:ascii="Arial" w:eastAsia="Arial" w:hAnsi="Arial" w:cs="Arial"/>
                <w:b/>
                <w:i/>
                <w:color w:val="000000"/>
                <w:sz w:val="16"/>
                <w:szCs w:val="16"/>
                <w:vertAlign w:val="baseline"/>
              </w:rPr>
              <w:t>P</w:t>
            </w:r>
          </w:p>
        </w:tc>
        <w:tc>
          <w:tcPr>
            <w:tcW w:w="1334" w:type="dxa"/>
            <w:tcBorders>
              <w:top w:val="single" w:sz="4" w:space="0" w:color="000000"/>
              <w:left w:val="single" w:sz="4" w:space="0" w:color="000000"/>
              <w:bottom w:val="single" w:sz="4" w:space="0" w:color="000000"/>
              <w:right w:val="single" w:sz="4" w:space="0" w:color="000000"/>
            </w:tcBorders>
          </w:tcPr>
          <w:p w14:paraId="23A0D48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t>NNH o NND (IC 95%)</w:t>
            </w:r>
          </w:p>
        </w:tc>
      </w:tr>
      <w:tr w:rsidR="00634CDF" w14:paraId="5BB6BE34" w14:textId="77777777">
        <w:trPr>
          <w:trHeight w:val="4768"/>
        </w:trPr>
        <w:tc>
          <w:tcPr>
            <w:tcW w:w="2691" w:type="dxa"/>
            <w:tcBorders>
              <w:top w:val="single" w:sz="4" w:space="0" w:color="000000"/>
              <w:left w:val="single" w:sz="4" w:space="0" w:color="000000"/>
              <w:bottom w:val="single" w:sz="4" w:space="0" w:color="000000"/>
            </w:tcBorders>
          </w:tcPr>
          <w:p w14:paraId="1E85546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 xml:space="preserve"> % Pacientes con:</w:t>
            </w:r>
          </w:p>
          <w:p w14:paraId="7C0451B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EA</w:t>
            </w:r>
          </w:p>
          <w:p w14:paraId="4CC04A00"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07E3BE8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Diabetes mellitus</w:t>
            </w:r>
          </w:p>
          <w:p w14:paraId="4711741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Nasofaringitis</w:t>
            </w:r>
          </w:p>
          <w:p w14:paraId="03A0A7C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Infección del tracto respiratorio superior.</w:t>
            </w:r>
          </w:p>
          <w:p w14:paraId="4550261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Hipertensión</w:t>
            </w:r>
          </w:p>
          <w:p w14:paraId="2ED2738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Artralgia</w:t>
            </w:r>
          </w:p>
          <w:p w14:paraId="5AA627A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Dolor de espalda</w:t>
            </w:r>
          </w:p>
          <w:p w14:paraId="334D15C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Infección del tracto urinario</w:t>
            </w:r>
          </w:p>
          <w:p w14:paraId="2F4A404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Diarrea</w:t>
            </w:r>
          </w:p>
          <w:p w14:paraId="4E909F5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Bronquitis</w:t>
            </w:r>
          </w:p>
          <w:p w14:paraId="1D3E75C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Tos</w:t>
            </w:r>
          </w:p>
          <w:p w14:paraId="0038EF3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Dolor de cabeza</w:t>
            </w:r>
          </w:p>
          <w:p w14:paraId="233EEDD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Angina pectoris</w:t>
            </w:r>
          </w:p>
          <w:p w14:paraId="40376CE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Mareo</w:t>
            </w:r>
          </w:p>
          <w:p w14:paraId="2958F42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Osteoartritis</w:t>
            </w:r>
          </w:p>
          <w:p w14:paraId="549BD5D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Dolor en extremidades</w:t>
            </w:r>
          </w:p>
          <w:p w14:paraId="79673FC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Disnea</w:t>
            </w:r>
          </w:p>
          <w:p w14:paraId="090637E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Aumento de CPK</w:t>
            </w:r>
          </w:p>
          <w:p w14:paraId="4E9BF3A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Dolor de pecho no cardiaco</w:t>
            </w:r>
          </w:p>
          <w:p w14:paraId="4FDE6FB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Gripe</w:t>
            </w:r>
          </w:p>
          <w:p w14:paraId="2370552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Reacción en el sitio de inyección</w:t>
            </w:r>
          </w:p>
        </w:tc>
        <w:tc>
          <w:tcPr>
            <w:tcW w:w="1261" w:type="dxa"/>
            <w:tcBorders>
              <w:top w:val="single" w:sz="4" w:space="0" w:color="000000"/>
              <w:left w:val="single" w:sz="4" w:space="0" w:color="000000"/>
              <w:bottom w:val="single" w:sz="4" w:space="0" w:color="000000"/>
            </w:tcBorders>
          </w:tcPr>
          <w:p w14:paraId="277EE62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A500FC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78</w:t>
            </w:r>
          </w:p>
          <w:p w14:paraId="7C7931A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073E6D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11,6</w:t>
            </w:r>
          </w:p>
          <w:p w14:paraId="096C492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7,6</w:t>
            </w:r>
          </w:p>
          <w:p w14:paraId="1A3E749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5,7</w:t>
            </w:r>
          </w:p>
          <w:p w14:paraId="690AC8F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DCDD52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5,7</w:t>
            </w:r>
          </w:p>
          <w:p w14:paraId="3C77E07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w:t>
            </w:r>
          </w:p>
          <w:p w14:paraId="5DEAE2C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4,5</w:t>
            </w:r>
          </w:p>
          <w:p w14:paraId="170B23A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4,4</w:t>
            </w:r>
          </w:p>
          <w:p w14:paraId="216336A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3,9</w:t>
            </w:r>
          </w:p>
          <w:p w14:paraId="76336F1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4,3</w:t>
            </w:r>
          </w:p>
          <w:p w14:paraId="2E3AA75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3,3</w:t>
            </w:r>
          </w:p>
          <w:p w14:paraId="1B31AAF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3,2</w:t>
            </w:r>
          </w:p>
          <w:p w14:paraId="5B7885B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3,2</w:t>
            </w:r>
          </w:p>
          <w:p w14:paraId="39AEC25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3,2</w:t>
            </w:r>
          </w:p>
          <w:p w14:paraId="0061EC3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2,7</w:t>
            </w:r>
          </w:p>
          <w:p w14:paraId="47B0537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3,3</w:t>
            </w:r>
          </w:p>
          <w:p w14:paraId="5280149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3,2</w:t>
            </w:r>
          </w:p>
          <w:p w14:paraId="16A2CAD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2,3</w:t>
            </w:r>
          </w:p>
          <w:p w14:paraId="7E4C2F6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2,4</w:t>
            </w:r>
          </w:p>
          <w:p w14:paraId="4BC2B2E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2,2</w:t>
            </w:r>
          </w:p>
          <w:p w14:paraId="0756C60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3,1</w:t>
            </w:r>
          </w:p>
          <w:p w14:paraId="26F6C5A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409F88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c>
          <w:tcPr>
            <w:tcW w:w="1095" w:type="dxa"/>
            <w:tcBorders>
              <w:top w:val="single" w:sz="4" w:space="0" w:color="000000"/>
              <w:left w:val="single" w:sz="4" w:space="0" w:color="000000"/>
              <w:bottom w:val="single" w:sz="4" w:space="0" w:color="000000"/>
            </w:tcBorders>
          </w:tcPr>
          <w:p w14:paraId="6D9030D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FAF04E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77,3</w:t>
            </w:r>
          </w:p>
          <w:p w14:paraId="085C909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22426A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11,4</w:t>
            </w:r>
          </w:p>
          <w:p w14:paraId="1FEAE1A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7,4</w:t>
            </w:r>
          </w:p>
          <w:p w14:paraId="10DFA47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5,7</w:t>
            </w:r>
          </w:p>
          <w:p w14:paraId="6EB5A9D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A42A9C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5,7</w:t>
            </w:r>
          </w:p>
          <w:p w14:paraId="7A78022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4</w:t>
            </w:r>
          </w:p>
          <w:p w14:paraId="68F730E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4,2</w:t>
            </w:r>
          </w:p>
          <w:p w14:paraId="6E1B609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3,6</w:t>
            </w:r>
          </w:p>
          <w:p w14:paraId="2B55387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3,5</w:t>
            </w:r>
          </w:p>
          <w:p w14:paraId="7F638B9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2,7</w:t>
            </w:r>
          </w:p>
          <w:p w14:paraId="28EEE45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3</w:t>
            </w:r>
          </w:p>
          <w:p w14:paraId="6FBAB85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3,1</w:t>
            </w:r>
          </w:p>
          <w:p w14:paraId="693EE08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 xml:space="preserve">       3,1</w:t>
            </w:r>
          </w:p>
          <w:p w14:paraId="2C38B63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3</w:t>
            </w:r>
          </w:p>
          <w:p w14:paraId="16B3630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3,4</w:t>
            </w:r>
          </w:p>
          <w:p w14:paraId="7AE9DCF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2,6</w:t>
            </w:r>
          </w:p>
          <w:p w14:paraId="78CF44D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2,6</w:t>
            </w:r>
          </w:p>
          <w:p w14:paraId="429042F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3,3</w:t>
            </w:r>
          </w:p>
          <w:p w14:paraId="336608B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3,2</w:t>
            </w:r>
          </w:p>
          <w:p w14:paraId="6C6978D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3</w:t>
            </w:r>
          </w:p>
          <w:p w14:paraId="254EF0C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0,1</w:t>
            </w:r>
          </w:p>
          <w:p w14:paraId="6078068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79FCCD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c>
          <w:tcPr>
            <w:tcW w:w="1829" w:type="dxa"/>
            <w:tcBorders>
              <w:top w:val="single" w:sz="4" w:space="0" w:color="000000"/>
              <w:left w:val="single" w:sz="4" w:space="0" w:color="000000"/>
              <w:bottom w:val="single" w:sz="4" w:space="0" w:color="000000"/>
            </w:tcBorders>
          </w:tcPr>
          <w:p w14:paraId="48819BAF"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2F3E6B1B"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089FBF2E"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73760F6A"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133A4F32"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3EFCE40A"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06C53A4A"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5759D683"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2C87512F"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5E4239A3"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2DA9F995"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6CD89B06"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4CC02379" w14:textId="77777777" w:rsidR="00634CDF" w:rsidRDefault="00F0051D">
            <w:pPr>
              <w:pBdr>
                <w:top w:val="nil"/>
                <w:left w:val="nil"/>
                <w:bottom w:val="nil"/>
                <w:right w:val="nil"/>
                <w:between w:val="nil"/>
              </w:pBdr>
              <w:tabs>
                <w:tab w:val="center" w:pos="851"/>
              </w:tabs>
              <w:spacing w:line="240" w:lineRule="auto"/>
              <w:ind w:left="0" w:hanging="2"/>
              <w:rPr>
                <w:color w:val="000000"/>
                <w:vertAlign w:val="baseline"/>
              </w:rPr>
            </w:pPr>
            <w:r>
              <w:rPr>
                <w:rFonts w:ascii="Arial" w:eastAsia="Arial" w:hAnsi="Arial" w:cs="Arial"/>
                <w:color w:val="000000"/>
                <w:sz w:val="16"/>
                <w:szCs w:val="16"/>
                <w:vertAlign w:val="baseline"/>
              </w:rPr>
              <w:t>1,51 (0,29-2,7)</w:t>
            </w:r>
          </w:p>
          <w:p w14:paraId="021DC130"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4A88F4F3"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0329F60F"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7BD15784"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29175A65"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7FF38D69"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3D84E23E"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2DE829FC"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3E9F6AA2"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04CAAAA3"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6E00E443" w14:textId="77777777" w:rsidR="00634CDF" w:rsidRDefault="00F0051D">
            <w:pPr>
              <w:pBdr>
                <w:top w:val="nil"/>
                <w:left w:val="nil"/>
                <w:bottom w:val="nil"/>
                <w:right w:val="nil"/>
                <w:between w:val="nil"/>
              </w:pBdr>
              <w:tabs>
                <w:tab w:val="center" w:pos="851"/>
              </w:tabs>
              <w:spacing w:line="240" w:lineRule="auto"/>
              <w:ind w:left="0" w:hanging="2"/>
              <w:rPr>
                <w:color w:val="000000"/>
                <w:vertAlign w:val="baseline"/>
              </w:rPr>
            </w:pPr>
            <w:r>
              <w:rPr>
                <w:rFonts w:ascii="Arial" w:eastAsia="Arial" w:hAnsi="Arial" w:cs="Arial"/>
                <w:color w:val="000000"/>
                <w:sz w:val="16"/>
                <w:szCs w:val="16"/>
                <w:vertAlign w:val="baseline"/>
              </w:rPr>
              <w:t>2,95 (2,05-3,7)</w:t>
            </w:r>
          </w:p>
        </w:tc>
        <w:tc>
          <w:tcPr>
            <w:tcW w:w="690" w:type="dxa"/>
            <w:tcBorders>
              <w:top w:val="single" w:sz="4" w:space="0" w:color="000000"/>
              <w:left w:val="single" w:sz="4" w:space="0" w:color="000000"/>
              <w:bottom w:val="single" w:sz="4" w:space="0" w:color="000000"/>
            </w:tcBorders>
          </w:tcPr>
          <w:p w14:paraId="3341CF42"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 xml:space="preserve"> </w:t>
            </w:r>
          </w:p>
          <w:p w14:paraId="7EB8E69F"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ns</w:t>
            </w:r>
          </w:p>
          <w:p w14:paraId="16746530"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0A5AACFF"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ns</w:t>
            </w:r>
          </w:p>
          <w:p w14:paraId="53AB5BD9"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6FEF69EC"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4EBF779F"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w:t>
            </w:r>
          </w:p>
          <w:p w14:paraId="225CF664"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636515D2"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3802FBAC"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657DBBEA"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239EF652"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245C7A5D"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&lt;0,05</w:t>
            </w:r>
          </w:p>
          <w:p w14:paraId="0ACEFBB5"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419B11E4"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750A2813"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21B04F59"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03E0D949"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63FC71BA"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66A3CCDA"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34F6B0B2"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76E56CE9"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5A901516"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6485E34D" w14:textId="77777777" w:rsidR="00634CDF" w:rsidRPr="00843381"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w:t>
            </w:r>
            <w:r w:rsidRPr="00843381">
              <w:rPr>
                <w:rFonts w:ascii="Arial" w:eastAsia="Arial" w:hAnsi="Arial" w:cs="Arial"/>
                <w:color w:val="000000"/>
                <w:sz w:val="16"/>
                <w:szCs w:val="16"/>
                <w:vertAlign w:val="baseline"/>
                <w:lang w:val="en-US"/>
              </w:rPr>
              <w:t>&lt;0,001</w:t>
            </w:r>
          </w:p>
          <w:p w14:paraId="7F6DF9E7" w14:textId="77777777" w:rsidR="00634CDF" w:rsidRPr="00843381"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39191991" w14:textId="77777777" w:rsidR="00634CDF" w:rsidRPr="00843381" w:rsidRDefault="00F0051D">
            <w:pPr>
              <w:pBdr>
                <w:top w:val="nil"/>
                <w:left w:val="nil"/>
                <w:bottom w:val="nil"/>
                <w:right w:val="nil"/>
                <w:between w:val="nil"/>
              </w:pBdr>
              <w:spacing w:line="240" w:lineRule="auto"/>
              <w:ind w:left="0" w:hanging="2"/>
              <w:rPr>
                <w:color w:val="000000"/>
                <w:vertAlign w:val="baseline"/>
                <w:lang w:val="en-US"/>
              </w:rPr>
            </w:pPr>
            <w:r w:rsidRPr="00843381">
              <w:rPr>
                <w:rFonts w:ascii="Arial" w:eastAsia="Arial" w:hAnsi="Arial" w:cs="Arial"/>
                <w:color w:val="000000"/>
                <w:sz w:val="16"/>
                <w:szCs w:val="16"/>
                <w:vertAlign w:val="baseline"/>
                <w:lang w:val="en-US"/>
              </w:rPr>
              <w:t xml:space="preserve">   </w:t>
            </w:r>
          </w:p>
        </w:tc>
        <w:tc>
          <w:tcPr>
            <w:tcW w:w="1334" w:type="dxa"/>
            <w:tcBorders>
              <w:top w:val="single" w:sz="4" w:space="0" w:color="000000"/>
              <w:left w:val="single" w:sz="4" w:space="0" w:color="000000"/>
              <w:bottom w:val="single" w:sz="4" w:space="0" w:color="000000"/>
              <w:right w:val="single" w:sz="4" w:space="0" w:color="000000"/>
            </w:tcBorders>
          </w:tcPr>
          <w:p w14:paraId="12F692E4" w14:textId="77777777" w:rsidR="00634CDF" w:rsidRPr="00843381"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186DE5AF" w14:textId="77777777" w:rsidR="00634CDF" w:rsidRPr="00843381"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4B112E89" w14:textId="77777777" w:rsidR="00634CDF" w:rsidRPr="00843381"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6D330DF1" w14:textId="77777777" w:rsidR="00634CDF" w:rsidRPr="00843381"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5AAABE07" w14:textId="77777777" w:rsidR="00634CDF" w:rsidRPr="00843381"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6348E689" w14:textId="77777777" w:rsidR="00634CDF" w:rsidRPr="00843381"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7EC1075B" w14:textId="77777777" w:rsidR="00634CDF" w:rsidRPr="00843381"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4E443C59" w14:textId="77777777" w:rsidR="00634CDF" w:rsidRPr="00843381"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2ACBF9C6" w14:textId="77777777" w:rsidR="00634CDF" w:rsidRPr="00843381"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6E39F9CB" w14:textId="77777777" w:rsidR="00634CDF" w:rsidRPr="00843381"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4130CAEB" w14:textId="77777777" w:rsidR="00634CDF" w:rsidRPr="00843381"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07E5820D" w14:textId="77777777" w:rsidR="00634CDF" w:rsidRPr="00843381"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0ABAD6B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66 (37-339)</w:t>
            </w:r>
          </w:p>
          <w:p w14:paraId="3CCAC6A0"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4A32B3CD"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1628AAD9"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312F0579"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73F1C719"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1D70099D"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6E2D8581"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63678BEA"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166F7923"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4D86E11F"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4A773EF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34 (27-49)</w:t>
            </w:r>
          </w:p>
        </w:tc>
      </w:tr>
      <w:tr w:rsidR="00634CDF" w14:paraId="10BB9F86" w14:textId="77777777">
        <w:trPr>
          <w:trHeight w:val="218"/>
        </w:trPr>
        <w:tc>
          <w:tcPr>
            <w:tcW w:w="8900" w:type="dxa"/>
            <w:gridSpan w:val="6"/>
            <w:tcBorders>
              <w:top w:val="single" w:sz="4" w:space="0" w:color="000000"/>
              <w:left w:val="single" w:sz="4" w:space="0" w:color="000000"/>
              <w:bottom w:val="single" w:sz="4" w:space="0" w:color="000000"/>
              <w:right w:val="single" w:sz="4" w:space="0" w:color="000000"/>
            </w:tcBorders>
          </w:tcPr>
          <w:p w14:paraId="0CABA72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RAR y NND o NNH con IC 95 % se exponen en la tabla solo si p&lt;0,05 </w:t>
            </w:r>
          </w:p>
          <w:p w14:paraId="30379FD0"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u w:val="single"/>
                <w:vertAlign w:val="baseline"/>
              </w:rPr>
            </w:pPr>
            <w:r>
              <w:rPr>
                <w:rFonts w:ascii="Arial" w:eastAsia="Arial" w:hAnsi="Arial" w:cs="Arial"/>
                <w:color w:val="000000"/>
                <w:sz w:val="16"/>
                <w:szCs w:val="16"/>
                <w:vertAlign w:val="baseline"/>
              </w:rPr>
              <w:t>Calculadora de RAR y NNH o NND y sus IC 95 %  de CASPe.</w:t>
            </w:r>
            <w:r>
              <w:rPr>
                <w:rFonts w:ascii="Arial" w:eastAsia="Arial" w:hAnsi="Arial" w:cs="Arial"/>
                <w:b/>
                <w:color w:val="000000"/>
                <w:sz w:val="16"/>
                <w:szCs w:val="16"/>
                <w:vertAlign w:val="baseline"/>
              </w:rPr>
              <w:t xml:space="preserve">   </w:t>
            </w:r>
            <w:hyperlink r:id="rId33">
              <w:r>
                <w:rPr>
                  <w:rFonts w:ascii="Arial" w:eastAsia="Arial" w:hAnsi="Arial" w:cs="Arial"/>
                  <w:color w:val="0000FF"/>
                  <w:sz w:val="16"/>
                  <w:szCs w:val="16"/>
                  <w:u w:val="single"/>
                  <w:vertAlign w:val="baseline"/>
                </w:rPr>
                <w:t>Pulse aquí.</w:t>
              </w:r>
            </w:hyperlink>
          </w:p>
          <w:p w14:paraId="60FACDF2"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rFonts w:ascii="Arial" w:eastAsia="Arial" w:hAnsi="Arial" w:cs="Arial"/>
                <w:b/>
                <w:color w:val="000000"/>
                <w:sz w:val="16"/>
                <w:szCs w:val="16"/>
                <w:u w:val="single"/>
                <w:vertAlign w:val="baseline"/>
              </w:rPr>
              <w:t>-</w:t>
            </w:r>
            <w:r>
              <w:rPr>
                <w:rFonts w:ascii="Arial" w:eastAsia="Arial" w:hAnsi="Arial" w:cs="Arial"/>
                <w:b/>
                <w:color w:val="000000"/>
                <w:sz w:val="16"/>
                <w:szCs w:val="16"/>
                <w:vertAlign w:val="baseline"/>
              </w:rPr>
              <w:t>Calculadoras/programas en web GENESIS:</w:t>
            </w:r>
            <w:r>
              <w:rPr>
                <w:rFonts w:ascii="Arial" w:eastAsia="Arial" w:hAnsi="Arial" w:cs="Arial"/>
                <w:b/>
                <w:color w:val="000000"/>
                <w:sz w:val="16"/>
                <w:szCs w:val="16"/>
                <w:u w:val="single"/>
                <w:vertAlign w:val="baseline"/>
              </w:rPr>
              <w:t xml:space="preserve"> </w:t>
            </w:r>
            <w:hyperlink r:id="rId34">
              <w:r>
                <w:rPr>
                  <w:rFonts w:ascii="Arial" w:eastAsia="Arial" w:hAnsi="Arial" w:cs="Arial"/>
                  <w:color w:val="0000FF"/>
                  <w:sz w:val="16"/>
                  <w:szCs w:val="16"/>
                  <w:u w:val="single"/>
                  <w:vertAlign w:val="baseline"/>
                </w:rPr>
                <w:t>http://gruposdetrabajo.sefh.es/genesis/genesis/Enlaces/Calculadoras.htm</w:t>
              </w:r>
            </w:hyperlink>
          </w:p>
        </w:tc>
      </w:tr>
    </w:tbl>
    <w:p w14:paraId="1A91435D" w14:textId="77777777" w:rsidR="00B00408" w:rsidRDefault="00B00408">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20"/>
          <w:szCs w:val="20"/>
          <w:vertAlign w:val="baseline"/>
        </w:rPr>
      </w:pPr>
    </w:p>
    <w:p w14:paraId="08E38CA8"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20"/>
          <w:szCs w:val="20"/>
          <w:vertAlign w:val="baseline"/>
        </w:rPr>
        <w:t>Los eventos adversos graves fueron más frecuentes en placebo (15,3%) que en inclisiran (13%). Los más frecuentes fueron infarto agudo de miocardio (0,8% inclisiran, 1,5% placebo), enfermedad coronaria (1% versus, 0,9%) e insuficiencia cardiaca congestiva (0,4% versus 0,6%).</w:t>
      </w:r>
    </w:p>
    <w:p w14:paraId="1C97CC9E"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20"/>
          <w:szCs w:val="20"/>
          <w:vertAlign w:val="baseline"/>
        </w:rPr>
        <w:t>Los eventos adversos atribuidos al fármaco fueron el 9,7% en placebo y el 15,6% en inclisiran, siendo esta diferencia atribuida principalmente a las reacciones adversas en el sitio de inyección.</w:t>
      </w:r>
    </w:p>
    <w:p w14:paraId="06919D19"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color w:val="000000"/>
          <w:vertAlign w:val="baseline"/>
        </w:rPr>
        <w:t> </w:t>
      </w:r>
    </w:p>
    <w:p w14:paraId="1B447770"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20"/>
          <w:szCs w:val="20"/>
          <w:vertAlign w:val="baseline"/>
        </w:rPr>
        <w:t>Los efectos adversos a nivel renal (3,3% placebo vs. 3,3% inclisiran) y hepático (4,2% placebo vs. 3,8% inclisiran) parecen también estar equilibrados entre los grupos de placebo e inclisiran.</w:t>
      </w:r>
    </w:p>
    <w:p w14:paraId="2CA6D5BC"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color w:val="000000"/>
          <w:vertAlign w:val="baseline"/>
        </w:rPr>
        <w:lastRenderedPageBreak/>
        <w:t> </w:t>
      </w:r>
    </w:p>
    <w:p w14:paraId="1762632B"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20"/>
          <w:szCs w:val="20"/>
          <w:vertAlign w:val="baseline"/>
        </w:rPr>
        <w:t>Tampoco hubo diferencias significativas en cuanto a eventos neurológicos o cambios neurocognitivos entre los grupos.</w:t>
      </w:r>
    </w:p>
    <w:p w14:paraId="3483223E"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color w:val="000000"/>
          <w:vertAlign w:val="baseline"/>
        </w:rPr>
        <w:t> </w:t>
      </w:r>
    </w:p>
    <w:p w14:paraId="25C57227"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20"/>
          <w:szCs w:val="20"/>
          <w:vertAlign w:val="baseline"/>
        </w:rPr>
        <w:t>En cuanto a la diabetes y el control glucémico, los eventos adversos asociados con el empeoramiento y el desarrollo de la diabetes estuvieron equilibrados. La diabetes de nueva aparición fue de 4,7% en placebo y 4,3% en el grupo de inclisiran. </w:t>
      </w:r>
    </w:p>
    <w:p w14:paraId="22B8FC8A"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color w:val="000000"/>
          <w:vertAlign w:val="baseline"/>
        </w:rPr>
        <w:t> </w:t>
      </w:r>
    </w:p>
    <w:p w14:paraId="2DBD00B7"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20"/>
          <w:szCs w:val="20"/>
          <w:vertAlign w:val="baseline"/>
        </w:rPr>
        <w:t>Tampoco hubo diferencias significativas en cuanto a la seguridad a nivel cardiaco entre placebo e inclisiran.</w:t>
      </w:r>
    </w:p>
    <w:p w14:paraId="46D14A5E" w14:textId="77777777" w:rsidR="00634CDF" w:rsidRDefault="00634CDF">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20"/>
          <w:szCs w:val="20"/>
          <w:vertAlign w:val="baseline"/>
        </w:rPr>
      </w:pPr>
    </w:p>
    <w:tbl>
      <w:tblPr>
        <w:tblStyle w:val="af9"/>
        <w:tblW w:w="8906" w:type="dxa"/>
        <w:tblInd w:w="-5" w:type="dxa"/>
        <w:tblLayout w:type="fixed"/>
        <w:tblLook w:val="0000" w:firstRow="0" w:lastRow="0" w:firstColumn="0" w:lastColumn="0" w:noHBand="0" w:noVBand="0"/>
      </w:tblPr>
      <w:tblGrid>
        <w:gridCol w:w="2691"/>
        <w:gridCol w:w="1261"/>
        <w:gridCol w:w="1094"/>
        <w:gridCol w:w="1575"/>
        <w:gridCol w:w="916"/>
        <w:gridCol w:w="1369"/>
      </w:tblGrid>
      <w:tr w:rsidR="00634CDF" w14:paraId="36E29627" w14:textId="77777777">
        <w:tc>
          <w:tcPr>
            <w:tcW w:w="8906" w:type="dxa"/>
            <w:gridSpan w:val="6"/>
            <w:tcBorders>
              <w:top w:val="single" w:sz="4" w:space="0" w:color="000000"/>
              <w:left w:val="single" w:sz="4" w:space="0" w:color="000000"/>
              <w:bottom w:val="single" w:sz="4" w:space="0" w:color="000000"/>
              <w:right w:val="single" w:sz="4" w:space="0" w:color="000000"/>
            </w:tcBorders>
            <w:shd w:val="clear" w:color="auto" w:fill="CCFFCC"/>
          </w:tcPr>
          <w:p w14:paraId="661EC27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8"/>
                <w:szCs w:val="18"/>
                <w:vertAlign w:val="baseline"/>
              </w:rPr>
              <w:t xml:space="preserve">Tabla </w:t>
            </w:r>
            <w:r>
              <w:rPr>
                <w:rFonts w:ascii="Arial" w:eastAsia="Arial" w:hAnsi="Arial" w:cs="Arial"/>
                <w:b/>
                <w:i/>
                <w:sz w:val="18"/>
                <w:szCs w:val="18"/>
                <w:vertAlign w:val="baseline"/>
              </w:rPr>
              <w:t>17</w:t>
            </w:r>
            <w:r>
              <w:rPr>
                <w:rFonts w:ascii="Arial" w:eastAsia="Arial" w:hAnsi="Arial" w:cs="Arial"/>
                <w:b/>
                <w:i/>
                <w:color w:val="000000"/>
                <w:sz w:val="18"/>
                <w:szCs w:val="18"/>
                <w:vertAlign w:val="baseline"/>
              </w:rPr>
              <w:t>.</w:t>
            </w:r>
            <w:r>
              <w:rPr>
                <w:rFonts w:ascii="Arial" w:eastAsia="Arial" w:hAnsi="Arial" w:cs="Arial"/>
                <w:color w:val="000000"/>
                <w:sz w:val="18"/>
                <w:szCs w:val="18"/>
                <w:vertAlign w:val="baseline"/>
              </w:rPr>
              <w:t xml:space="preserve"> </w:t>
            </w:r>
            <w:r>
              <w:rPr>
                <w:rFonts w:ascii="Arial" w:eastAsia="Arial" w:hAnsi="Arial" w:cs="Arial"/>
                <w:b/>
                <w:i/>
                <w:color w:val="000000"/>
                <w:sz w:val="18"/>
                <w:szCs w:val="18"/>
                <w:vertAlign w:val="baseline"/>
              </w:rPr>
              <w:t xml:space="preserve">Eventos adversos cardiacos. Pool de seguridad (16). </w:t>
            </w:r>
          </w:p>
          <w:p w14:paraId="4517A35A"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r>
      <w:tr w:rsidR="00634CDF" w14:paraId="000C63DF" w14:textId="77777777">
        <w:tc>
          <w:tcPr>
            <w:tcW w:w="8906" w:type="dxa"/>
            <w:gridSpan w:val="6"/>
            <w:tcBorders>
              <w:top w:val="single" w:sz="4" w:space="0" w:color="000000"/>
              <w:left w:val="single" w:sz="4" w:space="0" w:color="000000"/>
              <w:bottom w:val="single" w:sz="4" w:space="0" w:color="000000"/>
              <w:right w:val="single" w:sz="4" w:space="0" w:color="000000"/>
            </w:tcBorders>
          </w:tcPr>
          <w:p w14:paraId="2DA7239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Fase III, aleatorizado, doble ciego, multicéntrico.(ORION-9,10 y 11)</w:t>
            </w:r>
          </w:p>
        </w:tc>
      </w:tr>
      <w:tr w:rsidR="00634CDF" w14:paraId="5E1CB9FB" w14:textId="77777777">
        <w:tc>
          <w:tcPr>
            <w:tcW w:w="8906" w:type="dxa"/>
            <w:gridSpan w:val="6"/>
            <w:tcBorders>
              <w:top w:val="single" w:sz="4" w:space="0" w:color="000000"/>
              <w:left w:val="single" w:sz="4" w:space="0" w:color="000000"/>
              <w:bottom w:val="single" w:sz="4" w:space="0" w:color="000000"/>
              <w:right w:val="single" w:sz="4" w:space="0" w:color="000000"/>
            </w:tcBorders>
            <w:shd w:val="clear" w:color="auto" w:fill="CCFFCC"/>
          </w:tcPr>
          <w:p w14:paraId="76600E9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Resultados de seguridad</w:t>
            </w:r>
          </w:p>
        </w:tc>
      </w:tr>
      <w:tr w:rsidR="00634CDF" w14:paraId="353C9F15" w14:textId="77777777">
        <w:trPr>
          <w:trHeight w:val="555"/>
        </w:trPr>
        <w:tc>
          <w:tcPr>
            <w:tcW w:w="2691" w:type="dxa"/>
            <w:tcBorders>
              <w:top w:val="single" w:sz="4" w:space="0" w:color="000000"/>
              <w:left w:val="single" w:sz="4" w:space="0" w:color="000000"/>
              <w:bottom w:val="single" w:sz="4" w:space="0" w:color="000000"/>
            </w:tcBorders>
          </w:tcPr>
          <w:p w14:paraId="0F17B4D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t>Variable de seguridad evaluada en el estudio</w:t>
            </w:r>
          </w:p>
        </w:tc>
        <w:tc>
          <w:tcPr>
            <w:tcW w:w="1261" w:type="dxa"/>
            <w:tcBorders>
              <w:top w:val="single" w:sz="4" w:space="0" w:color="000000"/>
              <w:left w:val="single" w:sz="4" w:space="0" w:color="000000"/>
              <w:bottom w:val="single" w:sz="4" w:space="0" w:color="000000"/>
            </w:tcBorders>
          </w:tcPr>
          <w:p w14:paraId="1B826498"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 Inclisiran</w:t>
            </w:r>
          </w:p>
          <w:p w14:paraId="7459DAAE"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N (1833)</w:t>
            </w:r>
          </w:p>
        </w:tc>
        <w:tc>
          <w:tcPr>
            <w:tcW w:w="1094" w:type="dxa"/>
            <w:tcBorders>
              <w:top w:val="single" w:sz="4" w:space="0" w:color="000000"/>
              <w:left w:val="single" w:sz="4" w:space="0" w:color="000000"/>
              <w:bottom w:val="single" w:sz="4" w:space="0" w:color="000000"/>
            </w:tcBorders>
          </w:tcPr>
          <w:p w14:paraId="36273FA5"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Placebo </w:t>
            </w:r>
          </w:p>
          <w:p w14:paraId="1AC16F4A"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N (1822) </w:t>
            </w:r>
          </w:p>
        </w:tc>
        <w:tc>
          <w:tcPr>
            <w:tcW w:w="1575" w:type="dxa"/>
            <w:tcBorders>
              <w:top w:val="single" w:sz="4" w:space="0" w:color="000000"/>
              <w:left w:val="single" w:sz="4" w:space="0" w:color="000000"/>
              <w:bottom w:val="single" w:sz="4" w:space="0" w:color="000000"/>
            </w:tcBorders>
          </w:tcPr>
          <w:p w14:paraId="09D73544"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RAR (IC 95%)</w:t>
            </w:r>
            <w:r>
              <w:rPr>
                <w:rFonts w:ascii="Arial" w:eastAsia="Arial" w:hAnsi="Arial" w:cs="Arial"/>
                <w:color w:val="000000"/>
                <w:sz w:val="16"/>
                <w:szCs w:val="16"/>
                <w:vertAlign w:val="baseline"/>
              </w:rPr>
              <w:t xml:space="preserve"> Diferencia Riesgo Absoluto</w:t>
            </w:r>
            <w:r>
              <w:rPr>
                <w:rFonts w:ascii="Arial" w:eastAsia="Arial" w:hAnsi="Arial" w:cs="Arial"/>
                <w:b/>
                <w:i/>
                <w:color w:val="000000"/>
                <w:sz w:val="16"/>
                <w:szCs w:val="16"/>
                <w:vertAlign w:val="baseline"/>
              </w:rPr>
              <w:t xml:space="preserve"> *</w:t>
            </w:r>
          </w:p>
        </w:tc>
        <w:tc>
          <w:tcPr>
            <w:tcW w:w="916" w:type="dxa"/>
            <w:tcBorders>
              <w:top w:val="single" w:sz="4" w:space="0" w:color="000000"/>
              <w:left w:val="single" w:sz="4" w:space="0" w:color="000000"/>
              <w:bottom w:val="single" w:sz="4" w:space="0" w:color="000000"/>
            </w:tcBorders>
          </w:tcPr>
          <w:p w14:paraId="20231AD7" w14:textId="77777777" w:rsidR="00634CDF" w:rsidRDefault="00F0051D">
            <w:pPr>
              <w:pBdr>
                <w:top w:val="nil"/>
                <w:left w:val="nil"/>
                <w:bottom w:val="nil"/>
                <w:right w:val="nil"/>
                <w:between w:val="nil"/>
              </w:pBdr>
              <w:tabs>
                <w:tab w:val="left" w:pos="1673"/>
              </w:tabs>
              <w:spacing w:line="240" w:lineRule="auto"/>
              <w:ind w:left="0" w:hanging="2"/>
              <w:jc w:val="both"/>
              <w:rPr>
                <w:color w:val="000000"/>
                <w:vertAlign w:val="baseline"/>
              </w:rPr>
            </w:pPr>
            <w:r>
              <w:rPr>
                <w:rFonts w:ascii="Arial" w:eastAsia="Arial" w:hAnsi="Arial" w:cs="Arial"/>
                <w:b/>
                <w:i/>
                <w:color w:val="000000"/>
                <w:sz w:val="16"/>
                <w:szCs w:val="16"/>
                <w:vertAlign w:val="baseline"/>
              </w:rPr>
              <w:t>P</w:t>
            </w:r>
          </w:p>
        </w:tc>
        <w:tc>
          <w:tcPr>
            <w:tcW w:w="1369" w:type="dxa"/>
            <w:tcBorders>
              <w:top w:val="single" w:sz="4" w:space="0" w:color="000000"/>
              <w:left w:val="single" w:sz="4" w:space="0" w:color="000000"/>
              <w:bottom w:val="single" w:sz="4" w:space="0" w:color="000000"/>
              <w:right w:val="single" w:sz="4" w:space="0" w:color="000000"/>
            </w:tcBorders>
          </w:tcPr>
          <w:p w14:paraId="7DC9793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t>NNH o NND (IC 95%)</w:t>
            </w:r>
          </w:p>
        </w:tc>
      </w:tr>
      <w:tr w:rsidR="00634CDF" w14:paraId="1AE5076E" w14:textId="77777777">
        <w:trPr>
          <w:trHeight w:val="1648"/>
        </w:trPr>
        <w:tc>
          <w:tcPr>
            <w:tcW w:w="2691" w:type="dxa"/>
            <w:tcBorders>
              <w:top w:val="single" w:sz="4" w:space="0" w:color="000000"/>
              <w:left w:val="single" w:sz="4" w:space="0" w:color="000000"/>
              <w:bottom w:val="single" w:sz="4" w:space="0" w:color="000000"/>
            </w:tcBorders>
          </w:tcPr>
          <w:p w14:paraId="71AFA99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 xml:space="preserve"> % pacientes con EA</w:t>
            </w:r>
          </w:p>
          <w:p w14:paraId="7B09F233"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479D818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Evento cardiovascular mayor*</w:t>
            </w:r>
          </w:p>
          <w:p w14:paraId="007F8472"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3708BFD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Muerte cardiovascular</w:t>
            </w:r>
          </w:p>
          <w:p w14:paraId="65B3637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Paro cardíaco reanimado</w:t>
            </w:r>
          </w:p>
          <w:p w14:paraId="2DFB5D1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 xml:space="preserve">Infarto de miocardio no fatal </w:t>
            </w:r>
          </w:p>
          <w:p w14:paraId="1F2F102D" w14:textId="379F51AD"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Ictus</w:t>
            </w:r>
            <w:r w:rsidR="00D66FD9">
              <w:rPr>
                <w:rFonts w:ascii="Arial" w:eastAsia="Arial" w:hAnsi="Arial" w:cs="Arial"/>
                <w:i/>
                <w:color w:val="000000"/>
                <w:sz w:val="16"/>
                <w:szCs w:val="16"/>
                <w:vertAlign w:val="baseline"/>
              </w:rPr>
              <w:t xml:space="preserve"> </w:t>
            </w:r>
            <w:r w:rsidR="00D33EB1">
              <w:rPr>
                <w:rFonts w:ascii="Arial" w:eastAsia="Arial" w:hAnsi="Arial" w:cs="Arial"/>
                <w:i/>
                <w:color w:val="000000"/>
                <w:sz w:val="16"/>
                <w:szCs w:val="16"/>
                <w:vertAlign w:val="baseline"/>
              </w:rPr>
              <w:t xml:space="preserve"> </w:t>
            </w:r>
            <w:r w:rsidR="00D66FD9">
              <w:rPr>
                <w:rFonts w:ascii="Arial" w:eastAsia="Arial" w:hAnsi="Arial" w:cs="Arial"/>
                <w:i/>
                <w:color w:val="000000"/>
                <w:sz w:val="16"/>
                <w:szCs w:val="16"/>
                <w:vertAlign w:val="baseline"/>
              </w:rPr>
              <w:t>(h</w:t>
            </w:r>
            <w:r>
              <w:rPr>
                <w:rFonts w:ascii="Arial" w:eastAsia="Arial" w:hAnsi="Arial" w:cs="Arial"/>
                <w:i/>
                <w:color w:val="000000"/>
                <w:sz w:val="16"/>
                <w:szCs w:val="16"/>
                <w:vertAlign w:val="baseline"/>
              </w:rPr>
              <w:t>emorrágico o isquémico)</w:t>
            </w:r>
          </w:p>
          <w:p w14:paraId="6B8C5980"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1261" w:type="dxa"/>
            <w:tcBorders>
              <w:top w:val="single" w:sz="4" w:space="0" w:color="000000"/>
              <w:left w:val="single" w:sz="4" w:space="0" w:color="000000"/>
              <w:bottom w:val="single" w:sz="4" w:space="0" w:color="000000"/>
            </w:tcBorders>
          </w:tcPr>
          <w:p w14:paraId="0252647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w:t>
            </w:r>
          </w:p>
          <w:p w14:paraId="2DE4B82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w:t>
            </w:r>
          </w:p>
          <w:p w14:paraId="3A791C8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7,1</w:t>
            </w:r>
          </w:p>
          <w:p w14:paraId="5348B45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73B887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0,9</w:t>
            </w:r>
          </w:p>
          <w:p w14:paraId="31EFC1D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0,1</w:t>
            </w:r>
          </w:p>
          <w:p w14:paraId="55EBD87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5,2</w:t>
            </w:r>
          </w:p>
          <w:p w14:paraId="53DCA0D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0,9</w:t>
            </w:r>
          </w:p>
          <w:p w14:paraId="5212BD0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c>
          <w:tcPr>
            <w:tcW w:w="1094" w:type="dxa"/>
            <w:tcBorders>
              <w:top w:val="single" w:sz="4" w:space="0" w:color="000000"/>
              <w:left w:val="single" w:sz="4" w:space="0" w:color="000000"/>
              <w:bottom w:val="single" w:sz="4" w:space="0" w:color="000000"/>
            </w:tcBorders>
          </w:tcPr>
          <w:p w14:paraId="33EBAC5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33F287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8FF890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9,4</w:t>
            </w:r>
          </w:p>
          <w:p w14:paraId="5E380BA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72333F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0,8</w:t>
            </w:r>
          </w:p>
          <w:p w14:paraId="0C8E97E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0,2</w:t>
            </w:r>
          </w:p>
          <w:p w14:paraId="5567343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7,8</w:t>
            </w:r>
          </w:p>
          <w:p w14:paraId="734B090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w:t>
            </w:r>
          </w:p>
          <w:p w14:paraId="20A5623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3B51BA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c>
          <w:tcPr>
            <w:tcW w:w="1575" w:type="dxa"/>
            <w:tcBorders>
              <w:top w:val="single" w:sz="4" w:space="0" w:color="000000"/>
              <w:left w:val="single" w:sz="4" w:space="0" w:color="000000"/>
              <w:bottom w:val="single" w:sz="4" w:space="0" w:color="000000"/>
            </w:tcBorders>
          </w:tcPr>
          <w:p w14:paraId="55F31A21"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6A3E47DE"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7257EE5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-2,3 (-4,1 a -0,5)</w:t>
            </w:r>
          </w:p>
          <w:p w14:paraId="326009AD"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29600BFD"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64B8B017"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1C4851A0" w14:textId="77777777" w:rsidR="00634CDF" w:rsidRDefault="00F0051D">
            <w:pPr>
              <w:pBdr>
                <w:top w:val="nil"/>
                <w:left w:val="nil"/>
                <w:bottom w:val="nil"/>
                <w:right w:val="nil"/>
                <w:between w:val="nil"/>
              </w:pBdr>
              <w:tabs>
                <w:tab w:val="center" w:pos="851"/>
              </w:tabs>
              <w:spacing w:line="240" w:lineRule="auto"/>
              <w:ind w:left="0" w:hanging="2"/>
              <w:rPr>
                <w:color w:val="000000"/>
                <w:vertAlign w:val="baseline"/>
              </w:rPr>
            </w:pPr>
            <w:r>
              <w:rPr>
                <w:rFonts w:ascii="Arial" w:eastAsia="Arial" w:hAnsi="Arial" w:cs="Arial"/>
                <w:color w:val="000000"/>
                <w:sz w:val="16"/>
                <w:szCs w:val="16"/>
                <w:vertAlign w:val="baseline"/>
              </w:rPr>
              <w:t>-2,6 (-4,15 a -0,94)</w:t>
            </w:r>
          </w:p>
          <w:p w14:paraId="1D7036DA"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74F506DC"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77151291"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tc>
        <w:tc>
          <w:tcPr>
            <w:tcW w:w="916" w:type="dxa"/>
            <w:tcBorders>
              <w:top w:val="single" w:sz="4" w:space="0" w:color="000000"/>
              <w:left w:val="single" w:sz="4" w:space="0" w:color="000000"/>
              <w:bottom w:val="single" w:sz="4" w:space="0" w:color="000000"/>
            </w:tcBorders>
          </w:tcPr>
          <w:p w14:paraId="7E762D3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 </w:t>
            </w:r>
          </w:p>
          <w:p w14:paraId="16B0E65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B81E90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&lt;0,05</w:t>
            </w:r>
          </w:p>
          <w:p w14:paraId="61D5A5A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C41F2E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ns</w:t>
            </w:r>
          </w:p>
          <w:p w14:paraId="690F867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ns</w:t>
            </w:r>
          </w:p>
          <w:p w14:paraId="13A57BB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&lt;0,05</w:t>
            </w:r>
          </w:p>
          <w:p w14:paraId="4E86D23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ns</w:t>
            </w:r>
          </w:p>
          <w:p w14:paraId="253BB2E5"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7E4ABB0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w:t>
            </w:r>
          </w:p>
        </w:tc>
        <w:tc>
          <w:tcPr>
            <w:tcW w:w="1369" w:type="dxa"/>
            <w:tcBorders>
              <w:top w:val="single" w:sz="4" w:space="0" w:color="000000"/>
              <w:left w:val="single" w:sz="4" w:space="0" w:color="000000"/>
              <w:bottom w:val="single" w:sz="4" w:space="0" w:color="000000"/>
              <w:right w:val="single" w:sz="4" w:space="0" w:color="000000"/>
            </w:tcBorders>
          </w:tcPr>
          <w:p w14:paraId="13F5F275"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5D63302B"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413BCE4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-44 (-202 a-44)</w:t>
            </w:r>
          </w:p>
          <w:p w14:paraId="2E64EF14"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7134AD13"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0CE0B7CD"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23F7FDB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-39 (-106 a -24)</w:t>
            </w:r>
          </w:p>
          <w:p w14:paraId="7BCDA2A1"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r>
      <w:tr w:rsidR="00634CDF" w14:paraId="66DD8522" w14:textId="77777777">
        <w:tc>
          <w:tcPr>
            <w:tcW w:w="8906" w:type="dxa"/>
            <w:gridSpan w:val="6"/>
            <w:tcBorders>
              <w:top w:val="single" w:sz="4" w:space="0" w:color="000000"/>
              <w:left w:val="single" w:sz="4" w:space="0" w:color="000000"/>
              <w:bottom w:val="single" w:sz="4" w:space="0" w:color="000000"/>
              <w:right w:val="single" w:sz="4" w:space="0" w:color="000000"/>
            </w:tcBorders>
          </w:tcPr>
          <w:p w14:paraId="5F5AD41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RAR y NND o NNH con IC 95 % se exponen en la tabla solo si p&lt;0,05 </w:t>
            </w:r>
          </w:p>
          <w:p w14:paraId="3A864021"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u w:val="single"/>
                <w:vertAlign w:val="baseline"/>
              </w:rPr>
            </w:pPr>
            <w:r>
              <w:rPr>
                <w:rFonts w:ascii="Arial" w:eastAsia="Arial" w:hAnsi="Arial" w:cs="Arial"/>
                <w:color w:val="000000"/>
                <w:sz w:val="16"/>
                <w:szCs w:val="16"/>
                <w:vertAlign w:val="baseline"/>
              </w:rPr>
              <w:t>Calculadora de RAR y NNH o NND y sus IC 95 %  de CASPe.</w:t>
            </w:r>
            <w:r>
              <w:rPr>
                <w:rFonts w:ascii="Arial" w:eastAsia="Arial" w:hAnsi="Arial" w:cs="Arial"/>
                <w:b/>
                <w:color w:val="000000"/>
                <w:sz w:val="16"/>
                <w:szCs w:val="16"/>
                <w:vertAlign w:val="baseline"/>
              </w:rPr>
              <w:t xml:space="preserve">   </w:t>
            </w:r>
            <w:hyperlink r:id="rId35">
              <w:r>
                <w:rPr>
                  <w:rFonts w:ascii="Arial" w:eastAsia="Arial" w:hAnsi="Arial" w:cs="Arial"/>
                  <w:color w:val="0000FF"/>
                  <w:sz w:val="16"/>
                  <w:szCs w:val="16"/>
                  <w:u w:val="single"/>
                  <w:vertAlign w:val="baseline"/>
                </w:rPr>
                <w:t>Pulse aquí.</w:t>
              </w:r>
            </w:hyperlink>
          </w:p>
          <w:p w14:paraId="4B57156B"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r>
              <w:rPr>
                <w:rFonts w:ascii="Arial" w:eastAsia="Arial" w:hAnsi="Arial" w:cs="Arial"/>
                <w:b/>
                <w:color w:val="000000"/>
                <w:sz w:val="16"/>
                <w:szCs w:val="16"/>
                <w:u w:val="single"/>
                <w:vertAlign w:val="baseline"/>
              </w:rPr>
              <w:t>-</w:t>
            </w:r>
            <w:r>
              <w:rPr>
                <w:rFonts w:ascii="Arial" w:eastAsia="Arial" w:hAnsi="Arial" w:cs="Arial"/>
                <w:b/>
                <w:color w:val="000000"/>
                <w:sz w:val="16"/>
                <w:szCs w:val="16"/>
                <w:vertAlign w:val="baseline"/>
              </w:rPr>
              <w:t>Calculadoras/programas en web GENESIS:</w:t>
            </w:r>
            <w:r>
              <w:rPr>
                <w:rFonts w:ascii="Arial" w:eastAsia="Arial" w:hAnsi="Arial" w:cs="Arial"/>
                <w:b/>
                <w:color w:val="000000"/>
                <w:sz w:val="16"/>
                <w:szCs w:val="16"/>
                <w:u w:val="single"/>
                <w:vertAlign w:val="baseline"/>
              </w:rPr>
              <w:t xml:space="preserve"> </w:t>
            </w:r>
            <w:hyperlink r:id="rId36">
              <w:r>
                <w:rPr>
                  <w:rFonts w:ascii="Arial" w:eastAsia="Arial" w:hAnsi="Arial" w:cs="Arial"/>
                  <w:color w:val="0000FF"/>
                  <w:sz w:val="16"/>
                  <w:szCs w:val="16"/>
                  <w:u w:val="single"/>
                  <w:vertAlign w:val="baseline"/>
                </w:rPr>
                <w:t>http://gruposdetrabajo.sefh.es/genesis/genesis/Enlaces/Calculadoras.htm</w:t>
              </w:r>
            </w:hyperlink>
          </w:p>
        </w:tc>
      </w:tr>
      <w:tr w:rsidR="00634CDF" w14:paraId="260230B2" w14:textId="77777777">
        <w:trPr>
          <w:trHeight w:val="213"/>
        </w:trPr>
        <w:tc>
          <w:tcPr>
            <w:tcW w:w="8906" w:type="dxa"/>
            <w:gridSpan w:val="6"/>
            <w:tcBorders>
              <w:top w:val="single" w:sz="4" w:space="0" w:color="000000"/>
              <w:left w:val="single" w:sz="4" w:space="0" w:color="000000"/>
              <w:bottom w:val="single" w:sz="4" w:space="0" w:color="000000"/>
              <w:right w:val="single" w:sz="4" w:space="0" w:color="000000"/>
            </w:tcBorders>
          </w:tcPr>
          <w:p w14:paraId="5B494C5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*Variable compuesta que incluye muerte cardiovascular, paro cardiaco reanimado, infarto de miocardio no fatal e ictus(hemorrágico o isquémico)</w:t>
            </w:r>
          </w:p>
        </w:tc>
      </w:tr>
    </w:tbl>
    <w:p w14:paraId="3D12F202" w14:textId="77777777" w:rsidR="00634CDF" w:rsidRDefault="00634CDF">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20"/>
          <w:szCs w:val="20"/>
          <w:vertAlign w:val="baseline"/>
        </w:rPr>
      </w:pPr>
    </w:p>
    <w:p w14:paraId="1ADB0C4C" w14:textId="3A05E348"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20"/>
          <w:szCs w:val="20"/>
          <w:vertAlign w:val="baseline"/>
        </w:rPr>
        <w:t>El número de muertes fue comparable entre placebo e inclisiran. La mortalidad cardíaca fue superior</w:t>
      </w:r>
      <w:r w:rsidR="00D33EB1">
        <w:rPr>
          <w:rFonts w:ascii="Arial" w:eastAsia="Arial" w:hAnsi="Arial" w:cs="Arial"/>
          <w:color w:val="000000"/>
          <w:sz w:val="20"/>
          <w:szCs w:val="20"/>
          <w:vertAlign w:val="baseline"/>
        </w:rPr>
        <w:t xml:space="preserve"> en inclisiran (0,7% vs. 0,5%) </w:t>
      </w:r>
      <w:r>
        <w:rPr>
          <w:rFonts w:ascii="Arial" w:eastAsia="Arial" w:hAnsi="Arial" w:cs="Arial"/>
          <w:color w:val="000000"/>
          <w:sz w:val="20"/>
          <w:szCs w:val="20"/>
          <w:vertAlign w:val="baseline"/>
        </w:rPr>
        <w:t>aunque estos datos no permiten obtener ninguna conclusión por ser demasiado pequeños.</w:t>
      </w:r>
    </w:p>
    <w:p w14:paraId="607383B8" w14:textId="7135C096"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20"/>
          <w:szCs w:val="20"/>
          <w:vertAlign w:val="baseline"/>
        </w:rPr>
        <w:t xml:space="preserve">Los eventos adversos graves fueron 23% en placebo y 20,4% en inclisiran. La mayor parte fueron </w:t>
      </w:r>
      <w:r w:rsidR="00D33EB1">
        <w:rPr>
          <w:rFonts w:ascii="Arial" w:eastAsia="Arial" w:hAnsi="Arial" w:cs="Arial"/>
          <w:color w:val="000000"/>
          <w:sz w:val="20"/>
          <w:szCs w:val="20"/>
          <w:vertAlign w:val="baseline"/>
        </w:rPr>
        <w:t>cardiovasculares,</w:t>
      </w:r>
      <w:r>
        <w:rPr>
          <w:rFonts w:ascii="Arial" w:eastAsia="Arial" w:hAnsi="Arial" w:cs="Arial"/>
          <w:color w:val="000000"/>
          <w:sz w:val="20"/>
          <w:szCs w:val="20"/>
          <w:vertAlign w:val="baseline"/>
        </w:rPr>
        <w:t xml:space="preserve"> pero no hubo diferencias en la naturaleza ni en la frecuencia entre grupos. Tampoco hubo diferencias entre los grupos en la aparición de neoplasias.</w:t>
      </w:r>
    </w:p>
    <w:p w14:paraId="4A9107F4" w14:textId="77777777" w:rsidR="00634CDF" w:rsidRDefault="00634CDF">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20"/>
          <w:szCs w:val="20"/>
          <w:vertAlign w:val="baseline"/>
        </w:rPr>
      </w:pPr>
    </w:p>
    <w:tbl>
      <w:tblPr>
        <w:tblStyle w:val="afa"/>
        <w:tblW w:w="8900" w:type="dxa"/>
        <w:tblInd w:w="-5" w:type="dxa"/>
        <w:tblLayout w:type="fixed"/>
        <w:tblLook w:val="0000" w:firstRow="0" w:lastRow="0" w:firstColumn="0" w:lastColumn="0" w:noHBand="0" w:noVBand="0"/>
      </w:tblPr>
      <w:tblGrid>
        <w:gridCol w:w="2691"/>
        <w:gridCol w:w="1261"/>
        <w:gridCol w:w="1095"/>
        <w:gridCol w:w="1829"/>
        <w:gridCol w:w="690"/>
        <w:gridCol w:w="1334"/>
      </w:tblGrid>
      <w:tr w:rsidR="00634CDF" w14:paraId="0F1DE194" w14:textId="77777777">
        <w:trPr>
          <w:trHeight w:val="360"/>
        </w:trPr>
        <w:tc>
          <w:tcPr>
            <w:tcW w:w="8900" w:type="dxa"/>
            <w:gridSpan w:val="6"/>
            <w:tcBorders>
              <w:top w:val="single" w:sz="4" w:space="0" w:color="000000"/>
              <w:left w:val="single" w:sz="4" w:space="0" w:color="000000"/>
              <w:bottom w:val="single" w:sz="4" w:space="0" w:color="000000"/>
              <w:right w:val="single" w:sz="4" w:space="0" w:color="000000"/>
            </w:tcBorders>
            <w:shd w:val="clear" w:color="auto" w:fill="CCFFCC"/>
          </w:tcPr>
          <w:p w14:paraId="38EAFAE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8"/>
                <w:szCs w:val="18"/>
                <w:vertAlign w:val="baseline"/>
              </w:rPr>
              <w:t>Tabla</w:t>
            </w:r>
            <w:r>
              <w:rPr>
                <w:rFonts w:ascii="Arial" w:eastAsia="Arial" w:hAnsi="Arial" w:cs="Arial"/>
                <w:b/>
                <w:i/>
                <w:sz w:val="18"/>
                <w:szCs w:val="18"/>
                <w:vertAlign w:val="baseline"/>
              </w:rPr>
              <w:t xml:space="preserve"> 18.</w:t>
            </w:r>
            <w:r>
              <w:rPr>
                <w:rFonts w:ascii="Arial" w:eastAsia="Arial" w:hAnsi="Arial" w:cs="Arial"/>
                <w:i/>
                <w:sz w:val="18"/>
                <w:szCs w:val="18"/>
                <w:vertAlign w:val="baseline"/>
              </w:rPr>
              <w:t xml:space="preserve"> </w:t>
            </w:r>
            <w:r>
              <w:rPr>
                <w:rFonts w:ascii="Arial" w:eastAsia="Arial" w:hAnsi="Arial" w:cs="Arial"/>
                <w:b/>
                <w:i/>
                <w:color w:val="000000"/>
                <w:sz w:val="18"/>
                <w:szCs w:val="18"/>
                <w:vertAlign w:val="baseline"/>
              </w:rPr>
              <w:t>Eventos adversos graves comunes en la población de seguridad</w:t>
            </w:r>
            <w:r>
              <w:rPr>
                <w:rFonts w:ascii="Arial" w:eastAsia="Arial" w:hAnsi="Arial" w:cs="Arial"/>
                <w:b/>
                <w:i/>
                <w:sz w:val="18"/>
                <w:szCs w:val="18"/>
                <w:vertAlign w:val="baseline"/>
              </w:rPr>
              <w:t xml:space="preserve"> (16).</w:t>
            </w:r>
          </w:p>
          <w:p w14:paraId="29A7380C"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r>
      <w:tr w:rsidR="00634CDF" w14:paraId="7307C7AE" w14:textId="77777777">
        <w:tc>
          <w:tcPr>
            <w:tcW w:w="8900" w:type="dxa"/>
            <w:gridSpan w:val="6"/>
            <w:tcBorders>
              <w:top w:val="single" w:sz="4" w:space="0" w:color="000000"/>
              <w:left w:val="single" w:sz="4" w:space="0" w:color="000000"/>
              <w:bottom w:val="single" w:sz="4" w:space="0" w:color="000000"/>
              <w:right w:val="single" w:sz="4" w:space="0" w:color="000000"/>
            </w:tcBorders>
          </w:tcPr>
          <w:p w14:paraId="0863AD9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Fase III, aleatorizado, doble ciego, multicéntrico.(ORION-9,10 y 11)</w:t>
            </w:r>
          </w:p>
        </w:tc>
      </w:tr>
      <w:tr w:rsidR="00634CDF" w14:paraId="4CF5FC87" w14:textId="77777777">
        <w:tc>
          <w:tcPr>
            <w:tcW w:w="8900" w:type="dxa"/>
            <w:gridSpan w:val="6"/>
            <w:tcBorders>
              <w:top w:val="single" w:sz="4" w:space="0" w:color="000000"/>
              <w:left w:val="single" w:sz="4" w:space="0" w:color="000000"/>
              <w:bottom w:val="single" w:sz="4" w:space="0" w:color="000000"/>
              <w:right w:val="single" w:sz="4" w:space="0" w:color="000000"/>
            </w:tcBorders>
            <w:shd w:val="clear" w:color="auto" w:fill="CCFFCC"/>
          </w:tcPr>
          <w:p w14:paraId="0C845D2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Resultados de seguridad</w:t>
            </w:r>
          </w:p>
        </w:tc>
      </w:tr>
      <w:tr w:rsidR="00634CDF" w14:paraId="2D63F291" w14:textId="77777777">
        <w:trPr>
          <w:trHeight w:val="675"/>
        </w:trPr>
        <w:tc>
          <w:tcPr>
            <w:tcW w:w="2691" w:type="dxa"/>
            <w:tcBorders>
              <w:top w:val="single" w:sz="4" w:space="0" w:color="000000"/>
              <w:left w:val="single" w:sz="4" w:space="0" w:color="000000"/>
              <w:bottom w:val="single" w:sz="4" w:space="0" w:color="000000"/>
            </w:tcBorders>
          </w:tcPr>
          <w:p w14:paraId="13E5A7B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t>Variable de seguridad evaluada en el estudio</w:t>
            </w:r>
          </w:p>
        </w:tc>
        <w:tc>
          <w:tcPr>
            <w:tcW w:w="1261" w:type="dxa"/>
            <w:tcBorders>
              <w:top w:val="single" w:sz="4" w:space="0" w:color="000000"/>
              <w:left w:val="single" w:sz="4" w:space="0" w:color="000000"/>
              <w:bottom w:val="single" w:sz="4" w:space="0" w:color="000000"/>
            </w:tcBorders>
          </w:tcPr>
          <w:p w14:paraId="6C5F6401"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 Inclisiran</w:t>
            </w:r>
          </w:p>
          <w:p w14:paraId="228C5C5F"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N (1833)</w:t>
            </w:r>
          </w:p>
        </w:tc>
        <w:tc>
          <w:tcPr>
            <w:tcW w:w="1095" w:type="dxa"/>
            <w:tcBorders>
              <w:top w:val="single" w:sz="4" w:space="0" w:color="000000"/>
              <w:left w:val="single" w:sz="4" w:space="0" w:color="000000"/>
              <w:bottom w:val="single" w:sz="4" w:space="0" w:color="000000"/>
            </w:tcBorders>
          </w:tcPr>
          <w:p w14:paraId="7DC07276"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Placebo </w:t>
            </w:r>
          </w:p>
          <w:p w14:paraId="5AF423C8"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N (1822) </w:t>
            </w:r>
          </w:p>
        </w:tc>
        <w:tc>
          <w:tcPr>
            <w:tcW w:w="1829" w:type="dxa"/>
            <w:tcBorders>
              <w:top w:val="single" w:sz="4" w:space="0" w:color="000000"/>
              <w:left w:val="single" w:sz="4" w:space="0" w:color="000000"/>
              <w:bottom w:val="single" w:sz="4" w:space="0" w:color="000000"/>
            </w:tcBorders>
          </w:tcPr>
          <w:p w14:paraId="630DA6DE"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RAR (IC 95%)</w:t>
            </w:r>
            <w:r>
              <w:rPr>
                <w:rFonts w:ascii="Arial" w:eastAsia="Arial" w:hAnsi="Arial" w:cs="Arial"/>
                <w:color w:val="000000"/>
                <w:sz w:val="16"/>
                <w:szCs w:val="16"/>
                <w:vertAlign w:val="baseline"/>
              </w:rPr>
              <w:t xml:space="preserve"> Diferencia Riesgo Absoluto</w:t>
            </w:r>
            <w:r>
              <w:rPr>
                <w:rFonts w:ascii="Arial" w:eastAsia="Arial" w:hAnsi="Arial" w:cs="Arial"/>
                <w:b/>
                <w:i/>
                <w:color w:val="000000"/>
                <w:sz w:val="16"/>
                <w:szCs w:val="16"/>
                <w:vertAlign w:val="baseline"/>
              </w:rPr>
              <w:t xml:space="preserve"> *</w:t>
            </w:r>
          </w:p>
        </w:tc>
        <w:tc>
          <w:tcPr>
            <w:tcW w:w="690" w:type="dxa"/>
            <w:tcBorders>
              <w:top w:val="single" w:sz="4" w:space="0" w:color="000000"/>
              <w:left w:val="single" w:sz="4" w:space="0" w:color="000000"/>
              <w:bottom w:val="single" w:sz="4" w:space="0" w:color="000000"/>
            </w:tcBorders>
          </w:tcPr>
          <w:p w14:paraId="1DC76C1D" w14:textId="77777777" w:rsidR="00634CDF" w:rsidRDefault="00F0051D">
            <w:pPr>
              <w:pBdr>
                <w:top w:val="nil"/>
                <w:left w:val="nil"/>
                <w:bottom w:val="nil"/>
                <w:right w:val="nil"/>
                <w:between w:val="nil"/>
              </w:pBdr>
              <w:tabs>
                <w:tab w:val="left" w:pos="1673"/>
              </w:tabs>
              <w:spacing w:line="240" w:lineRule="auto"/>
              <w:ind w:left="0" w:hanging="2"/>
              <w:jc w:val="both"/>
              <w:rPr>
                <w:color w:val="000000"/>
                <w:vertAlign w:val="baseline"/>
              </w:rPr>
            </w:pPr>
            <w:r>
              <w:rPr>
                <w:rFonts w:ascii="Arial" w:eastAsia="Arial" w:hAnsi="Arial" w:cs="Arial"/>
                <w:b/>
                <w:i/>
                <w:color w:val="000000"/>
                <w:sz w:val="16"/>
                <w:szCs w:val="16"/>
                <w:vertAlign w:val="baseline"/>
              </w:rPr>
              <w:t>P</w:t>
            </w:r>
          </w:p>
        </w:tc>
        <w:tc>
          <w:tcPr>
            <w:tcW w:w="1334" w:type="dxa"/>
            <w:tcBorders>
              <w:top w:val="single" w:sz="4" w:space="0" w:color="000000"/>
              <w:left w:val="single" w:sz="4" w:space="0" w:color="000000"/>
              <w:bottom w:val="single" w:sz="4" w:space="0" w:color="000000"/>
              <w:right w:val="single" w:sz="4" w:space="0" w:color="000000"/>
            </w:tcBorders>
          </w:tcPr>
          <w:p w14:paraId="068B69BC"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t>NNH o NND (IC 95%)</w:t>
            </w:r>
          </w:p>
        </w:tc>
      </w:tr>
      <w:tr w:rsidR="00634CDF" w:rsidRPr="00F76F68" w14:paraId="2E2EF84F" w14:textId="77777777">
        <w:trPr>
          <w:trHeight w:val="3091"/>
        </w:trPr>
        <w:tc>
          <w:tcPr>
            <w:tcW w:w="2691" w:type="dxa"/>
            <w:tcBorders>
              <w:top w:val="single" w:sz="4" w:space="0" w:color="000000"/>
              <w:left w:val="single" w:sz="4" w:space="0" w:color="000000"/>
              <w:bottom w:val="single" w:sz="4" w:space="0" w:color="000000"/>
            </w:tcBorders>
          </w:tcPr>
          <w:p w14:paraId="6E5D710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lastRenderedPageBreak/>
              <w:t xml:space="preserve"> % Pacientes con:</w:t>
            </w:r>
          </w:p>
          <w:p w14:paraId="11C5F6E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EA grave</w:t>
            </w:r>
          </w:p>
          <w:p w14:paraId="729DE258"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2E012F6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Enfermedad coronaria</w:t>
            </w:r>
          </w:p>
          <w:p w14:paraId="7E8519F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Infarto agudo de miocardio</w:t>
            </w:r>
          </w:p>
          <w:p w14:paraId="53425A3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Angina de pecho</w:t>
            </w:r>
          </w:p>
          <w:p w14:paraId="338B0A0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Angina inestable</w:t>
            </w:r>
          </w:p>
          <w:p w14:paraId="780B9A0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Neumonía</w:t>
            </w:r>
          </w:p>
          <w:p w14:paraId="702124A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Fibrilación auricular</w:t>
            </w:r>
          </w:p>
          <w:p w14:paraId="428835B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Insuficiencia cardiaca congestiva</w:t>
            </w:r>
          </w:p>
          <w:p w14:paraId="7E80C07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Dolor de pecho no cardiaco</w:t>
            </w:r>
          </w:p>
          <w:p w14:paraId="2C643DB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EPOC</w:t>
            </w:r>
          </w:p>
          <w:p w14:paraId="1C9F8C7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Infarto de miocardio</w:t>
            </w:r>
          </w:p>
          <w:p w14:paraId="2FDB761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Enfermedad arterial periférica</w:t>
            </w:r>
          </w:p>
          <w:p w14:paraId="114D015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Insuficiencia renal aguda</w:t>
            </w:r>
          </w:p>
        </w:tc>
        <w:tc>
          <w:tcPr>
            <w:tcW w:w="1261" w:type="dxa"/>
            <w:tcBorders>
              <w:top w:val="single" w:sz="4" w:space="0" w:color="000000"/>
              <w:left w:val="single" w:sz="4" w:space="0" w:color="000000"/>
              <w:bottom w:val="single" w:sz="4" w:space="0" w:color="000000"/>
            </w:tcBorders>
          </w:tcPr>
          <w:p w14:paraId="5238D23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8E5C55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20,4</w:t>
            </w:r>
          </w:p>
          <w:p w14:paraId="51CFDB3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E19B38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1,3</w:t>
            </w:r>
          </w:p>
          <w:p w14:paraId="2B0A41F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1,1</w:t>
            </w:r>
          </w:p>
          <w:p w14:paraId="4391E32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1,1</w:t>
            </w:r>
          </w:p>
          <w:p w14:paraId="4EC4D02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0,9</w:t>
            </w:r>
          </w:p>
          <w:p w14:paraId="6F7302D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1,1</w:t>
            </w:r>
          </w:p>
          <w:p w14:paraId="2A420B8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1,1</w:t>
            </w:r>
          </w:p>
          <w:p w14:paraId="42C08D0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0,7</w:t>
            </w:r>
          </w:p>
          <w:p w14:paraId="6FEE7F8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0,8</w:t>
            </w:r>
          </w:p>
          <w:p w14:paraId="2BA0782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0,6</w:t>
            </w:r>
          </w:p>
          <w:p w14:paraId="462D421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0,7</w:t>
            </w:r>
          </w:p>
          <w:p w14:paraId="514E07E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0,5</w:t>
            </w:r>
          </w:p>
          <w:p w14:paraId="39914F8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0,4</w:t>
            </w:r>
          </w:p>
        </w:tc>
        <w:tc>
          <w:tcPr>
            <w:tcW w:w="1095" w:type="dxa"/>
            <w:tcBorders>
              <w:top w:val="single" w:sz="4" w:space="0" w:color="000000"/>
              <w:left w:val="single" w:sz="4" w:space="0" w:color="000000"/>
              <w:bottom w:val="single" w:sz="4" w:space="0" w:color="000000"/>
            </w:tcBorders>
          </w:tcPr>
          <w:p w14:paraId="16A4D38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C5286B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23</w:t>
            </w:r>
          </w:p>
          <w:p w14:paraId="1507746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A08427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1,8</w:t>
            </w:r>
          </w:p>
          <w:p w14:paraId="09E9D26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1,7</w:t>
            </w:r>
          </w:p>
          <w:p w14:paraId="6A397BB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1,1</w:t>
            </w:r>
          </w:p>
          <w:p w14:paraId="3A4C854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1,4</w:t>
            </w:r>
          </w:p>
          <w:p w14:paraId="24A1040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0,9</w:t>
            </w:r>
          </w:p>
          <w:p w14:paraId="50244C3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0,8</w:t>
            </w:r>
          </w:p>
          <w:p w14:paraId="1B8CEBB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1,2</w:t>
            </w:r>
          </w:p>
          <w:p w14:paraId="083BB07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w:t>
            </w:r>
          </w:p>
          <w:p w14:paraId="74EE593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0,7</w:t>
            </w:r>
          </w:p>
          <w:p w14:paraId="76E085F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0,5</w:t>
            </w:r>
          </w:p>
          <w:p w14:paraId="1E80349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0,5</w:t>
            </w:r>
          </w:p>
          <w:p w14:paraId="376D5E7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 xml:space="preserve">0,5 </w:t>
            </w:r>
          </w:p>
        </w:tc>
        <w:tc>
          <w:tcPr>
            <w:tcW w:w="1829" w:type="dxa"/>
            <w:tcBorders>
              <w:top w:val="single" w:sz="4" w:space="0" w:color="000000"/>
              <w:left w:val="single" w:sz="4" w:space="0" w:color="000000"/>
              <w:bottom w:val="single" w:sz="4" w:space="0" w:color="000000"/>
            </w:tcBorders>
          </w:tcPr>
          <w:p w14:paraId="79CCDEA1"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4385AE90"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7A86AFB0"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1C0EE9ED"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0330EDA9"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071A2797"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116D925E"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3394E7B2"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72897429"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1E3A3EF2"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3B8D9751"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41F2CA41"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1A45F290"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087734B7"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602DFF02"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tc>
        <w:tc>
          <w:tcPr>
            <w:tcW w:w="690" w:type="dxa"/>
            <w:tcBorders>
              <w:top w:val="single" w:sz="4" w:space="0" w:color="000000"/>
              <w:left w:val="single" w:sz="4" w:space="0" w:color="000000"/>
              <w:bottom w:val="single" w:sz="4" w:space="0" w:color="000000"/>
            </w:tcBorders>
          </w:tcPr>
          <w:p w14:paraId="5F9CE836"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 xml:space="preserve"> </w:t>
            </w:r>
          </w:p>
          <w:p w14:paraId="21853C75"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ns</w:t>
            </w:r>
          </w:p>
          <w:p w14:paraId="0F6D0A02"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6525965D"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ns</w:t>
            </w:r>
          </w:p>
          <w:p w14:paraId="6E064AFE"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0277F0FB"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4E6486A7"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018E9ABA"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56D284D2"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653E4F6B"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2279AD17"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30F21071"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516D84A9"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7187176A"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669A3D69"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tc>
        <w:tc>
          <w:tcPr>
            <w:tcW w:w="1334" w:type="dxa"/>
            <w:tcBorders>
              <w:top w:val="single" w:sz="4" w:space="0" w:color="000000"/>
              <w:left w:val="single" w:sz="4" w:space="0" w:color="000000"/>
              <w:bottom w:val="single" w:sz="4" w:space="0" w:color="000000"/>
              <w:right w:val="single" w:sz="4" w:space="0" w:color="000000"/>
            </w:tcBorders>
          </w:tcPr>
          <w:p w14:paraId="4632C162"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24319715"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1D7DC93D"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7D9DDD02"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2C348A3E"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76A83161"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2D7B53AB"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6F45A3A8"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5DA44A62"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02C6703D"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11CC9773"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70DACE99"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1534C0CA"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23D4CCF1"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35C6FEEF"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tc>
      </w:tr>
      <w:tr w:rsidR="00634CDF" w14:paraId="35D0FF20" w14:textId="77777777">
        <w:tc>
          <w:tcPr>
            <w:tcW w:w="8900" w:type="dxa"/>
            <w:gridSpan w:val="6"/>
            <w:tcBorders>
              <w:top w:val="single" w:sz="4" w:space="0" w:color="000000"/>
              <w:left w:val="single" w:sz="4" w:space="0" w:color="000000"/>
              <w:bottom w:val="single" w:sz="4" w:space="0" w:color="000000"/>
              <w:right w:val="single" w:sz="4" w:space="0" w:color="000000"/>
            </w:tcBorders>
          </w:tcPr>
          <w:p w14:paraId="5AF8AE3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RAR y NND o NNH con IC 95 % se exponen en la tabla solo si p&lt;0,05 </w:t>
            </w:r>
          </w:p>
          <w:p w14:paraId="11413534"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u w:val="single"/>
                <w:vertAlign w:val="baseline"/>
              </w:rPr>
            </w:pPr>
            <w:r>
              <w:rPr>
                <w:rFonts w:ascii="Arial" w:eastAsia="Arial" w:hAnsi="Arial" w:cs="Arial"/>
                <w:color w:val="000000"/>
                <w:sz w:val="16"/>
                <w:szCs w:val="16"/>
                <w:vertAlign w:val="baseline"/>
              </w:rPr>
              <w:t>Calculadora de RAR y NNH o NND y sus IC 95 %  de CASPe.</w:t>
            </w:r>
            <w:r>
              <w:rPr>
                <w:rFonts w:ascii="Arial" w:eastAsia="Arial" w:hAnsi="Arial" w:cs="Arial"/>
                <w:b/>
                <w:color w:val="000000"/>
                <w:sz w:val="16"/>
                <w:szCs w:val="16"/>
                <w:vertAlign w:val="baseline"/>
              </w:rPr>
              <w:t xml:space="preserve">   </w:t>
            </w:r>
            <w:hyperlink r:id="rId37">
              <w:r>
                <w:rPr>
                  <w:rFonts w:ascii="Arial" w:eastAsia="Arial" w:hAnsi="Arial" w:cs="Arial"/>
                  <w:color w:val="0000FF"/>
                  <w:sz w:val="16"/>
                  <w:szCs w:val="16"/>
                  <w:u w:val="single"/>
                  <w:vertAlign w:val="baseline"/>
                </w:rPr>
                <w:t>Pulse aquí.</w:t>
              </w:r>
            </w:hyperlink>
          </w:p>
          <w:p w14:paraId="0DA2B39B"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rFonts w:ascii="Arial" w:eastAsia="Arial" w:hAnsi="Arial" w:cs="Arial"/>
                <w:b/>
                <w:color w:val="000000"/>
                <w:sz w:val="16"/>
                <w:szCs w:val="16"/>
                <w:u w:val="single"/>
                <w:vertAlign w:val="baseline"/>
              </w:rPr>
              <w:t>-</w:t>
            </w:r>
            <w:r>
              <w:rPr>
                <w:rFonts w:ascii="Arial" w:eastAsia="Arial" w:hAnsi="Arial" w:cs="Arial"/>
                <w:b/>
                <w:color w:val="000000"/>
                <w:sz w:val="16"/>
                <w:szCs w:val="16"/>
                <w:vertAlign w:val="baseline"/>
              </w:rPr>
              <w:t>Calculadoras/programas en web GENESIS:</w:t>
            </w:r>
            <w:r>
              <w:rPr>
                <w:rFonts w:ascii="Arial" w:eastAsia="Arial" w:hAnsi="Arial" w:cs="Arial"/>
                <w:b/>
                <w:color w:val="000000"/>
                <w:sz w:val="16"/>
                <w:szCs w:val="16"/>
                <w:u w:val="single"/>
                <w:vertAlign w:val="baseline"/>
              </w:rPr>
              <w:t xml:space="preserve"> </w:t>
            </w:r>
            <w:hyperlink r:id="rId38">
              <w:r>
                <w:rPr>
                  <w:rFonts w:ascii="Arial" w:eastAsia="Arial" w:hAnsi="Arial" w:cs="Arial"/>
                  <w:color w:val="0000FF"/>
                  <w:sz w:val="16"/>
                  <w:szCs w:val="16"/>
                  <w:u w:val="single"/>
                  <w:vertAlign w:val="baseline"/>
                </w:rPr>
                <w:t>http://gruposdetrabajo.sefh.es/genesis/genesis/Enlaces/Calculadoras.htm</w:t>
              </w:r>
            </w:hyperlink>
          </w:p>
        </w:tc>
      </w:tr>
    </w:tbl>
    <w:p w14:paraId="2DD842D9" w14:textId="77777777" w:rsidR="00634CDF" w:rsidRDefault="00634CDF">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20"/>
          <w:szCs w:val="20"/>
          <w:vertAlign w:val="baseline"/>
        </w:rPr>
      </w:pPr>
    </w:p>
    <w:p w14:paraId="5C89389A" w14:textId="51D218E8"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20"/>
          <w:szCs w:val="20"/>
          <w:vertAlign w:val="baseline"/>
        </w:rPr>
        <w:t>Inmunogenicidad</w:t>
      </w:r>
      <w:r w:rsidR="00B00408">
        <w:rPr>
          <w:rFonts w:ascii="Arial" w:eastAsia="Arial" w:hAnsi="Arial" w:cs="Arial"/>
          <w:color w:val="000000"/>
          <w:sz w:val="20"/>
          <w:szCs w:val="20"/>
          <w:vertAlign w:val="baseline"/>
        </w:rPr>
        <w:t>:</w:t>
      </w:r>
    </w:p>
    <w:p w14:paraId="174D478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Las muestras positivas para anticuerpos anti-inclisiran fueron pocas y con títulos bajos de anticuerpos. Además, no se asociaron a EA ni mostraron ningún cambio en los niveles de LDL o PCSK9. Sin embargo, dada la corta duración de seguimiento, la inmunogenicidad se sigue evaluando en la extensión de los ensayos ORION-3 y </w:t>
      </w:r>
      <w:r>
        <w:rPr>
          <w:rFonts w:ascii="Arial" w:eastAsia="Arial" w:hAnsi="Arial" w:cs="Arial"/>
          <w:sz w:val="20"/>
          <w:szCs w:val="20"/>
          <w:vertAlign w:val="baseline"/>
        </w:rPr>
        <w:t>ORION-</w:t>
      </w:r>
      <w:r>
        <w:rPr>
          <w:rFonts w:ascii="Arial" w:eastAsia="Arial" w:hAnsi="Arial" w:cs="Arial"/>
          <w:color w:val="000000"/>
          <w:sz w:val="20"/>
          <w:szCs w:val="20"/>
          <w:vertAlign w:val="baseline"/>
        </w:rPr>
        <w:t>8 y en el ensayo de resultados cardiovasculares ORION-4.</w:t>
      </w:r>
    </w:p>
    <w:p w14:paraId="0ABD1EB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450402E" w14:textId="6F20C0EE"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Por otra parte, no se identificaron consecuencias adversas de niveles de C-LDL bajos, y se desconocen los efectos a largo plazo de estos niveles</w:t>
      </w:r>
      <w:r>
        <w:rPr>
          <w:rFonts w:ascii="Arial" w:eastAsia="Arial" w:hAnsi="Arial" w:cs="Arial"/>
          <w:sz w:val="20"/>
          <w:szCs w:val="20"/>
          <w:vertAlign w:val="baseline"/>
        </w:rPr>
        <w:t xml:space="preserve"> </w:t>
      </w:r>
      <w:r w:rsidR="009F44EF">
        <w:rPr>
          <w:rFonts w:ascii="Arial" w:eastAsia="Arial" w:hAnsi="Arial" w:cs="Arial"/>
          <w:sz w:val="20"/>
          <w:szCs w:val="20"/>
          <w:vertAlign w:val="baseline"/>
        </w:rPr>
        <w:t>bajos.</w:t>
      </w:r>
      <w:r>
        <w:rPr>
          <w:rFonts w:ascii="Arial" w:eastAsia="Arial" w:hAnsi="Arial" w:cs="Arial"/>
          <w:color w:val="000000"/>
          <w:sz w:val="20"/>
          <w:szCs w:val="20"/>
          <w:vertAlign w:val="baseline"/>
        </w:rPr>
        <w:t xml:space="preserve"> Se conoce que los efectos de inclisiran son reversibles (ORION 1)</w:t>
      </w:r>
      <w:r>
        <w:rPr>
          <w:rFonts w:ascii="Arial" w:eastAsia="Arial" w:hAnsi="Arial" w:cs="Arial"/>
          <w:i/>
          <w:color w:val="000000"/>
          <w:sz w:val="20"/>
          <w:szCs w:val="20"/>
          <w:vertAlign w:val="baseline"/>
        </w:rPr>
        <w:t xml:space="preserve"> </w:t>
      </w:r>
      <w:r>
        <w:rPr>
          <w:rFonts w:ascii="Arial" w:eastAsia="Arial" w:hAnsi="Arial" w:cs="Arial"/>
          <w:color w:val="000000"/>
          <w:sz w:val="20"/>
          <w:szCs w:val="20"/>
          <w:vertAlign w:val="baseline"/>
        </w:rPr>
        <w:t xml:space="preserve">(31), </w:t>
      </w:r>
      <w:r>
        <w:rPr>
          <w:rFonts w:ascii="Arial" w:eastAsia="Arial" w:hAnsi="Arial" w:cs="Arial"/>
          <w:sz w:val="20"/>
          <w:szCs w:val="20"/>
          <w:vertAlign w:val="baseline"/>
        </w:rPr>
        <w:t>y</w:t>
      </w:r>
      <w:r>
        <w:rPr>
          <w:rFonts w:ascii="Arial" w:eastAsia="Arial" w:hAnsi="Arial" w:cs="Arial"/>
          <w:color w:val="000000"/>
          <w:sz w:val="20"/>
          <w:szCs w:val="20"/>
          <w:vertAlign w:val="baseline"/>
        </w:rPr>
        <w:t xml:space="preserve"> que los efectos de dos dosis pueden persistir aproximadamente 2 años.</w:t>
      </w:r>
    </w:p>
    <w:p w14:paraId="65BAD530"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B918048" w14:textId="0412591F"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u w:val="single"/>
          <w:vertAlign w:val="baseline"/>
        </w:rPr>
        <w:t>Ensayos clínicos desagregados</w:t>
      </w:r>
      <w:r w:rsidR="00B00408">
        <w:rPr>
          <w:rFonts w:ascii="Arial" w:eastAsia="Arial" w:hAnsi="Arial" w:cs="Arial"/>
          <w:b/>
          <w:color w:val="000000"/>
          <w:sz w:val="20"/>
          <w:szCs w:val="20"/>
          <w:u w:val="single"/>
          <w:vertAlign w:val="baseline"/>
        </w:rPr>
        <w:t>:</w:t>
      </w:r>
    </w:p>
    <w:p w14:paraId="27F32EF0"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u w:val="single"/>
          <w:vertAlign w:val="baseline"/>
        </w:rPr>
      </w:pPr>
    </w:p>
    <w:p w14:paraId="375C6C6E"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20"/>
          <w:szCs w:val="20"/>
          <w:vertAlign w:val="baseline"/>
        </w:rPr>
        <w:t xml:space="preserve">En los ensayos clínicos revisados independientemente, la frecuencia de efectos adversos tanto en el grupo de pacientes tratados con inclisiran como en el grupo de pacientes con placebo fue 76% en ORION-1. En los ensayos fase III ORION-9, ORION-10 Y ORION-11 se encontraron frecuencias similares: 76,8% en inclisiran frente a 71,7% en placebo en ORION-9, 73,5% frente a 74,8% en ORION-10 y 82,7% frente a 81,5% en ORION-11, para inclisiran y placebo respectivamente en ambos casos. </w:t>
      </w:r>
    </w:p>
    <w:p w14:paraId="6FB8771F" w14:textId="66E516D2"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20"/>
          <w:szCs w:val="20"/>
          <w:vertAlign w:val="baseline"/>
        </w:rPr>
        <w:t xml:space="preserve">La mayoría de estos eventos adversos fueron clasificados como moderados-leves siendo </w:t>
      </w:r>
      <w:r w:rsidR="009F44EF">
        <w:rPr>
          <w:rFonts w:ascii="Arial" w:eastAsia="Arial" w:hAnsi="Arial" w:cs="Arial"/>
          <w:color w:val="000000"/>
          <w:sz w:val="20"/>
          <w:szCs w:val="20"/>
          <w:vertAlign w:val="baseline"/>
        </w:rPr>
        <w:t>las más frecuentes reacciones</w:t>
      </w:r>
      <w:r>
        <w:rPr>
          <w:rFonts w:ascii="Arial" w:eastAsia="Arial" w:hAnsi="Arial" w:cs="Arial"/>
          <w:color w:val="000000"/>
          <w:sz w:val="20"/>
          <w:szCs w:val="20"/>
          <w:vertAlign w:val="baseline"/>
        </w:rPr>
        <w:t xml:space="preserve"> en el sitio de inyección, nasofaringitis, mialgias, dolor de espalda e infección del tracto respiratorio alto, teniendo una frecuencia similar en los pacientes tratados con inclisiran y con placebo, salvo para la </w:t>
      </w:r>
      <w:r w:rsidR="00D33EB1">
        <w:rPr>
          <w:rFonts w:ascii="Arial" w:eastAsia="Arial" w:hAnsi="Arial" w:cs="Arial"/>
          <w:color w:val="000000"/>
          <w:sz w:val="20"/>
          <w:szCs w:val="20"/>
          <w:vertAlign w:val="baseline"/>
        </w:rPr>
        <w:t>reacción en</w:t>
      </w:r>
      <w:r>
        <w:rPr>
          <w:rFonts w:ascii="Arial" w:eastAsia="Arial" w:hAnsi="Arial" w:cs="Arial"/>
          <w:color w:val="000000"/>
          <w:sz w:val="20"/>
          <w:szCs w:val="20"/>
          <w:vertAlign w:val="baseline"/>
        </w:rPr>
        <w:t xml:space="preserve"> el sitio de inyección. </w:t>
      </w:r>
    </w:p>
    <w:p w14:paraId="12BEE530"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20"/>
          <w:szCs w:val="20"/>
          <w:vertAlign w:val="baseline"/>
        </w:rPr>
        <w:t>Los eventos adversos graves tuvieron una frecuencia de 11% en el grupo de inclisiran frente al 8% en placebo en ORION-1, 7,5% frente a 13,8% en ORION-9, 22,4% frente a 26,3% en ORION-10 y 22,3% frente a 22,5% en ORION-11, para inclisiran y placebo, respectivamente en los tres estudios. Además de tener frecuencias similares, ningún evento adverso grave se ha relacionado directamente con la administración de inclisiran en ninguno de los ensayos.</w:t>
      </w:r>
    </w:p>
    <w:p w14:paraId="406B1EE8" w14:textId="77777777" w:rsidR="00634CDF" w:rsidRDefault="00634CDF">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20"/>
          <w:szCs w:val="20"/>
          <w:vertAlign w:val="baseline"/>
        </w:rPr>
      </w:pPr>
    </w:p>
    <w:p w14:paraId="688D7429" w14:textId="77777777" w:rsidR="00634CDF" w:rsidRDefault="00F0051D">
      <w:pPr>
        <w:pBdr>
          <w:top w:val="nil"/>
          <w:left w:val="nil"/>
          <w:bottom w:val="nil"/>
          <w:right w:val="nil"/>
          <w:between w:val="nil"/>
        </w:pBdr>
        <w:shd w:val="clear" w:color="auto" w:fill="FFFFFF"/>
        <w:spacing w:line="240" w:lineRule="auto"/>
        <w:ind w:left="0" w:hanging="2"/>
        <w:jc w:val="both"/>
        <w:rPr>
          <w:color w:val="000000"/>
          <w:vertAlign w:val="baseline"/>
        </w:rPr>
      </w:pPr>
      <w:r>
        <w:rPr>
          <w:rFonts w:ascii="Arial" w:eastAsia="Arial" w:hAnsi="Arial" w:cs="Arial"/>
          <w:color w:val="000000"/>
          <w:sz w:val="20"/>
          <w:szCs w:val="20"/>
          <w:vertAlign w:val="baseline"/>
        </w:rPr>
        <w:t>A continuación, se presentan las tablas con los principales eventos adversos para cada uno de los estudios pivotales, ORION-9, ORION-10 y ORION-11.</w:t>
      </w:r>
    </w:p>
    <w:p w14:paraId="15AE267C" w14:textId="77777777" w:rsidR="00634CDF" w:rsidRDefault="00634CDF">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20"/>
          <w:szCs w:val="20"/>
          <w:vertAlign w:val="baseline"/>
        </w:rPr>
      </w:pPr>
    </w:p>
    <w:tbl>
      <w:tblPr>
        <w:tblStyle w:val="afb"/>
        <w:tblW w:w="8901" w:type="dxa"/>
        <w:tblInd w:w="-5" w:type="dxa"/>
        <w:tblLayout w:type="fixed"/>
        <w:tblLook w:val="0000" w:firstRow="0" w:lastRow="0" w:firstColumn="0" w:lastColumn="0" w:noHBand="0" w:noVBand="0"/>
      </w:tblPr>
      <w:tblGrid>
        <w:gridCol w:w="2691"/>
        <w:gridCol w:w="1261"/>
        <w:gridCol w:w="1095"/>
        <w:gridCol w:w="1740"/>
        <w:gridCol w:w="780"/>
        <w:gridCol w:w="1334"/>
      </w:tblGrid>
      <w:tr w:rsidR="00634CDF" w14:paraId="0B374D05" w14:textId="77777777">
        <w:trPr>
          <w:trHeight w:val="198"/>
        </w:trPr>
        <w:tc>
          <w:tcPr>
            <w:tcW w:w="8901" w:type="dxa"/>
            <w:gridSpan w:val="6"/>
            <w:tcBorders>
              <w:top w:val="single" w:sz="4" w:space="0" w:color="000000"/>
              <w:left w:val="single" w:sz="4" w:space="0" w:color="000000"/>
              <w:bottom w:val="single" w:sz="4" w:space="0" w:color="000000"/>
              <w:right w:val="single" w:sz="4" w:space="0" w:color="000000"/>
            </w:tcBorders>
          </w:tcPr>
          <w:p w14:paraId="5507118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ORION 9 (</w:t>
            </w:r>
            <w:r>
              <w:rPr>
                <w:rFonts w:ascii="Arial" w:eastAsia="Arial" w:hAnsi="Arial" w:cs="Arial"/>
                <w:i/>
                <w:sz w:val="16"/>
                <w:szCs w:val="16"/>
                <w:vertAlign w:val="baseline"/>
              </w:rPr>
              <w:t>16</w:t>
            </w:r>
            <w:r>
              <w:rPr>
                <w:rFonts w:ascii="Arial" w:eastAsia="Arial" w:hAnsi="Arial" w:cs="Arial"/>
                <w:i/>
                <w:color w:val="000000"/>
                <w:sz w:val="16"/>
                <w:szCs w:val="16"/>
                <w:vertAlign w:val="baseline"/>
              </w:rPr>
              <w:t>) Fase III, aleatorizado, doble ciego, multicéntrico.</w:t>
            </w:r>
          </w:p>
        </w:tc>
      </w:tr>
      <w:tr w:rsidR="00634CDF" w14:paraId="04625EA3" w14:textId="77777777">
        <w:tc>
          <w:tcPr>
            <w:tcW w:w="8901" w:type="dxa"/>
            <w:gridSpan w:val="6"/>
            <w:tcBorders>
              <w:top w:val="single" w:sz="4" w:space="0" w:color="000000"/>
              <w:left w:val="single" w:sz="4" w:space="0" w:color="000000"/>
              <w:bottom w:val="single" w:sz="4" w:space="0" w:color="000000"/>
              <w:right w:val="single" w:sz="4" w:space="0" w:color="000000"/>
            </w:tcBorders>
            <w:shd w:val="clear" w:color="auto" w:fill="CCFFCC"/>
          </w:tcPr>
          <w:p w14:paraId="6392736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Tabla 19. Resultados de seguridad</w:t>
            </w:r>
          </w:p>
        </w:tc>
      </w:tr>
      <w:tr w:rsidR="00634CDF" w14:paraId="6053955F" w14:textId="77777777">
        <w:trPr>
          <w:trHeight w:val="675"/>
        </w:trPr>
        <w:tc>
          <w:tcPr>
            <w:tcW w:w="2691" w:type="dxa"/>
            <w:tcBorders>
              <w:top w:val="single" w:sz="4" w:space="0" w:color="000000"/>
              <w:left w:val="single" w:sz="4" w:space="0" w:color="000000"/>
              <w:bottom w:val="single" w:sz="4" w:space="0" w:color="000000"/>
            </w:tcBorders>
          </w:tcPr>
          <w:p w14:paraId="4CD53E6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t>Variable de seguridad evaluada en el estudio</w:t>
            </w:r>
          </w:p>
        </w:tc>
        <w:tc>
          <w:tcPr>
            <w:tcW w:w="1261" w:type="dxa"/>
            <w:tcBorders>
              <w:top w:val="single" w:sz="4" w:space="0" w:color="000000"/>
              <w:left w:val="single" w:sz="4" w:space="0" w:color="000000"/>
              <w:bottom w:val="single" w:sz="4" w:space="0" w:color="000000"/>
            </w:tcBorders>
          </w:tcPr>
          <w:p w14:paraId="2BC6B454"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 Inclisiran</w:t>
            </w:r>
          </w:p>
          <w:p w14:paraId="0100D0FD"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N (241)</w:t>
            </w:r>
          </w:p>
        </w:tc>
        <w:tc>
          <w:tcPr>
            <w:tcW w:w="1095" w:type="dxa"/>
            <w:tcBorders>
              <w:top w:val="single" w:sz="4" w:space="0" w:color="000000"/>
              <w:left w:val="single" w:sz="4" w:space="0" w:color="000000"/>
              <w:bottom w:val="single" w:sz="4" w:space="0" w:color="000000"/>
            </w:tcBorders>
          </w:tcPr>
          <w:p w14:paraId="175E1E8E"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Placebo </w:t>
            </w:r>
          </w:p>
          <w:p w14:paraId="10C6DA3F"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N (240) </w:t>
            </w:r>
          </w:p>
        </w:tc>
        <w:tc>
          <w:tcPr>
            <w:tcW w:w="1740" w:type="dxa"/>
            <w:tcBorders>
              <w:top w:val="single" w:sz="4" w:space="0" w:color="000000"/>
              <w:left w:val="single" w:sz="4" w:space="0" w:color="000000"/>
              <w:bottom w:val="single" w:sz="4" w:space="0" w:color="000000"/>
            </w:tcBorders>
          </w:tcPr>
          <w:p w14:paraId="37AF6BC1"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RAR (IC 95%)</w:t>
            </w:r>
            <w:r>
              <w:rPr>
                <w:rFonts w:ascii="Arial" w:eastAsia="Arial" w:hAnsi="Arial" w:cs="Arial"/>
                <w:color w:val="000000"/>
                <w:sz w:val="16"/>
                <w:szCs w:val="16"/>
                <w:vertAlign w:val="baseline"/>
              </w:rPr>
              <w:t xml:space="preserve"> Diferencia Riesgo Absoluto</w:t>
            </w:r>
            <w:r>
              <w:rPr>
                <w:rFonts w:ascii="Arial" w:eastAsia="Arial" w:hAnsi="Arial" w:cs="Arial"/>
                <w:b/>
                <w:i/>
                <w:color w:val="000000"/>
                <w:sz w:val="16"/>
                <w:szCs w:val="16"/>
                <w:vertAlign w:val="baseline"/>
              </w:rPr>
              <w:t xml:space="preserve"> *</w:t>
            </w:r>
          </w:p>
        </w:tc>
        <w:tc>
          <w:tcPr>
            <w:tcW w:w="780" w:type="dxa"/>
            <w:tcBorders>
              <w:top w:val="single" w:sz="4" w:space="0" w:color="000000"/>
              <w:left w:val="single" w:sz="4" w:space="0" w:color="000000"/>
              <w:bottom w:val="single" w:sz="4" w:space="0" w:color="000000"/>
            </w:tcBorders>
          </w:tcPr>
          <w:p w14:paraId="5FC5AA88" w14:textId="77777777" w:rsidR="00634CDF" w:rsidRDefault="00F0051D">
            <w:pPr>
              <w:pBdr>
                <w:top w:val="nil"/>
                <w:left w:val="nil"/>
                <w:bottom w:val="nil"/>
                <w:right w:val="nil"/>
                <w:between w:val="nil"/>
              </w:pBdr>
              <w:tabs>
                <w:tab w:val="left" w:pos="1673"/>
              </w:tabs>
              <w:spacing w:line="240" w:lineRule="auto"/>
              <w:ind w:left="0" w:hanging="2"/>
              <w:jc w:val="both"/>
              <w:rPr>
                <w:color w:val="000000"/>
                <w:vertAlign w:val="baseline"/>
              </w:rPr>
            </w:pPr>
            <w:r>
              <w:rPr>
                <w:rFonts w:ascii="Arial" w:eastAsia="Arial" w:hAnsi="Arial" w:cs="Arial"/>
                <w:b/>
                <w:i/>
                <w:color w:val="000000"/>
                <w:sz w:val="16"/>
                <w:szCs w:val="16"/>
                <w:vertAlign w:val="baseline"/>
              </w:rPr>
              <w:t>P</w:t>
            </w:r>
          </w:p>
        </w:tc>
        <w:tc>
          <w:tcPr>
            <w:tcW w:w="1334" w:type="dxa"/>
            <w:tcBorders>
              <w:top w:val="single" w:sz="4" w:space="0" w:color="000000"/>
              <w:left w:val="single" w:sz="4" w:space="0" w:color="000000"/>
              <w:bottom w:val="single" w:sz="4" w:space="0" w:color="000000"/>
              <w:right w:val="single" w:sz="4" w:space="0" w:color="000000"/>
            </w:tcBorders>
          </w:tcPr>
          <w:p w14:paraId="3D2C1CA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t>NNH o NND (IC 95%)</w:t>
            </w:r>
          </w:p>
        </w:tc>
      </w:tr>
      <w:tr w:rsidR="00634CDF" w14:paraId="53BE7B90" w14:textId="77777777">
        <w:trPr>
          <w:trHeight w:val="709"/>
        </w:trPr>
        <w:tc>
          <w:tcPr>
            <w:tcW w:w="2691" w:type="dxa"/>
            <w:tcBorders>
              <w:top w:val="single" w:sz="4" w:space="0" w:color="000000"/>
              <w:left w:val="single" w:sz="4" w:space="0" w:color="000000"/>
              <w:bottom w:val="single" w:sz="4" w:space="0" w:color="000000"/>
            </w:tcBorders>
          </w:tcPr>
          <w:p w14:paraId="0196368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 xml:space="preserve"> % Pacientes con:</w:t>
            </w:r>
          </w:p>
          <w:p w14:paraId="7AB6AAC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EA</w:t>
            </w:r>
          </w:p>
          <w:p w14:paraId="4CC2E7BE"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6C4139A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lastRenderedPageBreak/>
              <w:t>EA que lleve a discontinuación</w:t>
            </w:r>
          </w:p>
          <w:p w14:paraId="1D4E203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EA grave</w:t>
            </w:r>
          </w:p>
          <w:p w14:paraId="59361EA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Muerte por cualquier causa</w:t>
            </w:r>
          </w:p>
          <w:p w14:paraId="0C434D4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Muerte cardiovascular</w:t>
            </w:r>
          </w:p>
          <w:p w14:paraId="0CF9723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Cáncer de nuevo diagnóstico, empeoramiento o recidiva</w:t>
            </w:r>
          </w:p>
          <w:p w14:paraId="58A0843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Eventos cardiovasculares*</w:t>
            </w:r>
          </w:p>
          <w:p w14:paraId="20FE48E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Infarto de miocardio (fatal o no fatal)</w:t>
            </w:r>
          </w:p>
          <w:p w14:paraId="564025A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Accidente cerebrovascular (fatal o no fatal)</w:t>
            </w:r>
          </w:p>
          <w:p w14:paraId="75F1600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Reacción en el sitio de inyección</w:t>
            </w:r>
          </w:p>
          <w:p w14:paraId="47FE60CF" w14:textId="77777777" w:rsidR="00634CDF" w:rsidRDefault="00F0051D">
            <w:pPr>
              <w:numPr>
                <w:ilvl w:val="0"/>
                <w:numId w:val="7"/>
              </w:num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Leve</w:t>
            </w:r>
          </w:p>
          <w:p w14:paraId="04D4C4BD" w14:textId="77777777" w:rsidR="00634CDF" w:rsidRDefault="00F0051D">
            <w:pPr>
              <w:numPr>
                <w:ilvl w:val="0"/>
                <w:numId w:val="7"/>
              </w:num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Moderado</w:t>
            </w:r>
          </w:p>
          <w:p w14:paraId="718C2A79" w14:textId="77777777" w:rsidR="00634CDF" w:rsidRDefault="00F0051D">
            <w:pPr>
              <w:numPr>
                <w:ilvl w:val="0"/>
                <w:numId w:val="7"/>
              </w:num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Grave</w:t>
            </w:r>
          </w:p>
          <w:p w14:paraId="29465D6B" w14:textId="77777777" w:rsidR="00634CDF" w:rsidRDefault="00F0051D">
            <w:pPr>
              <w:numPr>
                <w:ilvl w:val="0"/>
                <w:numId w:val="7"/>
              </w:num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Persistente</w:t>
            </w:r>
          </w:p>
          <w:p w14:paraId="0B7A964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Nasofaringitis</w:t>
            </w:r>
          </w:p>
          <w:p w14:paraId="78E41BC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Gripe</w:t>
            </w:r>
          </w:p>
          <w:p w14:paraId="620A700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Infección respiratoria de vías altas</w:t>
            </w:r>
          </w:p>
          <w:p w14:paraId="45792C3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Dolor de espalda</w:t>
            </w:r>
          </w:p>
          <w:p w14:paraId="54A2FC9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Gastroenteritis</w:t>
            </w:r>
          </w:p>
          <w:p w14:paraId="0BC23F2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ALT&gt; 3 veces el nivel superior normal</w:t>
            </w:r>
          </w:p>
          <w:p w14:paraId="35FD510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AST&gt;3 veces el nivel superior normal</w:t>
            </w:r>
          </w:p>
          <w:p w14:paraId="521B14B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Fosfatasa alcalina&gt;3 veces el nivel superior normal</w:t>
            </w:r>
          </w:p>
          <w:p w14:paraId="73F5DA9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Bilirrubina&gt;2 veces el nivel superior normal</w:t>
            </w:r>
          </w:p>
          <w:p w14:paraId="39D08CB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Creatinina&gt;2 mg/dL</w:t>
            </w:r>
          </w:p>
          <w:p w14:paraId="10B3B7B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Creatina quinasa&gt;5 veces el nivel superior normal</w:t>
            </w:r>
          </w:p>
          <w:p w14:paraId="599C339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Plaquetas&lt; 75000/ml</w:t>
            </w:r>
          </w:p>
        </w:tc>
        <w:tc>
          <w:tcPr>
            <w:tcW w:w="1261" w:type="dxa"/>
            <w:tcBorders>
              <w:top w:val="single" w:sz="4" w:space="0" w:color="000000"/>
              <w:left w:val="single" w:sz="4" w:space="0" w:color="000000"/>
              <w:bottom w:val="single" w:sz="4" w:space="0" w:color="000000"/>
            </w:tcBorders>
          </w:tcPr>
          <w:p w14:paraId="5873D33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E7BAB8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76,8</w:t>
            </w:r>
          </w:p>
          <w:p w14:paraId="196FD76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2A8166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lastRenderedPageBreak/>
              <w:t>1,2</w:t>
            </w:r>
          </w:p>
          <w:p w14:paraId="3571961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7,5</w:t>
            </w:r>
          </w:p>
          <w:p w14:paraId="61989EB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0,4</w:t>
            </w:r>
          </w:p>
          <w:p w14:paraId="370CC31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0,4</w:t>
            </w:r>
          </w:p>
          <w:p w14:paraId="7FA44A0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0,8</w:t>
            </w:r>
          </w:p>
          <w:p w14:paraId="5CB9BD9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CAC61F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4,1</w:t>
            </w:r>
          </w:p>
          <w:p w14:paraId="5C380FF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1,2</w:t>
            </w:r>
          </w:p>
          <w:p w14:paraId="6DC91D2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w:t>
            </w:r>
          </w:p>
          <w:p w14:paraId="5770DB6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F9ED88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17</w:t>
            </w:r>
          </w:p>
          <w:p w14:paraId="2BE4F35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15,4</w:t>
            </w:r>
          </w:p>
          <w:p w14:paraId="0958B4C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1,7</w:t>
            </w:r>
          </w:p>
          <w:p w14:paraId="2B1B7A5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w:t>
            </w:r>
          </w:p>
          <w:p w14:paraId="58319C8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w:t>
            </w:r>
          </w:p>
          <w:p w14:paraId="024F762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11,6</w:t>
            </w:r>
          </w:p>
          <w:p w14:paraId="3D73D6E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5,4</w:t>
            </w:r>
          </w:p>
          <w:p w14:paraId="20096DD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6,6</w:t>
            </w:r>
          </w:p>
          <w:p w14:paraId="24C7818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7,1</w:t>
            </w:r>
          </w:p>
          <w:p w14:paraId="14C03F1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4,6</w:t>
            </w:r>
          </w:p>
          <w:p w14:paraId="2E41B15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1,2</w:t>
            </w:r>
          </w:p>
          <w:p w14:paraId="293D623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2ED013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0,8</w:t>
            </w:r>
          </w:p>
          <w:p w14:paraId="495467C8"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61E447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0,8</w:t>
            </w:r>
          </w:p>
          <w:p w14:paraId="123556C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34F106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1,7</w:t>
            </w:r>
          </w:p>
          <w:p w14:paraId="2B35C9F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990D9B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0,4</w:t>
            </w:r>
          </w:p>
          <w:p w14:paraId="54FC75E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1,7</w:t>
            </w:r>
          </w:p>
          <w:p w14:paraId="7443080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A973BA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w:t>
            </w:r>
          </w:p>
        </w:tc>
        <w:tc>
          <w:tcPr>
            <w:tcW w:w="1095" w:type="dxa"/>
            <w:tcBorders>
              <w:top w:val="single" w:sz="4" w:space="0" w:color="000000"/>
              <w:left w:val="single" w:sz="4" w:space="0" w:color="000000"/>
              <w:bottom w:val="single" w:sz="4" w:space="0" w:color="000000"/>
            </w:tcBorders>
          </w:tcPr>
          <w:p w14:paraId="26D9149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0F6EBC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71,7</w:t>
            </w:r>
          </w:p>
          <w:p w14:paraId="4BBFD06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8AA4E7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lastRenderedPageBreak/>
              <w:t>0</w:t>
            </w:r>
          </w:p>
          <w:p w14:paraId="5891FA2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13,8</w:t>
            </w:r>
          </w:p>
          <w:p w14:paraId="7336CE2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0,4</w:t>
            </w:r>
          </w:p>
          <w:p w14:paraId="1890D25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w:t>
            </w:r>
          </w:p>
          <w:p w14:paraId="06E32C3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1,2</w:t>
            </w:r>
          </w:p>
          <w:p w14:paraId="5423886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233C1A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4,2</w:t>
            </w:r>
          </w:p>
          <w:p w14:paraId="4698603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0,4</w:t>
            </w:r>
          </w:p>
          <w:p w14:paraId="5EB0A55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w:t>
            </w:r>
          </w:p>
          <w:p w14:paraId="39C4597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CA8258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1,7</w:t>
            </w:r>
          </w:p>
          <w:p w14:paraId="19B4B85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1,7</w:t>
            </w:r>
          </w:p>
          <w:p w14:paraId="450F89B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w:t>
            </w:r>
          </w:p>
          <w:p w14:paraId="0023E5B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w:t>
            </w:r>
          </w:p>
          <w:p w14:paraId="7C31417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w:t>
            </w:r>
          </w:p>
          <w:p w14:paraId="08A9B98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8,3</w:t>
            </w:r>
          </w:p>
          <w:p w14:paraId="723FD1A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8,8</w:t>
            </w:r>
          </w:p>
          <w:p w14:paraId="155ACA7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6,7</w:t>
            </w:r>
          </w:p>
          <w:p w14:paraId="5714EB5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4,2</w:t>
            </w:r>
          </w:p>
          <w:p w14:paraId="5895AC2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2,5</w:t>
            </w:r>
          </w:p>
          <w:p w14:paraId="00FACA9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0,4</w:t>
            </w:r>
          </w:p>
          <w:p w14:paraId="303B861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694A5E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0,4</w:t>
            </w:r>
          </w:p>
          <w:p w14:paraId="3FAE84E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52E31B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w:t>
            </w:r>
          </w:p>
          <w:p w14:paraId="78362D7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17B355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1,2</w:t>
            </w:r>
          </w:p>
          <w:p w14:paraId="7EB99E2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1F5E2D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0,4</w:t>
            </w:r>
          </w:p>
          <w:p w14:paraId="410C187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2,1</w:t>
            </w:r>
          </w:p>
          <w:p w14:paraId="0813563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8DF2C4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0,4</w:t>
            </w:r>
          </w:p>
        </w:tc>
        <w:tc>
          <w:tcPr>
            <w:tcW w:w="1740" w:type="dxa"/>
            <w:tcBorders>
              <w:top w:val="single" w:sz="4" w:space="0" w:color="000000"/>
              <w:left w:val="single" w:sz="4" w:space="0" w:color="000000"/>
              <w:bottom w:val="single" w:sz="4" w:space="0" w:color="000000"/>
            </w:tcBorders>
          </w:tcPr>
          <w:p w14:paraId="54B3B29B"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0CD7D155"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4E86685E"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155ECAB9"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7093D63F" w14:textId="77777777" w:rsidR="00634CDF" w:rsidRDefault="00F0051D">
            <w:pPr>
              <w:pBdr>
                <w:top w:val="nil"/>
                <w:left w:val="nil"/>
                <w:bottom w:val="nil"/>
                <w:right w:val="nil"/>
                <w:between w:val="nil"/>
              </w:pBdr>
              <w:tabs>
                <w:tab w:val="center" w:pos="851"/>
              </w:tabs>
              <w:spacing w:line="240" w:lineRule="auto"/>
              <w:ind w:left="0" w:hanging="2"/>
              <w:rPr>
                <w:color w:val="000000"/>
                <w:vertAlign w:val="baseline"/>
              </w:rPr>
            </w:pPr>
            <w:r>
              <w:rPr>
                <w:rFonts w:ascii="Arial" w:eastAsia="Arial" w:hAnsi="Arial" w:cs="Arial"/>
                <w:color w:val="000000"/>
                <w:sz w:val="16"/>
                <w:szCs w:val="16"/>
                <w:vertAlign w:val="baseline"/>
              </w:rPr>
              <w:t>-6,3(-11,8 a -0,8)</w:t>
            </w:r>
          </w:p>
          <w:p w14:paraId="728F342E"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7AD1CE4E"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5DE48171"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2246B6AD"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0DDAD089"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1E7EC866"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00DAC67A"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63FCEC7E"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79098420" w14:textId="77777777" w:rsidR="00634CDF" w:rsidRDefault="00F0051D">
            <w:pPr>
              <w:pBdr>
                <w:top w:val="nil"/>
                <w:left w:val="nil"/>
                <w:bottom w:val="nil"/>
                <w:right w:val="nil"/>
                <w:between w:val="nil"/>
              </w:pBdr>
              <w:tabs>
                <w:tab w:val="center" w:pos="851"/>
              </w:tabs>
              <w:spacing w:line="240" w:lineRule="auto"/>
              <w:ind w:left="0" w:hanging="2"/>
              <w:rPr>
                <w:color w:val="000000"/>
                <w:vertAlign w:val="baseline"/>
              </w:rPr>
            </w:pPr>
            <w:r>
              <w:rPr>
                <w:rFonts w:ascii="Arial" w:eastAsia="Arial" w:hAnsi="Arial" w:cs="Arial"/>
                <w:color w:val="000000"/>
                <w:sz w:val="16"/>
                <w:szCs w:val="16"/>
                <w:vertAlign w:val="baseline"/>
              </w:rPr>
              <w:t>15,3(10,3-20,4)</w:t>
            </w:r>
          </w:p>
          <w:p w14:paraId="7D1EA992" w14:textId="77777777" w:rsidR="00634CDF" w:rsidRDefault="00F0051D">
            <w:pPr>
              <w:pBdr>
                <w:top w:val="nil"/>
                <w:left w:val="nil"/>
                <w:bottom w:val="nil"/>
                <w:right w:val="nil"/>
                <w:between w:val="nil"/>
              </w:pBdr>
              <w:tabs>
                <w:tab w:val="center" w:pos="851"/>
              </w:tabs>
              <w:spacing w:line="240" w:lineRule="auto"/>
              <w:ind w:left="0" w:hanging="2"/>
              <w:rPr>
                <w:color w:val="000000"/>
                <w:vertAlign w:val="baseline"/>
              </w:rPr>
            </w:pPr>
            <w:r>
              <w:rPr>
                <w:rFonts w:ascii="Arial" w:eastAsia="Arial" w:hAnsi="Arial" w:cs="Arial"/>
                <w:color w:val="000000"/>
                <w:sz w:val="16"/>
                <w:szCs w:val="16"/>
                <w:vertAlign w:val="baseline"/>
              </w:rPr>
              <w:t>13,7(8,9-18,5)</w:t>
            </w:r>
          </w:p>
        </w:tc>
        <w:tc>
          <w:tcPr>
            <w:tcW w:w="780" w:type="dxa"/>
            <w:tcBorders>
              <w:top w:val="single" w:sz="4" w:space="0" w:color="000000"/>
              <w:left w:val="single" w:sz="4" w:space="0" w:color="000000"/>
              <w:bottom w:val="single" w:sz="4" w:space="0" w:color="000000"/>
            </w:tcBorders>
          </w:tcPr>
          <w:p w14:paraId="1C5C4040"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lastRenderedPageBreak/>
              <w:t xml:space="preserve"> </w:t>
            </w:r>
          </w:p>
          <w:p w14:paraId="1A19949E"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ns</w:t>
            </w:r>
          </w:p>
          <w:p w14:paraId="6267422B"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2E62647B"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lastRenderedPageBreak/>
              <w:t>ns</w:t>
            </w:r>
          </w:p>
          <w:p w14:paraId="0FB59C00"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&lt;0,05</w:t>
            </w:r>
          </w:p>
          <w:p w14:paraId="452E7342"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22087ADA"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3A5DC8CC"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3AED1E84"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35B870B7"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7FC8F03F"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5AB5A3EF"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055EFC31"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27FD9AA6"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&lt;0,001</w:t>
            </w:r>
          </w:p>
          <w:p w14:paraId="4722AAA5"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&lt;0,001</w:t>
            </w:r>
          </w:p>
          <w:p w14:paraId="17F95BB4"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543FC11C"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2CE03C45"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3174E887"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6D094521"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17ADE4C6"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052E350F"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58B62B9B"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5FB3CB20"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0F846118"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648DA0B8"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285BAC3B"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5FEB10CC"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57F0593F"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3A9C9862"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248EC0EB"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138BBEA2"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731CF65C"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39241963"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38EECF72"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tc>
        <w:tc>
          <w:tcPr>
            <w:tcW w:w="1334" w:type="dxa"/>
            <w:tcBorders>
              <w:top w:val="single" w:sz="4" w:space="0" w:color="000000"/>
              <w:left w:val="single" w:sz="4" w:space="0" w:color="000000"/>
              <w:bottom w:val="single" w:sz="4" w:space="0" w:color="000000"/>
              <w:right w:val="single" w:sz="4" w:space="0" w:color="000000"/>
            </w:tcBorders>
          </w:tcPr>
          <w:p w14:paraId="3C991225"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5759E517"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2EB6806B"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2A695347"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25AC8C6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16(8-125)</w:t>
            </w:r>
          </w:p>
          <w:p w14:paraId="6794364B"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3BF3CF63"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1367D146"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10D428C6"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362CEC34"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746E4A2C"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46207E88"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67A30DAE"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7550CA1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7(5-10)</w:t>
            </w:r>
          </w:p>
          <w:p w14:paraId="3765B43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7(5-11)</w:t>
            </w:r>
          </w:p>
        </w:tc>
      </w:tr>
      <w:tr w:rsidR="00634CDF" w14:paraId="10FCB12E" w14:textId="77777777">
        <w:trPr>
          <w:trHeight w:val="218"/>
        </w:trPr>
        <w:tc>
          <w:tcPr>
            <w:tcW w:w="8901" w:type="dxa"/>
            <w:gridSpan w:val="6"/>
            <w:tcBorders>
              <w:top w:val="single" w:sz="4" w:space="0" w:color="000000"/>
              <w:left w:val="single" w:sz="4" w:space="0" w:color="000000"/>
              <w:bottom w:val="single" w:sz="4" w:space="0" w:color="000000"/>
              <w:right w:val="single" w:sz="4" w:space="0" w:color="000000"/>
            </w:tcBorders>
          </w:tcPr>
          <w:p w14:paraId="4D97334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lastRenderedPageBreak/>
              <w:t xml:space="preserve">(*) RAR y NND o NNH con IC 95 % se exponen en la tabla solo si p&lt;0,05 </w:t>
            </w:r>
          </w:p>
          <w:p w14:paraId="3C962CB0"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u w:val="single"/>
                <w:vertAlign w:val="baseline"/>
              </w:rPr>
            </w:pPr>
            <w:r>
              <w:rPr>
                <w:rFonts w:ascii="Arial" w:eastAsia="Arial" w:hAnsi="Arial" w:cs="Arial"/>
                <w:color w:val="000000"/>
                <w:sz w:val="16"/>
                <w:szCs w:val="16"/>
                <w:vertAlign w:val="baseline"/>
              </w:rPr>
              <w:t>Calculadora de RAR y NNH o NND y sus IC 95 %  de CASPe.</w:t>
            </w:r>
            <w:r>
              <w:rPr>
                <w:rFonts w:ascii="Arial" w:eastAsia="Arial" w:hAnsi="Arial" w:cs="Arial"/>
                <w:b/>
                <w:color w:val="000000"/>
                <w:sz w:val="16"/>
                <w:szCs w:val="16"/>
                <w:vertAlign w:val="baseline"/>
              </w:rPr>
              <w:t xml:space="preserve">   </w:t>
            </w:r>
            <w:hyperlink r:id="rId39">
              <w:r>
                <w:rPr>
                  <w:rFonts w:ascii="Arial" w:eastAsia="Arial" w:hAnsi="Arial" w:cs="Arial"/>
                  <w:color w:val="0000FF"/>
                  <w:sz w:val="16"/>
                  <w:szCs w:val="16"/>
                  <w:u w:val="single"/>
                  <w:vertAlign w:val="baseline"/>
                </w:rPr>
                <w:t>Pulse aquí.</w:t>
              </w:r>
            </w:hyperlink>
          </w:p>
          <w:p w14:paraId="683D413D"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r>
              <w:rPr>
                <w:rFonts w:ascii="Arial" w:eastAsia="Arial" w:hAnsi="Arial" w:cs="Arial"/>
                <w:b/>
                <w:color w:val="000000"/>
                <w:sz w:val="16"/>
                <w:szCs w:val="16"/>
                <w:u w:val="single"/>
                <w:vertAlign w:val="baseline"/>
              </w:rPr>
              <w:t>-</w:t>
            </w:r>
            <w:r>
              <w:rPr>
                <w:rFonts w:ascii="Arial" w:eastAsia="Arial" w:hAnsi="Arial" w:cs="Arial"/>
                <w:b/>
                <w:color w:val="000000"/>
                <w:sz w:val="16"/>
                <w:szCs w:val="16"/>
                <w:vertAlign w:val="baseline"/>
              </w:rPr>
              <w:t>Calculadoras/programas en web GENESIS:</w:t>
            </w:r>
            <w:r>
              <w:rPr>
                <w:rFonts w:ascii="Arial" w:eastAsia="Arial" w:hAnsi="Arial" w:cs="Arial"/>
                <w:b/>
                <w:color w:val="000000"/>
                <w:sz w:val="16"/>
                <w:szCs w:val="16"/>
                <w:u w:val="single"/>
                <w:vertAlign w:val="baseline"/>
              </w:rPr>
              <w:t xml:space="preserve"> </w:t>
            </w:r>
            <w:hyperlink r:id="rId40">
              <w:r>
                <w:rPr>
                  <w:rFonts w:ascii="Arial" w:eastAsia="Arial" w:hAnsi="Arial" w:cs="Arial"/>
                  <w:color w:val="0000FF"/>
                  <w:sz w:val="16"/>
                  <w:szCs w:val="16"/>
                  <w:u w:val="single"/>
                  <w:vertAlign w:val="baseline"/>
                </w:rPr>
                <w:t>http://gruposdetrabajo.sefh.es/genesis/genesis/Enlaces/Calculadoras.htm</w:t>
              </w:r>
            </w:hyperlink>
          </w:p>
        </w:tc>
      </w:tr>
      <w:tr w:rsidR="00634CDF" w14:paraId="5103AF82" w14:textId="77777777">
        <w:trPr>
          <w:trHeight w:val="218"/>
        </w:trPr>
        <w:tc>
          <w:tcPr>
            <w:tcW w:w="8901" w:type="dxa"/>
            <w:gridSpan w:val="6"/>
            <w:tcBorders>
              <w:top w:val="single" w:sz="4" w:space="0" w:color="000000"/>
              <w:left w:val="single" w:sz="4" w:space="0" w:color="000000"/>
              <w:bottom w:val="single" w:sz="4" w:space="0" w:color="000000"/>
              <w:right w:val="single" w:sz="4" w:space="0" w:color="000000"/>
            </w:tcBorders>
          </w:tcPr>
          <w:p w14:paraId="4925FA6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Muerte cardiaca, signos y síntomas de paro cardiaco, infarto de miocardio no fatal o accidente cerebrovascular no fatal.</w:t>
            </w:r>
          </w:p>
        </w:tc>
      </w:tr>
    </w:tbl>
    <w:p w14:paraId="1570FE9F"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2AE4DEEC" w14:textId="77777777" w:rsidR="00634CDF" w:rsidRDefault="00634CDF">
      <w:pPr>
        <w:pBdr>
          <w:top w:val="nil"/>
          <w:left w:val="nil"/>
          <w:bottom w:val="nil"/>
          <w:right w:val="nil"/>
          <w:between w:val="nil"/>
        </w:pBdr>
        <w:shd w:val="clear" w:color="auto" w:fill="FFFFFF"/>
        <w:spacing w:line="240" w:lineRule="auto"/>
        <w:ind w:left="0" w:hanging="2"/>
        <w:jc w:val="both"/>
        <w:rPr>
          <w:rFonts w:ascii="Arial" w:eastAsia="Arial" w:hAnsi="Arial" w:cs="Arial"/>
          <w:color w:val="000000"/>
          <w:sz w:val="20"/>
          <w:szCs w:val="20"/>
          <w:vertAlign w:val="baseline"/>
        </w:rPr>
      </w:pPr>
    </w:p>
    <w:tbl>
      <w:tblPr>
        <w:tblStyle w:val="afc"/>
        <w:tblW w:w="8900" w:type="dxa"/>
        <w:tblInd w:w="-5" w:type="dxa"/>
        <w:tblLayout w:type="fixed"/>
        <w:tblLook w:val="0000" w:firstRow="0" w:lastRow="0" w:firstColumn="0" w:lastColumn="0" w:noHBand="0" w:noVBand="0"/>
      </w:tblPr>
      <w:tblGrid>
        <w:gridCol w:w="2691"/>
        <w:gridCol w:w="1261"/>
        <w:gridCol w:w="1019"/>
        <w:gridCol w:w="1920"/>
        <w:gridCol w:w="675"/>
        <w:gridCol w:w="1334"/>
      </w:tblGrid>
      <w:tr w:rsidR="00634CDF" w14:paraId="7C9DD5A4" w14:textId="77777777">
        <w:tc>
          <w:tcPr>
            <w:tcW w:w="8900" w:type="dxa"/>
            <w:gridSpan w:val="6"/>
            <w:tcBorders>
              <w:top w:val="single" w:sz="4" w:space="0" w:color="000000"/>
              <w:left w:val="single" w:sz="4" w:space="0" w:color="000000"/>
              <w:bottom w:val="single" w:sz="4" w:space="0" w:color="000000"/>
              <w:right w:val="single" w:sz="4" w:space="0" w:color="000000"/>
            </w:tcBorders>
            <w:shd w:val="clear" w:color="auto" w:fill="CCFFCC"/>
          </w:tcPr>
          <w:p w14:paraId="2948D05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8"/>
                <w:szCs w:val="18"/>
                <w:vertAlign w:val="baseline"/>
              </w:rPr>
              <w:t>Tabla 20. Eventos adversos. ORION-10 (18)</w:t>
            </w:r>
          </w:p>
          <w:p w14:paraId="696C58F6"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r>
      <w:tr w:rsidR="00634CDF" w14:paraId="54A27079" w14:textId="77777777">
        <w:tc>
          <w:tcPr>
            <w:tcW w:w="8900" w:type="dxa"/>
            <w:gridSpan w:val="6"/>
            <w:tcBorders>
              <w:top w:val="single" w:sz="4" w:space="0" w:color="000000"/>
              <w:left w:val="single" w:sz="4" w:space="0" w:color="000000"/>
              <w:bottom w:val="single" w:sz="4" w:space="0" w:color="000000"/>
              <w:right w:val="single" w:sz="4" w:space="0" w:color="000000"/>
            </w:tcBorders>
          </w:tcPr>
          <w:p w14:paraId="4E19F39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Fase III, aleatorizado, doble ciego, multicéntrico.</w:t>
            </w:r>
          </w:p>
        </w:tc>
      </w:tr>
      <w:tr w:rsidR="00634CDF" w14:paraId="7E44AA26" w14:textId="77777777">
        <w:tc>
          <w:tcPr>
            <w:tcW w:w="8900" w:type="dxa"/>
            <w:gridSpan w:val="6"/>
            <w:tcBorders>
              <w:top w:val="single" w:sz="4" w:space="0" w:color="000000"/>
              <w:left w:val="single" w:sz="4" w:space="0" w:color="000000"/>
              <w:bottom w:val="single" w:sz="4" w:space="0" w:color="000000"/>
              <w:right w:val="single" w:sz="4" w:space="0" w:color="000000"/>
            </w:tcBorders>
            <w:shd w:val="clear" w:color="auto" w:fill="CCFFCC"/>
          </w:tcPr>
          <w:p w14:paraId="76C1A786"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Resultados de seguridad</w:t>
            </w:r>
          </w:p>
        </w:tc>
      </w:tr>
      <w:tr w:rsidR="00634CDF" w14:paraId="70304E73" w14:textId="77777777">
        <w:trPr>
          <w:trHeight w:val="675"/>
        </w:trPr>
        <w:tc>
          <w:tcPr>
            <w:tcW w:w="2691" w:type="dxa"/>
            <w:tcBorders>
              <w:top w:val="single" w:sz="4" w:space="0" w:color="000000"/>
              <w:left w:val="single" w:sz="4" w:space="0" w:color="000000"/>
              <w:bottom w:val="single" w:sz="4" w:space="0" w:color="000000"/>
            </w:tcBorders>
          </w:tcPr>
          <w:p w14:paraId="2B40785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t>Variable de seguridad evaluada en el estudio</w:t>
            </w:r>
          </w:p>
        </w:tc>
        <w:tc>
          <w:tcPr>
            <w:tcW w:w="1261" w:type="dxa"/>
            <w:tcBorders>
              <w:top w:val="single" w:sz="4" w:space="0" w:color="000000"/>
              <w:left w:val="single" w:sz="4" w:space="0" w:color="000000"/>
              <w:bottom w:val="single" w:sz="4" w:space="0" w:color="000000"/>
            </w:tcBorders>
          </w:tcPr>
          <w:p w14:paraId="6355FAF8"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 Inclisiran</w:t>
            </w:r>
          </w:p>
          <w:p w14:paraId="7489F9F8"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N (781)</w:t>
            </w:r>
          </w:p>
        </w:tc>
        <w:tc>
          <w:tcPr>
            <w:tcW w:w="1019" w:type="dxa"/>
            <w:tcBorders>
              <w:top w:val="single" w:sz="4" w:space="0" w:color="000000"/>
              <w:left w:val="single" w:sz="4" w:space="0" w:color="000000"/>
              <w:bottom w:val="single" w:sz="4" w:space="0" w:color="000000"/>
            </w:tcBorders>
          </w:tcPr>
          <w:p w14:paraId="6C47A54A"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Placebo </w:t>
            </w:r>
          </w:p>
          <w:p w14:paraId="139CEE03"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N (778) </w:t>
            </w:r>
          </w:p>
        </w:tc>
        <w:tc>
          <w:tcPr>
            <w:tcW w:w="1920" w:type="dxa"/>
            <w:tcBorders>
              <w:top w:val="single" w:sz="4" w:space="0" w:color="000000"/>
              <w:left w:val="single" w:sz="4" w:space="0" w:color="000000"/>
              <w:bottom w:val="single" w:sz="4" w:space="0" w:color="000000"/>
            </w:tcBorders>
          </w:tcPr>
          <w:p w14:paraId="0663B2C0"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RAR (IC 95%)</w:t>
            </w:r>
            <w:r>
              <w:rPr>
                <w:rFonts w:ascii="Arial" w:eastAsia="Arial" w:hAnsi="Arial" w:cs="Arial"/>
                <w:color w:val="000000"/>
                <w:sz w:val="16"/>
                <w:szCs w:val="16"/>
                <w:vertAlign w:val="baseline"/>
              </w:rPr>
              <w:t xml:space="preserve"> Diferencia Riesgo Absoluto</w:t>
            </w:r>
            <w:r>
              <w:rPr>
                <w:rFonts w:ascii="Arial" w:eastAsia="Arial" w:hAnsi="Arial" w:cs="Arial"/>
                <w:b/>
                <w:i/>
                <w:color w:val="000000"/>
                <w:sz w:val="16"/>
                <w:szCs w:val="16"/>
                <w:vertAlign w:val="baseline"/>
              </w:rPr>
              <w:t xml:space="preserve"> *</w:t>
            </w:r>
          </w:p>
        </w:tc>
        <w:tc>
          <w:tcPr>
            <w:tcW w:w="675" w:type="dxa"/>
            <w:tcBorders>
              <w:top w:val="single" w:sz="4" w:space="0" w:color="000000"/>
              <w:left w:val="single" w:sz="4" w:space="0" w:color="000000"/>
              <w:bottom w:val="single" w:sz="4" w:space="0" w:color="000000"/>
            </w:tcBorders>
          </w:tcPr>
          <w:p w14:paraId="39CD1211" w14:textId="77777777" w:rsidR="00634CDF" w:rsidRDefault="00F0051D">
            <w:pPr>
              <w:pBdr>
                <w:top w:val="nil"/>
                <w:left w:val="nil"/>
                <w:bottom w:val="nil"/>
                <w:right w:val="nil"/>
                <w:between w:val="nil"/>
              </w:pBdr>
              <w:tabs>
                <w:tab w:val="left" w:pos="1673"/>
              </w:tabs>
              <w:spacing w:line="240" w:lineRule="auto"/>
              <w:ind w:left="0" w:hanging="2"/>
              <w:jc w:val="both"/>
              <w:rPr>
                <w:color w:val="000000"/>
                <w:vertAlign w:val="baseline"/>
              </w:rPr>
            </w:pPr>
            <w:r>
              <w:rPr>
                <w:rFonts w:ascii="Arial" w:eastAsia="Arial" w:hAnsi="Arial" w:cs="Arial"/>
                <w:b/>
                <w:i/>
                <w:color w:val="000000"/>
                <w:sz w:val="16"/>
                <w:szCs w:val="16"/>
                <w:vertAlign w:val="baseline"/>
              </w:rPr>
              <w:t>P</w:t>
            </w:r>
          </w:p>
        </w:tc>
        <w:tc>
          <w:tcPr>
            <w:tcW w:w="1334" w:type="dxa"/>
            <w:tcBorders>
              <w:top w:val="single" w:sz="4" w:space="0" w:color="000000"/>
              <w:left w:val="single" w:sz="4" w:space="0" w:color="000000"/>
              <w:bottom w:val="single" w:sz="4" w:space="0" w:color="000000"/>
              <w:right w:val="single" w:sz="4" w:space="0" w:color="000000"/>
            </w:tcBorders>
          </w:tcPr>
          <w:p w14:paraId="0B3AF75C"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t>NNH o NND (IC 95%)</w:t>
            </w:r>
          </w:p>
        </w:tc>
      </w:tr>
      <w:tr w:rsidR="00634CDF" w14:paraId="3BDAE84A" w14:textId="77777777">
        <w:trPr>
          <w:trHeight w:val="709"/>
        </w:trPr>
        <w:tc>
          <w:tcPr>
            <w:tcW w:w="2691" w:type="dxa"/>
            <w:tcBorders>
              <w:top w:val="single" w:sz="4" w:space="0" w:color="000000"/>
              <w:left w:val="single" w:sz="4" w:space="0" w:color="000000"/>
              <w:bottom w:val="single" w:sz="4" w:space="0" w:color="000000"/>
            </w:tcBorders>
          </w:tcPr>
          <w:p w14:paraId="083E7D4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 xml:space="preserve"> % Pacientes con:</w:t>
            </w:r>
          </w:p>
          <w:p w14:paraId="6059BF9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EA</w:t>
            </w:r>
          </w:p>
          <w:p w14:paraId="6E192FFE"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57531F6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EA que lleve a discontinuación</w:t>
            </w:r>
          </w:p>
          <w:p w14:paraId="2AE9980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EA grave</w:t>
            </w:r>
          </w:p>
          <w:p w14:paraId="5E7B037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Muerte</w:t>
            </w:r>
          </w:p>
          <w:p w14:paraId="303FBBE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Muerte cardiovascular</w:t>
            </w:r>
          </w:p>
          <w:p w14:paraId="18193D9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Muerte por cáncer</w:t>
            </w:r>
          </w:p>
          <w:p w14:paraId="1B5C1F6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Cáncer de nuevo diagnóstico, empeoramiento o recidiva</w:t>
            </w:r>
          </w:p>
          <w:p w14:paraId="382C59B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Eventos cardiovasculares*</w:t>
            </w:r>
          </w:p>
          <w:p w14:paraId="187B02B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Infarto de miocardio(fatal o no fatal)</w:t>
            </w:r>
          </w:p>
          <w:p w14:paraId="422437F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Accidente cerebrovascular(fatal o no fatal)</w:t>
            </w:r>
          </w:p>
          <w:p w14:paraId="0284DB6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Reacción en el sitio de inyección</w:t>
            </w:r>
          </w:p>
          <w:p w14:paraId="3DE0AC05" w14:textId="77777777" w:rsidR="00634CDF" w:rsidRDefault="00F0051D">
            <w:pPr>
              <w:numPr>
                <w:ilvl w:val="0"/>
                <w:numId w:val="14"/>
              </w:num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Leve</w:t>
            </w:r>
          </w:p>
          <w:p w14:paraId="6F3413DB" w14:textId="77777777" w:rsidR="00634CDF" w:rsidRDefault="00F0051D">
            <w:pPr>
              <w:numPr>
                <w:ilvl w:val="0"/>
                <w:numId w:val="14"/>
              </w:num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Moderado</w:t>
            </w:r>
          </w:p>
          <w:p w14:paraId="3BEAB9CF" w14:textId="77777777" w:rsidR="00634CDF" w:rsidRDefault="00F0051D">
            <w:pPr>
              <w:numPr>
                <w:ilvl w:val="0"/>
                <w:numId w:val="14"/>
              </w:num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Grave</w:t>
            </w:r>
          </w:p>
          <w:p w14:paraId="36E720C7" w14:textId="77777777" w:rsidR="00634CDF" w:rsidRDefault="00F0051D">
            <w:pPr>
              <w:numPr>
                <w:ilvl w:val="0"/>
                <w:numId w:val="14"/>
              </w:num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Persistente</w:t>
            </w:r>
          </w:p>
          <w:p w14:paraId="5BE13F5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Diabetes mellitus</w:t>
            </w:r>
          </w:p>
          <w:p w14:paraId="6B46FC2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Bronquitis</w:t>
            </w:r>
          </w:p>
          <w:p w14:paraId="1D43B24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Disnea</w:t>
            </w:r>
          </w:p>
          <w:p w14:paraId="491AB5B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lastRenderedPageBreak/>
              <w:t>Hipertensión</w:t>
            </w:r>
          </w:p>
          <w:p w14:paraId="20BB081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Infección del tracto respiratorio superior</w:t>
            </w:r>
          </w:p>
          <w:p w14:paraId="42328B4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Dolor de espalda</w:t>
            </w:r>
          </w:p>
          <w:p w14:paraId="28155D9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ALT&gt; 3 veces el nivel superior normal</w:t>
            </w:r>
          </w:p>
          <w:p w14:paraId="56B3171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AST&gt;3 veces el nivel superior normal</w:t>
            </w:r>
          </w:p>
          <w:p w14:paraId="2F895C3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Fosfatasa alcalina&gt;3 veces el nivel superior normal</w:t>
            </w:r>
          </w:p>
          <w:p w14:paraId="43A29C4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Bilirrubina&gt;2 veces el nivel superior normal</w:t>
            </w:r>
          </w:p>
          <w:p w14:paraId="5052B09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Creatinina&gt;2 mg/dL</w:t>
            </w:r>
          </w:p>
          <w:p w14:paraId="0F4CF49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Creatina quinasa&gt;5 veces el nivel superior normal</w:t>
            </w:r>
          </w:p>
          <w:p w14:paraId="1650CC2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Plaquetas&lt; 75000/ml</w:t>
            </w:r>
          </w:p>
        </w:tc>
        <w:tc>
          <w:tcPr>
            <w:tcW w:w="1261" w:type="dxa"/>
            <w:tcBorders>
              <w:top w:val="single" w:sz="4" w:space="0" w:color="000000"/>
              <w:left w:val="single" w:sz="4" w:space="0" w:color="000000"/>
              <w:bottom w:val="single" w:sz="4" w:space="0" w:color="000000"/>
            </w:tcBorders>
          </w:tcPr>
          <w:p w14:paraId="34B4D8F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8F3A18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73,5</w:t>
            </w:r>
          </w:p>
          <w:p w14:paraId="55882A7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3D28F3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2,4</w:t>
            </w:r>
          </w:p>
          <w:p w14:paraId="1FCE203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22,4</w:t>
            </w:r>
          </w:p>
          <w:p w14:paraId="41B64D3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1,5</w:t>
            </w:r>
          </w:p>
          <w:p w14:paraId="09BC5CF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0,9</w:t>
            </w:r>
          </w:p>
          <w:p w14:paraId="1A48505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0,1</w:t>
            </w:r>
          </w:p>
          <w:p w14:paraId="633F122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3,3</w:t>
            </w:r>
          </w:p>
          <w:p w14:paraId="05A8B91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4D0728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7,4</w:t>
            </w:r>
          </w:p>
          <w:p w14:paraId="3BC77FF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2,6</w:t>
            </w:r>
          </w:p>
          <w:p w14:paraId="6F84DA0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1,4</w:t>
            </w:r>
          </w:p>
          <w:p w14:paraId="56AE352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43B2DB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2,6</w:t>
            </w:r>
          </w:p>
          <w:p w14:paraId="1D55463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1,7</w:t>
            </w:r>
          </w:p>
          <w:p w14:paraId="6B74186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0,9</w:t>
            </w:r>
          </w:p>
          <w:p w14:paraId="5FD81DF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w:t>
            </w:r>
          </w:p>
          <w:p w14:paraId="0103BB0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w:t>
            </w:r>
          </w:p>
          <w:p w14:paraId="072B750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15,4</w:t>
            </w:r>
          </w:p>
          <w:p w14:paraId="29366EA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5,9</w:t>
            </w:r>
          </w:p>
          <w:p w14:paraId="2840F15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w:t>
            </w:r>
          </w:p>
          <w:p w14:paraId="5E76D2C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5,4</w:t>
            </w:r>
          </w:p>
          <w:p w14:paraId="0F80374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lastRenderedPageBreak/>
              <w:t>5</w:t>
            </w:r>
          </w:p>
          <w:p w14:paraId="44D4817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776BB2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w:t>
            </w:r>
          </w:p>
          <w:p w14:paraId="10F748C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0,3</w:t>
            </w:r>
          </w:p>
          <w:p w14:paraId="79AF99D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0AD92A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0,5</w:t>
            </w:r>
          </w:p>
          <w:p w14:paraId="7DDF66A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E71328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0,6</w:t>
            </w:r>
          </w:p>
          <w:p w14:paraId="57ABA78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F46BB1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0,5</w:t>
            </w:r>
          </w:p>
          <w:p w14:paraId="07841B0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20E967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3,8</w:t>
            </w:r>
          </w:p>
          <w:p w14:paraId="34AF3DC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1,3</w:t>
            </w:r>
          </w:p>
          <w:p w14:paraId="41E1E08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16F375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0,1</w:t>
            </w:r>
          </w:p>
        </w:tc>
        <w:tc>
          <w:tcPr>
            <w:tcW w:w="1019" w:type="dxa"/>
            <w:tcBorders>
              <w:top w:val="single" w:sz="4" w:space="0" w:color="000000"/>
              <w:left w:val="single" w:sz="4" w:space="0" w:color="000000"/>
              <w:bottom w:val="single" w:sz="4" w:space="0" w:color="000000"/>
            </w:tcBorders>
          </w:tcPr>
          <w:p w14:paraId="72ABDDF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66E941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74,8</w:t>
            </w:r>
          </w:p>
          <w:p w14:paraId="1B33DD8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FC6F74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2,2</w:t>
            </w:r>
          </w:p>
          <w:p w14:paraId="7F08900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26,3</w:t>
            </w:r>
          </w:p>
          <w:p w14:paraId="068AD38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1,4</w:t>
            </w:r>
          </w:p>
          <w:p w14:paraId="16E0F01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0,6</w:t>
            </w:r>
          </w:p>
          <w:p w14:paraId="4E66FE8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0,4</w:t>
            </w:r>
          </w:p>
          <w:p w14:paraId="603FD4B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 xml:space="preserve">      3,3</w:t>
            </w:r>
          </w:p>
          <w:p w14:paraId="0BD04F7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186548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10,2</w:t>
            </w:r>
          </w:p>
          <w:p w14:paraId="2965FBB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2,3</w:t>
            </w:r>
          </w:p>
          <w:p w14:paraId="48765D3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0,9</w:t>
            </w:r>
          </w:p>
          <w:p w14:paraId="7FE2061A"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D11037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0,9</w:t>
            </w:r>
          </w:p>
          <w:p w14:paraId="30BEB4F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0,9</w:t>
            </w:r>
          </w:p>
          <w:p w14:paraId="1F320FB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w:t>
            </w:r>
          </w:p>
          <w:p w14:paraId="5E910BE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w:t>
            </w:r>
          </w:p>
          <w:p w14:paraId="7D83BBB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w:t>
            </w:r>
          </w:p>
          <w:p w14:paraId="41C5714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13,9</w:t>
            </w:r>
          </w:p>
          <w:p w14:paraId="4E96F51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3,9</w:t>
            </w:r>
          </w:p>
          <w:p w14:paraId="1044BCA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4,2</w:t>
            </w:r>
          </w:p>
          <w:p w14:paraId="3806624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5,4</w:t>
            </w:r>
          </w:p>
          <w:p w14:paraId="67F62C0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lastRenderedPageBreak/>
              <w:t>4,2</w:t>
            </w:r>
          </w:p>
          <w:p w14:paraId="6A04767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8409BB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5</w:t>
            </w:r>
          </w:p>
          <w:p w14:paraId="71A2FDC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0,3</w:t>
            </w:r>
          </w:p>
          <w:p w14:paraId="14EE482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453EFD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0,6</w:t>
            </w:r>
          </w:p>
          <w:p w14:paraId="7324F0D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B38F50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0,4</w:t>
            </w:r>
          </w:p>
          <w:p w14:paraId="031CBD93"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0A1748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0,4</w:t>
            </w:r>
          </w:p>
          <w:p w14:paraId="4CFFA3B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638004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3,9</w:t>
            </w:r>
          </w:p>
          <w:p w14:paraId="2D6EC2D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w:t>
            </w:r>
          </w:p>
          <w:p w14:paraId="0D3563F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44799A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w:t>
            </w:r>
          </w:p>
        </w:tc>
        <w:tc>
          <w:tcPr>
            <w:tcW w:w="1920" w:type="dxa"/>
            <w:tcBorders>
              <w:top w:val="single" w:sz="4" w:space="0" w:color="000000"/>
              <w:left w:val="single" w:sz="4" w:space="0" w:color="000000"/>
              <w:bottom w:val="single" w:sz="4" w:space="0" w:color="000000"/>
            </w:tcBorders>
          </w:tcPr>
          <w:p w14:paraId="59DE3644"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3CD4BB0D"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4818AE39"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75E0AC00"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47338066"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1DD1A166"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0E297F74"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690B3DDC"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6F510E04"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13939B47"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20B8B4F5"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6902DD63"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2DF41C9F"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08FACAB2"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183EB45B" w14:textId="77777777" w:rsidR="00634CDF" w:rsidRDefault="00F0051D">
            <w:pPr>
              <w:pBdr>
                <w:top w:val="nil"/>
                <w:left w:val="nil"/>
                <w:bottom w:val="nil"/>
                <w:right w:val="nil"/>
                <w:between w:val="nil"/>
              </w:pBdr>
              <w:tabs>
                <w:tab w:val="center" w:pos="851"/>
              </w:tabs>
              <w:spacing w:line="240" w:lineRule="auto"/>
              <w:ind w:left="0" w:hanging="2"/>
              <w:rPr>
                <w:color w:val="000000"/>
                <w:vertAlign w:val="baseline"/>
              </w:rPr>
            </w:pPr>
            <w:r>
              <w:rPr>
                <w:rFonts w:ascii="Arial" w:eastAsia="Arial" w:hAnsi="Arial" w:cs="Arial"/>
                <w:color w:val="000000"/>
                <w:sz w:val="16"/>
                <w:szCs w:val="16"/>
                <w:vertAlign w:val="baseline"/>
              </w:rPr>
              <w:t xml:space="preserve">      1,7(0,4 a 3)</w:t>
            </w:r>
          </w:p>
          <w:p w14:paraId="3899C88C"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tc>
        <w:tc>
          <w:tcPr>
            <w:tcW w:w="675" w:type="dxa"/>
            <w:tcBorders>
              <w:top w:val="single" w:sz="4" w:space="0" w:color="000000"/>
              <w:left w:val="single" w:sz="4" w:space="0" w:color="000000"/>
              <w:bottom w:val="single" w:sz="4" w:space="0" w:color="000000"/>
            </w:tcBorders>
          </w:tcPr>
          <w:p w14:paraId="7EAF7341"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 xml:space="preserve"> </w:t>
            </w:r>
          </w:p>
          <w:p w14:paraId="2BE580FF"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ns</w:t>
            </w:r>
          </w:p>
          <w:p w14:paraId="1E927E32"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7500098B"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ns</w:t>
            </w:r>
          </w:p>
          <w:p w14:paraId="1D7B2158"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17BAEC96"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7912F222"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66DFF2AB"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386D6EC0"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593E936A"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50AA3747"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2D177C9B"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791409AA"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10C3CA47"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4233C1A9"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&lt;0,05</w:t>
            </w:r>
          </w:p>
          <w:p w14:paraId="56994F41"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528248CE"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6B2FD8A8"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25978C5C"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41F06B7B"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3F582127"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32FCBC58"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24D25A61"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34E20FFC"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lastRenderedPageBreak/>
              <w:t xml:space="preserve">    ns</w:t>
            </w:r>
          </w:p>
          <w:p w14:paraId="5F8BFABB"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181EBD04"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6E45F733"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0D295AF0"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069262F6"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38EB2C91"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31198F2B"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3C962BF4"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6821067B"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56028A87"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3A8941D2" w14:textId="77777777" w:rsidR="00634CDF" w:rsidRDefault="00F0051D">
            <w:pPr>
              <w:pBdr>
                <w:top w:val="nil"/>
                <w:left w:val="nil"/>
                <w:bottom w:val="nil"/>
                <w:right w:val="nil"/>
                <w:between w:val="nil"/>
              </w:pBdr>
              <w:spacing w:line="240" w:lineRule="auto"/>
              <w:ind w:left="0" w:hanging="2"/>
              <w:rPr>
                <w:color w:val="000000"/>
                <w:vertAlign w:val="baseline"/>
              </w:rPr>
            </w:pPr>
            <w:r w:rsidRPr="001779CA">
              <w:rPr>
                <w:rFonts w:ascii="Arial" w:eastAsia="Arial" w:hAnsi="Arial" w:cs="Arial"/>
                <w:color w:val="000000"/>
                <w:sz w:val="16"/>
                <w:szCs w:val="16"/>
                <w:vertAlign w:val="baseline"/>
                <w:lang w:val="en-US"/>
              </w:rPr>
              <w:t xml:space="preserve">    </w:t>
            </w:r>
            <w:r>
              <w:rPr>
                <w:rFonts w:ascii="Arial" w:eastAsia="Arial" w:hAnsi="Arial" w:cs="Arial"/>
                <w:color w:val="000000"/>
                <w:sz w:val="16"/>
                <w:szCs w:val="16"/>
                <w:vertAlign w:val="baseline"/>
              </w:rPr>
              <w:t>ns</w:t>
            </w:r>
          </w:p>
          <w:p w14:paraId="3EAEFAE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ns</w:t>
            </w:r>
          </w:p>
          <w:p w14:paraId="59DBE25B"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63879B9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ns</w:t>
            </w:r>
          </w:p>
        </w:tc>
        <w:tc>
          <w:tcPr>
            <w:tcW w:w="1334" w:type="dxa"/>
            <w:tcBorders>
              <w:top w:val="single" w:sz="4" w:space="0" w:color="000000"/>
              <w:left w:val="single" w:sz="4" w:space="0" w:color="000000"/>
              <w:bottom w:val="single" w:sz="4" w:space="0" w:color="000000"/>
              <w:right w:val="single" w:sz="4" w:space="0" w:color="000000"/>
            </w:tcBorders>
          </w:tcPr>
          <w:p w14:paraId="6469DF14"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4C9FE492"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2D109ADE"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71120AB7"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5C32070A"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0644EE84"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1D7EF64D"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2ABBB23A"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7DB13521"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12503FEE"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2BB15A90"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4DEC1CA1"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76132FEA"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592225A2"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0E0A9AF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60(33-250)</w:t>
            </w:r>
          </w:p>
          <w:p w14:paraId="47E874F0"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r>
      <w:tr w:rsidR="00634CDF" w14:paraId="7C3D25AE" w14:textId="77777777">
        <w:trPr>
          <w:trHeight w:val="218"/>
        </w:trPr>
        <w:tc>
          <w:tcPr>
            <w:tcW w:w="8900" w:type="dxa"/>
            <w:gridSpan w:val="6"/>
            <w:tcBorders>
              <w:top w:val="single" w:sz="4" w:space="0" w:color="000000"/>
              <w:left w:val="single" w:sz="4" w:space="0" w:color="000000"/>
              <w:bottom w:val="single" w:sz="4" w:space="0" w:color="000000"/>
              <w:right w:val="single" w:sz="4" w:space="0" w:color="000000"/>
            </w:tcBorders>
          </w:tcPr>
          <w:p w14:paraId="580E353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lastRenderedPageBreak/>
              <w:t xml:space="preserve">(*) RAR y NND o NNH con IC 95 % se exponen en la tabla solo si p&lt;0,05 </w:t>
            </w:r>
          </w:p>
          <w:p w14:paraId="341BC8F5"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u w:val="single"/>
                <w:vertAlign w:val="baseline"/>
              </w:rPr>
            </w:pPr>
            <w:r>
              <w:rPr>
                <w:rFonts w:ascii="Arial" w:eastAsia="Arial" w:hAnsi="Arial" w:cs="Arial"/>
                <w:color w:val="000000"/>
                <w:sz w:val="16"/>
                <w:szCs w:val="16"/>
                <w:vertAlign w:val="baseline"/>
              </w:rPr>
              <w:t>Calculadora de RAR y NNH o NND y sus IC 95 %  de CASPe.</w:t>
            </w:r>
            <w:r>
              <w:rPr>
                <w:rFonts w:ascii="Arial" w:eastAsia="Arial" w:hAnsi="Arial" w:cs="Arial"/>
                <w:b/>
                <w:color w:val="000000"/>
                <w:sz w:val="16"/>
                <w:szCs w:val="16"/>
                <w:vertAlign w:val="baseline"/>
              </w:rPr>
              <w:t xml:space="preserve">   </w:t>
            </w:r>
            <w:hyperlink r:id="rId41">
              <w:r>
                <w:rPr>
                  <w:rFonts w:ascii="Arial" w:eastAsia="Arial" w:hAnsi="Arial" w:cs="Arial"/>
                  <w:color w:val="0000FF"/>
                  <w:sz w:val="16"/>
                  <w:szCs w:val="16"/>
                  <w:u w:val="single"/>
                  <w:vertAlign w:val="baseline"/>
                </w:rPr>
                <w:t>Pulse aquí.</w:t>
              </w:r>
            </w:hyperlink>
          </w:p>
          <w:p w14:paraId="28F93A45"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rFonts w:ascii="Arial" w:eastAsia="Arial" w:hAnsi="Arial" w:cs="Arial"/>
                <w:b/>
                <w:color w:val="000000"/>
                <w:sz w:val="16"/>
                <w:szCs w:val="16"/>
                <w:u w:val="single"/>
                <w:vertAlign w:val="baseline"/>
              </w:rPr>
              <w:t>-</w:t>
            </w:r>
            <w:r>
              <w:rPr>
                <w:rFonts w:ascii="Arial" w:eastAsia="Arial" w:hAnsi="Arial" w:cs="Arial"/>
                <w:b/>
                <w:color w:val="000000"/>
                <w:sz w:val="16"/>
                <w:szCs w:val="16"/>
                <w:vertAlign w:val="baseline"/>
              </w:rPr>
              <w:t>Calculadoras/programas en web GENESIS:</w:t>
            </w:r>
            <w:r>
              <w:rPr>
                <w:rFonts w:ascii="Arial" w:eastAsia="Arial" w:hAnsi="Arial" w:cs="Arial"/>
                <w:b/>
                <w:color w:val="000000"/>
                <w:sz w:val="16"/>
                <w:szCs w:val="16"/>
                <w:u w:val="single"/>
                <w:vertAlign w:val="baseline"/>
              </w:rPr>
              <w:t xml:space="preserve"> </w:t>
            </w:r>
            <w:hyperlink r:id="rId42">
              <w:r>
                <w:rPr>
                  <w:rFonts w:ascii="Arial" w:eastAsia="Arial" w:hAnsi="Arial" w:cs="Arial"/>
                  <w:color w:val="0000FF"/>
                  <w:sz w:val="16"/>
                  <w:szCs w:val="16"/>
                  <w:u w:val="single"/>
                  <w:vertAlign w:val="baseline"/>
                </w:rPr>
                <w:t>http://gruposdetrabajo.sefh.es/genesis/genesis/Enlaces/Calculadoras.htm</w:t>
              </w:r>
            </w:hyperlink>
          </w:p>
        </w:tc>
      </w:tr>
    </w:tbl>
    <w:p w14:paraId="50DB8264"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bookmarkStart w:id="60" w:name="_heading=h.uuiheu8nds1e" w:colFirst="0" w:colLast="0"/>
      <w:bookmarkEnd w:id="60"/>
    </w:p>
    <w:tbl>
      <w:tblPr>
        <w:tblStyle w:val="afd"/>
        <w:tblW w:w="8900" w:type="dxa"/>
        <w:tblInd w:w="-5" w:type="dxa"/>
        <w:tblLayout w:type="fixed"/>
        <w:tblLook w:val="0000" w:firstRow="0" w:lastRow="0" w:firstColumn="0" w:lastColumn="0" w:noHBand="0" w:noVBand="0"/>
      </w:tblPr>
      <w:tblGrid>
        <w:gridCol w:w="2691"/>
        <w:gridCol w:w="1261"/>
        <w:gridCol w:w="1019"/>
        <w:gridCol w:w="1920"/>
        <w:gridCol w:w="675"/>
        <w:gridCol w:w="1334"/>
      </w:tblGrid>
      <w:tr w:rsidR="00634CDF" w14:paraId="2C3B2C33" w14:textId="77777777">
        <w:tc>
          <w:tcPr>
            <w:tcW w:w="8900" w:type="dxa"/>
            <w:gridSpan w:val="6"/>
            <w:tcBorders>
              <w:top w:val="single" w:sz="4" w:space="0" w:color="000000"/>
              <w:left w:val="single" w:sz="4" w:space="0" w:color="000000"/>
              <w:bottom w:val="single" w:sz="4" w:space="0" w:color="000000"/>
              <w:right w:val="single" w:sz="4" w:space="0" w:color="000000"/>
            </w:tcBorders>
            <w:shd w:val="clear" w:color="auto" w:fill="CCFFCC"/>
          </w:tcPr>
          <w:p w14:paraId="10260BA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8"/>
                <w:szCs w:val="18"/>
                <w:vertAlign w:val="baseline"/>
              </w:rPr>
              <w:t xml:space="preserve">Tabla 21. Referencia: Eventos adversos. ORION-11 </w:t>
            </w:r>
            <w:r>
              <w:rPr>
                <w:rFonts w:ascii="Arial" w:eastAsia="Arial" w:hAnsi="Arial" w:cs="Arial"/>
                <w:color w:val="000000"/>
                <w:sz w:val="18"/>
                <w:szCs w:val="18"/>
                <w:vertAlign w:val="baseline"/>
              </w:rPr>
              <w:t>(18)</w:t>
            </w:r>
          </w:p>
          <w:p w14:paraId="1E9A9B0E"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r>
      <w:tr w:rsidR="00634CDF" w14:paraId="351654AA" w14:textId="77777777">
        <w:tc>
          <w:tcPr>
            <w:tcW w:w="8900" w:type="dxa"/>
            <w:gridSpan w:val="6"/>
            <w:tcBorders>
              <w:top w:val="single" w:sz="4" w:space="0" w:color="000000"/>
              <w:left w:val="single" w:sz="4" w:space="0" w:color="000000"/>
              <w:bottom w:val="single" w:sz="4" w:space="0" w:color="000000"/>
              <w:right w:val="single" w:sz="4" w:space="0" w:color="000000"/>
            </w:tcBorders>
          </w:tcPr>
          <w:p w14:paraId="751B584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Fase III, aleatorizado, doble ciego, multicéntrico.</w:t>
            </w:r>
          </w:p>
        </w:tc>
      </w:tr>
      <w:tr w:rsidR="00634CDF" w14:paraId="7E2A630B" w14:textId="77777777">
        <w:tc>
          <w:tcPr>
            <w:tcW w:w="8900" w:type="dxa"/>
            <w:gridSpan w:val="6"/>
            <w:tcBorders>
              <w:top w:val="single" w:sz="4" w:space="0" w:color="000000"/>
              <w:left w:val="single" w:sz="4" w:space="0" w:color="000000"/>
              <w:bottom w:val="single" w:sz="4" w:space="0" w:color="000000"/>
              <w:right w:val="single" w:sz="4" w:space="0" w:color="000000"/>
            </w:tcBorders>
            <w:shd w:val="clear" w:color="auto" w:fill="CCFFCC"/>
          </w:tcPr>
          <w:p w14:paraId="34BAD28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Resultados de seguridad</w:t>
            </w:r>
          </w:p>
        </w:tc>
      </w:tr>
      <w:tr w:rsidR="00634CDF" w14:paraId="21C89C81" w14:textId="77777777">
        <w:trPr>
          <w:trHeight w:val="675"/>
        </w:trPr>
        <w:tc>
          <w:tcPr>
            <w:tcW w:w="2691" w:type="dxa"/>
            <w:tcBorders>
              <w:top w:val="single" w:sz="4" w:space="0" w:color="000000"/>
              <w:left w:val="single" w:sz="4" w:space="0" w:color="000000"/>
              <w:bottom w:val="single" w:sz="4" w:space="0" w:color="000000"/>
            </w:tcBorders>
          </w:tcPr>
          <w:p w14:paraId="3B26A87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t>Variable de seguridad evaluada en el estudio</w:t>
            </w:r>
          </w:p>
        </w:tc>
        <w:tc>
          <w:tcPr>
            <w:tcW w:w="1261" w:type="dxa"/>
            <w:tcBorders>
              <w:top w:val="single" w:sz="4" w:space="0" w:color="000000"/>
              <w:left w:val="single" w:sz="4" w:space="0" w:color="000000"/>
              <w:bottom w:val="single" w:sz="4" w:space="0" w:color="000000"/>
            </w:tcBorders>
          </w:tcPr>
          <w:p w14:paraId="5518ABE0"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 Inclisiran</w:t>
            </w:r>
          </w:p>
          <w:p w14:paraId="2E868C63"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N (811)</w:t>
            </w:r>
          </w:p>
        </w:tc>
        <w:tc>
          <w:tcPr>
            <w:tcW w:w="1019" w:type="dxa"/>
            <w:tcBorders>
              <w:top w:val="single" w:sz="4" w:space="0" w:color="000000"/>
              <w:left w:val="single" w:sz="4" w:space="0" w:color="000000"/>
              <w:bottom w:val="single" w:sz="4" w:space="0" w:color="000000"/>
            </w:tcBorders>
          </w:tcPr>
          <w:p w14:paraId="7AC48DE6"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Placebo </w:t>
            </w:r>
          </w:p>
          <w:p w14:paraId="6184ABE3"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 xml:space="preserve">N (804) </w:t>
            </w:r>
          </w:p>
        </w:tc>
        <w:tc>
          <w:tcPr>
            <w:tcW w:w="1920" w:type="dxa"/>
            <w:tcBorders>
              <w:top w:val="single" w:sz="4" w:space="0" w:color="000000"/>
              <w:left w:val="single" w:sz="4" w:space="0" w:color="000000"/>
              <w:bottom w:val="single" w:sz="4" w:space="0" w:color="000000"/>
            </w:tcBorders>
          </w:tcPr>
          <w:p w14:paraId="39C2FCB5" w14:textId="77777777" w:rsidR="00634CDF" w:rsidRDefault="00F0051D">
            <w:pPr>
              <w:pBdr>
                <w:top w:val="nil"/>
                <w:left w:val="nil"/>
                <w:bottom w:val="nil"/>
                <w:right w:val="nil"/>
                <w:between w:val="nil"/>
              </w:pBdr>
              <w:tabs>
                <w:tab w:val="left" w:pos="1673"/>
              </w:tabs>
              <w:spacing w:line="240" w:lineRule="auto"/>
              <w:ind w:left="0" w:hanging="2"/>
              <w:rPr>
                <w:color w:val="000000"/>
                <w:vertAlign w:val="baseline"/>
              </w:rPr>
            </w:pPr>
            <w:r>
              <w:rPr>
                <w:rFonts w:ascii="Arial" w:eastAsia="Arial" w:hAnsi="Arial" w:cs="Arial"/>
                <w:b/>
                <w:i/>
                <w:color w:val="000000"/>
                <w:sz w:val="16"/>
                <w:szCs w:val="16"/>
                <w:vertAlign w:val="baseline"/>
              </w:rPr>
              <w:t>RAR (IC 95%)</w:t>
            </w:r>
            <w:r>
              <w:rPr>
                <w:rFonts w:ascii="Arial" w:eastAsia="Arial" w:hAnsi="Arial" w:cs="Arial"/>
                <w:color w:val="000000"/>
                <w:sz w:val="16"/>
                <w:szCs w:val="16"/>
                <w:vertAlign w:val="baseline"/>
              </w:rPr>
              <w:t xml:space="preserve"> Diferencia Riesgo Absoluto</w:t>
            </w:r>
            <w:r>
              <w:rPr>
                <w:rFonts w:ascii="Arial" w:eastAsia="Arial" w:hAnsi="Arial" w:cs="Arial"/>
                <w:b/>
                <w:i/>
                <w:color w:val="000000"/>
                <w:sz w:val="16"/>
                <w:szCs w:val="16"/>
                <w:vertAlign w:val="baseline"/>
              </w:rPr>
              <w:t xml:space="preserve"> *</w:t>
            </w:r>
          </w:p>
        </w:tc>
        <w:tc>
          <w:tcPr>
            <w:tcW w:w="675" w:type="dxa"/>
            <w:tcBorders>
              <w:top w:val="single" w:sz="4" w:space="0" w:color="000000"/>
              <w:left w:val="single" w:sz="4" w:space="0" w:color="000000"/>
              <w:bottom w:val="single" w:sz="4" w:space="0" w:color="000000"/>
            </w:tcBorders>
          </w:tcPr>
          <w:p w14:paraId="08656C0C" w14:textId="77777777" w:rsidR="00634CDF" w:rsidRDefault="00F0051D">
            <w:pPr>
              <w:pBdr>
                <w:top w:val="nil"/>
                <w:left w:val="nil"/>
                <w:bottom w:val="nil"/>
                <w:right w:val="nil"/>
                <w:between w:val="nil"/>
              </w:pBdr>
              <w:tabs>
                <w:tab w:val="left" w:pos="1673"/>
              </w:tabs>
              <w:spacing w:line="240" w:lineRule="auto"/>
              <w:ind w:left="0" w:hanging="2"/>
              <w:jc w:val="both"/>
              <w:rPr>
                <w:color w:val="000000"/>
                <w:vertAlign w:val="baseline"/>
              </w:rPr>
            </w:pPr>
            <w:r>
              <w:rPr>
                <w:rFonts w:ascii="Arial" w:eastAsia="Arial" w:hAnsi="Arial" w:cs="Arial"/>
                <w:b/>
                <w:i/>
                <w:color w:val="000000"/>
                <w:sz w:val="16"/>
                <w:szCs w:val="16"/>
                <w:vertAlign w:val="baseline"/>
              </w:rPr>
              <w:t>P</w:t>
            </w:r>
          </w:p>
        </w:tc>
        <w:tc>
          <w:tcPr>
            <w:tcW w:w="1334" w:type="dxa"/>
            <w:tcBorders>
              <w:top w:val="single" w:sz="4" w:space="0" w:color="000000"/>
              <w:left w:val="single" w:sz="4" w:space="0" w:color="000000"/>
              <w:bottom w:val="single" w:sz="4" w:space="0" w:color="000000"/>
              <w:right w:val="single" w:sz="4" w:space="0" w:color="000000"/>
            </w:tcBorders>
          </w:tcPr>
          <w:p w14:paraId="35EEB5F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i/>
                <w:color w:val="000000"/>
                <w:sz w:val="16"/>
                <w:szCs w:val="16"/>
                <w:vertAlign w:val="baseline"/>
              </w:rPr>
              <w:t>NNH o NND (IC 95%)</w:t>
            </w:r>
          </w:p>
        </w:tc>
      </w:tr>
      <w:tr w:rsidR="00634CDF" w14:paraId="7A7E6C73" w14:textId="77777777">
        <w:trPr>
          <w:trHeight w:val="709"/>
        </w:trPr>
        <w:tc>
          <w:tcPr>
            <w:tcW w:w="2691" w:type="dxa"/>
            <w:tcBorders>
              <w:top w:val="single" w:sz="4" w:space="0" w:color="000000"/>
              <w:left w:val="single" w:sz="4" w:space="0" w:color="000000"/>
              <w:bottom w:val="single" w:sz="4" w:space="0" w:color="000000"/>
            </w:tcBorders>
          </w:tcPr>
          <w:p w14:paraId="2828C26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 xml:space="preserve"> % Pacientes con:</w:t>
            </w:r>
          </w:p>
          <w:p w14:paraId="3EB7A6F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EA</w:t>
            </w:r>
          </w:p>
          <w:p w14:paraId="268D23A1"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0F9C9F6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EA que lleve a discontinuación</w:t>
            </w:r>
          </w:p>
          <w:p w14:paraId="069CB41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EA grave</w:t>
            </w:r>
          </w:p>
          <w:p w14:paraId="44B5EFF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Muerte</w:t>
            </w:r>
          </w:p>
          <w:p w14:paraId="12C371C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Muerte cardiovascular</w:t>
            </w:r>
          </w:p>
          <w:p w14:paraId="6EF0CF1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Muerte por cáncer</w:t>
            </w:r>
          </w:p>
          <w:p w14:paraId="2745592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Cáncer de nuevo diagnóstico, empeoramiento o recidiva</w:t>
            </w:r>
          </w:p>
          <w:p w14:paraId="2A79349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Eventos cardiovasculares*</w:t>
            </w:r>
          </w:p>
          <w:p w14:paraId="06E4148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Infarto de miocardio(fatal o no fatal)</w:t>
            </w:r>
          </w:p>
          <w:p w14:paraId="76F50A7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Accidente cerebrovascular(fatal o no fatal)</w:t>
            </w:r>
          </w:p>
          <w:p w14:paraId="319F354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Reacción en el sitio de inyección</w:t>
            </w:r>
          </w:p>
          <w:p w14:paraId="43CB8131" w14:textId="77777777" w:rsidR="00634CDF" w:rsidRDefault="00F0051D">
            <w:pPr>
              <w:numPr>
                <w:ilvl w:val="0"/>
                <w:numId w:val="13"/>
              </w:num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Leve</w:t>
            </w:r>
          </w:p>
          <w:p w14:paraId="71280891" w14:textId="77777777" w:rsidR="00634CDF" w:rsidRDefault="00F0051D">
            <w:pPr>
              <w:numPr>
                <w:ilvl w:val="0"/>
                <w:numId w:val="13"/>
              </w:num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Moderado</w:t>
            </w:r>
          </w:p>
          <w:p w14:paraId="27DDA5BA" w14:textId="77777777" w:rsidR="00634CDF" w:rsidRDefault="00F0051D">
            <w:pPr>
              <w:numPr>
                <w:ilvl w:val="0"/>
                <w:numId w:val="13"/>
              </w:num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Grave</w:t>
            </w:r>
          </w:p>
          <w:p w14:paraId="7D2B9E91" w14:textId="77777777" w:rsidR="00634CDF" w:rsidRDefault="00F0051D">
            <w:pPr>
              <w:numPr>
                <w:ilvl w:val="0"/>
                <w:numId w:val="13"/>
              </w:num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Persistente</w:t>
            </w:r>
          </w:p>
          <w:p w14:paraId="0D6F244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Diabetes mellitus</w:t>
            </w:r>
          </w:p>
          <w:p w14:paraId="7BCE839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Nasofaringitis</w:t>
            </w:r>
          </w:p>
          <w:p w14:paraId="3C9B179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Hipertensión</w:t>
            </w:r>
          </w:p>
          <w:p w14:paraId="24E5C14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Infección del tracto respiratorio superior</w:t>
            </w:r>
          </w:p>
          <w:p w14:paraId="1D3448B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Artralgia</w:t>
            </w:r>
          </w:p>
          <w:p w14:paraId="79D737E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Osteoartritis</w:t>
            </w:r>
          </w:p>
          <w:p w14:paraId="5087759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ALT&gt; 3 veces el nivel superior normal</w:t>
            </w:r>
          </w:p>
          <w:p w14:paraId="77B6632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AST&gt;3 veces el nivel superior normal</w:t>
            </w:r>
          </w:p>
          <w:p w14:paraId="2B0634A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Fosfatasa alcalina&gt;3 veces el nivel superior normal</w:t>
            </w:r>
          </w:p>
          <w:p w14:paraId="281E6C6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Bilirrubina&gt;2 veces el nivel superior normal</w:t>
            </w:r>
          </w:p>
          <w:p w14:paraId="323118F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Creatinina&gt;2 mg/dL</w:t>
            </w:r>
          </w:p>
          <w:p w14:paraId="2098618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Creatina quinasa&gt;5 veces el nivel superior normal</w:t>
            </w:r>
          </w:p>
          <w:p w14:paraId="10E233B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Plaquetas&lt; 75000/ml</w:t>
            </w:r>
          </w:p>
        </w:tc>
        <w:tc>
          <w:tcPr>
            <w:tcW w:w="1261" w:type="dxa"/>
            <w:tcBorders>
              <w:top w:val="single" w:sz="4" w:space="0" w:color="000000"/>
              <w:left w:val="single" w:sz="4" w:space="0" w:color="000000"/>
              <w:bottom w:val="single" w:sz="4" w:space="0" w:color="000000"/>
            </w:tcBorders>
          </w:tcPr>
          <w:p w14:paraId="50E5B0E4"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6BFFF6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82,7</w:t>
            </w:r>
          </w:p>
          <w:p w14:paraId="5EB5234C"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6180C8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2,8</w:t>
            </w:r>
          </w:p>
          <w:p w14:paraId="43A467F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22,3</w:t>
            </w:r>
          </w:p>
          <w:p w14:paraId="1534291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1,7</w:t>
            </w:r>
          </w:p>
          <w:p w14:paraId="0D186AF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1,1</w:t>
            </w:r>
          </w:p>
          <w:p w14:paraId="7CCB330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0,4</w:t>
            </w:r>
          </w:p>
          <w:p w14:paraId="1A719C7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2</w:t>
            </w:r>
          </w:p>
          <w:p w14:paraId="138B492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1816C0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7,8</w:t>
            </w:r>
          </w:p>
          <w:p w14:paraId="3D1A17B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1,2</w:t>
            </w:r>
          </w:p>
          <w:p w14:paraId="2D0DADA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0,2</w:t>
            </w:r>
          </w:p>
          <w:p w14:paraId="00CB295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CFDFAB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4,7</w:t>
            </w:r>
          </w:p>
          <w:p w14:paraId="0688585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2,8</w:t>
            </w:r>
          </w:p>
          <w:p w14:paraId="37B0B08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1,8</w:t>
            </w:r>
          </w:p>
          <w:p w14:paraId="1070AA0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w:t>
            </w:r>
          </w:p>
          <w:p w14:paraId="4D37D09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w:t>
            </w:r>
          </w:p>
          <w:p w14:paraId="714B23D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10,9</w:t>
            </w:r>
          </w:p>
          <w:p w14:paraId="6AAA3B1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11,2</w:t>
            </w:r>
          </w:p>
          <w:p w14:paraId="1FAA528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6,5</w:t>
            </w:r>
          </w:p>
          <w:p w14:paraId="642DB99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6,4</w:t>
            </w:r>
          </w:p>
          <w:p w14:paraId="4935FC4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71BCD2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5,8</w:t>
            </w:r>
          </w:p>
          <w:p w14:paraId="409AA5E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3,9</w:t>
            </w:r>
          </w:p>
          <w:p w14:paraId="07DAE94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0,5</w:t>
            </w:r>
          </w:p>
          <w:p w14:paraId="74352821"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36516F2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0,2</w:t>
            </w:r>
          </w:p>
          <w:p w14:paraId="6D22EE7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023DC6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0,1</w:t>
            </w:r>
          </w:p>
          <w:p w14:paraId="2ACBD8E7"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694CDC4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4AB58C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0,7</w:t>
            </w:r>
          </w:p>
          <w:p w14:paraId="7C797A9E"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5B6205A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0,6</w:t>
            </w:r>
          </w:p>
          <w:p w14:paraId="5A805E2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1,2</w:t>
            </w:r>
          </w:p>
          <w:p w14:paraId="09A86FE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0</w:t>
            </w:r>
          </w:p>
        </w:tc>
        <w:tc>
          <w:tcPr>
            <w:tcW w:w="1019" w:type="dxa"/>
            <w:tcBorders>
              <w:top w:val="single" w:sz="4" w:space="0" w:color="000000"/>
              <w:left w:val="single" w:sz="4" w:space="0" w:color="000000"/>
              <w:bottom w:val="single" w:sz="4" w:space="0" w:color="000000"/>
            </w:tcBorders>
          </w:tcPr>
          <w:p w14:paraId="1DDAEA0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251164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81,5</w:t>
            </w:r>
          </w:p>
          <w:p w14:paraId="2BD1DA0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CA4EAD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2,2</w:t>
            </w:r>
          </w:p>
          <w:p w14:paraId="4DD341A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22,5</w:t>
            </w:r>
          </w:p>
          <w:p w14:paraId="3C8B93C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1,9</w:t>
            </w:r>
          </w:p>
          <w:p w14:paraId="51B1959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1,2</w:t>
            </w:r>
          </w:p>
          <w:p w14:paraId="24C44FD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0,4</w:t>
            </w:r>
          </w:p>
          <w:p w14:paraId="1A38D03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i/>
                <w:color w:val="000000"/>
                <w:sz w:val="16"/>
                <w:szCs w:val="16"/>
                <w:vertAlign w:val="baseline"/>
              </w:rPr>
              <w:t xml:space="preserve">      2,5</w:t>
            </w:r>
          </w:p>
          <w:p w14:paraId="10989C49"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9B048E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10,3</w:t>
            </w:r>
          </w:p>
          <w:p w14:paraId="0AE8A79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2,7</w:t>
            </w:r>
          </w:p>
          <w:p w14:paraId="1A72537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w:t>
            </w:r>
          </w:p>
          <w:p w14:paraId="2EF9405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B254AD4"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0,5</w:t>
            </w:r>
          </w:p>
          <w:p w14:paraId="50B473F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0,4</w:t>
            </w:r>
          </w:p>
          <w:p w14:paraId="35D1B97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0,1</w:t>
            </w:r>
          </w:p>
          <w:p w14:paraId="49C542A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w:t>
            </w:r>
          </w:p>
          <w:p w14:paraId="2F99F50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w:t>
            </w:r>
          </w:p>
          <w:p w14:paraId="4058EB0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11,7</w:t>
            </w:r>
          </w:p>
          <w:p w14:paraId="2E3D1FD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11,2</w:t>
            </w:r>
          </w:p>
          <w:p w14:paraId="79FB731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6,7</w:t>
            </w:r>
          </w:p>
          <w:p w14:paraId="3E7A259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6,1</w:t>
            </w:r>
          </w:p>
          <w:p w14:paraId="6F0130E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BBEE5D7"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4</w:t>
            </w:r>
          </w:p>
          <w:p w14:paraId="058438C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5</w:t>
            </w:r>
          </w:p>
          <w:p w14:paraId="3C82212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0,5</w:t>
            </w:r>
          </w:p>
          <w:p w14:paraId="673F85C0"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0AFAFEC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0,5</w:t>
            </w:r>
          </w:p>
          <w:p w14:paraId="5A0BEA15"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6201BC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0,2</w:t>
            </w:r>
          </w:p>
          <w:p w14:paraId="68D61CDF"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791E7BB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217CFA1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w:t>
            </w:r>
          </w:p>
          <w:p w14:paraId="52941442"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5DA0D2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1,4</w:t>
            </w:r>
          </w:p>
          <w:p w14:paraId="69368D1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1,1</w:t>
            </w:r>
          </w:p>
          <w:p w14:paraId="6CCEBC7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i/>
                <w:color w:val="000000"/>
                <w:sz w:val="16"/>
                <w:szCs w:val="16"/>
                <w:vertAlign w:val="baseline"/>
              </w:rPr>
              <w:t>0,1</w:t>
            </w:r>
          </w:p>
        </w:tc>
        <w:tc>
          <w:tcPr>
            <w:tcW w:w="1920" w:type="dxa"/>
            <w:tcBorders>
              <w:top w:val="single" w:sz="4" w:space="0" w:color="000000"/>
              <w:left w:val="single" w:sz="4" w:space="0" w:color="000000"/>
              <w:bottom w:val="single" w:sz="4" w:space="0" w:color="000000"/>
            </w:tcBorders>
          </w:tcPr>
          <w:p w14:paraId="5220DB4D"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5189EA1F"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32E7763D"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74AFC6DE"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166D2225"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73C3A3B4"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336C2E6C"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583DACCA"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511AAD21"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0770AC79" w14:textId="77777777" w:rsidR="00634CDF" w:rsidRDefault="00634CDF">
            <w:pPr>
              <w:pBdr>
                <w:top w:val="nil"/>
                <w:left w:val="nil"/>
                <w:bottom w:val="nil"/>
                <w:right w:val="nil"/>
                <w:between w:val="nil"/>
              </w:pBdr>
              <w:tabs>
                <w:tab w:val="center" w:pos="851"/>
              </w:tabs>
              <w:spacing w:line="240" w:lineRule="auto"/>
              <w:ind w:left="0" w:hanging="2"/>
              <w:rPr>
                <w:rFonts w:ascii="Arial" w:eastAsia="Arial" w:hAnsi="Arial" w:cs="Arial"/>
                <w:color w:val="000000"/>
                <w:sz w:val="16"/>
                <w:szCs w:val="16"/>
                <w:vertAlign w:val="baseline"/>
              </w:rPr>
            </w:pPr>
          </w:p>
          <w:p w14:paraId="08955D80" w14:textId="77777777" w:rsidR="00634CDF" w:rsidRDefault="00634CDF">
            <w:pPr>
              <w:pBdr>
                <w:top w:val="nil"/>
                <w:left w:val="nil"/>
                <w:bottom w:val="nil"/>
                <w:right w:val="nil"/>
                <w:between w:val="nil"/>
              </w:pBdr>
              <w:tabs>
                <w:tab w:val="center" w:pos="851"/>
              </w:tabs>
              <w:spacing w:line="240" w:lineRule="auto"/>
              <w:ind w:left="0" w:hanging="2"/>
              <w:jc w:val="center"/>
              <w:rPr>
                <w:rFonts w:ascii="Arial" w:eastAsia="Arial" w:hAnsi="Arial" w:cs="Arial"/>
                <w:color w:val="000000"/>
                <w:sz w:val="16"/>
                <w:szCs w:val="16"/>
                <w:vertAlign w:val="baseline"/>
              </w:rPr>
            </w:pPr>
          </w:p>
          <w:p w14:paraId="6530AC2C" w14:textId="77777777" w:rsidR="00634CDF" w:rsidRDefault="00F0051D">
            <w:pPr>
              <w:pBdr>
                <w:top w:val="nil"/>
                <w:left w:val="nil"/>
                <w:bottom w:val="nil"/>
                <w:right w:val="nil"/>
                <w:between w:val="nil"/>
              </w:pBdr>
              <w:tabs>
                <w:tab w:val="center" w:pos="851"/>
              </w:tabs>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   -1,5 (-2,9 a -0,1)</w:t>
            </w:r>
          </w:p>
          <w:p w14:paraId="174A086D" w14:textId="77777777" w:rsidR="00634CDF" w:rsidRDefault="00634CDF">
            <w:pPr>
              <w:pBdr>
                <w:top w:val="nil"/>
                <w:left w:val="nil"/>
                <w:bottom w:val="nil"/>
                <w:right w:val="nil"/>
                <w:between w:val="nil"/>
              </w:pBdr>
              <w:tabs>
                <w:tab w:val="center" w:pos="851"/>
              </w:tabs>
              <w:spacing w:line="240" w:lineRule="auto"/>
              <w:ind w:left="0" w:hanging="2"/>
              <w:jc w:val="center"/>
              <w:rPr>
                <w:rFonts w:ascii="Arial" w:eastAsia="Arial" w:hAnsi="Arial" w:cs="Arial"/>
                <w:color w:val="000000"/>
                <w:sz w:val="16"/>
                <w:szCs w:val="16"/>
                <w:vertAlign w:val="baseline"/>
              </w:rPr>
            </w:pPr>
          </w:p>
          <w:p w14:paraId="0E31FB6B" w14:textId="77777777" w:rsidR="00634CDF" w:rsidRDefault="00634CDF">
            <w:pPr>
              <w:pBdr>
                <w:top w:val="nil"/>
                <w:left w:val="nil"/>
                <w:bottom w:val="nil"/>
                <w:right w:val="nil"/>
                <w:between w:val="nil"/>
              </w:pBdr>
              <w:tabs>
                <w:tab w:val="center" w:pos="851"/>
              </w:tabs>
              <w:spacing w:line="240" w:lineRule="auto"/>
              <w:ind w:left="0" w:hanging="2"/>
              <w:jc w:val="center"/>
              <w:rPr>
                <w:rFonts w:ascii="Arial" w:eastAsia="Arial" w:hAnsi="Arial" w:cs="Arial"/>
                <w:color w:val="000000"/>
                <w:sz w:val="16"/>
                <w:szCs w:val="16"/>
                <w:vertAlign w:val="baseline"/>
              </w:rPr>
            </w:pPr>
          </w:p>
          <w:p w14:paraId="2E86E5BB" w14:textId="77777777" w:rsidR="00634CDF" w:rsidRDefault="00F0051D">
            <w:pPr>
              <w:pBdr>
                <w:top w:val="nil"/>
                <w:left w:val="nil"/>
                <w:bottom w:val="nil"/>
                <w:right w:val="nil"/>
                <w:between w:val="nil"/>
              </w:pBdr>
              <w:tabs>
                <w:tab w:val="center" w:pos="851"/>
              </w:tabs>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   4,2 (2,7 a 5,7)</w:t>
            </w:r>
          </w:p>
          <w:p w14:paraId="0827F0B5" w14:textId="77777777" w:rsidR="00634CDF" w:rsidRDefault="00F0051D">
            <w:pPr>
              <w:pBdr>
                <w:top w:val="nil"/>
                <w:left w:val="nil"/>
                <w:bottom w:val="nil"/>
                <w:right w:val="nil"/>
                <w:between w:val="nil"/>
              </w:pBdr>
              <w:tabs>
                <w:tab w:val="center" w:pos="851"/>
              </w:tabs>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   2,5(1,2 a 3,7)</w:t>
            </w:r>
          </w:p>
          <w:p w14:paraId="7F4A04F3" w14:textId="77777777" w:rsidR="00634CDF" w:rsidRDefault="00F0051D">
            <w:pPr>
              <w:pBdr>
                <w:top w:val="nil"/>
                <w:left w:val="nil"/>
                <w:bottom w:val="nil"/>
                <w:right w:val="nil"/>
                <w:between w:val="nil"/>
              </w:pBdr>
              <w:tabs>
                <w:tab w:val="center" w:pos="851"/>
              </w:tabs>
              <w:spacing w:line="240" w:lineRule="auto"/>
              <w:ind w:left="0" w:hanging="2"/>
              <w:jc w:val="center"/>
              <w:rPr>
                <w:color w:val="000000"/>
                <w:vertAlign w:val="baseline"/>
              </w:rPr>
            </w:pPr>
            <w:r>
              <w:rPr>
                <w:rFonts w:ascii="Arial" w:eastAsia="Arial" w:hAnsi="Arial" w:cs="Arial"/>
                <w:color w:val="000000"/>
                <w:sz w:val="16"/>
                <w:szCs w:val="16"/>
                <w:vertAlign w:val="baseline"/>
              </w:rPr>
              <w:t xml:space="preserve">   1,7(0,8 a 2,7)</w:t>
            </w:r>
          </w:p>
        </w:tc>
        <w:tc>
          <w:tcPr>
            <w:tcW w:w="675" w:type="dxa"/>
            <w:tcBorders>
              <w:top w:val="single" w:sz="4" w:space="0" w:color="000000"/>
              <w:left w:val="single" w:sz="4" w:space="0" w:color="000000"/>
              <w:bottom w:val="single" w:sz="4" w:space="0" w:color="000000"/>
            </w:tcBorders>
          </w:tcPr>
          <w:p w14:paraId="55ACDD21"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 xml:space="preserve"> </w:t>
            </w:r>
          </w:p>
          <w:p w14:paraId="63AC28C2"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ns</w:t>
            </w:r>
          </w:p>
          <w:p w14:paraId="5EA47849" w14:textId="77777777" w:rsidR="00634CDF" w:rsidRPr="001779CA"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lang w:val="en-US"/>
              </w:rPr>
            </w:pPr>
          </w:p>
          <w:p w14:paraId="66A7723E" w14:textId="77777777" w:rsidR="00634CDF" w:rsidRPr="001779CA" w:rsidRDefault="00F0051D">
            <w:pPr>
              <w:pBdr>
                <w:top w:val="nil"/>
                <w:left w:val="nil"/>
                <w:bottom w:val="nil"/>
                <w:right w:val="nil"/>
                <w:between w:val="nil"/>
              </w:pBdr>
              <w:spacing w:line="240" w:lineRule="auto"/>
              <w:ind w:left="0" w:hanging="2"/>
              <w:jc w:val="center"/>
              <w:rPr>
                <w:color w:val="000000"/>
                <w:vertAlign w:val="baseline"/>
                <w:lang w:val="en-US"/>
              </w:rPr>
            </w:pPr>
            <w:r w:rsidRPr="001779CA">
              <w:rPr>
                <w:rFonts w:ascii="Arial" w:eastAsia="Arial" w:hAnsi="Arial" w:cs="Arial"/>
                <w:color w:val="000000"/>
                <w:sz w:val="16"/>
                <w:szCs w:val="16"/>
                <w:vertAlign w:val="baseline"/>
                <w:lang w:val="en-US"/>
              </w:rPr>
              <w:t>ns</w:t>
            </w:r>
          </w:p>
          <w:p w14:paraId="40D699AD"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03D263EF"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39507262"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5E40FA08"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7DC4FC57"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091183FB"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0000D6BB"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3B3A6D4B"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&lt;0,05</w:t>
            </w:r>
          </w:p>
          <w:p w14:paraId="4B7FBA47"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7E1A09DC"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47F9357B"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&lt;0,001    &lt;0,001 &lt;0,001</w:t>
            </w:r>
          </w:p>
          <w:p w14:paraId="3E859390"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257ADA06"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750AE26E"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3D9D9663"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619F3AB1"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349B7344"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4AA1BECF"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w:t>
            </w:r>
          </w:p>
          <w:p w14:paraId="3A21F380"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43874958"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381598A0"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2F8CFBEE"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w:t>
            </w:r>
          </w:p>
          <w:p w14:paraId="4EA9B014"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5ED4C834"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24116409"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4A376B63"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4B1F7EB2"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w:t>
            </w:r>
          </w:p>
          <w:p w14:paraId="124C4251"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1298D420"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0C0E9A08"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w:t>
            </w:r>
          </w:p>
          <w:p w14:paraId="2737E68C"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t xml:space="preserve">   ns    </w:t>
            </w:r>
          </w:p>
          <w:p w14:paraId="269440D5"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16"/>
                <w:szCs w:val="16"/>
                <w:vertAlign w:val="baseline"/>
                <w:lang w:val="en-US"/>
              </w:rPr>
              <w:lastRenderedPageBreak/>
              <w:t xml:space="preserve">   ns</w:t>
            </w:r>
          </w:p>
        </w:tc>
        <w:tc>
          <w:tcPr>
            <w:tcW w:w="1334" w:type="dxa"/>
            <w:tcBorders>
              <w:top w:val="single" w:sz="4" w:space="0" w:color="000000"/>
              <w:left w:val="single" w:sz="4" w:space="0" w:color="000000"/>
              <w:bottom w:val="single" w:sz="4" w:space="0" w:color="000000"/>
              <w:right w:val="single" w:sz="4" w:space="0" w:color="000000"/>
            </w:tcBorders>
          </w:tcPr>
          <w:p w14:paraId="2087F928"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1B6E3BD7"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6EFA6571"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1712A50D"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4152A715"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1AE0B5C9"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39AA9BBD"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61257295"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74A99E8F"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2A34CB63"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466B5D1F"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lang w:val="en-US"/>
              </w:rPr>
            </w:pPr>
          </w:p>
          <w:p w14:paraId="1FE0450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67(34-1000)</w:t>
            </w:r>
          </w:p>
          <w:p w14:paraId="79C5046B"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164765C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p w14:paraId="4C181BC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24(18-37)</w:t>
            </w:r>
          </w:p>
          <w:p w14:paraId="53EF23CB"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41(27-83)</w:t>
            </w:r>
          </w:p>
          <w:p w14:paraId="183D15E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58(17-125)</w:t>
            </w:r>
          </w:p>
        </w:tc>
      </w:tr>
      <w:tr w:rsidR="00634CDF" w14:paraId="608EB423" w14:textId="77777777">
        <w:trPr>
          <w:trHeight w:val="218"/>
        </w:trPr>
        <w:tc>
          <w:tcPr>
            <w:tcW w:w="8900" w:type="dxa"/>
            <w:gridSpan w:val="6"/>
            <w:tcBorders>
              <w:top w:val="single" w:sz="4" w:space="0" w:color="000000"/>
              <w:left w:val="single" w:sz="4" w:space="0" w:color="000000"/>
              <w:bottom w:val="single" w:sz="4" w:space="0" w:color="000000"/>
              <w:right w:val="single" w:sz="4" w:space="0" w:color="000000"/>
            </w:tcBorders>
          </w:tcPr>
          <w:p w14:paraId="5F136BB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lastRenderedPageBreak/>
              <w:t xml:space="preserve">(*) RAR y NND o NNH con IC 95 % se exponen en la tabla solo si p&lt;0,05 </w:t>
            </w:r>
          </w:p>
          <w:p w14:paraId="07173F25"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u w:val="single"/>
                <w:vertAlign w:val="baseline"/>
              </w:rPr>
            </w:pPr>
            <w:r>
              <w:rPr>
                <w:rFonts w:ascii="Arial" w:eastAsia="Arial" w:hAnsi="Arial" w:cs="Arial"/>
                <w:color w:val="000000"/>
                <w:sz w:val="16"/>
                <w:szCs w:val="16"/>
                <w:vertAlign w:val="baseline"/>
              </w:rPr>
              <w:t>Calculadora de RAR y NNH o NND y sus IC 95 %  de CASPe.</w:t>
            </w:r>
            <w:r>
              <w:rPr>
                <w:rFonts w:ascii="Arial" w:eastAsia="Arial" w:hAnsi="Arial" w:cs="Arial"/>
                <w:b/>
                <w:color w:val="000000"/>
                <w:sz w:val="16"/>
                <w:szCs w:val="16"/>
                <w:vertAlign w:val="baseline"/>
              </w:rPr>
              <w:t xml:space="preserve">   </w:t>
            </w:r>
            <w:hyperlink r:id="rId43">
              <w:r>
                <w:rPr>
                  <w:rFonts w:ascii="Arial" w:eastAsia="Arial" w:hAnsi="Arial" w:cs="Arial"/>
                  <w:color w:val="0000FF"/>
                  <w:sz w:val="16"/>
                  <w:szCs w:val="16"/>
                  <w:u w:val="single"/>
                  <w:vertAlign w:val="baseline"/>
                </w:rPr>
                <w:t>Pulse aquí.</w:t>
              </w:r>
            </w:hyperlink>
          </w:p>
          <w:p w14:paraId="21DE19C1"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r>
              <w:rPr>
                <w:rFonts w:ascii="Arial" w:eastAsia="Arial" w:hAnsi="Arial" w:cs="Arial"/>
                <w:b/>
                <w:color w:val="000000"/>
                <w:sz w:val="16"/>
                <w:szCs w:val="16"/>
                <w:u w:val="single"/>
                <w:vertAlign w:val="baseline"/>
              </w:rPr>
              <w:t>-</w:t>
            </w:r>
            <w:r>
              <w:rPr>
                <w:rFonts w:ascii="Arial" w:eastAsia="Arial" w:hAnsi="Arial" w:cs="Arial"/>
                <w:b/>
                <w:color w:val="000000"/>
                <w:sz w:val="16"/>
                <w:szCs w:val="16"/>
                <w:vertAlign w:val="baseline"/>
              </w:rPr>
              <w:t>Calculadoras/programas en web GENESIS:</w:t>
            </w:r>
            <w:r>
              <w:rPr>
                <w:rFonts w:ascii="Arial" w:eastAsia="Arial" w:hAnsi="Arial" w:cs="Arial"/>
                <w:b/>
                <w:color w:val="000000"/>
                <w:sz w:val="16"/>
                <w:szCs w:val="16"/>
                <w:u w:val="single"/>
                <w:vertAlign w:val="baseline"/>
              </w:rPr>
              <w:t xml:space="preserve"> </w:t>
            </w:r>
            <w:hyperlink r:id="rId44">
              <w:r>
                <w:rPr>
                  <w:rFonts w:ascii="Arial" w:eastAsia="Arial" w:hAnsi="Arial" w:cs="Arial"/>
                  <w:color w:val="0000FF"/>
                  <w:sz w:val="16"/>
                  <w:szCs w:val="16"/>
                  <w:u w:val="single"/>
                  <w:vertAlign w:val="baseline"/>
                </w:rPr>
                <w:t>http://gruposdetrabajo.sefh.es/genesis/genesis/Enlaces/Calculadoras.htm</w:t>
              </w:r>
            </w:hyperlink>
          </w:p>
        </w:tc>
      </w:tr>
      <w:tr w:rsidR="00634CDF" w14:paraId="1B365717" w14:textId="77777777">
        <w:trPr>
          <w:trHeight w:val="218"/>
        </w:trPr>
        <w:tc>
          <w:tcPr>
            <w:tcW w:w="8900" w:type="dxa"/>
            <w:gridSpan w:val="6"/>
            <w:tcBorders>
              <w:top w:val="single" w:sz="4" w:space="0" w:color="000000"/>
              <w:left w:val="single" w:sz="4" w:space="0" w:color="000000"/>
              <w:bottom w:val="single" w:sz="4" w:space="0" w:color="000000"/>
              <w:right w:val="single" w:sz="4" w:space="0" w:color="000000"/>
            </w:tcBorders>
          </w:tcPr>
          <w:p w14:paraId="5DA1974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Muerte cardiaca, signos y síntomas de paro cardiaco, infarto de miocardio no fatal o accidente cerebrovascular no fatal.</w:t>
            </w:r>
          </w:p>
        </w:tc>
      </w:tr>
    </w:tbl>
    <w:p w14:paraId="0EB7D956"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bookmarkStart w:id="61" w:name="_heading=h.p5yqepe6bk4j" w:colFirst="0" w:colLast="0"/>
      <w:bookmarkEnd w:id="61"/>
    </w:p>
    <w:p w14:paraId="3E1972C3"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bookmarkStart w:id="62" w:name="_heading=h.3x1azunrvjkc" w:colFirst="0" w:colLast="0"/>
      <w:bookmarkEnd w:id="62"/>
    </w:p>
    <w:p w14:paraId="7154775B"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bookmarkStart w:id="63" w:name="_heading=h.it1m4lgegbt8" w:colFirst="0" w:colLast="0"/>
      <w:bookmarkEnd w:id="63"/>
    </w:p>
    <w:p w14:paraId="5073DA10"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bookmarkStart w:id="64" w:name="_heading=h.vx1227" w:colFirst="0" w:colLast="0"/>
      <w:bookmarkEnd w:id="64"/>
      <w:r>
        <w:rPr>
          <w:rFonts w:ascii="Cambria" w:eastAsia="Cambria" w:hAnsi="Cambria" w:cs="Cambria"/>
          <w:b/>
          <w:i/>
          <w:color w:val="000000"/>
          <w:sz w:val="18"/>
          <w:szCs w:val="18"/>
          <w:vertAlign w:val="baseline"/>
        </w:rPr>
        <w:t>6.2 Ensayos Clínicos comparativos</w:t>
      </w:r>
      <w:r>
        <w:rPr>
          <w:rFonts w:ascii="Cambria" w:eastAsia="Cambria" w:hAnsi="Cambria" w:cs="Cambria"/>
          <w:b/>
          <w:i/>
          <w:color w:val="000000"/>
          <w:sz w:val="20"/>
          <w:szCs w:val="20"/>
          <w:vertAlign w:val="baseline"/>
        </w:rPr>
        <w:t xml:space="preserve">. </w:t>
      </w:r>
    </w:p>
    <w:p w14:paraId="07818955" w14:textId="77777777" w:rsidR="00634CDF" w:rsidRDefault="00634CDF">
      <w:pPr>
        <w:keepNext/>
        <w:pBdr>
          <w:top w:val="none" w:sz="0" w:space="0" w:color="000000"/>
          <w:left w:val="none" w:sz="0" w:space="0" w:color="000000"/>
          <w:bottom w:val="none" w:sz="0" w:space="0" w:color="000000"/>
          <w:right w:val="none" w:sz="0" w:space="0" w:color="000000"/>
          <w:between w:val="nil"/>
        </w:pBdr>
        <w:shd w:val="clear" w:color="auto" w:fill="FFFFFF"/>
        <w:spacing w:line="240" w:lineRule="auto"/>
        <w:ind w:left="0" w:hanging="2"/>
        <w:jc w:val="both"/>
        <w:rPr>
          <w:rFonts w:ascii="Cambria" w:eastAsia="Cambria" w:hAnsi="Cambria" w:cs="Cambria"/>
          <w:color w:val="000000"/>
          <w:sz w:val="20"/>
          <w:szCs w:val="20"/>
          <w:vertAlign w:val="baseline"/>
        </w:rPr>
      </w:pPr>
    </w:p>
    <w:p w14:paraId="0F7E3C7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No se han desarrollado ensayos clínicos que comparen directamente inclisiran con alirocumab y evolocumab. A priori, la seguridad de inclisiran se podría comparar con alternativas terapéuticas como alirocumab o evolocumab que en principio tienen la misma población diana (pacientes con enfermedad cardiovascular establecida o con riesgo equivalente). </w:t>
      </w:r>
    </w:p>
    <w:p w14:paraId="78E2C971" w14:textId="77777777" w:rsidR="00634CDF" w:rsidRDefault="00634CDF">
      <w:pPr>
        <w:pBdr>
          <w:top w:val="nil"/>
          <w:left w:val="nil"/>
          <w:bottom w:val="nil"/>
          <w:right w:val="nil"/>
          <w:between w:val="nil"/>
        </w:pBdr>
        <w:spacing w:line="240" w:lineRule="auto"/>
        <w:ind w:left="0" w:hanging="2"/>
        <w:rPr>
          <w:color w:val="000000"/>
          <w:vertAlign w:val="baseline"/>
        </w:rPr>
      </w:pPr>
    </w:p>
    <w:p w14:paraId="2F56EBF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La reacción en el lugar de inyección tiene una frecuencia similar a evolocumab y alirocumab (3,1% inclisiran, 2,2% evolocumab y 3,8% en alirocumab).</w:t>
      </w:r>
    </w:p>
    <w:p w14:paraId="34A621A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w:t>
      </w:r>
    </w:p>
    <w:p w14:paraId="6465670B"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rFonts w:ascii="Arial" w:eastAsia="Arial" w:hAnsi="Arial" w:cs="Arial"/>
          <w:color w:val="000000"/>
          <w:sz w:val="20"/>
          <w:szCs w:val="20"/>
          <w:vertAlign w:val="baseline"/>
        </w:rPr>
        <w:t>A título descriptivo se indican las tasas EAG de inclisiran (ORION 10 Y 11) (18) 22,4% (n=356/1591) con respecto a sus alternativas terapéuticas alirocumab</w:t>
      </w:r>
      <w:r>
        <w:rPr>
          <w:rFonts w:ascii="Arial" w:eastAsia="Arial" w:hAnsi="Arial" w:cs="Arial"/>
          <w:i/>
          <w:color w:val="000000"/>
          <w:sz w:val="16"/>
          <w:szCs w:val="16"/>
          <w:vertAlign w:val="baseline"/>
        </w:rPr>
        <w:t xml:space="preserve"> (</w:t>
      </w:r>
      <w:r>
        <w:rPr>
          <w:rFonts w:ascii="Arial" w:eastAsia="Arial" w:hAnsi="Arial" w:cs="Arial"/>
          <w:i/>
          <w:color w:val="000000"/>
          <w:sz w:val="20"/>
          <w:szCs w:val="20"/>
          <w:vertAlign w:val="baseline"/>
        </w:rPr>
        <w:t xml:space="preserve">ODDISEY OUTCOMES </w:t>
      </w:r>
      <w:r>
        <w:rPr>
          <w:rFonts w:ascii="Arial" w:eastAsia="Arial" w:hAnsi="Arial" w:cs="Arial"/>
          <w:color w:val="000000"/>
          <w:sz w:val="20"/>
          <w:szCs w:val="20"/>
          <w:vertAlign w:val="baseline"/>
        </w:rPr>
        <w:t>(</w:t>
      </w:r>
      <w:r>
        <w:rPr>
          <w:rFonts w:ascii="Arial" w:eastAsia="Arial" w:hAnsi="Arial" w:cs="Arial"/>
          <w:sz w:val="20"/>
          <w:szCs w:val="20"/>
          <w:vertAlign w:val="baseline"/>
        </w:rPr>
        <w:t>20</w:t>
      </w:r>
      <w:r>
        <w:rPr>
          <w:rFonts w:ascii="Arial" w:eastAsia="Arial" w:hAnsi="Arial" w:cs="Arial"/>
          <w:color w:val="000000"/>
          <w:sz w:val="20"/>
          <w:szCs w:val="20"/>
          <w:vertAlign w:val="baseline"/>
        </w:rPr>
        <w:t>)</w:t>
      </w:r>
      <w:r>
        <w:rPr>
          <w:rFonts w:ascii="Arial" w:eastAsia="Arial" w:hAnsi="Arial" w:cs="Arial"/>
          <w:i/>
          <w:color w:val="000000"/>
          <w:sz w:val="20"/>
          <w:szCs w:val="20"/>
          <w:vertAlign w:val="baseline"/>
        </w:rPr>
        <w:t xml:space="preserve"> </w:t>
      </w:r>
      <w:r>
        <w:rPr>
          <w:rFonts w:ascii="Arial" w:eastAsia="Arial" w:hAnsi="Arial" w:cs="Arial"/>
          <w:color w:val="000000"/>
          <w:sz w:val="20"/>
          <w:szCs w:val="20"/>
          <w:vertAlign w:val="baseline"/>
        </w:rPr>
        <w:t>23,3% (n=2202/9451) y evolocumab</w:t>
      </w:r>
      <w:r>
        <w:rPr>
          <w:rFonts w:ascii="Arial" w:eastAsia="Arial" w:hAnsi="Arial" w:cs="Arial"/>
          <w:i/>
          <w:color w:val="000000"/>
          <w:sz w:val="20"/>
          <w:szCs w:val="20"/>
          <w:vertAlign w:val="baseline"/>
        </w:rPr>
        <w:t xml:space="preserve"> (FOURIER </w:t>
      </w:r>
      <w:r>
        <w:rPr>
          <w:rFonts w:ascii="Arial" w:eastAsia="Arial" w:hAnsi="Arial" w:cs="Arial"/>
          <w:color w:val="000000"/>
          <w:sz w:val="20"/>
          <w:szCs w:val="20"/>
          <w:vertAlign w:val="baseline"/>
        </w:rPr>
        <w:t>(</w:t>
      </w:r>
      <w:r>
        <w:rPr>
          <w:rFonts w:ascii="Arial" w:eastAsia="Arial" w:hAnsi="Arial" w:cs="Arial"/>
          <w:sz w:val="20"/>
          <w:szCs w:val="20"/>
          <w:vertAlign w:val="baseline"/>
        </w:rPr>
        <w:t>19</w:t>
      </w:r>
      <w:r>
        <w:rPr>
          <w:rFonts w:ascii="Arial" w:eastAsia="Arial" w:hAnsi="Arial" w:cs="Arial"/>
          <w:color w:val="000000"/>
          <w:sz w:val="20"/>
          <w:szCs w:val="20"/>
          <w:vertAlign w:val="baseline"/>
        </w:rPr>
        <w:t>)</w:t>
      </w:r>
      <w:r>
        <w:rPr>
          <w:rFonts w:ascii="Arial" w:eastAsia="Arial" w:hAnsi="Arial" w:cs="Arial"/>
          <w:i/>
          <w:color w:val="000000"/>
          <w:sz w:val="20"/>
          <w:szCs w:val="20"/>
          <w:vertAlign w:val="baseline"/>
        </w:rPr>
        <w:t>)</w:t>
      </w:r>
      <w:r>
        <w:rPr>
          <w:rFonts w:ascii="Arial" w:eastAsia="Arial" w:hAnsi="Arial" w:cs="Arial"/>
          <w:color w:val="000000"/>
          <w:sz w:val="20"/>
          <w:szCs w:val="20"/>
          <w:vertAlign w:val="baseline"/>
        </w:rPr>
        <w:t xml:space="preserve"> 24,7% (n=3410/13784).</w:t>
      </w:r>
    </w:p>
    <w:p w14:paraId="212F025D" w14:textId="77777777" w:rsidR="00634CDF" w:rsidRDefault="00634CDF">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p>
    <w:p w14:paraId="237A7CC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Esta comparación es de carácter exploratorio y presenta grandes limitaciones, comenzando por la diferencia en el número de sujetos incluidos en el grupo de inclisiran y de sus alternativas. Además, el diseño de los ensayos no era el mismo, ni el tiempo de seguimiento. Aunque la población de estudio era similar (pacientes con enfermedad ateroesclerótica establecida o con riesgo equivalente), los ensayos ODDISEY OUTCOMES y FOURIER seleccionaron la variable principal final mortalidad por cualquier causa, IM no mortal y ACV isquémico no mortal y tiempo hasta muerte cardiovascular, infarto de miocardio, ictus, revascularización coronaria u hospitalización por angina inestable respectivamente. Mientras que en los ensayos ORION-10 y ORION-11 éste no fue el objetivo principal de los estudios. Teniendo en cuenta que un gran porcentaje de EAG son cardiovasculares y que el propósito de estos fármacos es disminuirlos, esta comparación sería más precis</w:t>
      </w:r>
      <w:r>
        <w:rPr>
          <w:rFonts w:ascii="Arial" w:eastAsia="Arial" w:hAnsi="Arial" w:cs="Arial"/>
          <w:sz w:val="20"/>
          <w:szCs w:val="20"/>
          <w:vertAlign w:val="baseline"/>
        </w:rPr>
        <w:t>a</w:t>
      </w:r>
      <w:r>
        <w:rPr>
          <w:rFonts w:ascii="Arial" w:eastAsia="Arial" w:hAnsi="Arial" w:cs="Arial"/>
          <w:color w:val="000000"/>
          <w:sz w:val="20"/>
          <w:szCs w:val="20"/>
          <w:vertAlign w:val="baseline"/>
        </w:rPr>
        <w:t xml:space="preserve"> hacerla en términos de eficacia al reducir eventos cardiovasculares cuando existan datos de inclisiran sobre estas variables finales (ORION-4).</w:t>
      </w:r>
    </w:p>
    <w:p w14:paraId="2D12CE91"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58B6173"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6.3 Fuentes secundarias sobre seguridad</w:t>
      </w:r>
    </w:p>
    <w:p w14:paraId="0F264B47"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bookmarkStart w:id="65" w:name="_heading=h.1v1yuxt" w:colFirst="0" w:colLast="0"/>
      <w:bookmarkEnd w:id="65"/>
    </w:p>
    <w:p w14:paraId="4B2295B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20"/>
          <w:szCs w:val="20"/>
          <w:vertAlign w:val="baseline"/>
        </w:rPr>
        <w:t>No aplicable.</w:t>
      </w:r>
    </w:p>
    <w:p w14:paraId="08D787A6" w14:textId="77777777" w:rsidR="00634CDF" w:rsidRDefault="00F0051D">
      <w:pPr>
        <w:pBdr>
          <w:top w:val="nil"/>
          <w:left w:val="nil"/>
          <w:bottom w:val="nil"/>
          <w:right w:val="nil"/>
          <w:between w:val="nil"/>
        </w:pBdr>
        <w:spacing w:line="240" w:lineRule="auto"/>
        <w:ind w:left="0" w:hanging="2"/>
        <w:jc w:val="right"/>
        <w:rPr>
          <w:color w:val="000000"/>
          <w:vertAlign w:val="baseline"/>
        </w:rPr>
      </w:pPr>
      <w:r>
        <w:rPr>
          <w:rFonts w:ascii="Arial" w:eastAsia="Arial" w:hAnsi="Arial" w:cs="Arial"/>
          <w:color w:val="000000"/>
          <w:sz w:val="20"/>
          <w:szCs w:val="20"/>
          <w:vertAlign w:val="baseline"/>
        </w:rPr>
        <w:t xml:space="preserve">                  </w:t>
      </w:r>
    </w:p>
    <w:p w14:paraId="4F7B94D0"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 xml:space="preserve">6.4 Precauciones de empleo en casos especiales </w:t>
      </w:r>
    </w:p>
    <w:p w14:paraId="5308E187"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16C0DC7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u w:val="single"/>
          <w:vertAlign w:val="baseline"/>
        </w:rPr>
        <w:t>Embarazo, lactancia y fertilidad</w:t>
      </w:r>
    </w:p>
    <w:p w14:paraId="7FD5EA8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En los ensayos clínicos no fueron incluidas mujeres embarazadas por lo que en esta población no se dispone evidencia de la seguridad de inclisiran. En los ensayos preclínicos se demostró que inclisiran no es genotóxico, embriotóxico, ni afecta a la reproducción en ratas y conejos. Ante la falta de datos en embarazo no obstante se recomienda evitar la administración de inclisiran en el embarazo. </w:t>
      </w:r>
    </w:p>
    <w:p w14:paraId="4C9383E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En cuanto a la lactancia, tampoco hay datos de si el fármaco se excreta en leche materna. Estudios en animales indican que sí se excreta en la leche por lo que no se puede descartar el riesgo en recién nacidos/niños. </w:t>
      </w:r>
    </w:p>
    <w:p w14:paraId="523811C1" w14:textId="77777777" w:rsidR="00634CDF" w:rsidRDefault="00634CDF">
      <w:pPr>
        <w:pBdr>
          <w:top w:val="nil"/>
          <w:left w:val="nil"/>
          <w:bottom w:val="nil"/>
          <w:right w:val="nil"/>
          <w:between w:val="nil"/>
        </w:pBdr>
        <w:spacing w:line="240" w:lineRule="auto"/>
        <w:ind w:left="0" w:hanging="2"/>
        <w:rPr>
          <w:color w:val="000000"/>
          <w:vertAlign w:val="baseline"/>
        </w:rPr>
      </w:pPr>
    </w:p>
    <w:p w14:paraId="4C0DF4F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u w:val="single"/>
          <w:vertAlign w:val="baseline"/>
        </w:rPr>
        <w:t>Edad</w:t>
      </w:r>
    </w:p>
    <w:p w14:paraId="4E7BE8D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lastRenderedPageBreak/>
        <w:t>No hubo diferencias significativas en cuanto a EA y EA graves entre grupos de edad en el análisis de subgrupos. Los EA aparecieron con mayor frecuencia en grupos de edad elevada tanto para placebo como inclisiran. </w:t>
      </w:r>
    </w:p>
    <w:p w14:paraId="029F9D81" w14:textId="77777777" w:rsidR="00634CDF" w:rsidRDefault="00634CDF">
      <w:pPr>
        <w:pBdr>
          <w:top w:val="nil"/>
          <w:left w:val="nil"/>
          <w:bottom w:val="nil"/>
          <w:right w:val="nil"/>
          <w:between w:val="nil"/>
        </w:pBdr>
        <w:spacing w:line="240" w:lineRule="auto"/>
        <w:ind w:left="0" w:hanging="2"/>
        <w:rPr>
          <w:color w:val="000000"/>
          <w:vertAlign w:val="baseline"/>
        </w:rPr>
      </w:pPr>
    </w:p>
    <w:p w14:paraId="406A0FD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u w:val="single"/>
          <w:vertAlign w:val="baseline"/>
        </w:rPr>
        <w:t>Insuficiencia renal</w:t>
      </w:r>
    </w:p>
    <w:p w14:paraId="3FEE8AD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En cuanto a pacientes con insuficiencia renal, en el ensayo ORION-7 se evaluó la seguridad de inclisiran en estos pacientes como objetivo principal además de ensayar la cinética y posibles regímenes de dosificación en estos pacientes. Además, en los ensayos fase III se incluyeron 2648 pacientes con insuficiencia renal, 2046 leve, 582 moderada y tan solo 20 graves. En el análisis de subgrupos no se encontraron diferencias significativas de eventos adversos entre placebo e inclisiran. Sin embargo, para el grupo de pacientes con insuficiencia renal grave el número de pacientes incluidos es muy pequeño como para extraer conclusiones por lo que se propone utilizar inclisiran con precaución en estos pacientes.</w:t>
      </w:r>
    </w:p>
    <w:p w14:paraId="3D52365F" w14:textId="77777777" w:rsidR="00634CDF" w:rsidRDefault="00634CDF">
      <w:pPr>
        <w:pBdr>
          <w:top w:val="nil"/>
          <w:left w:val="nil"/>
          <w:bottom w:val="nil"/>
          <w:right w:val="nil"/>
          <w:between w:val="nil"/>
        </w:pBdr>
        <w:spacing w:line="240" w:lineRule="auto"/>
        <w:ind w:left="0" w:hanging="2"/>
        <w:rPr>
          <w:color w:val="000000"/>
          <w:vertAlign w:val="baseline"/>
        </w:rPr>
      </w:pPr>
    </w:p>
    <w:p w14:paraId="15FCBE8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u w:val="single"/>
          <w:vertAlign w:val="baseline"/>
        </w:rPr>
        <w:t>Insuficiencia hepática</w:t>
      </w:r>
    </w:p>
    <w:p w14:paraId="1C26A0C8"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La seguridad de una sola dosis de inclisiran en pacientes con insuficiencia hepática se evaluó en el ensayo fase I ORION-6 que incluyó a un total de 28 pacientes, 10 con insuficiencia hepática leve, 6 con moderada y 12 sanos.</w:t>
      </w:r>
    </w:p>
    <w:p w14:paraId="10F2DAAC" w14:textId="77777777" w:rsidR="00634CDF" w:rsidRDefault="00634CDF">
      <w:pPr>
        <w:pBdr>
          <w:top w:val="nil"/>
          <w:left w:val="nil"/>
          <w:bottom w:val="nil"/>
          <w:right w:val="nil"/>
          <w:between w:val="nil"/>
        </w:pBdr>
        <w:spacing w:line="240" w:lineRule="auto"/>
        <w:ind w:left="0" w:hanging="2"/>
        <w:rPr>
          <w:color w:val="000000"/>
          <w:vertAlign w:val="baseline"/>
        </w:rPr>
      </w:pPr>
    </w:p>
    <w:p w14:paraId="4FBBACE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En los ensayos fase III la función hepática no se evaluó, pero en una clasificación </w:t>
      </w:r>
      <w:r>
        <w:rPr>
          <w:rFonts w:ascii="Arial" w:eastAsia="Arial" w:hAnsi="Arial" w:cs="Arial"/>
          <w:i/>
          <w:color w:val="000000"/>
          <w:sz w:val="20"/>
          <w:szCs w:val="20"/>
          <w:vertAlign w:val="baseline"/>
        </w:rPr>
        <w:t>post-hoc</w:t>
      </w:r>
      <w:r>
        <w:rPr>
          <w:rFonts w:ascii="Arial" w:eastAsia="Arial" w:hAnsi="Arial" w:cs="Arial"/>
          <w:color w:val="000000"/>
          <w:sz w:val="20"/>
          <w:szCs w:val="20"/>
          <w:vertAlign w:val="baseline"/>
        </w:rPr>
        <w:t xml:space="preserve"> se encontraron pacientes con Child-Pugh score 5 (n=3595) y 6 (n=52), y muy pocos de 7 (n=4). Ninguno por encima de 7. En el análisis por subgrupos no se encontraron diferencias significativas entre placebo e inclisiran, pero este análisis tiene limitaciones puesto que son pocos pacientes y el análisis es</w:t>
      </w:r>
      <w:r>
        <w:rPr>
          <w:rFonts w:ascii="Arial" w:eastAsia="Arial" w:hAnsi="Arial" w:cs="Arial"/>
          <w:i/>
          <w:color w:val="000000"/>
          <w:sz w:val="20"/>
          <w:szCs w:val="20"/>
          <w:vertAlign w:val="baseline"/>
        </w:rPr>
        <w:t xml:space="preserve"> post-hoc</w:t>
      </w:r>
      <w:r>
        <w:rPr>
          <w:rFonts w:ascii="Arial" w:eastAsia="Arial" w:hAnsi="Arial" w:cs="Arial"/>
          <w:color w:val="000000"/>
          <w:sz w:val="20"/>
          <w:szCs w:val="20"/>
          <w:vertAlign w:val="baseline"/>
        </w:rPr>
        <w:t>.</w:t>
      </w:r>
    </w:p>
    <w:p w14:paraId="6DE62C5B" w14:textId="77777777" w:rsidR="00634CDF" w:rsidRDefault="00634CDF">
      <w:pPr>
        <w:pBdr>
          <w:top w:val="nil"/>
          <w:left w:val="nil"/>
          <w:bottom w:val="nil"/>
          <w:right w:val="nil"/>
          <w:between w:val="nil"/>
        </w:pBdr>
        <w:spacing w:line="240" w:lineRule="auto"/>
        <w:ind w:left="0" w:hanging="2"/>
        <w:rPr>
          <w:color w:val="000000"/>
          <w:vertAlign w:val="baseline"/>
        </w:rPr>
      </w:pPr>
    </w:p>
    <w:p w14:paraId="32408F9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u w:val="single"/>
          <w:vertAlign w:val="baseline"/>
        </w:rPr>
        <w:t xml:space="preserve">Contraindicaciones, advertencias y precauciones especiales de empleo </w:t>
      </w:r>
    </w:p>
    <w:p w14:paraId="71D1DA3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Sólo está contraindicado en hipersensibilidad al principio activo o alguno de sus excipientes. La farmacocinética de inclisiran no se ha estudiado en hemodiálisis por lo que no se sabe cómo afectará esta a la eliminación del fármaco. Se debe tener la precaución de no realizar la sesión de hemodiálisis al menos hasta 72 horas después de la administración del fármaco.</w:t>
      </w:r>
    </w:p>
    <w:p w14:paraId="1AAC5C13" w14:textId="77777777" w:rsidR="00634CDF" w:rsidRDefault="00634CDF">
      <w:pPr>
        <w:pBdr>
          <w:top w:val="nil"/>
          <w:left w:val="nil"/>
          <w:bottom w:val="nil"/>
          <w:right w:val="nil"/>
          <w:between w:val="nil"/>
        </w:pBdr>
        <w:spacing w:line="240" w:lineRule="auto"/>
        <w:ind w:left="0" w:hanging="2"/>
        <w:rPr>
          <w:color w:val="000000"/>
          <w:vertAlign w:val="baseline"/>
        </w:rPr>
      </w:pPr>
    </w:p>
    <w:p w14:paraId="61550976"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u w:val="single"/>
          <w:vertAlign w:val="baseline"/>
        </w:rPr>
        <w:t>Interacciones</w:t>
      </w:r>
    </w:p>
    <w:p w14:paraId="1658D56D" w14:textId="77777777" w:rsidR="00634CDF" w:rsidRDefault="00F0051D">
      <w:pPr>
        <w:pBdr>
          <w:top w:val="nil"/>
          <w:left w:val="nil"/>
          <w:bottom w:val="nil"/>
          <w:right w:val="nil"/>
          <w:between w:val="nil"/>
        </w:pBdr>
        <w:spacing w:line="240" w:lineRule="auto"/>
        <w:ind w:left="0" w:hanging="2"/>
        <w:jc w:val="both"/>
        <w:rPr>
          <w:color w:val="000000"/>
          <w:vertAlign w:val="baseline"/>
        </w:rPr>
      </w:pPr>
      <w:bookmarkStart w:id="66" w:name="_heading=h.4f1mdlm" w:colFirst="0" w:colLast="0"/>
      <w:bookmarkEnd w:id="66"/>
      <w:r>
        <w:rPr>
          <w:rFonts w:ascii="Arial" w:eastAsia="Arial" w:hAnsi="Arial" w:cs="Arial"/>
          <w:color w:val="000000"/>
          <w:sz w:val="20"/>
          <w:szCs w:val="20"/>
          <w:vertAlign w:val="baseline"/>
        </w:rPr>
        <w:t>Aunque no se realizaron estudios in vitro no se espera que inclisiran sea sustrato, inhibidor ni inductor del citocromo P450, así como de los transportadores habituales de otros fármacos, incluidas las estatinas.</w:t>
      </w:r>
    </w:p>
    <w:p w14:paraId="69007D1A"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52CC4BB9"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tbl>
      <w:tblPr>
        <w:tblStyle w:val="afe"/>
        <w:tblW w:w="9021" w:type="dxa"/>
        <w:tblInd w:w="-5" w:type="dxa"/>
        <w:tblLayout w:type="fixed"/>
        <w:tblLook w:val="0000" w:firstRow="0" w:lastRow="0" w:firstColumn="0" w:lastColumn="0" w:noHBand="0" w:noVBand="0"/>
      </w:tblPr>
      <w:tblGrid>
        <w:gridCol w:w="9021"/>
      </w:tblGrid>
      <w:tr w:rsidR="00634CDF" w14:paraId="4D6EB979" w14:textId="77777777">
        <w:tc>
          <w:tcPr>
            <w:tcW w:w="9021" w:type="dxa"/>
            <w:tcBorders>
              <w:top w:val="single" w:sz="4" w:space="0" w:color="000000"/>
              <w:left w:val="single" w:sz="4" w:space="0" w:color="000000"/>
              <w:bottom w:val="single" w:sz="4" w:space="0" w:color="000000"/>
              <w:right w:val="single" w:sz="4" w:space="0" w:color="000000"/>
            </w:tcBorders>
            <w:shd w:val="clear" w:color="auto" w:fill="B3B3B3"/>
          </w:tcPr>
          <w:p w14:paraId="0281ED06" w14:textId="77777777" w:rsidR="00634CDF" w:rsidRDefault="00F0051D">
            <w:pPr>
              <w:keepNext/>
              <w:pBdr>
                <w:top w:val="none" w:sz="0" w:space="0" w:color="000000"/>
                <w:left w:val="none" w:sz="0" w:space="0" w:color="000000"/>
                <w:bottom w:val="none" w:sz="0" w:space="0" w:color="000000"/>
                <w:right w:val="none" w:sz="0" w:space="0" w:color="000000"/>
                <w:between w:val="nil"/>
              </w:pBdr>
              <w:shd w:val="clear" w:color="auto" w:fill="A6A6A6"/>
              <w:spacing w:line="240" w:lineRule="auto"/>
              <w:ind w:left="0" w:hanging="2"/>
              <w:rPr>
                <w:color w:val="000000"/>
                <w:vertAlign w:val="baseline"/>
              </w:rPr>
            </w:pPr>
            <w:r>
              <w:rPr>
                <w:rFonts w:ascii="Arial" w:eastAsia="Arial" w:hAnsi="Arial" w:cs="Arial"/>
                <w:b/>
                <w:color w:val="000000"/>
                <w:sz w:val="20"/>
                <w:szCs w:val="20"/>
                <w:vertAlign w:val="baseline"/>
              </w:rPr>
              <w:t>7. AREA ECONÓMICA</w:t>
            </w:r>
          </w:p>
        </w:tc>
      </w:tr>
    </w:tbl>
    <w:p w14:paraId="2BCE3CF0"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highlight w:val="lightGray"/>
          <w:vertAlign w:val="baseline"/>
        </w:rPr>
      </w:pPr>
    </w:p>
    <w:p w14:paraId="220495D6"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highlight w:val="lightGray"/>
          <w:vertAlign w:val="baseline"/>
        </w:rPr>
      </w:pPr>
    </w:p>
    <w:p w14:paraId="24F4F3A2"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7.1 Costes. Coste incremental</w:t>
      </w:r>
    </w:p>
    <w:p w14:paraId="64334CDD"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highlight w:val="lightGray"/>
          <w:vertAlign w:val="baseline"/>
        </w:rPr>
      </w:pPr>
    </w:p>
    <w:tbl>
      <w:tblPr>
        <w:tblStyle w:val="aff"/>
        <w:tblW w:w="8915" w:type="dxa"/>
        <w:tblInd w:w="-5" w:type="dxa"/>
        <w:tblLayout w:type="fixed"/>
        <w:tblLook w:val="0000" w:firstRow="0" w:lastRow="0" w:firstColumn="0" w:lastColumn="0" w:noHBand="0" w:noVBand="0"/>
      </w:tblPr>
      <w:tblGrid>
        <w:gridCol w:w="2461"/>
        <w:gridCol w:w="1845"/>
        <w:gridCol w:w="1394"/>
        <w:gridCol w:w="1598"/>
        <w:gridCol w:w="1617"/>
      </w:tblGrid>
      <w:tr w:rsidR="00634CDF" w14:paraId="1A5B6178" w14:textId="77777777">
        <w:tc>
          <w:tcPr>
            <w:tcW w:w="7298" w:type="dxa"/>
            <w:gridSpan w:val="4"/>
            <w:tcBorders>
              <w:top w:val="single" w:sz="4" w:space="0" w:color="000000"/>
              <w:left w:val="single" w:sz="4" w:space="0" w:color="000000"/>
              <w:bottom w:val="single" w:sz="4" w:space="0" w:color="000000"/>
            </w:tcBorders>
            <w:shd w:val="clear" w:color="auto" w:fill="CCFFCC"/>
          </w:tcPr>
          <w:p w14:paraId="1F18B14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8"/>
                <w:szCs w:val="18"/>
                <w:vertAlign w:val="baseline"/>
              </w:rPr>
              <w:t xml:space="preserve">Tabla </w:t>
            </w:r>
            <w:r>
              <w:rPr>
                <w:rFonts w:ascii="Arial" w:eastAsia="Arial" w:hAnsi="Arial" w:cs="Arial"/>
                <w:b/>
                <w:sz w:val="18"/>
                <w:szCs w:val="18"/>
                <w:vertAlign w:val="baseline"/>
              </w:rPr>
              <w:t>22.</w:t>
            </w:r>
            <w:r>
              <w:rPr>
                <w:rFonts w:ascii="Arial" w:eastAsia="Arial" w:hAnsi="Arial" w:cs="Arial"/>
                <w:b/>
                <w:color w:val="000000"/>
                <w:sz w:val="18"/>
                <w:szCs w:val="18"/>
                <w:vertAlign w:val="baseline"/>
              </w:rPr>
              <w:t xml:space="preserve">  Costes de la terapia con el medicamento y con las distintas alternativas </w:t>
            </w:r>
          </w:p>
        </w:tc>
        <w:tc>
          <w:tcPr>
            <w:tcW w:w="1617" w:type="dxa"/>
            <w:tcBorders>
              <w:top w:val="single" w:sz="4" w:space="0" w:color="000000"/>
              <w:left w:val="single" w:sz="4" w:space="0" w:color="000000"/>
              <w:bottom w:val="single" w:sz="4" w:space="0" w:color="000000"/>
              <w:right w:val="single" w:sz="4" w:space="0" w:color="000000"/>
            </w:tcBorders>
            <w:shd w:val="clear" w:color="auto" w:fill="CCFFCC"/>
          </w:tcPr>
          <w:p w14:paraId="11558EFE" w14:textId="77777777" w:rsidR="00634CDF" w:rsidRDefault="00634CDF">
            <w:pPr>
              <w:widowControl w:val="0"/>
              <w:pBdr>
                <w:top w:val="none" w:sz="0" w:space="0" w:color="000000"/>
                <w:left w:val="none" w:sz="0" w:space="0" w:color="000000"/>
                <w:bottom w:val="none" w:sz="0" w:space="0" w:color="000000"/>
                <w:right w:val="none" w:sz="0" w:space="0" w:color="000000"/>
                <w:between w:val="nil"/>
              </w:pBdr>
              <w:spacing w:line="276" w:lineRule="auto"/>
              <w:ind w:left="0" w:hanging="2"/>
              <w:rPr>
                <w:rFonts w:ascii="Arial" w:eastAsia="Arial" w:hAnsi="Arial" w:cs="Arial"/>
                <w:color w:val="000000"/>
                <w:sz w:val="16"/>
                <w:szCs w:val="16"/>
                <w:vertAlign w:val="baseline"/>
              </w:rPr>
            </w:pPr>
          </w:p>
        </w:tc>
      </w:tr>
      <w:tr w:rsidR="00634CDF" w14:paraId="5658AB59" w14:textId="77777777">
        <w:tc>
          <w:tcPr>
            <w:tcW w:w="2461" w:type="dxa"/>
            <w:tcBorders>
              <w:top w:val="single" w:sz="4" w:space="0" w:color="000000"/>
              <w:left w:val="single" w:sz="4" w:space="0" w:color="000000"/>
              <w:bottom w:val="single" w:sz="4" w:space="0" w:color="000000"/>
            </w:tcBorders>
            <w:shd w:val="clear" w:color="auto" w:fill="E6E6E6"/>
          </w:tcPr>
          <w:p w14:paraId="3EB6FF1A"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c>
          <w:tcPr>
            <w:tcW w:w="1845" w:type="dxa"/>
            <w:tcBorders>
              <w:top w:val="single" w:sz="4" w:space="0" w:color="000000"/>
              <w:left w:val="single" w:sz="4" w:space="0" w:color="000000"/>
              <w:bottom w:val="single" w:sz="4" w:space="0" w:color="000000"/>
            </w:tcBorders>
            <w:shd w:val="clear" w:color="auto" w:fill="E6E6E6"/>
          </w:tcPr>
          <w:p w14:paraId="0D655F5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Inclisiran</w:t>
            </w:r>
          </w:p>
          <w:p w14:paraId="0508413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Presentación</w:t>
            </w:r>
          </w:p>
        </w:tc>
        <w:tc>
          <w:tcPr>
            <w:tcW w:w="1394" w:type="dxa"/>
            <w:tcBorders>
              <w:top w:val="single" w:sz="4" w:space="0" w:color="000000"/>
              <w:left w:val="single" w:sz="4" w:space="0" w:color="000000"/>
              <w:bottom w:val="single" w:sz="4" w:space="0" w:color="000000"/>
            </w:tcBorders>
            <w:shd w:val="clear" w:color="auto" w:fill="E6E6E6"/>
          </w:tcPr>
          <w:p w14:paraId="28BB7B7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Estatina +Ezetimiba**</w:t>
            </w:r>
          </w:p>
          <w:p w14:paraId="3B7BF71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Presentación</w:t>
            </w:r>
          </w:p>
        </w:tc>
        <w:tc>
          <w:tcPr>
            <w:tcW w:w="1598" w:type="dxa"/>
            <w:tcBorders>
              <w:top w:val="single" w:sz="4" w:space="0" w:color="000000"/>
              <w:left w:val="single" w:sz="4" w:space="0" w:color="000000"/>
              <w:bottom w:val="single" w:sz="4" w:space="0" w:color="000000"/>
            </w:tcBorders>
            <w:shd w:val="clear" w:color="auto" w:fill="E6E6E6"/>
          </w:tcPr>
          <w:p w14:paraId="1DC41BE8"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Alirocumab***</w:t>
            </w:r>
          </w:p>
        </w:tc>
        <w:tc>
          <w:tcPr>
            <w:tcW w:w="1617" w:type="dxa"/>
            <w:tcBorders>
              <w:top w:val="single" w:sz="4" w:space="0" w:color="000000"/>
              <w:left w:val="single" w:sz="4" w:space="0" w:color="000000"/>
              <w:bottom w:val="single" w:sz="4" w:space="0" w:color="000000"/>
              <w:right w:val="single" w:sz="4" w:space="0" w:color="000000"/>
            </w:tcBorders>
            <w:shd w:val="clear" w:color="auto" w:fill="E6E6E6"/>
          </w:tcPr>
          <w:p w14:paraId="076F5D3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Evolocumab***</w:t>
            </w:r>
          </w:p>
        </w:tc>
      </w:tr>
      <w:tr w:rsidR="00634CDF" w14:paraId="36457E40" w14:textId="77777777">
        <w:trPr>
          <w:trHeight w:val="168"/>
        </w:trPr>
        <w:tc>
          <w:tcPr>
            <w:tcW w:w="2461" w:type="dxa"/>
            <w:tcBorders>
              <w:top w:val="single" w:sz="4" w:space="0" w:color="000000"/>
              <w:left w:val="single" w:sz="4" w:space="0" w:color="000000"/>
              <w:bottom w:val="single" w:sz="4" w:space="0" w:color="000000"/>
            </w:tcBorders>
          </w:tcPr>
          <w:p w14:paraId="22B26C6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Precio unitario (PVL+IVA) *</w:t>
            </w:r>
          </w:p>
        </w:tc>
        <w:tc>
          <w:tcPr>
            <w:tcW w:w="1845" w:type="dxa"/>
            <w:tcBorders>
              <w:top w:val="single" w:sz="4" w:space="0" w:color="000000"/>
              <w:left w:val="single" w:sz="4" w:space="0" w:color="000000"/>
              <w:bottom w:val="single" w:sz="4" w:space="0" w:color="000000"/>
            </w:tcBorders>
          </w:tcPr>
          <w:p w14:paraId="31F52A38" w14:textId="4893A63F"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r>
              <w:rPr>
                <w:rFonts w:ascii="Arial" w:eastAsia="Arial" w:hAnsi="Arial" w:cs="Arial"/>
                <w:sz w:val="16"/>
                <w:szCs w:val="16"/>
                <w:vertAlign w:val="baseline"/>
              </w:rPr>
              <w:t>2</w:t>
            </w:r>
            <w:r w:rsidR="00A864B6">
              <w:rPr>
                <w:rFonts w:ascii="Arial" w:eastAsia="Arial" w:hAnsi="Arial" w:cs="Arial"/>
                <w:sz w:val="16"/>
                <w:szCs w:val="16"/>
                <w:vertAlign w:val="baseline"/>
              </w:rPr>
              <w:t>.</w:t>
            </w:r>
            <w:r>
              <w:rPr>
                <w:rFonts w:ascii="Arial" w:eastAsia="Arial" w:hAnsi="Arial" w:cs="Arial"/>
                <w:sz w:val="16"/>
                <w:szCs w:val="16"/>
                <w:vertAlign w:val="baseline"/>
              </w:rPr>
              <w:t>585 €</w:t>
            </w:r>
          </w:p>
        </w:tc>
        <w:tc>
          <w:tcPr>
            <w:tcW w:w="1394" w:type="dxa"/>
            <w:tcBorders>
              <w:top w:val="single" w:sz="4" w:space="0" w:color="000000"/>
              <w:left w:val="single" w:sz="4" w:space="0" w:color="000000"/>
              <w:bottom w:val="single" w:sz="4" w:space="0" w:color="000000"/>
            </w:tcBorders>
          </w:tcPr>
          <w:p w14:paraId="256183C8"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2,50 </w:t>
            </w:r>
            <w:r>
              <w:rPr>
                <w:rFonts w:ascii="Arial" w:eastAsia="Arial" w:hAnsi="Arial" w:cs="Arial"/>
                <w:sz w:val="16"/>
                <w:szCs w:val="16"/>
                <w:vertAlign w:val="baseline"/>
              </w:rPr>
              <w:t>€</w:t>
            </w:r>
          </w:p>
        </w:tc>
        <w:tc>
          <w:tcPr>
            <w:tcW w:w="1598" w:type="dxa"/>
            <w:tcBorders>
              <w:top w:val="single" w:sz="4" w:space="0" w:color="000000"/>
              <w:left w:val="single" w:sz="4" w:space="0" w:color="000000"/>
              <w:bottom w:val="single" w:sz="4" w:space="0" w:color="000000"/>
            </w:tcBorders>
          </w:tcPr>
          <w:p w14:paraId="2909568A" w14:textId="575BED9A"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192,4</w:t>
            </w:r>
            <w:r w:rsidR="00D66FD9">
              <w:rPr>
                <w:rFonts w:ascii="Arial" w:eastAsia="Arial" w:hAnsi="Arial" w:cs="Arial"/>
                <w:color w:val="000000"/>
                <w:sz w:val="16"/>
                <w:szCs w:val="16"/>
                <w:vertAlign w:val="baseline"/>
              </w:rPr>
              <w:t xml:space="preserve"> </w:t>
            </w:r>
            <w:r>
              <w:rPr>
                <w:rFonts w:ascii="Arial" w:eastAsia="Arial" w:hAnsi="Arial" w:cs="Arial"/>
                <w:sz w:val="16"/>
                <w:szCs w:val="16"/>
                <w:vertAlign w:val="baseline"/>
              </w:rPr>
              <w:t>€</w:t>
            </w:r>
          </w:p>
        </w:tc>
        <w:tc>
          <w:tcPr>
            <w:tcW w:w="1617" w:type="dxa"/>
            <w:tcBorders>
              <w:top w:val="single" w:sz="4" w:space="0" w:color="000000"/>
              <w:left w:val="single" w:sz="4" w:space="0" w:color="000000"/>
              <w:bottom w:val="single" w:sz="4" w:space="0" w:color="000000"/>
              <w:right w:val="single" w:sz="4" w:space="0" w:color="000000"/>
            </w:tcBorders>
          </w:tcPr>
          <w:p w14:paraId="6649BF87" w14:textId="1FFA3572"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198,24</w:t>
            </w:r>
            <w:r w:rsidR="00D66FD9">
              <w:rPr>
                <w:rFonts w:ascii="Arial" w:eastAsia="Arial" w:hAnsi="Arial" w:cs="Arial"/>
                <w:color w:val="000000"/>
                <w:sz w:val="16"/>
                <w:szCs w:val="16"/>
                <w:vertAlign w:val="baseline"/>
              </w:rPr>
              <w:t xml:space="preserve"> </w:t>
            </w:r>
            <w:r>
              <w:rPr>
                <w:rFonts w:ascii="Arial" w:eastAsia="Arial" w:hAnsi="Arial" w:cs="Arial"/>
                <w:sz w:val="16"/>
                <w:szCs w:val="16"/>
                <w:vertAlign w:val="baseline"/>
              </w:rPr>
              <w:t>€</w:t>
            </w:r>
          </w:p>
        </w:tc>
      </w:tr>
      <w:tr w:rsidR="00634CDF" w14:paraId="28512A72" w14:textId="77777777">
        <w:tc>
          <w:tcPr>
            <w:tcW w:w="2461" w:type="dxa"/>
            <w:tcBorders>
              <w:top w:val="single" w:sz="4" w:space="0" w:color="000000"/>
              <w:left w:val="single" w:sz="4" w:space="0" w:color="000000"/>
              <w:bottom w:val="single" w:sz="4" w:space="0" w:color="000000"/>
            </w:tcBorders>
          </w:tcPr>
          <w:p w14:paraId="23093FC8"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Posología</w:t>
            </w:r>
          </w:p>
        </w:tc>
        <w:tc>
          <w:tcPr>
            <w:tcW w:w="1845" w:type="dxa"/>
            <w:tcBorders>
              <w:top w:val="single" w:sz="4" w:space="0" w:color="000000"/>
              <w:left w:val="single" w:sz="4" w:space="0" w:color="000000"/>
              <w:bottom w:val="single" w:sz="4" w:space="0" w:color="000000"/>
            </w:tcBorders>
          </w:tcPr>
          <w:p w14:paraId="34E0B007"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c>
          <w:tcPr>
            <w:tcW w:w="1394" w:type="dxa"/>
            <w:tcBorders>
              <w:top w:val="single" w:sz="4" w:space="0" w:color="000000"/>
              <w:left w:val="single" w:sz="4" w:space="0" w:color="000000"/>
              <w:bottom w:val="single" w:sz="4" w:space="0" w:color="000000"/>
            </w:tcBorders>
          </w:tcPr>
          <w:p w14:paraId="2ACDC44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2 comp/24h</w:t>
            </w:r>
          </w:p>
        </w:tc>
        <w:tc>
          <w:tcPr>
            <w:tcW w:w="1598" w:type="dxa"/>
            <w:tcBorders>
              <w:top w:val="single" w:sz="4" w:space="0" w:color="000000"/>
              <w:left w:val="single" w:sz="4" w:space="0" w:color="000000"/>
              <w:bottom w:val="single" w:sz="4" w:space="0" w:color="000000"/>
            </w:tcBorders>
          </w:tcPr>
          <w:p w14:paraId="32EE9E9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75 o 150 mg/14 días</w:t>
            </w:r>
          </w:p>
        </w:tc>
        <w:tc>
          <w:tcPr>
            <w:tcW w:w="1617" w:type="dxa"/>
            <w:tcBorders>
              <w:top w:val="single" w:sz="4" w:space="0" w:color="000000"/>
              <w:left w:val="single" w:sz="4" w:space="0" w:color="000000"/>
              <w:bottom w:val="single" w:sz="4" w:space="0" w:color="000000"/>
              <w:right w:val="single" w:sz="4" w:space="0" w:color="000000"/>
            </w:tcBorders>
          </w:tcPr>
          <w:p w14:paraId="07462048"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140 mg/14 días</w:t>
            </w:r>
          </w:p>
        </w:tc>
      </w:tr>
      <w:tr w:rsidR="00634CDF" w14:paraId="146EE121" w14:textId="77777777">
        <w:tc>
          <w:tcPr>
            <w:tcW w:w="2461" w:type="dxa"/>
            <w:tcBorders>
              <w:top w:val="single" w:sz="4" w:space="0" w:color="000000"/>
              <w:left w:val="single" w:sz="4" w:space="0" w:color="000000"/>
              <w:bottom w:val="single" w:sz="4" w:space="0" w:color="000000"/>
            </w:tcBorders>
          </w:tcPr>
          <w:p w14:paraId="4CD62B69" w14:textId="72A20AB6"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 xml:space="preserve">Coste tratamiento </w:t>
            </w:r>
            <w:r w:rsidR="00A864B6">
              <w:rPr>
                <w:rFonts w:ascii="Arial" w:eastAsia="Arial" w:hAnsi="Arial" w:cs="Arial"/>
                <w:b/>
                <w:color w:val="000000"/>
                <w:sz w:val="16"/>
                <w:szCs w:val="16"/>
                <w:vertAlign w:val="baseline"/>
              </w:rPr>
              <w:t>completo</w:t>
            </w:r>
            <w:r w:rsidR="00A864B6">
              <w:rPr>
                <w:rFonts w:ascii="Arial" w:eastAsia="Arial" w:hAnsi="Arial" w:cs="Arial"/>
                <w:color w:val="000000"/>
                <w:sz w:val="16"/>
                <w:szCs w:val="16"/>
                <w:vertAlign w:val="baseline"/>
              </w:rPr>
              <w:t>*</w:t>
            </w:r>
            <w:r>
              <w:rPr>
                <w:rFonts w:ascii="Arial" w:eastAsia="Arial" w:hAnsi="Arial" w:cs="Arial"/>
                <w:color w:val="000000"/>
                <w:sz w:val="16"/>
                <w:szCs w:val="16"/>
                <w:vertAlign w:val="baseline"/>
              </w:rPr>
              <w:t>*</w:t>
            </w:r>
          </w:p>
          <w:p w14:paraId="4F4C265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o tratamiento/año (52 semanas)</w:t>
            </w:r>
          </w:p>
          <w:p w14:paraId="3768F270"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50298A0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sz w:val="16"/>
                <w:szCs w:val="16"/>
                <w:vertAlign w:val="baseline"/>
              </w:rPr>
              <w:t>Coste tratamiento</w:t>
            </w:r>
            <w:r>
              <w:rPr>
                <w:rFonts w:ascii="Arial" w:eastAsia="Arial" w:hAnsi="Arial" w:cs="Arial"/>
                <w:color w:val="000000"/>
                <w:sz w:val="16"/>
                <w:szCs w:val="16"/>
                <w:vertAlign w:val="baseline"/>
              </w:rPr>
              <w:t xml:space="preserve"> 72 </w:t>
            </w:r>
            <w:r>
              <w:rPr>
                <w:rFonts w:ascii="Arial" w:eastAsia="Arial" w:hAnsi="Arial" w:cs="Arial"/>
                <w:sz w:val="16"/>
                <w:szCs w:val="16"/>
                <w:vertAlign w:val="baseline"/>
              </w:rPr>
              <w:t>semanas</w:t>
            </w:r>
            <w:r>
              <w:rPr>
                <w:rFonts w:ascii="Arial" w:eastAsia="Arial" w:hAnsi="Arial" w:cs="Arial"/>
                <w:color w:val="000000"/>
                <w:sz w:val="16"/>
                <w:szCs w:val="16"/>
                <w:vertAlign w:val="baseline"/>
              </w:rPr>
              <w:t xml:space="preserve"> (es el tiempo en el que se evalúa la eficacia)</w:t>
            </w:r>
          </w:p>
        </w:tc>
        <w:tc>
          <w:tcPr>
            <w:tcW w:w="1845" w:type="dxa"/>
            <w:tcBorders>
              <w:top w:val="single" w:sz="4" w:space="0" w:color="000000"/>
              <w:left w:val="single" w:sz="4" w:space="0" w:color="000000"/>
              <w:bottom w:val="single" w:sz="4" w:space="0" w:color="000000"/>
            </w:tcBorders>
          </w:tcPr>
          <w:p w14:paraId="64A20CFB" w14:textId="2B3CAACF"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5</w:t>
            </w:r>
            <w:r w:rsidR="00DA3DD1">
              <w:rPr>
                <w:rFonts w:ascii="Arial" w:eastAsia="Arial" w:hAnsi="Arial" w:cs="Arial"/>
                <w:color w:val="000000"/>
                <w:sz w:val="16"/>
                <w:szCs w:val="16"/>
                <w:vertAlign w:val="baseline"/>
              </w:rPr>
              <w:t>.</w:t>
            </w:r>
            <w:r>
              <w:rPr>
                <w:rFonts w:ascii="Arial" w:eastAsia="Arial" w:hAnsi="Arial" w:cs="Arial"/>
                <w:color w:val="000000"/>
                <w:sz w:val="16"/>
                <w:szCs w:val="16"/>
                <w:vertAlign w:val="baseline"/>
              </w:rPr>
              <w:t>171 euros</w:t>
            </w:r>
          </w:p>
          <w:p w14:paraId="37D8E77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17351B8C"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6B6E96BC"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0C999213" w14:textId="56D046F3"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5</w:t>
            </w:r>
            <w:r w:rsidR="00DA3DD1">
              <w:rPr>
                <w:rFonts w:ascii="Arial" w:eastAsia="Arial" w:hAnsi="Arial" w:cs="Arial"/>
                <w:color w:val="000000"/>
                <w:sz w:val="16"/>
                <w:szCs w:val="16"/>
                <w:vertAlign w:val="baseline"/>
              </w:rPr>
              <w:t>.</w:t>
            </w:r>
            <w:r>
              <w:rPr>
                <w:rFonts w:ascii="Arial" w:eastAsia="Arial" w:hAnsi="Arial" w:cs="Arial"/>
                <w:color w:val="000000"/>
                <w:sz w:val="16"/>
                <w:szCs w:val="16"/>
                <w:vertAlign w:val="baseline"/>
              </w:rPr>
              <w:t>171+2</w:t>
            </w:r>
            <w:r w:rsidR="00DA3DD1">
              <w:rPr>
                <w:rFonts w:ascii="Arial" w:eastAsia="Arial" w:hAnsi="Arial" w:cs="Arial"/>
                <w:color w:val="000000"/>
                <w:sz w:val="16"/>
                <w:szCs w:val="16"/>
                <w:vertAlign w:val="baseline"/>
              </w:rPr>
              <w:t>.</w:t>
            </w:r>
            <w:r>
              <w:rPr>
                <w:rFonts w:ascii="Arial" w:eastAsia="Arial" w:hAnsi="Arial" w:cs="Arial"/>
                <w:color w:val="000000"/>
                <w:sz w:val="16"/>
                <w:szCs w:val="16"/>
                <w:vertAlign w:val="baseline"/>
              </w:rPr>
              <w:t>585=7756 euros</w:t>
            </w:r>
          </w:p>
        </w:tc>
        <w:tc>
          <w:tcPr>
            <w:tcW w:w="1394" w:type="dxa"/>
            <w:tcBorders>
              <w:top w:val="single" w:sz="4" w:space="0" w:color="000000"/>
              <w:left w:val="single" w:sz="4" w:space="0" w:color="000000"/>
              <w:bottom w:val="single" w:sz="4" w:space="0" w:color="000000"/>
            </w:tcBorders>
          </w:tcPr>
          <w:p w14:paraId="7A85AC6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1.131 euros</w:t>
            </w:r>
          </w:p>
          <w:p w14:paraId="7533F2E3"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64F9D7E3"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5FDC0F2E"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183F513F" w14:textId="545815F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1</w:t>
            </w:r>
            <w:r w:rsidR="00DA3DD1">
              <w:rPr>
                <w:rFonts w:ascii="Arial" w:eastAsia="Arial" w:hAnsi="Arial" w:cs="Arial"/>
                <w:color w:val="000000"/>
                <w:sz w:val="16"/>
                <w:szCs w:val="16"/>
                <w:vertAlign w:val="baseline"/>
              </w:rPr>
              <w:t>.</w:t>
            </w:r>
            <w:r>
              <w:rPr>
                <w:rFonts w:ascii="Arial" w:eastAsia="Arial" w:hAnsi="Arial" w:cs="Arial"/>
                <w:color w:val="000000"/>
                <w:sz w:val="16"/>
                <w:szCs w:val="16"/>
                <w:vertAlign w:val="baseline"/>
              </w:rPr>
              <w:t>562 euros</w:t>
            </w:r>
          </w:p>
        </w:tc>
        <w:tc>
          <w:tcPr>
            <w:tcW w:w="1598" w:type="dxa"/>
            <w:tcBorders>
              <w:top w:val="single" w:sz="4" w:space="0" w:color="000000"/>
              <w:left w:val="single" w:sz="4" w:space="0" w:color="000000"/>
              <w:bottom w:val="single" w:sz="4" w:space="0" w:color="000000"/>
            </w:tcBorders>
          </w:tcPr>
          <w:p w14:paraId="501CA93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5171 euros</w:t>
            </w:r>
          </w:p>
        </w:tc>
        <w:tc>
          <w:tcPr>
            <w:tcW w:w="1617" w:type="dxa"/>
            <w:tcBorders>
              <w:top w:val="single" w:sz="4" w:space="0" w:color="000000"/>
              <w:left w:val="single" w:sz="4" w:space="0" w:color="000000"/>
              <w:bottom w:val="single" w:sz="4" w:space="0" w:color="000000"/>
              <w:right w:val="single" w:sz="4" w:space="0" w:color="000000"/>
            </w:tcBorders>
          </w:tcPr>
          <w:p w14:paraId="7693855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5171 euros</w:t>
            </w:r>
          </w:p>
        </w:tc>
      </w:tr>
      <w:tr w:rsidR="00634CDF" w14:paraId="4961FEEF" w14:textId="77777777">
        <w:tc>
          <w:tcPr>
            <w:tcW w:w="2461" w:type="dxa"/>
            <w:tcBorders>
              <w:top w:val="single" w:sz="4" w:space="0" w:color="000000"/>
              <w:left w:val="single" w:sz="4" w:space="0" w:color="000000"/>
              <w:bottom w:val="single" w:sz="4" w:space="0" w:color="000000"/>
            </w:tcBorders>
          </w:tcPr>
          <w:p w14:paraId="7CBF5AF8"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Costes directos asociados  ***</w:t>
            </w:r>
          </w:p>
        </w:tc>
        <w:tc>
          <w:tcPr>
            <w:tcW w:w="1845" w:type="dxa"/>
            <w:tcBorders>
              <w:top w:val="single" w:sz="4" w:space="0" w:color="000000"/>
              <w:left w:val="single" w:sz="4" w:space="0" w:color="000000"/>
              <w:bottom w:val="single" w:sz="4" w:space="0" w:color="000000"/>
            </w:tcBorders>
          </w:tcPr>
          <w:p w14:paraId="5411CDD6"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w:t>
            </w:r>
          </w:p>
        </w:tc>
        <w:tc>
          <w:tcPr>
            <w:tcW w:w="1394" w:type="dxa"/>
            <w:tcBorders>
              <w:top w:val="single" w:sz="4" w:space="0" w:color="000000"/>
              <w:left w:val="single" w:sz="4" w:space="0" w:color="000000"/>
              <w:bottom w:val="single" w:sz="4" w:space="0" w:color="000000"/>
            </w:tcBorders>
          </w:tcPr>
          <w:p w14:paraId="4A125A64"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vertAlign w:val="baseline"/>
              </w:rPr>
            </w:pPr>
          </w:p>
        </w:tc>
        <w:tc>
          <w:tcPr>
            <w:tcW w:w="1598" w:type="dxa"/>
            <w:tcBorders>
              <w:top w:val="single" w:sz="4" w:space="0" w:color="000000"/>
              <w:left w:val="single" w:sz="4" w:space="0" w:color="000000"/>
              <w:bottom w:val="single" w:sz="4" w:space="0" w:color="000000"/>
            </w:tcBorders>
          </w:tcPr>
          <w:p w14:paraId="3D228B64"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vertAlign w:val="baseline"/>
              </w:rPr>
            </w:pPr>
          </w:p>
        </w:tc>
        <w:tc>
          <w:tcPr>
            <w:tcW w:w="1617" w:type="dxa"/>
            <w:tcBorders>
              <w:top w:val="single" w:sz="4" w:space="0" w:color="000000"/>
              <w:left w:val="single" w:sz="4" w:space="0" w:color="000000"/>
              <w:bottom w:val="single" w:sz="4" w:space="0" w:color="000000"/>
              <w:right w:val="single" w:sz="4" w:space="0" w:color="000000"/>
            </w:tcBorders>
          </w:tcPr>
          <w:p w14:paraId="714A45B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vertAlign w:val="baseline"/>
              </w:rPr>
            </w:pPr>
          </w:p>
        </w:tc>
      </w:tr>
      <w:tr w:rsidR="00634CDF" w14:paraId="4CA2A8F5" w14:textId="77777777">
        <w:tc>
          <w:tcPr>
            <w:tcW w:w="2461" w:type="dxa"/>
            <w:tcBorders>
              <w:top w:val="single" w:sz="4" w:space="0" w:color="000000"/>
              <w:left w:val="single" w:sz="4" w:space="0" w:color="000000"/>
              <w:bottom w:val="single" w:sz="4" w:space="0" w:color="000000"/>
            </w:tcBorders>
          </w:tcPr>
          <w:p w14:paraId="4F7DF52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lastRenderedPageBreak/>
              <w:t>Coste incremental (diferencial) anual  **** respecto al medicamento evaluado</w:t>
            </w:r>
          </w:p>
        </w:tc>
        <w:tc>
          <w:tcPr>
            <w:tcW w:w="1845" w:type="dxa"/>
            <w:tcBorders>
              <w:top w:val="single" w:sz="4" w:space="0" w:color="000000"/>
              <w:left w:val="single" w:sz="4" w:space="0" w:color="000000"/>
              <w:bottom w:val="single" w:sz="4" w:space="0" w:color="000000"/>
            </w:tcBorders>
          </w:tcPr>
          <w:p w14:paraId="1AB717EB" w14:textId="77777777" w:rsidR="00DA3DD1"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inclisiran + estatinas+ezetimiba vs. estatinas+ezetimiba:</w:t>
            </w:r>
          </w:p>
          <w:p w14:paraId="2E32F3AC" w14:textId="021BABC9"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5</w:t>
            </w:r>
            <w:r w:rsidR="00DA3DD1">
              <w:rPr>
                <w:rFonts w:ascii="Arial" w:eastAsia="Arial" w:hAnsi="Arial" w:cs="Arial"/>
                <w:color w:val="000000"/>
                <w:sz w:val="16"/>
                <w:szCs w:val="16"/>
                <w:vertAlign w:val="baseline"/>
              </w:rPr>
              <w:t>.</w:t>
            </w:r>
            <w:r>
              <w:rPr>
                <w:rFonts w:ascii="Arial" w:eastAsia="Arial" w:hAnsi="Arial" w:cs="Arial"/>
                <w:color w:val="000000"/>
                <w:sz w:val="16"/>
                <w:szCs w:val="16"/>
                <w:vertAlign w:val="baseline"/>
              </w:rPr>
              <w:t>17</w:t>
            </w:r>
            <w:r w:rsidR="00AE47B1">
              <w:rPr>
                <w:rFonts w:ascii="Arial" w:eastAsia="Arial" w:hAnsi="Arial" w:cs="Arial"/>
                <w:color w:val="000000"/>
                <w:sz w:val="16"/>
                <w:szCs w:val="16"/>
                <w:vertAlign w:val="baseline"/>
              </w:rPr>
              <w:t>1</w:t>
            </w:r>
            <w:r>
              <w:rPr>
                <w:rFonts w:ascii="Arial" w:eastAsia="Arial" w:hAnsi="Arial" w:cs="Arial"/>
                <w:color w:val="000000"/>
                <w:sz w:val="16"/>
                <w:szCs w:val="16"/>
                <w:vertAlign w:val="baseline"/>
              </w:rPr>
              <w:t xml:space="preserve"> euros</w:t>
            </w:r>
          </w:p>
          <w:p w14:paraId="73BAD5CA"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highlight w:val="yellow"/>
                <w:vertAlign w:val="baseline"/>
              </w:rPr>
            </w:pPr>
          </w:p>
          <w:p w14:paraId="61A88B16" w14:textId="7E1A6F16"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inclisiran+estatinas vs. estatinas:5</w:t>
            </w:r>
            <w:r w:rsidR="00DA3DD1">
              <w:rPr>
                <w:rFonts w:ascii="Arial" w:eastAsia="Arial" w:hAnsi="Arial" w:cs="Arial"/>
                <w:color w:val="000000"/>
                <w:sz w:val="16"/>
                <w:szCs w:val="16"/>
                <w:vertAlign w:val="baseline"/>
              </w:rPr>
              <w:t>.</w:t>
            </w:r>
            <w:r>
              <w:rPr>
                <w:rFonts w:ascii="Arial" w:eastAsia="Arial" w:hAnsi="Arial" w:cs="Arial"/>
                <w:color w:val="000000"/>
                <w:sz w:val="16"/>
                <w:szCs w:val="16"/>
                <w:vertAlign w:val="baseline"/>
              </w:rPr>
              <w:t>17</w:t>
            </w:r>
            <w:r w:rsidR="00AE47B1">
              <w:rPr>
                <w:rFonts w:ascii="Arial" w:eastAsia="Arial" w:hAnsi="Arial" w:cs="Arial"/>
                <w:color w:val="000000"/>
                <w:sz w:val="16"/>
                <w:szCs w:val="16"/>
                <w:vertAlign w:val="baseline"/>
              </w:rPr>
              <w:t>1</w:t>
            </w:r>
            <w:r>
              <w:rPr>
                <w:rFonts w:ascii="Arial" w:eastAsia="Arial" w:hAnsi="Arial" w:cs="Arial"/>
                <w:color w:val="000000"/>
                <w:sz w:val="16"/>
                <w:szCs w:val="16"/>
                <w:vertAlign w:val="baseline"/>
              </w:rPr>
              <w:t xml:space="preserve"> euros</w:t>
            </w:r>
          </w:p>
          <w:p w14:paraId="19ECA9A1"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1E86CA75" w14:textId="77777777" w:rsidR="00DA3DD1" w:rsidRDefault="00F0051D">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r>
              <w:rPr>
                <w:rFonts w:ascii="Arial" w:eastAsia="Arial" w:hAnsi="Arial" w:cs="Arial"/>
                <w:color w:val="000000"/>
                <w:sz w:val="16"/>
                <w:szCs w:val="16"/>
                <w:vertAlign w:val="baseline"/>
              </w:rPr>
              <w:t>inclisiran+ezetimiba vs. ezetimiba:</w:t>
            </w:r>
          </w:p>
          <w:p w14:paraId="273448C7" w14:textId="2FE87659"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5</w:t>
            </w:r>
            <w:r w:rsidR="00DA3DD1">
              <w:rPr>
                <w:rFonts w:ascii="Arial" w:eastAsia="Arial" w:hAnsi="Arial" w:cs="Arial"/>
                <w:color w:val="000000"/>
                <w:sz w:val="16"/>
                <w:szCs w:val="16"/>
                <w:vertAlign w:val="baseline"/>
              </w:rPr>
              <w:t>.</w:t>
            </w:r>
            <w:r>
              <w:rPr>
                <w:rFonts w:ascii="Arial" w:eastAsia="Arial" w:hAnsi="Arial" w:cs="Arial"/>
                <w:color w:val="000000"/>
                <w:sz w:val="16"/>
                <w:szCs w:val="16"/>
                <w:vertAlign w:val="baseline"/>
              </w:rPr>
              <w:t>17</w:t>
            </w:r>
            <w:r w:rsidR="00AE47B1">
              <w:rPr>
                <w:rFonts w:ascii="Arial" w:eastAsia="Arial" w:hAnsi="Arial" w:cs="Arial"/>
                <w:color w:val="000000"/>
                <w:sz w:val="16"/>
                <w:szCs w:val="16"/>
                <w:vertAlign w:val="baseline"/>
              </w:rPr>
              <w:t>1</w:t>
            </w:r>
            <w:r>
              <w:rPr>
                <w:rFonts w:ascii="Arial" w:eastAsia="Arial" w:hAnsi="Arial" w:cs="Arial"/>
                <w:color w:val="000000"/>
                <w:sz w:val="16"/>
                <w:szCs w:val="16"/>
                <w:vertAlign w:val="baseline"/>
              </w:rPr>
              <w:t xml:space="preserve"> euros </w:t>
            </w:r>
          </w:p>
          <w:p w14:paraId="1BD8B21E"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p w14:paraId="6335E8BC"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c>
          <w:tcPr>
            <w:tcW w:w="1394" w:type="dxa"/>
            <w:tcBorders>
              <w:top w:val="single" w:sz="4" w:space="0" w:color="000000"/>
              <w:left w:val="single" w:sz="4" w:space="0" w:color="000000"/>
              <w:bottom w:val="single" w:sz="4" w:space="0" w:color="000000"/>
            </w:tcBorders>
          </w:tcPr>
          <w:p w14:paraId="262E6B36"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16"/>
                <w:szCs w:val="16"/>
                <w:vertAlign w:val="baseline"/>
              </w:rPr>
            </w:pPr>
          </w:p>
        </w:tc>
        <w:tc>
          <w:tcPr>
            <w:tcW w:w="1598" w:type="dxa"/>
            <w:tcBorders>
              <w:top w:val="single" w:sz="4" w:space="0" w:color="000000"/>
              <w:left w:val="single" w:sz="4" w:space="0" w:color="000000"/>
              <w:bottom w:val="single" w:sz="4" w:space="0" w:color="000000"/>
            </w:tcBorders>
          </w:tcPr>
          <w:p w14:paraId="5DD3B435"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vertAlign w:val="baseline"/>
              </w:rPr>
            </w:pPr>
          </w:p>
        </w:tc>
        <w:tc>
          <w:tcPr>
            <w:tcW w:w="1617" w:type="dxa"/>
            <w:tcBorders>
              <w:top w:val="single" w:sz="4" w:space="0" w:color="000000"/>
              <w:left w:val="single" w:sz="4" w:space="0" w:color="000000"/>
              <w:bottom w:val="single" w:sz="4" w:space="0" w:color="000000"/>
              <w:right w:val="single" w:sz="4" w:space="0" w:color="000000"/>
            </w:tcBorders>
          </w:tcPr>
          <w:p w14:paraId="1DB53AEF"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vertAlign w:val="baseline"/>
              </w:rPr>
            </w:pPr>
          </w:p>
        </w:tc>
      </w:tr>
      <w:tr w:rsidR="00634CDF" w14:paraId="5948961D" w14:textId="77777777">
        <w:trPr>
          <w:trHeight w:val="160"/>
        </w:trPr>
        <w:tc>
          <w:tcPr>
            <w:tcW w:w="8915" w:type="dxa"/>
            <w:gridSpan w:val="5"/>
            <w:tcBorders>
              <w:top w:val="single" w:sz="4" w:space="0" w:color="000000"/>
              <w:left w:val="single" w:sz="4" w:space="0" w:color="000000"/>
              <w:bottom w:val="single" w:sz="4" w:space="0" w:color="000000"/>
              <w:right w:val="single" w:sz="4" w:space="0" w:color="000000"/>
            </w:tcBorders>
            <w:shd w:val="clear" w:color="auto" w:fill="E6E6E6"/>
          </w:tcPr>
          <w:p w14:paraId="1738997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Inclisiran no tiene precio a fecha de realización del informe (mayo 2021). Se estima un coste anual similar a alirocumab y evolocumab (primer año).</w:t>
            </w:r>
          </w:p>
          <w:p w14:paraId="7163671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Costes calculados para la atorvastatina 80 mg+ezetimiba. El precio de ezetimiba es PVP medio según datos de facturación de Microstrategy®.</w:t>
            </w:r>
          </w:p>
          <w:p w14:paraId="0D77559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***Alirocumab y Evolocumab es PVL-7,5% (RD/2008) +4% (IVA). </w:t>
            </w:r>
          </w:p>
          <w:p w14:paraId="361B798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i/>
                <w:color w:val="000000"/>
                <w:sz w:val="16"/>
                <w:szCs w:val="16"/>
                <w:vertAlign w:val="baseline"/>
              </w:rPr>
              <w:t>*** Costes directos asociados:inclisiran indica en ficha técnica que ha de ser administrado por un profesional sanitario, hecho no indicado en alirocumab y evolocumab.</w:t>
            </w:r>
          </w:p>
          <w:p w14:paraId="571199D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Diferencia de coste global respecto al fármaco evaluado.</w:t>
            </w:r>
            <w:r>
              <w:rPr>
                <w:rFonts w:ascii="Arial" w:eastAsia="Arial" w:hAnsi="Arial" w:cs="Arial"/>
                <w:sz w:val="16"/>
                <w:szCs w:val="16"/>
                <w:vertAlign w:val="baseline"/>
              </w:rPr>
              <w:t xml:space="preserve"> H</w:t>
            </w:r>
            <w:r>
              <w:rPr>
                <w:rFonts w:ascii="Arial" w:eastAsia="Arial" w:hAnsi="Arial" w:cs="Arial"/>
                <w:color w:val="000000"/>
                <w:sz w:val="16"/>
                <w:szCs w:val="16"/>
                <w:vertAlign w:val="baseline"/>
              </w:rPr>
              <w:t xml:space="preserve">emos plasmado los grupos de tratamiento de los ensayos pivotales. </w:t>
            </w:r>
          </w:p>
        </w:tc>
      </w:tr>
    </w:tbl>
    <w:p w14:paraId="50B3C6C7"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vertAlign w:val="baseline"/>
        </w:rPr>
      </w:pPr>
    </w:p>
    <w:p w14:paraId="1BDD9DE2" w14:textId="5B660A01" w:rsidR="00634CDF" w:rsidRDefault="00FC0611">
      <w:pPr>
        <w:keepNext/>
        <w:pBdr>
          <w:top w:val="single" w:sz="4" w:space="1" w:color="000000"/>
          <w:left w:val="single" w:sz="4" w:space="4" w:color="000000"/>
          <w:bottom w:val="single" w:sz="4" w:space="1" w:color="000000"/>
          <w:right w:val="single" w:sz="4" w:space="0"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7</w:t>
      </w:r>
      <w:r w:rsidR="00F0051D">
        <w:rPr>
          <w:rFonts w:ascii="Cambria" w:eastAsia="Cambria" w:hAnsi="Cambria" w:cs="Cambria"/>
          <w:b/>
          <w:i/>
          <w:color w:val="000000"/>
          <w:sz w:val="20"/>
          <w:szCs w:val="20"/>
          <w:vertAlign w:val="baseline"/>
        </w:rPr>
        <w:t xml:space="preserve">.2 Evaluaciones económicas publicadas  </w:t>
      </w:r>
    </w:p>
    <w:p w14:paraId="1FFE958F"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04BC5A1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8D97867" w14:textId="77777777" w:rsidR="00634CDF" w:rsidRDefault="00F0051D">
      <w:p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color w:val="000000"/>
          <w:vertAlign w:val="baseline"/>
        </w:rPr>
      </w:pPr>
      <w:r>
        <w:rPr>
          <w:rFonts w:ascii="Arial" w:eastAsia="Arial" w:hAnsi="Arial" w:cs="Arial"/>
          <w:b/>
          <w:color w:val="000000"/>
          <w:sz w:val="20"/>
          <w:szCs w:val="20"/>
          <w:vertAlign w:val="baseline"/>
        </w:rPr>
        <w:t>7.2.a Búsqueda de evaluaciones económicas publicadas</w:t>
      </w:r>
    </w:p>
    <w:p w14:paraId="59ECE2E7"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6FC9AFCD" w14:textId="77777777" w:rsidR="00634CDF" w:rsidRPr="001779CA" w:rsidRDefault="00F0051D">
      <w:pPr>
        <w:pBdr>
          <w:top w:val="nil"/>
          <w:left w:val="nil"/>
          <w:bottom w:val="nil"/>
          <w:right w:val="nil"/>
          <w:between w:val="nil"/>
        </w:pBdr>
        <w:spacing w:line="240" w:lineRule="auto"/>
        <w:ind w:left="0" w:hanging="2"/>
        <w:rPr>
          <w:color w:val="000000"/>
          <w:vertAlign w:val="baseline"/>
          <w:lang w:val="en-US"/>
        </w:rPr>
      </w:pPr>
      <w:r w:rsidRPr="001779CA">
        <w:rPr>
          <w:rFonts w:ascii="Arial" w:eastAsia="Arial" w:hAnsi="Arial" w:cs="Arial"/>
          <w:color w:val="000000"/>
          <w:sz w:val="20"/>
          <w:szCs w:val="20"/>
          <w:vertAlign w:val="baseline"/>
          <w:lang w:val="en-US"/>
        </w:rPr>
        <w:t>En fecha 01/05/21 se realizó una búsqueda bibliográfica en Pubmed para localizar evaluaciones económicas: inclisiran AND economic evaluation OR economic analysis OR cost efectiveness analysis OR cost minimization analysis OR cost utility analysis OR cost benefit analysis OR cost.</w:t>
      </w:r>
    </w:p>
    <w:p w14:paraId="276A3D4A" w14:textId="77777777" w:rsidR="00634CDF" w:rsidRPr="001779CA" w:rsidRDefault="00634CDF">
      <w:pPr>
        <w:pBdr>
          <w:top w:val="nil"/>
          <w:left w:val="nil"/>
          <w:bottom w:val="nil"/>
          <w:right w:val="nil"/>
          <w:between w:val="nil"/>
        </w:pBdr>
        <w:spacing w:line="240" w:lineRule="auto"/>
        <w:ind w:left="0" w:hanging="2"/>
        <w:rPr>
          <w:rFonts w:ascii="Arial" w:eastAsia="Arial" w:hAnsi="Arial" w:cs="Arial"/>
          <w:color w:val="000000"/>
          <w:sz w:val="20"/>
          <w:szCs w:val="20"/>
          <w:highlight w:val="yellow"/>
          <w:vertAlign w:val="baseline"/>
          <w:lang w:val="en-US"/>
        </w:rPr>
      </w:pPr>
    </w:p>
    <w:p w14:paraId="31BE166D" w14:textId="66AE7028"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Se dispone de un estudio </w:t>
      </w:r>
      <w:r w:rsidR="00D30540">
        <w:rPr>
          <w:rFonts w:ascii="Arial" w:eastAsia="Arial" w:hAnsi="Arial" w:cs="Arial"/>
          <w:color w:val="000000"/>
          <w:sz w:val="20"/>
          <w:szCs w:val="20"/>
          <w:vertAlign w:val="baseline"/>
        </w:rPr>
        <w:t>farmacoeconómico publicado (32)</w:t>
      </w:r>
      <w:r>
        <w:rPr>
          <w:rFonts w:ascii="Arial" w:eastAsia="Arial" w:hAnsi="Arial" w:cs="Arial"/>
          <w:color w:val="000000"/>
          <w:sz w:val="20"/>
          <w:szCs w:val="20"/>
          <w:vertAlign w:val="baseline"/>
        </w:rPr>
        <w:t xml:space="preserve"> y de un análisis del ICER </w:t>
      </w:r>
      <w:r>
        <w:rPr>
          <w:rFonts w:ascii="Arial" w:eastAsia="Arial" w:hAnsi="Arial" w:cs="Arial"/>
          <w:i/>
          <w:color w:val="000000"/>
          <w:sz w:val="20"/>
          <w:szCs w:val="20"/>
          <w:vertAlign w:val="baseline"/>
        </w:rPr>
        <w:t>(Institute for Clinical and Economic Review)</w:t>
      </w:r>
      <w:r>
        <w:rPr>
          <w:rFonts w:ascii="Arial" w:eastAsia="Arial" w:hAnsi="Arial" w:cs="Arial"/>
          <w:i/>
          <w:sz w:val="20"/>
          <w:szCs w:val="20"/>
          <w:vertAlign w:val="baseline"/>
        </w:rPr>
        <w:t xml:space="preserve"> </w:t>
      </w:r>
      <w:r>
        <w:rPr>
          <w:rFonts w:ascii="Arial" w:eastAsia="Arial" w:hAnsi="Arial" w:cs="Arial"/>
          <w:sz w:val="20"/>
          <w:szCs w:val="20"/>
          <w:vertAlign w:val="baseline"/>
        </w:rPr>
        <w:t>(33)</w:t>
      </w:r>
      <w:r>
        <w:rPr>
          <w:rFonts w:ascii="Arial" w:eastAsia="Arial" w:hAnsi="Arial" w:cs="Arial"/>
          <w:i/>
          <w:color w:val="000000"/>
          <w:sz w:val="20"/>
          <w:szCs w:val="20"/>
          <w:vertAlign w:val="baseline"/>
        </w:rPr>
        <w:t>.</w:t>
      </w:r>
    </w:p>
    <w:p w14:paraId="646F2591"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70120F1" w14:textId="7CB194B1" w:rsidR="00634CDF" w:rsidRDefault="00F0051D">
      <w:pPr>
        <w:pBdr>
          <w:top w:val="nil"/>
          <w:left w:val="nil"/>
          <w:bottom w:val="nil"/>
          <w:right w:val="nil"/>
          <w:between w:val="nil"/>
        </w:pBdr>
        <w:spacing w:line="240" w:lineRule="auto"/>
        <w:ind w:left="0" w:hanging="2"/>
        <w:jc w:val="both"/>
        <w:rPr>
          <w:color w:val="000000"/>
          <w:shd w:val="clear" w:color="auto" w:fill="FFCC99"/>
          <w:vertAlign w:val="baseline"/>
        </w:rPr>
      </w:pPr>
      <w:r>
        <w:rPr>
          <w:rFonts w:ascii="Arial" w:eastAsia="Arial" w:hAnsi="Arial" w:cs="Arial"/>
          <w:color w:val="000000"/>
          <w:sz w:val="20"/>
          <w:szCs w:val="20"/>
          <w:vertAlign w:val="baseline"/>
        </w:rPr>
        <w:t xml:space="preserve">Con fecha 9 de </w:t>
      </w:r>
      <w:r>
        <w:rPr>
          <w:rFonts w:ascii="Arial" w:eastAsia="Arial" w:hAnsi="Arial" w:cs="Arial"/>
          <w:sz w:val="20"/>
          <w:szCs w:val="20"/>
          <w:vertAlign w:val="baseline"/>
        </w:rPr>
        <w:t>octubre 2021</w:t>
      </w:r>
      <w:r>
        <w:rPr>
          <w:rFonts w:ascii="Arial" w:eastAsia="Arial" w:hAnsi="Arial" w:cs="Arial"/>
          <w:color w:val="000000"/>
          <w:sz w:val="20"/>
          <w:szCs w:val="20"/>
          <w:vertAlign w:val="baseline"/>
        </w:rPr>
        <w:t xml:space="preserve"> se han localiz</w:t>
      </w:r>
      <w:r w:rsidR="00D30540">
        <w:rPr>
          <w:rFonts w:ascii="Arial" w:eastAsia="Arial" w:hAnsi="Arial" w:cs="Arial"/>
          <w:color w:val="000000"/>
          <w:sz w:val="20"/>
          <w:szCs w:val="20"/>
          <w:vertAlign w:val="baseline"/>
        </w:rPr>
        <w:t xml:space="preserve">ado los informes del NICE (29) </w:t>
      </w:r>
      <w:r>
        <w:rPr>
          <w:rFonts w:ascii="Arial" w:eastAsia="Arial" w:hAnsi="Arial" w:cs="Arial"/>
          <w:color w:val="000000"/>
          <w:sz w:val="20"/>
          <w:szCs w:val="20"/>
          <w:vertAlign w:val="baseline"/>
        </w:rPr>
        <w:t xml:space="preserve">del Scotish Medicines Consortium (28) y </w:t>
      </w:r>
      <w:r>
        <w:rPr>
          <w:rFonts w:ascii="Arial" w:eastAsia="Arial" w:hAnsi="Arial" w:cs="Arial"/>
          <w:sz w:val="20"/>
          <w:szCs w:val="20"/>
          <w:vertAlign w:val="baseline"/>
        </w:rPr>
        <w:t>de la CADTH (30).</w:t>
      </w:r>
    </w:p>
    <w:p w14:paraId="21597B4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00DBB980" w14:textId="77777777" w:rsidR="00634CDF" w:rsidRDefault="00F0051D">
      <w:p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color w:val="000000"/>
          <w:vertAlign w:val="baseline"/>
        </w:rPr>
      </w:pPr>
      <w:r>
        <w:rPr>
          <w:rFonts w:ascii="Arial" w:eastAsia="Arial" w:hAnsi="Arial" w:cs="Arial"/>
          <w:b/>
          <w:color w:val="000000"/>
          <w:sz w:val="20"/>
          <w:szCs w:val="20"/>
          <w:vertAlign w:val="baseline"/>
        </w:rPr>
        <w:t>7.2.b Extracción de datos de las evaluaciones económicas publicadas</w:t>
      </w:r>
    </w:p>
    <w:p w14:paraId="08682165"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DD5D48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Revisión crítica y aplicabilidad de los estudios farmacoeconómicos publicados</w:t>
      </w:r>
    </w:p>
    <w:p w14:paraId="2F46B37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tbl>
      <w:tblPr>
        <w:tblStyle w:val="aff0"/>
        <w:tblW w:w="8943" w:type="dxa"/>
        <w:tblInd w:w="25" w:type="dxa"/>
        <w:tblLayout w:type="fixed"/>
        <w:tblLook w:val="0000" w:firstRow="0" w:lastRow="0" w:firstColumn="0" w:lastColumn="0" w:noHBand="0" w:noVBand="0"/>
      </w:tblPr>
      <w:tblGrid>
        <w:gridCol w:w="1955"/>
        <w:gridCol w:w="1417"/>
        <w:gridCol w:w="17"/>
        <w:gridCol w:w="1425"/>
        <w:gridCol w:w="4129"/>
      </w:tblGrid>
      <w:tr w:rsidR="00634CDF" w14:paraId="635B154E" w14:textId="77777777">
        <w:tc>
          <w:tcPr>
            <w:tcW w:w="8943" w:type="dxa"/>
            <w:gridSpan w:val="5"/>
            <w:tcBorders>
              <w:top w:val="single" w:sz="4" w:space="0" w:color="000000"/>
              <w:left w:val="single" w:sz="4" w:space="0" w:color="000000"/>
              <w:bottom w:val="single" w:sz="4" w:space="0" w:color="000000"/>
              <w:right w:val="single" w:sz="4" w:space="0" w:color="000000"/>
            </w:tcBorders>
            <w:shd w:val="clear" w:color="auto" w:fill="CCFFCC"/>
          </w:tcPr>
          <w:p w14:paraId="465FC6D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8"/>
                <w:szCs w:val="18"/>
                <w:vertAlign w:val="baseline"/>
              </w:rPr>
              <w:t>Tabla 23. 7.2.b.1.</w:t>
            </w:r>
            <w:r>
              <w:rPr>
                <w:rFonts w:ascii="Arial" w:eastAsia="Arial" w:hAnsi="Arial" w:cs="Arial"/>
                <w:b/>
                <w:i/>
                <w:sz w:val="18"/>
                <w:szCs w:val="18"/>
                <w:vertAlign w:val="baseline"/>
              </w:rPr>
              <w:t xml:space="preserve">Tabla de extracción de datos de una evaluación económica publicada </w:t>
            </w:r>
          </w:p>
        </w:tc>
      </w:tr>
      <w:tr w:rsidR="00634CDF" w14:paraId="2442036C" w14:textId="77777777">
        <w:tc>
          <w:tcPr>
            <w:tcW w:w="8943" w:type="dxa"/>
            <w:gridSpan w:val="5"/>
            <w:tcBorders>
              <w:top w:val="single" w:sz="4" w:space="0" w:color="000000"/>
              <w:left w:val="single" w:sz="4" w:space="0" w:color="000000"/>
              <w:bottom w:val="single" w:sz="4" w:space="0" w:color="000000"/>
              <w:right w:val="single" w:sz="4" w:space="0" w:color="000000"/>
            </w:tcBorders>
            <w:shd w:val="clear" w:color="auto" w:fill="D9D9D9"/>
          </w:tcPr>
          <w:p w14:paraId="384D3D88" w14:textId="77777777" w:rsidR="00634CDF" w:rsidRDefault="00F0051D">
            <w:pPr>
              <w:pBdr>
                <w:top w:val="nil"/>
                <w:left w:val="nil"/>
                <w:bottom w:val="nil"/>
                <w:right w:val="nil"/>
                <w:between w:val="nil"/>
              </w:pBdr>
              <w:spacing w:line="240" w:lineRule="auto"/>
              <w:ind w:left="0" w:hanging="2"/>
              <w:rPr>
                <w:vertAlign w:val="baseline"/>
              </w:rPr>
            </w:pPr>
            <w:r w:rsidRPr="001779CA">
              <w:rPr>
                <w:rFonts w:ascii="Arial" w:eastAsia="Arial" w:hAnsi="Arial" w:cs="Arial"/>
                <w:b/>
                <w:i/>
                <w:sz w:val="16"/>
                <w:szCs w:val="16"/>
                <w:vertAlign w:val="baseline"/>
                <w:lang w:val="en-US"/>
              </w:rPr>
              <w:t>I</w:t>
            </w:r>
            <w:r w:rsidRPr="001779CA">
              <w:rPr>
                <w:rFonts w:ascii="Arial" w:eastAsia="Arial" w:hAnsi="Arial" w:cs="Arial"/>
                <w:b/>
                <w:i/>
                <w:sz w:val="18"/>
                <w:szCs w:val="18"/>
                <w:vertAlign w:val="baseline"/>
                <w:lang w:val="en-US"/>
              </w:rPr>
              <w:t xml:space="preserve">nclisiran as adjunct lipid lowering therapy for patients with cardiovascular disease: a cost effectiveness analysis. </w:t>
            </w:r>
            <w:r>
              <w:rPr>
                <w:rFonts w:ascii="Arial" w:eastAsia="Arial" w:hAnsi="Arial" w:cs="Arial"/>
                <w:b/>
                <w:i/>
                <w:sz w:val="18"/>
                <w:szCs w:val="18"/>
                <w:vertAlign w:val="baseline"/>
              </w:rPr>
              <w:t xml:space="preserve">Pharmacoeconomics </w:t>
            </w:r>
            <w:r>
              <w:rPr>
                <w:rFonts w:ascii="Arial" w:eastAsia="Arial" w:hAnsi="Arial" w:cs="Arial"/>
                <w:sz w:val="18"/>
                <w:szCs w:val="18"/>
                <w:vertAlign w:val="baseline"/>
              </w:rPr>
              <w:t>(32)</w:t>
            </w:r>
            <w:r>
              <w:rPr>
                <w:rFonts w:ascii="Arial" w:eastAsia="Arial" w:hAnsi="Arial" w:cs="Arial"/>
                <w:b/>
                <w:i/>
                <w:sz w:val="18"/>
                <w:szCs w:val="18"/>
                <w:vertAlign w:val="baseline"/>
              </w:rPr>
              <w:t>.</w:t>
            </w:r>
          </w:p>
          <w:p w14:paraId="063E6F57" w14:textId="77777777" w:rsidR="00634CDF" w:rsidRDefault="00634CDF">
            <w:pPr>
              <w:pBdr>
                <w:top w:val="nil"/>
                <w:left w:val="nil"/>
                <w:bottom w:val="nil"/>
                <w:right w:val="nil"/>
                <w:between w:val="nil"/>
              </w:pBdr>
              <w:spacing w:line="240" w:lineRule="auto"/>
              <w:ind w:left="0" w:hanging="2"/>
              <w:rPr>
                <w:rFonts w:ascii="Arial" w:eastAsia="Arial" w:hAnsi="Arial" w:cs="Arial"/>
                <w:b/>
                <w:i/>
                <w:sz w:val="18"/>
                <w:szCs w:val="18"/>
                <w:vertAlign w:val="baseline"/>
              </w:rPr>
            </w:pPr>
          </w:p>
        </w:tc>
      </w:tr>
      <w:tr w:rsidR="00634CDF" w14:paraId="34B0DB7B" w14:textId="77777777">
        <w:tc>
          <w:tcPr>
            <w:tcW w:w="8943" w:type="dxa"/>
            <w:gridSpan w:val="5"/>
            <w:tcBorders>
              <w:top w:val="single" w:sz="4" w:space="0" w:color="000000"/>
              <w:left w:val="single" w:sz="4" w:space="0" w:color="000000"/>
              <w:bottom w:val="single" w:sz="4" w:space="0" w:color="000000"/>
              <w:right w:val="single" w:sz="4" w:space="0" w:color="000000"/>
            </w:tcBorders>
          </w:tcPr>
          <w:p w14:paraId="1389FD2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 xml:space="preserve">- Tipo de estudio: </w:t>
            </w:r>
            <w:r>
              <w:rPr>
                <w:rFonts w:ascii="Arial" w:eastAsia="Arial" w:hAnsi="Arial" w:cs="Arial"/>
                <w:color w:val="000000"/>
                <w:sz w:val="16"/>
                <w:szCs w:val="16"/>
                <w:vertAlign w:val="baseline"/>
              </w:rPr>
              <w:t>Coste-utilidad.</w:t>
            </w:r>
          </w:p>
          <w:p w14:paraId="2FC1C6D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 xml:space="preserve">- Fuente de datos: </w:t>
            </w:r>
            <w:r>
              <w:rPr>
                <w:rFonts w:ascii="Arial" w:eastAsia="Arial" w:hAnsi="Arial" w:cs="Arial"/>
                <w:color w:val="000000"/>
                <w:sz w:val="16"/>
                <w:szCs w:val="16"/>
                <w:vertAlign w:val="baseline"/>
              </w:rPr>
              <w:t>ensayo clínico ORION-10.</w:t>
            </w:r>
          </w:p>
          <w:p w14:paraId="37F601B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 xml:space="preserve">- Modelización: </w:t>
            </w:r>
            <w:r>
              <w:rPr>
                <w:rFonts w:ascii="Arial" w:eastAsia="Arial" w:hAnsi="Arial" w:cs="Arial"/>
                <w:color w:val="000000"/>
                <w:sz w:val="16"/>
                <w:szCs w:val="16"/>
                <w:vertAlign w:val="baseline"/>
              </w:rPr>
              <w:t>modelo de Markov de transición de estados.</w:t>
            </w:r>
          </w:p>
          <w:p w14:paraId="73ADB57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 xml:space="preserve">- Perspectiva: </w:t>
            </w:r>
            <w:r>
              <w:rPr>
                <w:rFonts w:ascii="Arial" w:eastAsia="Arial" w:hAnsi="Arial" w:cs="Arial"/>
                <w:color w:val="000000"/>
                <w:sz w:val="16"/>
                <w:szCs w:val="16"/>
                <w:vertAlign w:val="baseline"/>
              </w:rPr>
              <w:t>sistema de salud australiano.</w:t>
            </w:r>
          </w:p>
          <w:p w14:paraId="6A18194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 Población del escenario base</w:t>
            </w:r>
            <w:r>
              <w:rPr>
                <w:rFonts w:ascii="Arial" w:eastAsia="Arial" w:hAnsi="Arial" w:cs="Arial"/>
                <w:color w:val="000000"/>
                <w:sz w:val="16"/>
                <w:szCs w:val="16"/>
                <w:vertAlign w:val="baseline"/>
              </w:rPr>
              <w:t xml:space="preserve"> (datos clínicos del ensayo ORION-10): 1000 pacientes con enfermedad cardiovascular establecida (incluye un 1% de pacientes con hipercolesterolemia familiar heterocigótica) y un 89,2% de uso de estatinas a dosis estables. </w:t>
            </w:r>
          </w:p>
          <w:p w14:paraId="398DD045" w14:textId="5919AA24"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 xml:space="preserve">- Variables principales de resultado: </w:t>
            </w:r>
            <w:r>
              <w:rPr>
                <w:rFonts w:ascii="Arial" w:eastAsia="Arial" w:hAnsi="Arial" w:cs="Arial"/>
                <w:color w:val="000000"/>
                <w:sz w:val="16"/>
                <w:szCs w:val="16"/>
                <w:vertAlign w:val="baseline"/>
              </w:rPr>
              <w:t>Ratio coste efectividad incremental</w:t>
            </w:r>
            <w:r>
              <w:rPr>
                <w:rFonts w:ascii="Arial" w:eastAsia="Arial" w:hAnsi="Arial" w:cs="Arial"/>
                <w:b/>
                <w:color w:val="000000"/>
                <w:sz w:val="16"/>
                <w:szCs w:val="16"/>
                <w:vertAlign w:val="baseline"/>
              </w:rPr>
              <w:t xml:space="preserve"> (</w:t>
            </w:r>
            <w:r>
              <w:rPr>
                <w:rFonts w:ascii="Arial" w:eastAsia="Arial" w:hAnsi="Arial" w:cs="Arial"/>
                <w:color w:val="000000"/>
                <w:sz w:val="16"/>
                <w:szCs w:val="16"/>
                <w:vertAlign w:val="baseline"/>
              </w:rPr>
              <w:t>ICER). El coste-efectividad se rigió por coste por año de vida ajustado por calidad (AVAC) y por año de vida ganado (AVG) con un criterio de coste-efectividad aceptable de 50.000 dólares australianos por AVAC.</w:t>
            </w:r>
          </w:p>
          <w:p w14:paraId="107BB1F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 Horizonte temporal:</w:t>
            </w:r>
            <w:r>
              <w:rPr>
                <w:rFonts w:ascii="Arial" w:eastAsia="Arial" w:hAnsi="Arial" w:cs="Arial"/>
                <w:color w:val="000000"/>
                <w:sz w:val="16"/>
                <w:szCs w:val="16"/>
                <w:vertAlign w:val="baseline"/>
              </w:rPr>
              <w:t xml:space="preserve"> ciclo vital.</w:t>
            </w:r>
          </w:p>
          <w:p w14:paraId="74684FB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 Costes incluidos en el estudio:</w:t>
            </w:r>
            <w:r>
              <w:rPr>
                <w:rFonts w:ascii="Arial" w:eastAsia="Arial" w:hAnsi="Arial" w:cs="Arial"/>
                <w:color w:val="000000"/>
                <w:sz w:val="16"/>
                <w:szCs w:val="16"/>
                <w:vertAlign w:val="baseline"/>
              </w:rPr>
              <w:t xml:space="preserve"> Costes atribuidos a muerte cardiovascular, muerte no cardiovascular, infarto de miocardio no fatal y revascularización coronaria. También costes atribuidos a enfermedad cardiovascular crónica. Costes de estatinas (y ezetimiba) y costes de inclisiran (asumiendo el mismo precio de evolocumab)</w:t>
            </w:r>
          </w:p>
          <w:p w14:paraId="60C5FAC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 xml:space="preserve">- Fuente de costes unitarios (GRD, e-Salud): </w:t>
            </w:r>
            <w:r>
              <w:rPr>
                <w:rFonts w:ascii="Arial" w:eastAsia="Arial" w:hAnsi="Arial" w:cs="Arial"/>
                <w:color w:val="000000"/>
                <w:sz w:val="16"/>
                <w:szCs w:val="16"/>
                <w:vertAlign w:val="baseline"/>
              </w:rPr>
              <w:t xml:space="preserve">Los costes de mortalidad se obtuvieron de los datos de admisión hospitalaria (ajustados para 2020 con los datos del índice de precios australiano). Los costes de enfermedad cardiovascular se estimaron </w:t>
            </w:r>
            <w:r>
              <w:rPr>
                <w:rFonts w:ascii="Arial" w:eastAsia="Arial" w:hAnsi="Arial" w:cs="Arial"/>
                <w:color w:val="000000"/>
                <w:sz w:val="16"/>
                <w:szCs w:val="16"/>
                <w:vertAlign w:val="baseline"/>
              </w:rPr>
              <w:lastRenderedPageBreak/>
              <w:t>en base a un estudio publicado anteriormente. Para los costes del tratamiento con estatinas se utilizó la media de los costes extraídos de los datos nacionales de dispensación. El coste de inclisiran se equipara al precio de evolocumab en Australia.</w:t>
            </w:r>
          </w:p>
          <w:p w14:paraId="2632E7E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 xml:space="preserve">- Tasa de descuento aplicada en costes y en resultados de salud: A </w:t>
            </w:r>
            <w:r>
              <w:rPr>
                <w:rFonts w:ascii="Arial" w:eastAsia="Arial" w:hAnsi="Arial" w:cs="Arial"/>
                <w:color w:val="000000"/>
                <w:sz w:val="16"/>
                <w:szCs w:val="16"/>
                <w:vertAlign w:val="baseline"/>
              </w:rPr>
              <w:t>todos los costes, AVG y AVAC se les descontó un 5% por año como marcan los estándares australianos.</w:t>
            </w:r>
          </w:p>
          <w:p w14:paraId="09F8796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 xml:space="preserve">- Valores de utilidad considerados: </w:t>
            </w:r>
            <w:r>
              <w:rPr>
                <w:rFonts w:ascii="Arial" w:eastAsia="Arial" w:hAnsi="Arial" w:cs="Arial"/>
                <w:color w:val="000000"/>
                <w:sz w:val="16"/>
                <w:szCs w:val="16"/>
                <w:vertAlign w:val="baseline"/>
              </w:rPr>
              <w:t>Vivo con enfermedad cardiovascular, vivo con enfermedad cardiovascular recurrente, infarto de miocardio no fatal repetido y revascularización coronaria.</w:t>
            </w:r>
          </w:p>
          <w:p w14:paraId="1C56BD3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 xml:space="preserve">- Análisis de sensibilidad: </w:t>
            </w:r>
            <w:r>
              <w:rPr>
                <w:rFonts w:ascii="Arial" w:eastAsia="Arial" w:hAnsi="Arial" w:cs="Arial"/>
                <w:color w:val="000000"/>
                <w:sz w:val="16"/>
                <w:szCs w:val="16"/>
                <w:vertAlign w:val="baseline"/>
              </w:rPr>
              <w:t xml:space="preserve">Análisis probabilístico con una simulación de Monte Carlo de 10.000 iteraciones. </w:t>
            </w:r>
          </w:p>
          <w:p w14:paraId="46A4A09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6"/>
                <w:szCs w:val="16"/>
                <w:vertAlign w:val="baseline"/>
              </w:rPr>
              <w:t xml:space="preserve">- Conflicto de intereses: </w:t>
            </w:r>
            <w:r>
              <w:rPr>
                <w:rFonts w:ascii="Arial" w:eastAsia="Arial" w:hAnsi="Arial" w:cs="Arial"/>
                <w:color w:val="000000"/>
                <w:sz w:val="16"/>
                <w:szCs w:val="16"/>
                <w:vertAlign w:val="baseline"/>
              </w:rPr>
              <w:t>2 autores han recibido honorarios de varios laboratorios fuera del presente trabajo. Los otros 3 no tienen conflicto de intereses.</w:t>
            </w:r>
          </w:p>
        </w:tc>
      </w:tr>
      <w:tr w:rsidR="00634CDF" w14:paraId="33198C96" w14:textId="77777777" w:rsidTr="00B21A97">
        <w:tc>
          <w:tcPr>
            <w:tcW w:w="1955" w:type="dxa"/>
            <w:tcBorders>
              <w:top w:val="single" w:sz="4" w:space="0" w:color="000000"/>
              <w:left w:val="single" w:sz="4" w:space="0" w:color="000000"/>
              <w:bottom w:val="single" w:sz="4" w:space="0" w:color="000000"/>
            </w:tcBorders>
            <w:shd w:val="clear" w:color="auto" w:fill="D9D9D9"/>
          </w:tcPr>
          <w:p w14:paraId="7FE0BA5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lastRenderedPageBreak/>
              <w:t xml:space="preserve">COSTES </w:t>
            </w:r>
          </w:p>
        </w:tc>
        <w:tc>
          <w:tcPr>
            <w:tcW w:w="1417" w:type="dxa"/>
            <w:tcBorders>
              <w:top w:val="single" w:sz="4" w:space="0" w:color="000000"/>
              <w:left w:val="single" w:sz="4" w:space="0" w:color="000000"/>
              <w:bottom w:val="single" w:sz="4" w:space="0" w:color="000000"/>
            </w:tcBorders>
            <w:shd w:val="clear" w:color="auto" w:fill="D9D9D9"/>
          </w:tcPr>
          <w:p w14:paraId="6B5AD3A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Inclisiran+estatinas+</w:t>
            </w:r>
          </w:p>
          <w:p w14:paraId="1676CBB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ezetimiba</w:t>
            </w:r>
          </w:p>
        </w:tc>
        <w:tc>
          <w:tcPr>
            <w:tcW w:w="1442" w:type="dxa"/>
            <w:gridSpan w:val="2"/>
            <w:tcBorders>
              <w:top w:val="single" w:sz="4" w:space="0" w:color="000000"/>
              <w:left w:val="single" w:sz="4" w:space="0" w:color="000000"/>
              <w:bottom w:val="single" w:sz="4" w:space="0" w:color="000000"/>
            </w:tcBorders>
            <w:shd w:val="clear" w:color="auto" w:fill="D9D9D9"/>
          </w:tcPr>
          <w:p w14:paraId="66712249"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Estatinas+</w:t>
            </w:r>
          </w:p>
          <w:p w14:paraId="1D3D3452"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ezetimiba</w:t>
            </w:r>
          </w:p>
          <w:p w14:paraId="500CF38C"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4129" w:type="dxa"/>
            <w:tcBorders>
              <w:top w:val="single" w:sz="4" w:space="0" w:color="000000"/>
              <w:left w:val="single" w:sz="4" w:space="0" w:color="000000"/>
              <w:bottom w:val="single" w:sz="4" w:space="0" w:color="000000"/>
              <w:right w:val="single" w:sz="4" w:space="0" w:color="000000"/>
            </w:tcBorders>
            <w:shd w:val="clear" w:color="auto" w:fill="D9D9D9"/>
          </w:tcPr>
          <w:p w14:paraId="1BE81FD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 xml:space="preserve">Incrementos </w:t>
            </w:r>
          </w:p>
        </w:tc>
      </w:tr>
      <w:tr w:rsidR="00634CDF" w14:paraId="63B9DF1C" w14:textId="77777777" w:rsidTr="00B21A97">
        <w:tc>
          <w:tcPr>
            <w:tcW w:w="1955" w:type="dxa"/>
            <w:tcBorders>
              <w:top w:val="single" w:sz="4" w:space="0" w:color="000000"/>
              <w:left w:val="single" w:sz="4" w:space="0" w:color="000000"/>
              <w:bottom w:val="single" w:sz="4" w:space="0" w:color="000000"/>
            </w:tcBorders>
          </w:tcPr>
          <w:p w14:paraId="7633336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Coste del tratamiento con el fármaco: duración modelizada para un ciclo vital. Datos basales de los pacientes tomados de ORION-10.</w:t>
            </w:r>
          </w:p>
        </w:tc>
        <w:tc>
          <w:tcPr>
            <w:tcW w:w="1434" w:type="dxa"/>
            <w:gridSpan w:val="2"/>
            <w:tcBorders>
              <w:top w:val="single" w:sz="4" w:space="0" w:color="000000"/>
              <w:left w:val="single" w:sz="4" w:space="0" w:color="000000"/>
              <w:bottom w:val="single" w:sz="4" w:space="0" w:color="000000"/>
            </w:tcBorders>
          </w:tcPr>
          <w:p w14:paraId="2547D94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39.280,33 €</w:t>
            </w:r>
          </w:p>
        </w:tc>
        <w:tc>
          <w:tcPr>
            <w:tcW w:w="1425" w:type="dxa"/>
            <w:tcBorders>
              <w:top w:val="single" w:sz="4" w:space="0" w:color="000000"/>
              <w:left w:val="single" w:sz="4" w:space="0" w:color="000000"/>
              <w:bottom w:val="single" w:sz="4" w:space="0" w:color="000000"/>
            </w:tcBorders>
          </w:tcPr>
          <w:p w14:paraId="5066363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1.257,89 €</w:t>
            </w:r>
          </w:p>
        </w:tc>
        <w:tc>
          <w:tcPr>
            <w:tcW w:w="4129" w:type="dxa"/>
            <w:tcBorders>
              <w:top w:val="single" w:sz="4" w:space="0" w:color="000000"/>
              <w:left w:val="single" w:sz="4" w:space="0" w:color="000000"/>
              <w:bottom w:val="single" w:sz="4" w:space="0" w:color="000000"/>
              <w:right w:val="single" w:sz="4" w:space="0" w:color="000000"/>
            </w:tcBorders>
          </w:tcPr>
          <w:p w14:paraId="7C3A4D7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Coste incremental de inclisiran    38.022.,44€</w:t>
            </w:r>
          </w:p>
        </w:tc>
      </w:tr>
      <w:tr w:rsidR="00634CDF" w14:paraId="1A1AA9F7" w14:textId="77777777" w:rsidTr="00B21A97">
        <w:tc>
          <w:tcPr>
            <w:tcW w:w="1955" w:type="dxa"/>
            <w:tcBorders>
              <w:top w:val="single" w:sz="4" w:space="0" w:color="000000"/>
              <w:left w:val="single" w:sz="4" w:space="0" w:color="000000"/>
              <w:bottom w:val="single" w:sz="4" w:space="0" w:color="000000"/>
            </w:tcBorders>
          </w:tcPr>
          <w:p w14:paraId="6CB1272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Coste total del paciente: costes atribuidos a mortalidad, cronicidad y tratamiento.</w:t>
            </w:r>
          </w:p>
        </w:tc>
        <w:tc>
          <w:tcPr>
            <w:tcW w:w="1434" w:type="dxa"/>
            <w:gridSpan w:val="2"/>
            <w:tcBorders>
              <w:top w:val="single" w:sz="4" w:space="0" w:color="000000"/>
              <w:left w:val="single" w:sz="4" w:space="0" w:color="000000"/>
              <w:bottom w:val="single" w:sz="4" w:space="0" w:color="000000"/>
            </w:tcBorders>
          </w:tcPr>
          <w:p w14:paraId="63374E1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73.934,87€</w:t>
            </w:r>
          </w:p>
        </w:tc>
        <w:tc>
          <w:tcPr>
            <w:tcW w:w="1425" w:type="dxa"/>
            <w:tcBorders>
              <w:top w:val="single" w:sz="4" w:space="0" w:color="000000"/>
              <w:left w:val="single" w:sz="4" w:space="0" w:color="000000"/>
              <w:bottom w:val="single" w:sz="4" w:space="0" w:color="000000"/>
            </w:tcBorders>
          </w:tcPr>
          <w:p w14:paraId="5BBCBE0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36.197,01 €</w:t>
            </w:r>
          </w:p>
        </w:tc>
        <w:tc>
          <w:tcPr>
            <w:tcW w:w="4129" w:type="dxa"/>
            <w:tcBorders>
              <w:top w:val="single" w:sz="4" w:space="0" w:color="000000"/>
              <w:left w:val="single" w:sz="4" w:space="0" w:color="000000"/>
              <w:bottom w:val="single" w:sz="4" w:space="0" w:color="000000"/>
              <w:right w:val="single" w:sz="4" w:space="0" w:color="000000"/>
            </w:tcBorders>
          </w:tcPr>
          <w:p w14:paraId="72D2BFF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Coste incremental por paciente    37.737,86 €</w:t>
            </w:r>
          </w:p>
        </w:tc>
      </w:tr>
      <w:tr w:rsidR="00634CDF" w14:paraId="28468307" w14:textId="77777777" w:rsidTr="00B21A97">
        <w:tc>
          <w:tcPr>
            <w:tcW w:w="1955" w:type="dxa"/>
            <w:tcBorders>
              <w:top w:val="single" w:sz="4" w:space="0" w:color="000000"/>
              <w:left w:val="single" w:sz="4" w:space="0" w:color="000000"/>
              <w:bottom w:val="single" w:sz="4" w:space="0" w:color="000000"/>
            </w:tcBorders>
            <w:shd w:val="clear" w:color="auto" w:fill="D9D9D9"/>
          </w:tcPr>
          <w:p w14:paraId="0BF736B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 xml:space="preserve">EFECTOS </w:t>
            </w:r>
          </w:p>
        </w:tc>
        <w:tc>
          <w:tcPr>
            <w:tcW w:w="1434" w:type="dxa"/>
            <w:gridSpan w:val="2"/>
            <w:tcBorders>
              <w:top w:val="single" w:sz="4" w:space="0" w:color="000000"/>
              <w:left w:val="single" w:sz="4" w:space="0" w:color="000000"/>
              <w:bottom w:val="single" w:sz="4" w:space="0" w:color="000000"/>
            </w:tcBorders>
            <w:shd w:val="clear" w:color="auto" w:fill="D9D9D9"/>
          </w:tcPr>
          <w:p w14:paraId="25FB812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Inclisiran</w:t>
            </w:r>
          </w:p>
        </w:tc>
        <w:tc>
          <w:tcPr>
            <w:tcW w:w="1425" w:type="dxa"/>
            <w:tcBorders>
              <w:top w:val="single" w:sz="4" w:space="0" w:color="000000"/>
              <w:left w:val="single" w:sz="4" w:space="0" w:color="000000"/>
              <w:bottom w:val="single" w:sz="4" w:space="0" w:color="000000"/>
            </w:tcBorders>
            <w:shd w:val="clear" w:color="auto" w:fill="D9D9D9"/>
          </w:tcPr>
          <w:p w14:paraId="3C9640C8"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Estatinas</w:t>
            </w:r>
          </w:p>
          <w:p w14:paraId="6B40186A"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(incluido ezetimiba)</w:t>
            </w:r>
          </w:p>
        </w:tc>
        <w:tc>
          <w:tcPr>
            <w:tcW w:w="4129" w:type="dxa"/>
            <w:tcBorders>
              <w:top w:val="single" w:sz="4" w:space="0" w:color="000000"/>
              <w:left w:val="single" w:sz="4" w:space="0" w:color="000000"/>
              <w:bottom w:val="single" w:sz="4" w:space="0" w:color="000000"/>
              <w:right w:val="single" w:sz="4" w:space="0" w:color="000000"/>
            </w:tcBorders>
            <w:shd w:val="clear" w:color="auto" w:fill="D9D9D9"/>
          </w:tcPr>
          <w:p w14:paraId="14F5799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 xml:space="preserve">Incrementos </w:t>
            </w:r>
          </w:p>
        </w:tc>
      </w:tr>
      <w:tr w:rsidR="00634CDF" w14:paraId="74A382A7" w14:textId="77777777" w:rsidTr="00B21A97">
        <w:tc>
          <w:tcPr>
            <w:tcW w:w="1955" w:type="dxa"/>
            <w:tcBorders>
              <w:top w:val="single" w:sz="4" w:space="0" w:color="000000"/>
              <w:left w:val="single" w:sz="4" w:space="0" w:color="000000"/>
              <w:bottom w:val="single" w:sz="4" w:space="0" w:color="000000"/>
            </w:tcBorders>
          </w:tcPr>
          <w:p w14:paraId="341D6FF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AV </w:t>
            </w:r>
          </w:p>
        </w:tc>
        <w:tc>
          <w:tcPr>
            <w:tcW w:w="1434" w:type="dxa"/>
            <w:gridSpan w:val="2"/>
            <w:tcBorders>
              <w:top w:val="single" w:sz="4" w:space="0" w:color="000000"/>
              <w:left w:val="single" w:sz="4" w:space="0" w:color="000000"/>
              <w:bottom w:val="single" w:sz="4" w:space="0" w:color="000000"/>
            </w:tcBorders>
          </w:tcPr>
          <w:p w14:paraId="685D616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9,36 AV</w:t>
            </w:r>
          </w:p>
        </w:tc>
        <w:tc>
          <w:tcPr>
            <w:tcW w:w="1425" w:type="dxa"/>
            <w:tcBorders>
              <w:top w:val="single" w:sz="4" w:space="0" w:color="000000"/>
              <w:left w:val="single" w:sz="4" w:space="0" w:color="000000"/>
              <w:bottom w:val="single" w:sz="4" w:space="0" w:color="000000"/>
            </w:tcBorders>
          </w:tcPr>
          <w:p w14:paraId="616F4E6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8,81 AV</w:t>
            </w:r>
          </w:p>
        </w:tc>
        <w:tc>
          <w:tcPr>
            <w:tcW w:w="4129" w:type="dxa"/>
            <w:tcBorders>
              <w:top w:val="single" w:sz="4" w:space="0" w:color="000000"/>
              <w:left w:val="single" w:sz="4" w:space="0" w:color="000000"/>
              <w:bottom w:val="single" w:sz="4" w:space="0" w:color="000000"/>
              <w:right w:val="single" w:sz="4" w:space="0" w:color="000000"/>
            </w:tcBorders>
          </w:tcPr>
          <w:p w14:paraId="061F2A3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Incremento AV por paciente     0,55 AV</w:t>
            </w:r>
            <w:r>
              <w:rPr>
                <w:rFonts w:ascii="Arial" w:eastAsia="Arial" w:hAnsi="Arial" w:cs="Arial"/>
                <w:b/>
                <w:sz w:val="16"/>
                <w:szCs w:val="16"/>
                <w:vertAlign w:val="baseline"/>
              </w:rPr>
              <w:t>G</w:t>
            </w:r>
            <w:r>
              <w:rPr>
                <w:rFonts w:ascii="Arial" w:eastAsia="Arial" w:hAnsi="Arial" w:cs="Arial"/>
                <w:b/>
                <w:color w:val="000000"/>
                <w:sz w:val="16"/>
                <w:szCs w:val="16"/>
                <w:vertAlign w:val="baseline"/>
              </w:rPr>
              <w:t xml:space="preserve"> </w:t>
            </w:r>
          </w:p>
        </w:tc>
      </w:tr>
      <w:tr w:rsidR="00634CDF" w14:paraId="524914A2" w14:textId="77777777" w:rsidTr="00B21A97">
        <w:tc>
          <w:tcPr>
            <w:tcW w:w="1955" w:type="dxa"/>
            <w:tcBorders>
              <w:top w:val="single" w:sz="4" w:space="0" w:color="000000"/>
              <w:left w:val="single" w:sz="4" w:space="0" w:color="000000"/>
              <w:bottom w:val="single" w:sz="4" w:space="0" w:color="000000"/>
            </w:tcBorders>
          </w:tcPr>
          <w:p w14:paraId="3FD8387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AVAC </w:t>
            </w:r>
          </w:p>
        </w:tc>
        <w:tc>
          <w:tcPr>
            <w:tcW w:w="1434" w:type="dxa"/>
            <w:gridSpan w:val="2"/>
            <w:tcBorders>
              <w:top w:val="single" w:sz="4" w:space="0" w:color="000000"/>
              <w:left w:val="single" w:sz="4" w:space="0" w:color="000000"/>
              <w:bottom w:val="single" w:sz="4" w:space="0" w:color="000000"/>
            </w:tcBorders>
          </w:tcPr>
          <w:p w14:paraId="64FB8B3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7,4 AVAC</w:t>
            </w:r>
          </w:p>
        </w:tc>
        <w:tc>
          <w:tcPr>
            <w:tcW w:w="1425" w:type="dxa"/>
            <w:tcBorders>
              <w:top w:val="single" w:sz="4" w:space="0" w:color="000000"/>
              <w:left w:val="single" w:sz="4" w:space="0" w:color="000000"/>
              <w:bottom w:val="single" w:sz="4" w:space="0" w:color="000000"/>
            </w:tcBorders>
          </w:tcPr>
          <w:p w14:paraId="2119AB1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6,93 AVAC</w:t>
            </w:r>
          </w:p>
        </w:tc>
        <w:tc>
          <w:tcPr>
            <w:tcW w:w="4129" w:type="dxa"/>
            <w:tcBorders>
              <w:top w:val="single" w:sz="4" w:space="0" w:color="000000"/>
              <w:left w:val="single" w:sz="4" w:space="0" w:color="000000"/>
              <w:bottom w:val="single" w:sz="4" w:space="0" w:color="000000"/>
              <w:right w:val="single" w:sz="4" w:space="0" w:color="000000"/>
            </w:tcBorders>
          </w:tcPr>
          <w:p w14:paraId="70C50B2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 xml:space="preserve">Incremento AVAC por paciente    0,47 AVAC ganados </w:t>
            </w:r>
          </w:p>
        </w:tc>
      </w:tr>
      <w:tr w:rsidR="00634CDF" w14:paraId="4145B9FC" w14:textId="77777777" w:rsidTr="00B21A97">
        <w:tc>
          <w:tcPr>
            <w:tcW w:w="1955" w:type="dxa"/>
            <w:tcBorders>
              <w:top w:val="single" w:sz="4" w:space="0" w:color="000000"/>
              <w:left w:val="single" w:sz="4" w:space="0" w:color="000000"/>
              <w:bottom w:val="single" w:sz="4" w:space="0" w:color="000000"/>
            </w:tcBorders>
          </w:tcPr>
          <w:p w14:paraId="58A9594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Utilidad calculada </w:t>
            </w:r>
          </w:p>
        </w:tc>
        <w:tc>
          <w:tcPr>
            <w:tcW w:w="1434" w:type="dxa"/>
            <w:gridSpan w:val="2"/>
            <w:tcBorders>
              <w:top w:val="single" w:sz="4" w:space="0" w:color="000000"/>
              <w:left w:val="single" w:sz="4" w:space="0" w:color="000000"/>
              <w:bottom w:val="single" w:sz="4" w:space="0" w:color="000000"/>
            </w:tcBorders>
          </w:tcPr>
          <w:p w14:paraId="73D3BFA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0,79</w:t>
            </w:r>
          </w:p>
        </w:tc>
        <w:tc>
          <w:tcPr>
            <w:tcW w:w="1425" w:type="dxa"/>
            <w:tcBorders>
              <w:top w:val="single" w:sz="4" w:space="0" w:color="000000"/>
              <w:left w:val="single" w:sz="4" w:space="0" w:color="000000"/>
              <w:bottom w:val="single" w:sz="4" w:space="0" w:color="000000"/>
            </w:tcBorders>
          </w:tcPr>
          <w:p w14:paraId="1D6B697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0,79</w:t>
            </w:r>
          </w:p>
        </w:tc>
        <w:tc>
          <w:tcPr>
            <w:tcW w:w="4129" w:type="dxa"/>
            <w:tcBorders>
              <w:top w:val="single" w:sz="4" w:space="0" w:color="000000"/>
              <w:left w:val="single" w:sz="4" w:space="0" w:color="000000"/>
              <w:bottom w:val="single" w:sz="4" w:space="0" w:color="000000"/>
              <w:right w:val="single" w:sz="4" w:space="0" w:color="000000"/>
            </w:tcBorders>
          </w:tcPr>
          <w:p w14:paraId="3CB9DC5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w:t>
            </w:r>
          </w:p>
        </w:tc>
      </w:tr>
      <w:tr w:rsidR="00634CDF" w14:paraId="0CBA39FC" w14:textId="77777777">
        <w:tc>
          <w:tcPr>
            <w:tcW w:w="4814" w:type="dxa"/>
            <w:gridSpan w:val="4"/>
            <w:tcBorders>
              <w:top w:val="single" w:sz="4" w:space="0" w:color="000000"/>
              <w:left w:val="single" w:sz="4" w:space="0" w:color="000000"/>
              <w:bottom w:val="single" w:sz="4" w:space="0" w:color="000000"/>
            </w:tcBorders>
            <w:shd w:val="clear" w:color="auto" w:fill="D9D9D9"/>
          </w:tcPr>
          <w:p w14:paraId="2AFCD8F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 xml:space="preserve">RATIO  DE COSTE EFECTIVIDAD INCREMENTAL (1) </w:t>
            </w:r>
          </w:p>
        </w:tc>
        <w:tc>
          <w:tcPr>
            <w:tcW w:w="4129" w:type="dxa"/>
            <w:tcBorders>
              <w:top w:val="single" w:sz="4" w:space="0" w:color="000000"/>
              <w:left w:val="single" w:sz="4" w:space="0" w:color="000000"/>
              <w:bottom w:val="single" w:sz="4" w:space="0" w:color="000000"/>
              <w:right w:val="single" w:sz="4" w:space="0" w:color="000000"/>
            </w:tcBorders>
            <w:shd w:val="clear" w:color="auto" w:fill="D9D9D9"/>
          </w:tcPr>
          <w:p w14:paraId="411CE64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 xml:space="preserve">RCEI </w:t>
            </w:r>
          </w:p>
        </w:tc>
      </w:tr>
      <w:tr w:rsidR="00634CDF" w14:paraId="595C6E6C" w14:textId="77777777">
        <w:tc>
          <w:tcPr>
            <w:tcW w:w="4814" w:type="dxa"/>
            <w:gridSpan w:val="4"/>
            <w:tcBorders>
              <w:top w:val="single" w:sz="4" w:space="0" w:color="000000"/>
              <w:left w:val="single" w:sz="4" w:space="0" w:color="000000"/>
              <w:bottom w:val="single" w:sz="4" w:space="0" w:color="000000"/>
            </w:tcBorders>
          </w:tcPr>
          <w:p w14:paraId="5F4F416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Caso base</w:t>
            </w:r>
          </w:p>
        </w:tc>
        <w:tc>
          <w:tcPr>
            <w:tcW w:w="4129" w:type="dxa"/>
            <w:tcBorders>
              <w:top w:val="single" w:sz="4" w:space="0" w:color="000000"/>
              <w:left w:val="single" w:sz="4" w:space="0" w:color="000000"/>
              <w:bottom w:val="single" w:sz="4" w:space="0" w:color="000000"/>
              <w:right w:val="single" w:sz="4" w:space="0" w:color="000000"/>
            </w:tcBorders>
          </w:tcPr>
          <w:p w14:paraId="7E8BEEF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68.737,28€ / AVG  ó 80.468,48  € / AVAC</w:t>
            </w:r>
          </w:p>
        </w:tc>
      </w:tr>
      <w:tr w:rsidR="00634CDF" w14:paraId="26756EAE" w14:textId="77777777">
        <w:tc>
          <w:tcPr>
            <w:tcW w:w="4814" w:type="dxa"/>
            <w:gridSpan w:val="4"/>
            <w:tcBorders>
              <w:top w:val="single" w:sz="4" w:space="0" w:color="000000"/>
              <w:left w:val="single" w:sz="4" w:space="0" w:color="000000"/>
              <w:bottom w:val="single" w:sz="4" w:space="0" w:color="000000"/>
            </w:tcBorders>
          </w:tcPr>
          <w:p w14:paraId="4A0511A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Otros escenarios de interés</w:t>
            </w:r>
          </w:p>
        </w:tc>
        <w:tc>
          <w:tcPr>
            <w:tcW w:w="4129" w:type="dxa"/>
            <w:tcBorders>
              <w:top w:val="single" w:sz="4" w:space="0" w:color="000000"/>
              <w:left w:val="single" w:sz="4" w:space="0" w:color="000000"/>
              <w:bottom w:val="single" w:sz="4" w:space="0" w:color="000000"/>
              <w:right w:val="single" w:sz="4" w:space="0" w:color="000000"/>
            </w:tcBorders>
          </w:tcPr>
          <w:p w14:paraId="3F832D8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 AV ganado ó  € / AVAC ganado</w:t>
            </w:r>
          </w:p>
        </w:tc>
      </w:tr>
      <w:tr w:rsidR="00634CDF" w14:paraId="30B9D5B9" w14:textId="77777777">
        <w:tc>
          <w:tcPr>
            <w:tcW w:w="8943" w:type="dxa"/>
            <w:gridSpan w:val="5"/>
            <w:tcBorders>
              <w:top w:val="single" w:sz="4" w:space="0" w:color="000000"/>
              <w:left w:val="single" w:sz="4" w:space="0" w:color="000000"/>
              <w:bottom w:val="single" w:sz="4" w:space="0" w:color="000000"/>
              <w:right w:val="single" w:sz="4" w:space="0" w:color="000000"/>
            </w:tcBorders>
            <w:shd w:val="clear" w:color="auto" w:fill="DDDDDD"/>
          </w:tcPr>
          <w:p w14:paraId="0223C14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Cambio de dólares australianos a euro a fecha 01/05/2021 1 dólar australiano= 0,64 euros.</w:t>
            </w:r>
          </w:p>
        </w:tc>
      </w:tr>
    </w:tbl>
    <w:p w14:paraId="6448DE64"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5A889E6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631F43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La población incluida para la realización de este modelo se basó en la población del ensayo clínico ORION-10: </w:t>
      </w:r>
    </w:p>
    <w:p w14:paraId="0571D1AC" w14:textId="77777777" w:rsidR="00634CDF" w:rsidRDefault="00F0051D">
      <w:pPr>
        <w:numPr>
          <w:ilvl w:val="0"/>
          <w:numId w:val="1"/>
        </w:numPr>
        <w:pBdr>
          <w:top w:val="nil"/>
          <w:left w:val="nil"/>
          <w:bottom w:val="nil"/>
          <w:right w:val="nil"/>
          <w:between w:val="nil"/>
        </w:pBdr>
        <w:spacing w:line="240" w:lineRule="auto"/>
        <w:ind w:left="0" w:hanging="2"/>
        <w:jc w:val="both"/>
        <w:rPr>
          <w:rFonts w:ascii="Arial" w:eastAsia="Arial" w:hAnsi="Arial" w:cs="Arial"/>
          <w:color w:val="000000"/>
          <w:vertAlign w:val="baseline"/>
        </w:rPr>
      </w:pPr>
      <w:r>
        <w:rPr>
          <w:rFonts w:ascii="Arial" w:eastAsia="Arial" w:hAnsi="Arial" w:cs="Arial"/>
          <w:color w:val="000000"/>
          <w:sz w:val="20"/>
          <w:szCs w:val="20"/>
          <w:vertAlign w:val="baseline"/>
        </w:rPr>
        <w:t>Pacientes con enfermedad cardiovascular establecida (o riesgo equivalente).</w:t>
      </w:r>
    </w:p>
    <w:p w14:paraId="7A856D1A" w14:textId="77777777" w:rsidR="00634CDF" w:rsidRPr="00D30540" w:rsidRDefault="00782245">
      <w:pPr>
        <w:numPr>
          <w:ilvl w:val="0"/>
          <w:numId w:val="1"/>
        </w:numPr>
        <w:pBdr>
          <w:top w:val="nil"/>
          <w:left w:val="nil"/>
          <w:bottom w:val="nil"/>
          <w:right w:val="nil"/>
          <w:between w:val="nil"/>
        </w:pBdr>
        <w:spacing w:line="240" w:lineRule="auto"/>
        <w:ind w:left="0" w:hanging="2"/>
        <w:jc w:val="both"/>
        <w:rPr>
          <w:rFonts w:ascii="Arial" w:eastAsia="Arial" w:hAnsi="Arial" w:cs="Arial"/>
          <w:color w:val="000000"/>
          <w:vertAlign w:val="baseline"/>
        </w:rPr>
      </w:pPr>
      <w:sdt>
        <w:sdtPr>
          <w:tag w:val="goog_rdk_24"/>
          <w:id w:val="-437365201"/>
        </w:sdtPr>
        <w:sdtEndPr>
          <w:rPr>
            <w:rFonts w:ascii="Arial" w:hAnsi="Arial" w:cs="Arial"/>
          </w:rPr>
        </w:sdtEndPr>
        <w:sdtContent>
          <w:r w:rsidR="00F0051D" w:rsidRPr="00D30540">
            <w:rPr>
              <w:rFonts w:ascii="Arial" w:eastAsia="Arial Unicode MS" w:hAnsi="Arial" w:cs="Arial"/>
              <w:color w:val="000000"/>
              <w:sz w:val="20"/>
              <w:szCs w:val="20"/>
              <w:vertAlign w:val="baseline"/>
            </w:rPr>
            <w:t>C-LDL≥70 mg/dL a pesar de dosis máximas toleradas.</w:t>
          </w:r>
        </w:sdtContent>
      </w:sdt>
    </w:p>
    <w:p w14:paraId="6BB7726F" w14:textId="77777777" w:rsidR="00634CDF" w:rsidRDefault="00F0051D">
      <w:pPr>
        <w:numPr>
          <w:ilvl w:val="0"/>
          <w:numId w:val="1"/>
        </w:numPr>
        <w:pBdr>
          <w:top w:val="nil"/>
          <w:left w:val="nil"/>
          <w:bottom w:val="nil"/>
          <w:right w:val="nil"/>
          <w:between w:val="nil"/>
        </w:pBdr>
        <w:spacing w:line="240" w:lineRule="auto"/>
        <w:ind w:left="0" w:hanging="2"/>
        <w:jc w:val="both"/>
        <w:rPr>
          <w:rFonts w:ascii="Arial" w:eastAsia="Arial" w:hAnsi="Arial" w:cs="Arial"/>
          <w:color w:val="000000"/>
          <w:vertAlign w:val="baseline"/>
        </w:rPr>
      </w:pPr>
      <w:r>
        <w:rPr>
          <w:rFonts w:ascii="Arial" w:eastAsia="Arial" w:hAnsi="Arial" w:cs="Arial"/>
          <w:color w:val="000000"/>
          <w:sz w:val="20"/>
          <w:szCs w:val="20"/>
          <w:vertAlign w:val="baseline"/>
        </w:rPr>
        <w:t>En tratamiento con estatinas a dosis estables.</w:t>
      </w:r>
    </w:p>
    <w:p w14:paraId="77ADED0E" w14:textId="77777777" w:rsidR="00634CDF" w:rsidRDefault="00F0051D">
      <w:pPr>
        <w:numPr>
          <w:ilvl w:val="0"/>
          <w:numId w:val="1"/>
        </w:numPr>
        <w:pBdr>
          <w:top w:val="nil"/>
          <w:left w:val="nil"/>
          <w:bottom w:val="nil"/>
          <w:right w:val="nil"/>
          <w:between w:val="nil"/>
        </w:pBdr>
        <w:spacing w:line="240" w:lineRule="auto"/>
        <w:ind w:left="0" w:hanging="2"/>
        <w:jc w:val="both"/>
        <w:rPr>
          <w:rFonts w:ascii="Arial" w:eastAsia="Arial" w:hAnsi="Arial" w:cs="Arial"/>
          <w:color w:val="000000"/>
          <w:vertAlign w:val="baseline"/>
        </w:rPr>
      </w:pPr>
      <w:r>
        <w:rPr>
          <w:rFonts w:ascii="Arial" w:eastAsia="Arial" w:hAnsi="Arial" w:cs="Arial"/>
          <w:color w:val="000000"/>
          <w:sz w:val="20"/>
          <w:szCs w:val="20"/>
          <w:vertAlign w:val="baseline"/>
        </w:rPr>
        <w:t>Sin uso de anti PCSK9 en los 90 días previos al inicio del ensayo.</w:t>
      </w:r>
    </w:p>
    <w:p w14:paraId="666C1F1B" w14:textId="77777777" w:rsidR="00634CDF" w:rsidRDefault="00F0051D">
      <w:pPr>
        <w:numPr>
          <w:ilvl w:val="0"/>
          <w:numId w:val="1"/>
        </w:numPr>
        <w:pBdr>
          <w:top w:val="nil"/>
          <w:left w:val="nil"/>
          <w:bottom w:val="nil"/>
          <w:right w:val="nil"/>
          <w:between w:val="nil"/>
        </w:pBdr>
        <w:spacing w:line="240" w:lineRule="auto"/>
        <w:ind w:left="0" w:hanging="2"/>
        <w:jc w:val="both"/>
        <w:rPr>
          <w:rFonts w:ascii="Arial" w:eastAsia="Arial" w:hAnsi="Arial" w:cs="Arial"/>
          <w:color w:val="000000"/>
          <w:vertAlign w:val="baseline"/>
        </w:rPr>
      </w:pPr>
      <w:r>
        <w:rPr>
          <w:rFonts w:ascii="Arial" w:eastAsia="Arial" w:hAnsi="Arial" w:cs="Arial"/>
          <w:color w:val="000000"/>
          <w:sz w:val="20"/>
          <w:szCs w:val="20"/>
          <w:vertAlign w:val="baseline"/>
        </w:rPr>
        <w:t>C-LDL mediana de 104,5 mg/dL</w:t>
      </w:r>
    </w:p>
    <w:p w14:paraId="5CF233BC" w14:textId="77777777" w:rsidR="00634CDF" w:rsidRDefault="00F0051D">
      <w:pPr>
        <w:numPr>
          <w:ilvl w:val="0"/>
          <w:numId w:val="1"/>
        </w:num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Edad mediana 66 años. </w:t>
      </w:r>
    </w:p>
    <w:p w14:paraId="52B7A6D6"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En el modelo existían las siguientes transiciones: vivo con enfermedad cardiovascular, vivo con enfermedad cardiovascular recurrente, muerte cardiovascular, muerte no cardiovascular, infarto de miocardio no fatal y revascularización coronaria. </w:t>
      </w:r>
    </w:p>
    <w:p w14:paraId="6A883D0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Los riesgos para cada transición se obtuvieron de los resultados obtenidos de un metanálisis compuesto por 26 ensayos clínicos que involucran a 170.000 participantes (Cholesterol treatment trialists collaboration; CTTC). Estos riesgos fueron actualizados por edad en cada año del ciclo </w:t>
      </w:r>
      <w:r>
        <w:rPr>
          <w:rFonts w:ascii="Arial" w:eastAsia="Arial" w:hAnsi="Arial" w:cs="Arial"/>
          <w:sz w:val="20"/>
          <w:szCs w:val="20"/>
          <w:vertAlign w:val="baseline"/>
        </w:rPr>
        <w:t>(10</w:t>
      </w:r>
      <w:r>
        <w:rPr>
          <w:rFonts w:ascii="Arial" w:eastAsia="Arial" w:hAnsi="Arial" w:cs="Arial"/>
          <w:color w:val="000000"/>
          <w:sz w:val="20"/>
          <w:szCs w:val="20"/>
          <w:vertAlign w:val="baseline"/>
        </w:rPr>
        <w:t>).</w:t>
      </w:r>
    </w:p>
    <w:p w14:paraId="079A14D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El uso de ezetimiba sola o en combinación con estatinas fue bajo (9,99%) por lo que no se consideraron en el modelo los efectos de la ezetimiba.</w:t>
      </w:r>
    </w:p>
    <w:p w14:paraId="3D1ECAD5"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highlight w:val="yellow"/>
          <w:vertAlign w:val="baseline"/>
        </w:rPr>
      </w:pPr>
    </w:p>
    <w:p w14:paraId="61582CD6"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Para correlacionar la eficacia de inclisiran sobre las variables cardiovasculares se emplearon los valores de CTTC que correlacionan reducción de LDL con variables a largo plazo. Los resultados indican que reducciones adicionales con terapia más intensiva con estatinas, en relación con terapia con estatinas menos intensiva, reduce más la incidencia de eventos cardiovasculares mayores. Las reducciones de LDL son proporcionales a la reducción del riesgo. Aunque en el estudio ORION-10 se proporcionaba incidencia de eventos cardiovasculares, pero muy baja y sin potencia para obtener conclusiones sobre los efectos de inclisiran sobre estas variables.</w:t>
      </w:r>
    </w:p>
    <w:p w14:paraId="0EBCF752"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0268B5A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Los costes de mortalidad se obtuvieron de los datos de admisión hospitalaria (ajustados para 2020 con los datos del índice de precios australiano). Los costes de enfermedad cardiovascular se </w:t>
      </w:r>
      <w:r>
        <w:rPr>
          <w:rFonts w:ascii="Arial" w:eastAsia="Arial" w:hAnsi="Arial" w:cs="Arial"/>
          <w:color w:val="000000"/>
          <w:sz w:val="20"/>
          <w:szCs w:val="20"/>
          <w:vertAlign w:val="baseline"/>
        </w:rPr>
        <w:lastRenderedPageBreak/>
        <w:t>estimaron en base a un estudio publicado anteriormente (</w:t>
      </w:r>
      <w:r>
        <w:rPr>
          <w:rFonts w:ascii="Arial" w:eastAsia="Arial" w:hAnsi="Arial" w:cs="Arial"/>
          <w:sz w:val="20"/>
          <w:szCs w:val="20"/>
          <w:vertAlign w:val="baseline"/>
        </w:rPr>
        <w:t>34</w:t>
      </w:r>
      <w:r>
        <w:rPr>
          <w:rFonts w:ascii="Arial" w:eastAsia="Arial" w:hAnsi="Arial" w:cs="Arial"/>
          <w:color w:val="000000"/>
          <w:sz w:val="20"/>
          <w:szCs w:val="20"/>
          <w:vertAlign w:val="baseline"/>
        </w:rPr>
        <w:t>)</w:t>
      </w:r>
      <w:r>
        <w:rPr>
          <w:rFonts w:ascii="Arial" w:eastAsia="Arial" w:hAnsi="Arial" w:cs="Arial"/>
          <w:i/>
          <w:color w:val="000000"/>
          <w:sz w:val="20"/>
          <w:szCs w:val="20"/>
          <w:vertAlign w:val="baseline"/>
        </w:rPr>
        <w:t xml:space="preserve">. </w:t>
      </w:r>
      <w:r>
        <w:rPr>
          <w:rFonts w:ascii="Arial" w:eastAsia="Arial" w:hAnsi="Arial" w:cs="Arial"/>
          <w:color w:val="000000"/>
          <w:sz w:val="20"/>
          <w:szCs w:val="20"/>
          <w:vertAlign w:val="baseline"/>
        </w:rPr>
        <w:t>Para los costes del tratamiento con estatinas se utilizó la media de los costes extraídos de los datos nacionales de dispensación. El coste de inclisiran se equipara al precio de evolocumab en Australia. Las reducciones aplicadas a la utilidad fueron también extraídas de estudios con la EQ-5D.</w:t>
      </w:r>
    </w:p>
    <w:p w14:paraId="060D3EE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532F418"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En cuanto al análisis de sensibilidad se realizó asumiendo algunas suposiciones como: reducir el descuento al 0% y al 3,5%, variar el precio de inclisiran, omitiendo tendencias relacionadas con la edad, alterando la duración del modelo, utilizando valores de utilidad de EEUU, omitiendo el impacto de la revascularización coronaria en el modelo, utilizando valores de C-LDL basal y eficacia del ORION-11 (107,2 mg/dL y un 49,9% de reducción de C-LDL), utilizando la máxima reducción de C-LDL del ORION-10 (56 mg/dL) y asumiendo que la eficacia del comparador (estatina) fuese similar al placebo en CTTC.</w:t>
      </w:r>
    </w:p>
    <w:p w14:paraId="4ECB14D3"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5FEAC49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La conclusión del análisis es que para que inclisiran se considere coste-efectivo para una disponibilidad a pagar de 32.100,79 € el precio de inclisiran tendría que bajar un 60%. En el análisis de sensibilidad esto puede verse alterado en los siguientes supuestos: cambios en el descuento, las tendencias relacionadas con la edad, los costes de inclisiran y al cambiar las probabilidades de eventos de las estatinas por las del placebo. Los demás escenarios no afectaron de forma significativa el resultado del análisis.</w:t>
      </w:r>
    </w:p>
    <w:p w14:paraId="4C84717A"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0023E00"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1112FF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Revisión crítica y aplicabilidad del estudio</w:t>
      </w:r>
    </w:p>
    <w:p w14:paraId="4B69BF6B"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32E1378D" w14:textId="5B55F2F2"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El objetivo es valorar si inclisiran, al precio actual de evolocumab, podría ser considerado coste efectivo si se usa para la </w:t>
      </w:r>
      <w:r w:rsidRPr="004E4268">
        <w:rPr>
          <w:rFonts w:ascii="Arial" w:eastAsia="Arial" w:hAnsi="Arial" w:cs="Arial"/>
          <w:b/>
          <w:color w:val="000000"/>
          <w:sz w:val="20"/>
          <w:szCs w:val="20"/>
          <w:vertAlign w:val="baseline"/>
        </w:rPr>
        <w:t xml:space="preserve">prevención </w:t>
      </w:r>
      <w:r w:rsidR="00B00408" w:rsidRPr="004E4268">
        <w:rPr>
          <w:rFonts w:ascii="Arial" w:eastAsia="Arial" w:hAnsi="Arial" w:cs="Arial"/>
          <w:b/>
          <w:color w:val="000000"/>
          <w:sz w:val="20"/>
          <w:szCs w:val="20"/>
          <w:vertAlign w:val="baseline"/>
        </w:rPr>
        <w:t>secundaria</w:t>
      </w:r>
      <w:r w:rsidR="00B00408">
        <w:rPr>
          <w:rFonts w:ascii="Arial" w:eastAsia="Arial" w:hAnsi="Arial" w:cs="Arial"/>
          <w:color w:val="000000"/>
          <w:sz w:val="20"/>
          <w:szCs w:val="20"/>
          <w:vertAlign w:val="baseline"/>
        </w:rPr>
        <w:t xml:space="preserve"> </w:t>
      </w:r>
      <w:r>
        <w:rPr>
          <w:rFonts w:ascii="Arial" w:eastAsia="Arial" w:hAnsi="Arial" w:cs="Arial"/>
          <w:color w:val="000000"/>
          <w:sz w:val="20"/>
          <w:szCs w:val="20"/>
          <w:vertAlign w:val="baseline"/>
        </w:rPr>
        <w:t xml:space="preserve">de eventos CV en pacientes con patología previa CV. </w:t>
      </w:r>
    </w:p>
    <w:p w14:paraId="051CE13C"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3FF97970" w14:textId="242E73DB"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El análisis tiene algunas limitaciones como los propios autores comentan en la discusión. Una de ellas es que utilizan los datos del CTTC para calcular el riesgo basal de la población de ambos brazos del ORION-10. Las características basales eran diferentes en el CTTC y en el ORION-10. Los autores argumentan que los riesgos eran inferiores en la población del CTTC y que por ello su estimación es conservadora. Además, otra limitación es que los autores argumentan que la reducción de riesgo por cada 1 mmol/L de C-LDL disminuido es lineal, independiente del C-LDL inicial y aplicable a otras terapias hipolipemiantes distintas de las estatinas (</w:t>
      </w:r>
      <w:r>
        <w:rPr>
          <w:rFonts w:ascii="Arial" w:eastAsia="Arial" w:hAnsi="Arial" w:cs="Arial"/>
          <w:sz w:val="20"/>
          <w:szCs w:val="20"/>
          <w:vertAlign w:val="baseline"/>
        </w:rPr>
        <w:t>35</w:t>
      </w:r>
      <w:r>
        <w:rPr>
          <w:rFonts w:ascii="Arial" w:eastAsia="Arial" w:hAnsi="Arial" w:cs="Arial"/>
          <w:color w:val="000000"/>
          <w:sz w:val="20"/>
          <w:szCs w:val="20"/>
          <w:vertAlign w:val="baseline"/>
        </w:rPr>
        <w:t>)</w:t>
      </w:r>
      <w:r>
        <w:rPr>
          <w:rFonts w:ascii="Arial" w:eastAsia="Arial" w:hAnsi="Arial" w:cs="Arial"/>
          <w:i/>
          <w:color w:val="000000"/>
          <w:sz w:val="20"/>
          <w:szCs w:val="20"/>
          <w:vertAlign w:val="baseline"/>
        </w:rPr>
        <w:t xml:space="preserve">. </w:t>
      </w:r>
      <w:r>
        <w:rPr>
          <w:rFonts w:ascii="Arial" w:eastAsia="Arial" w:hAnsi="Arial" w:cs="Arial"/>
          <w:color w:val="000000"/>
          <w:sz w:val="20"/>
          <w:szCs w:val="20"/>
          <w:vertAlign w:val="baseline"/>
        </w:rPr>
        <w:t xml:space="preserve">Sin </w:t>
      </w:r>
      <w:r w:rsidR="00D30540">
        <w:rPr>
          <w:rFonts w:ascii="Arial" w:eastAsia="Arial" w:hAnsi="Arial" w:cs="Arial"/>
          <w:color w:val="000000"/>
          <w:sz w:val="20"/>
          <w:szCs w:val="20"/>
          <w:vertAlign w:val="baseline"/>
        </w:rPr>
        <w:t>embargo,</w:t>
      </w:r>
      <w:r>
        <w:rPr>
          <w:rFonts w:ascii="Arial" w:eastAsia="Arial" w:hAnsi="Arial" w:cs="Arial"/>
          <w:color w:val="000000"/>
          <w:sz w:val="20"/>
          <w:szCs w:val="20"/>
          <w:vertAlign w:val="baseline"/>
        </w:rPr>
        <w:t xml:space="preserve"> no existen aún ensayos con resultados de variables finales para inclisiran por lo que sus resultados en morbimortalidad y su posible correlación con la disminución de C-LDL es aún incierta. </w:t>
      </w:r>
    </w:p>
    <w:p w14:paraId="60B491D5" w14:textId="6088DCB9"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Además, la hipótesis de la reducción de riesgo del 22% por cada 1 mmol/L reducido es una proyección del estudio del CTTC que plantea la hipotética correlación y linealidad pero que no se ha observado experimentalmente más allá de una reducción de 0,51 mmol/L con horizonte de 1 año. La aplicabilidad a otras terapias no ha sido validada de la misma manera pese a que se ha demostrado una reducción relativa en eventos cardiovasculares para evolocumab (20% p</w:t>
      </w:r>
      <w:r w:rsidR="00B21A97">
        <w:rPr>
          <w:rFonts w:ascii="Arial" w:eastAsia="Arial" w:hAnsi="Arial" w:cs="Arial"/>
          <w:color w:val="000000"/>
          <w:sz w:val="20"/>
          <w:szCs w:val="20"/>
          <w:vertAlign w:val="baseline"/>
        </w:rPr>
        <w:t>ara una reducción de C-LDL 1,45</w:t>
      </w:r>
      <w:r>
        <w:rPr>
          <w:rFonts w:ascii="Arial" w:eastAsia="Arial" w:hAnsi="Arial" w:cs="Arial"/>
          <w:color w:val="000000"/>
          <w:sz w:val="20"/>
          <w:szCs w:val="20"/>
          <w:vertAlign w:val="baseline"/>
        </w:rPr>
        <w:t xml:space="preserve"> mmol/L). Ocurre lo mismo con alirocumab que consiguió una reducción relativa de riesgo del 15% para una reducción mediana de C-LDL de 1 mmol/L. Aparentemente, esta hipotética correlación universal parece no cumplirse a día de hoy en inhibidores PCSK9 y es incierta aún para inclisiran. Un posible análisis de sensibilidad para este trabajo habría sido asumir la correlación entre C-LDL y morbimortalidad de los PCSK9 obtenidos de los ensayos FOURIER y ODYSSEY OUTCOMES. Adicionalmente, en las variables combinadas de estos ensayos se incluía el ictus isquémico como componente pese a que la correlación entre C-LDL, el tratamiento con estatinas y el riesgo de ictus no está bien establecida en pacientes sin un ictus </w:t>
      </w:r>
      <w:r w:rsidR="00D30540">
        <w:rPr>
          <w:rFonts w:ascii="Arial" w:eastAsia="Arial" w:hAnsi="Arial" w:cs="Arial"/>
          <w:color w:val="000000"/>
          <w:sz w:val="20"/>
          <w:szCs w:val="20"/>
          <w:vertAlign w:val="baseline"/>
        </w:rPr>
        <w:t>previo (</w:t>
      </w:r>
      <w:r>
        <w:rPr>
          <w:rFonts w:ascii="Arial" w:eastAsia="Arial" w:hAnsi="Arial" w:cs="Arial"/>
          <w:sz w:val="20"/>
          <w:szCs w:val="20"/>
          <w:vertAlign w:val="baseline"/>
        </w:rPr>
        <w:t>36</w:t>
      </w:r>
      <w:r>
        <w:rPr>
          <w:rFonts w:ascii="Arial" w:eastAsia="Arial" w:hAnsi="Arial" w:cs="Arial"/>
          <w:color w:val="000000"/>
          <w:sz w:val="20"/>
          <w:szCs w:val="20"/>
          <w:vertAlign w:val="baseline"/>
        </w:rPr>
        <w:t>).</w:t>
      </w:r>
      <w:r>
        <w:rPr>
          <w:rFonts w:ascii="Arial" w:eastAsia="Arial" w:hAnsi="Arial" w:cs="Arial"/>
          <w:i/>
          <w:color w:val="000000"/>
          <w:sz w:val="20"/>
          <w:szCs w:val="20"/>
          <w:vertAlign w:val="baseline"/>
        </w:rPr>
        <w:t xml:space="preserve"> </w:t>
      </w:r>
    </w:p>
    <w:p w14:paraId="0A4B718C"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Otra limitación del análisis es la diferencia de valores de utilidad y de los medicamentos en Australia y en España y que tampoco hay un dintel de disponibilidad a pagar para el establecimiento de un coste-efectividad aceptable en España con el que poder establecer una posible validez externa de este análisis.</w:t>
      </w:r>
    </w:p>
    <w:p w14:paraId="0B4FC12F"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0DB2D9D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Todas estas limitaciones pueden afectar a la interpretación de los resultados.</w:t>
      </w:r>
    </w:p>
    <w:p w14:paraId="215B64DF"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tbl>
      <w:tblPr>
        <w:tblStyle w:val="aff1"/>
        <w:tblW w:w="8950" w:type="dxa"/>
        <w:tblInd w:w="25" w:type="dxa"/>
        <w:tblLayout w:type="fixed"/>
        <w:tblLook w:val="0000" w:firstRow="0" w:lastRow="0" w:firstColumn="0" w:lastColumn="0" w:noHBand="0" w:noVBand="0"/>
      </w:tblPr>
      <w:tblGrid>
        <w:gridCol w:w="2301"/>
        <w:gridCol w:w="1171"/>
        <w:gridCol w:w="1349"/>
        <w:gridCol w:w="4129"/>
      </w:tblGrid>
      <w:tr w:rsidR="00634CDF" w14:paraId="1B8D78B1" w14:textId="77777777">
        <w:tc>
          <w:tcPr>
            <w:tcW w:w="8950" w:type="dxa"/>
            <w:gridSpan w:val="4"/>
            <w:tcBorders>
              <w:top w:val="single" w:sz="4" w:space="0" w:color="000000"/>
              <w:left w:val="single" w:sz="4" w:space="0" w:color="000000"/>
              <w:bottom w:val="single" w:sz="4" w:space="0" w:color="000000"/>
              <w:right w:val="single" w:sz="4" w:space="0" w:color="000000"/>
            </w:tcBorders>
            <w:shd w:val="clear" w:color="auto" w:fill="CCFFCC"/>
          </w:tcPr>
          <w:p w14:paraId="4A39841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8"/>
                <w:szCs w:val="18"/>
                <w:vertAlign w:val="baseline"/>
              </w:rPr>
              <w:t>Tabla24.  7.2.b.</w:t>
            </w:r>
            <w:r>
              <w:rPr>
                <w:rFonts w:ascii="Arial" w:eastAsia="Arial" w:hAnsi="Arial" w:cs="Arial"/>
                <w:b/>
                <w:i/>
                <w:color w:val="000000"/>
                <w:sz w:val="18"/>
                <w:szCs w:val="18"/>
                <w:vertAlign w:val="baseline"/>
              </w:rPr>
              <w:t xml:space="preserve">2.  </w:t>
            </w:r>
            <w:r>
              <w:rPr>
                <w:rFonts w:ascii="Arial" w:eastAsia="Arial" w:hAnsi="Arial" w:cs="Arial"/>
                <w:b/>
                <w:i/>
                <w:sz w:val="18"/>
                <w:szCs w:val="18"/>
                <w:vertAlign w:val="baseline"/>
              </w:rPr>
              <w:t>Tabla de extracción de datos de una evaluación económica publicada</w:t>
            </w:r>
          </w:p>
        </w:tc>
      </w:tr>
      <w:tr w:rsidR="00634CDF" w14:paraId="6AD2BFB0" w14:textId="77777777">
        <w:tc>
          <w:tcPr>
            <w:tcW w:w="8950" w:type="dxa"/>
            <w:gridSpan w:val="4"/>
            <w:tcBorders>
              <w:top w:val="single" w:sz="4" w:space="0" w:color="000000"/>
              <w:left w:val="single" w:sz="4" w:space="0" w:color="000000"/>
              <w:bottom w:val="single" w:sz="4" w:space="0" w:color="000000"/>
              <w:right w:val="single" w:sz="4" w:space="0" w:color="000000"/>
            </w:tcBorders>
            <w:shd w:val="clear" w:color="auto" w:fill="D9D9D9"/>
          </w:tcPr>
          <w:p w14:paraId="1D5BEE54" w14:textId="77777777" w:rsidR="00634CDF" w:rsidRDefault="00F0051D">
            <w:pPr>
              <w:pBdr>
                <w:top w:val="nil"/>
                <w:left w:val="nil"/>
                <w:bottom w:val="nil"/>
                <w:right w:val="nil"/>
                <w:between w:val="nil"/>
              </w:pBdr>
              <w:spacing w:line="240" w:lineRule="auto"/>
              <w:ind w:left="0" w:hanging="2"/>
              <w:rPr>
                <w:color w:val="000000"/>
                <w:vertAlign w:val="baseline"/>
              </w:rPr>
            </w:pPr>
            <w:r w:rsidRPr="001779CA">
              <w:rPr>
                <w:rFonts w:ascii="Arial" w:eastAsia="Arial" w:hAnsi="Arial" w:cs="Arial"/>
                <w:b/>
                <w:color w:val="000000"/>
                <w:sz w:val="16"/>
                <w:szCs w:val="16"/>
                <w:vertAlign w:val="baseline"/>
                <w:lang w:val="en-US"/>
              </w:rPr>
              <w:lastRenderedPageBreak/>
              <w:t xml:space="preserve">Referencia: </w:t>
            </w:r>
            <w:r w:rsidRPr="001779CA">
              <w:rPr>
                <w:rFonts w:ascii="Arial" w:eastAsia="Arial" w:hAnsi="Arial" w:cs="Arial"/>
                <w:b/>
                <w:i/>
                <w:sz w:val="18"/>
                <w:szCs w:val="18"/>
                <w:vertAlign w:val="baseline"/>
                <w:lang w:val="en-US"/>
              </w:rPr>
              <w:t xml:space="preserve"> Bempedoic Acid and Inclisiran for Patients with Heterozygous Familial Hypercholesterolemia and for Secondary Prevention of ASCVD: Effectiveness and Value. </w:t>
            </w:r>
            <w:r>
              <w:rPr>
                <w:rFonts w:ascii="Arial" w:eastAsia="Arial" w:hAnsi="Arial" w:cs="Arial"/>
                <w:b/>
                <w:i/>
                <w:sz w:val="18"/>
                <w:szCs w:val="18"/>
                <w:vertAlign w:val="baseline"/>
              </w:rPr>
              <w:t>Institute for Clinical and Economic Review (ICER)(33)</w:t>
            </w:r>
          </w:p>
        </w:tc>
      </w:tr>
      <w:tr w:rsidR="00634CDF" w14:paraId="47FAB86E" w14:textId="77777777">
        <w:tc>
          <w:tcPr>
            <w:tcW w:w="8950" w:type="dxa"/>
            <w:gridSpan w:val="4"/>
            <w:tcBorders>
              <w:top w:val="single" w:sz="4" w:space="0" w:color="000000"/>
              <w:left w:val="single" w:sz="4" w:space="0" w:color="000000"/>
              <w:bottom w:val="single" w:sz="4" w:space="0" w:color="000000"/>
              <w:right w:val="single" w:sz="4" w:space="0" w:color="000000"/>
            </w:tcBorders>
          </w:tcPr>
          <w:p w14:paraId="3210C57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 xml:space="preserve">Tipo de estudio: </w:t>
            </w:r>
            <w:r>
              <w:rPr>
                <w:rFonts w:ascii="Arial" w:eastAsia="Arial" w:hAnsi="Arial" w:cs="Arial"/>
                <w:color w:val="000000"/>
                <w:sz w:val="16"/>
                <w:szCs w:val="16"/>
                <w:vertAlign w:val="baseline"/>
              </w:rPr>
              <w:t xml:space="preserve"> Coste-utilidad</w:t>
            </w:r>
          </w:p>
          <w:p w14:paraId="487429E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w:t>
            </w:r>
            <w:r>
              <w:rPr>
                <w:rFonts w:ascii="Arial" w:eastAsia="Arial" w:hAnsi="Arial" w:cs="Arial"/>
                <w:b/>
                <w:color w:val="000000"/>
                <w:sz w:val="16"/>
                <w:szCs w:val="16"/>
                <w:vertAlign w:val="baseline"/>
              </w:rPr>
              <w:t xml:space="preserve"> Fuente de datos:</w:t>
            </w:r>
            <w:r>
              <w:rPr>
                <w:rFonts w:ascii="Arial" w:eastAsia="Arial" w:hAnsi="Arial" w:cs="Arial"/>
                <w:color w:val="000000"/>
                <w:sz w:val="16"/>
                <w:szCs w:val="16"/>
                <w:vertAlign w:val="baseline"/>
              </w:rPr>
              <w:t xml:space="preserve"> ORION-9, ORION-10, ORION-11, </w:t>
            </w:r>
          </w:p>
          <w:p w14:paraId="2B77EA7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Modelización:</w:t>
            </w:r>
            <w:r>
              <w:rPr>
                <w:rFonts w:ascii="Arial" w:eastAsia="Arial" w:hAnsi="Arial" w:cs="Arial"/>
                <w:color w:val="000000"/>
                <w:sz w:val="16"/>
                <w:szCs w:val="16"/>
                <w:vertAlign w:val="baseline"/>
              </w:rPr>
              <w:t xml:space="preserve"> Modelo Markov</w:t>
            </w:r>
          </w:p>
          <w:p w14:paraId="326BB55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Perspectiva:</w:t>
            </w:r>
            <w:r>
              <w:rPr>
                <w:rFonts w:ascii="Arial" w:eastAsia="Arial" w:hAnsi="Arial" w:cs="Arial"/>
                <w:color w:val="000000"/>
                <w:sz w:val="16"/>
                <w:szCs w:val="16"/>
                <w:vertAlign w:val="baseline"/>
              </w:rPr>
              <w:t xml:space="preserve"> Sistema de salud americano</w:t>
            </w:r>
          </w:p>
          <w:p w14:paraId="6919CFE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Población del escenario base:</w:t>
            </w:r>
            <w:r>
              <w:rPr>
                <w:rFonts w:ascii="Arial" w:eastAsia="Arial" w:hAnsi="Arial" w:cs="Arial"/>
                <w:color w:val="000000"/>
                <w:sz w:val="16"/>
                <w:szCs w:val="16"/>
                <w:vertAlign w:val="baseline"/>
              </w:rPr>
              <w:t xml:space="preserve"> Encuesta National Health and Nutrition Examination Survey (NHANES): 1.021.000 pacientes.</w:t>
            </w:r>
          </w:p>
          <w:p w14:paraId="1E4AD62C"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 xml:space="preserve">Variables principales de resultado: </w:t>
            </w:r>
            <w:r>
              <w:rPr>
                <w:rFonts w:ascii="Arial" w:eastAsia="Arial" w:hAnsi="Arial" w:cs="Arial"/>
                <w:color w:val="000000"/>
                <w:sz w:val="16"/>
                <w:szCs w:val="16"/>
                <w:vertAlign w:val="baseline"/>
              </w:rPr>
              <w:t>ICER. AVG, AVAC y años de vida ganados de igual valor (evLYG )(asume que cada supervivencia incremental en años supone una perfecta de calidad de vida)</w:t>
            </w:r>
          </w:p>
          <w:p w14:paraId="3807215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Horizonte temporal:</w:t>
            </w:r>
            <w:r>
              <w:rPr>
                <w:rFonts w:ascii="Arial" w:eastAsia="Arial" w:hAnsi="Arial" w:cs="Arial"/>
                <w:color w:val="000000"/>
                <w:sz w:val="16"/>
                <w:szCs w:val="16"/>
                <w:vertAlign w:val="baseline"/>
              </w:rPr>
              <w:t xml:space="preserve">Los miembros estuvieron en seguimiento hasta que cumplian 95 años o </w:t>
            </w:r>
            <w:r>
              <w:rPr>
                <w:rFonts w:ascii="Arial" w:eastAsia="Arial" w:hAnsi="Arial" w:cs="Arial"/>
                <w:sz w:val="16"/>
                <w:szCs w:val="16"/>
                <w:vertAlign w:val="baseline"/>
              </w:rPr>
              <w:t>morían</w:t>
            </w:r>
            <w:r>
              <w:rPr>
                <w:rFonts w:ascii="Arial" w:eastAsia="Arial" w:hAnsi="Arial" w:cs="Arial"/>
                <w:color w:val="000000"/>
                <w:sz w:val="16"/>
                <w:szCs w:val="16"/>
                <w:vertAlign w:val="baseline"/>
              </w:rPr>
              <w:t>.</w:t>
            </w:r>
          </w:p>
          <w:p w14:paraId="0497BC4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w:t>
            </w:r>
            <w:r>
              <w:rPr>
                <w:rFonts w:ascii="Arial" w:eastAsia="Arial" w:hAnsi="Arial" w:cs="Arial"/>
                <w:b/>
                <w:color w:val="000000"/>
                <w:sz w:val="16"/>
                <w:szCs w:val="16"/>
                <w:vertAlign w:val="baseline"/>
              </w:rPr>
              <w:t>Costes incluidos en el estudio</w:t>
            </w:r>
            <w:r>
              <w:rPr>
                <w:rFonts w:ascii="Arial" w:eastAsia="Arial" w:hAnsi="Arial" w:cs="Arial"/>
                <w:color w:val="000000"/>
                <w:sz w:val="16"/>
                <w:szCs w:val="16"/>
                <w:vertAlign w:val="baseline"/>
              </w:rPr>
              <w:t>: costes de los fármacos, costes asociados a eventos adversos, costes no farmacológicos. relacionados con la patología.</w:t>
            </w:r>
          </w:p>
          <w:p w14:paraId="4C1F0BA5" w14:textId="4A67F7AC" w:rsidR="00634CDF" w:rsidRDefault="00F0051D">
            <w:pPr>
              <w:pBdr>
                <w:top w:val="nil"/>
                <w:left w:val="nil"/>
                <w:bottom w:val="nil"/>
                <w:right w:val="nil"/>
                <w:between w:val="nil"/>
              </w:pBdr>
              <w:spacing w:line="240" w:lineRule="auto"/>
              <w:ind w:left="0" w:hanging="2"/>
              <w:jc w:val="both"/>
              <w:rPr>
                <w:rFonts w:ascii="Arial" w:eastAsia="Arial" w:hAnsi="Arial" w:cs="Arial"/>
                <w:sz w:val="16"/>
                <w:szCs w:val="16"/>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 xml:space="preserve">Fuente de costes </w:t>
            </w:r>
            <w:r w:rsidR="00D30540">
              <w:rPr>
                <w:rFonts w:ascii="Arial" w:eastAsia="Arial" w:hAnsi="Arial" w:cs="Arial"/>
                <w:b/>
                <w:color w:val="000000"/>
                <w:sz w:val="16"/>
                <w:szCs w:val="16"/>
                <w:vertAlign w:val="baseline"/>
              </w:rPr>
              <w:t>unitarios (</w:t>
            </w:r>
            <w:r>
              <w:rPr>
                <w:rFonts w:ascii="Arial" w:eastAsia="Arial" w:hAnsi="Arial" w:cs="Arial"/>
                <w:b/>
                <w:color w:val="000000"/>
                <w:sz w:val="16"/>
                <w:szCs w:val="16"/>
                <w:vertAlign w:val="baseline"/>
              </w:rPr>
              <w:t>GRD, e-Salud):</w:t>
            </w:r>
            <w:r>
              <w:rPr>
                <w:rFonts w:ascii="Arial" w:eastAsia="Arial" w:hAnsi="Arial" w:cs="Arial"/>
                <w:color w:val="000000"/>
                <w:sz w:val="16"/>
                <w:szCs w:val="16"/>
                <w:vertAlign w:val="baseline"/>
              </w:rPr>
              <w:t xml:space="preserve"> precio de inclisiran asumido del precio que figura en la Federal Supply Schedule para los inhibidores PCSK9 (mismo coste anual asumiendo dos inyecciones). </w:t>
            </w:r>
          </w:p>
          <w:p w14:paraId="5E0E8B96"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 xml:space="preserve">Tasa de descuento aplicada en costes y en resultados de salud: </w:t>
            </w:r>
            <w:r>
              <w:rPr>
                <w:rFonts w:ascii="Arial" w:eastAsia="Arial" w:hAnsi="Arial" w:cs="Arial"/>
                <w:color w:val="000000"/>
                <w:sz w:val="16"/>
                <w:szCs w:val="16"/>
                <w:vertAlign w:val="baseline"/>
              </w:rPr>
              <w:t>3% anual.</w:t>
            </w:r>
          </w:p>
          <w:p w14:paraId="6F0DE0BE" w14:textId="163E3C41"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Valores de utilidad considerados:</w:t>
            </w:r>
            <w:r>
              <w:rPr>
                <w:rFonts w:ascii="Arial" w:eastAsia="Arial" w:hAnsi="Arial" w:cs="Arial"/>
                <w:color w:val="000000"/>
                <w:sz w:val="16"/>
                <w:szCs w:val="16"/>
                <w:vertAlign w:val="baseline"/>
              </w:rPr>
              <w:t xml:space="preserve"> historia de </w:t>
            </w:r>
            <w:r>
              <w:rPr>
                <w:rFonts w:ascii="Arial" w:eastAsia="Arial" w:hAnsi="Arial" w:cs="Arial"/>
                <w:sz w:val="16"/>
                <w:szCs w:val="16"/>
                <w:vertAlign w:val="baseline"/>
              </w:rPr>
              <w:t>sindrome coronario agudo (SCA)</w:t>
            </w:r>
            <w:r>
              <w:rPr>
                <w:rFonts w:ascii="Arial" w:eastAsia="Arial" w:hAnsi="Arial" w:cs="Arial"/>
                <w:color w:val="000000"/>
                <w:sz w:val="16"/>
                <w:szCs w:val="16"/>
                <w:vertAlign w:val="baseline"/>
              </w:rPr>
              <w:t xml:space="preserve">, historia de ictus, historia de ictus y SCA, historia de otra enfermedad </w:t>
            </w:r>
            <w:r w:rsidR="00D30540">
              <w:rPr>
                <w:rFonts w:ascii="Arial" w:eastAsia="Arial" w:hAnsi="Arial" w:cs="Arial"/>
                <w:color w:val="000000"/>
                <w:sz w:val="16"/>
                <w:szCs w:val="16"/>
                <w:vertAlign w:val="baseline"/>
              </w:rPr>
              <w:t>cardiovascular (</w:t>
            </w:r>
            <w:r>
              <w:rPr>
                <w:rFonts w:ascii="Arial" w:eastAsia="Arial" w:hAnsi="Arial" w:cs="Arial"/>
                <w:color w:val="000000"/>
                <w:sz w:val="16"/>
                <w:szCs w:val="16"/>
                <w:vertAlign w:val="baseline"/>
              </w:rPr>
              <w:t>como angina inestable), muerte por enfermedad cardiovascular y muerte por causa no cardiovascular.</w:t>
            </w:r>
          </w:p>
          <w:p w14:paraId="0273BE68"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w:t>
            </w:r>
            <w:r>
              <w:rPr>
                <w:rFonts w:ascii="Arial" w:eastAsia="Arial" w:hAnsi="Arial" w:cs="Arial"/>
                <w:b/>
                <w:color w:val="000000"/>
                <w:sz w:val="16"/>
                <w:szCs w:val="16"/>
                <w:vertAlign w:val="baseline"/>
              </w:rPr>
              <w:t xml:space="preserve"> Análisis de sensibilidad:</w:t>
            </w:r>
            <w:r>
              <w:rPr>
                <w:rFonts w:ascii="Arial" w:eastAsia="Arial" w:hAnsi="Arial" w:cs="Arial"/>
                <w:color w:val="000000"/>
                <w:sz w:val="16"/>
                <w:szCs w:val="16"/>
                <w:vertAlign w:val="baseline"/>
              </w:rPr>
              <w:t xml:space="preserve"> Análisis probabilístico con una simulación de Monte Carlo de 1.000 iteraciones. También análisis de sensibilidad para varios umbrales de coste por AVAC (41.000, 82.000, 123.000,164.000 y 205.000 euros). También otro análisis de sensibilidad asumiendo la correlación entre C-LDL y morbimortalidad igual a la de los ensayos con PCSK9 (metanálisis de FOURIER y ODYSSEY OUTCOMES elaborado por los autores)</w:t>
            </w:r>
          </w:p>
          <w:p w14:paraId="2D5C461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 xml:space="preserve">Conflicto de intereses: </w:t>
            </w:r>
            <w:r>
              <w:rPr>
                <w:rFonts w:ascii="Arial" w:eastAsia="Arial" w:hAnsi="Arial" w:cs="Arial"/>
                <w:color w:val="000000"/>
                <w:sz w:val="16"/>
                <w:szCs w:val="16"/>
                <w:vertAlign w:val="baseline"/>
              </w:rPr>
              <w:t>Ninguno de los autores miembros del ICER o del Midwest CEPAC ni los consultores tenía conflictos de intereses. Sin embargo, los 9 miembros de la mesa redonda reciben honorarios, han sido consultores  o trabajan a tiempo parcial o completo para la industria farmacéutica.</w:t>
            </w:r>
          </w:p>
        </w:tc>
      </w:tr>
      <w:tr w:rsidR="00634CDF" w14:paraId="18CB8306" w14:textId="77777777">
        <w:trPr>
          <w:trHeight w:val="198"/>
        </w:trPr>
        <w:tc>
          <w:tcPr>
            <w:tcW w:w="2301" w:type="dxa"/>
            <w:tcBorders>
              <w:top w:val="single" w:sz="4" w:space="0" w:color="000000"/>
              <w:left w:val="single" w:sz="4" w:space="0" w:color="000000"/>
              <w:bottom w:val="single" w:sz="4" w:space="0" w:color="000000"/>
            </w:tcBorders>
            <w:shd w:val="clear" w:color="auto" w:fill="D9D9D9"/>
          </w:tcPr>
          <w:p w14:paraId="7882220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 xml:space="preserve">COSTES </w:t>
            </w:r>
          </w:p>
        </w:tc>
        <w:tc>
          <w:tcPr>
            <w:tcW w:w="1171" w:type="dxa"/>
            <w:tcBorders>
              <w:top w:val="single" w:sz="4" w:space="0" w:color="000000"/>
              <w:left w:val="single" w:sz="4" w:space="0" w:color="000000"/>
              <w:bottom w:val="single" w:sz="4" w:space="0" w:color="000000"/>
            </w:tcBorders>
            <w:shd w:val="clear" w:color="auto" w:fill="D9D9D9"/>
          </w:tcPr>
          <w:p w14:paraId="3360977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Inclisiran+ estatina a dosis máxima tolerada + ezetimiba</w:t>
            </w:r>
          </w:p>
        </w:tc>
        <w:tc>
          <w:tcPr>
            <w:tcW w:w="1349" w:type="dxa"/>
            <w:tcBorders>
              <w:top w:val="single" w:sz="4" w:space="0" w:color="000000"/>
              <w:left w:val="single" w:sz="4" w:space="0" w:color="000000"/>
              <w:bottom w:val="single" w:sz="4" w:space="0" w:color="000000"/>
            </w:tcBorders>
            <w:shd w:val="clear" w:color="auto" w:fill="D9D9D9"/>
          </w:tcPr>
          <w:p w14:paraId="1B9EEB1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Estatina a dosis máxima tolerada + ezetimiba</w:t>
            </w:r>
          </w:p>
        </w:tc>
        <w:tc>
          <w:tcPr>
            <w:tcW w:w="4129" w:type="dxa"/>
            <w:tcBorders>
              <w:top w:val="single" w:sz="4" w:space="0" w:color="000000"/>
              <w:left w:val="single" w:sz="4" w:space="0" w:color="000000"/>
              <w:bottom w:val="single" w:sz="4" w:space="0" w:color="000000"/>
              <w:right w:val="single" w:sz="4" w:space="0" w:color="000000"/>
            </w:tcBorders>
            <w:shd w:val="clear" w:color="auto" w:fill="D9D9D9"/>
          </w:tcPr>
          <w:p w14:paraId="3AACF8A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Incrementos</w:t>
            </w:r>
          </w:p>
        </w:tc>
      </w:tr>
      <w:tr w:rsidR="00634CDF" w14:paraId="2618FAC1" w14:textId="77777777">
        <w:tc>
          <w:tcPr>
            <w:tcW w:w="2301" w:type="dxa"/>
            <w:tcBorders>
              <w:top w:val="single" w:sz="4" w:space="0" w:color="000000"/>
              <w:left w:val="single" w:sz="4" w:space="0" w:color="000000"/>
              <w:bottom w:val="single" w:sz="4" w:space="0" w:color="000000"/>
            </w:tcBorders>
          </w:tcPr>
          <w:p w14:paraId="526E2FA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Coste del tratamiento con el fármaco duración modelizada para un ciclo vital (hasta la muerte o 95 años). Datos basales de los pacientes tomados de encuesta NHANES junto con algunas asunciones.</w:t>
            </w:r>
          </w:p>
          <w:p w14:paraId="68281062"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1171" w:type="dxa"/>
            <w:tcBorders>
              <w:top w:val="single" w:sz="4" w:space="0" w:color="000000"/>
              <w:left w:val="single" w:sz="4" w:space="0" w:color="000000"/>
              <w:bottom w:val="single" w:sz="4" w:space="0" w:color="000000"/>
            </w:tcBorders>
          </w:tcPr>
          <w:p w14:paraId="6409683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59.860 €</w:t>
            </w:r>
          </w:p>
        </w:tc>
        <w:tc>
          <w:tcPr>
            <w:tcW w:w="1349" w:type="dxa"/>
            <w:tcBorders>
              <w:top w:val="single" w:sz="4" w:space="0" w:color="000000"/>
              <w:left w:val="single" w:sz="4" w:space="0" w:color="000000"/>
              <w:bottom w:val="single" w:sz="4" w:space="0" w:color="000000"/>
            </w:tcBorders>
          </w:tcPr>
          <w:p w14:paraId="57EF5C3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3.280€</w:t>
            </w:r>
          </w:p>
        </w:tc>
        <w:tc>
          <w:tcPr>
            <w:tcW w:w="4129" w:type="dxa"/>
            <w:tcBorders>
              <w:top w:val="single" w:sz="4" w:space="0" w:color="000000"/>
              <w:left w:val="single" w:sz="4" w:space="0" w:color="000000"/>
              <w:bottom w:val="single" w:sz="4" w:space="0" w:color="000000"/>
              <w:right w:val="single" w:sz="4" w:space="0" w:color="000000"/>
            </w:tcBorders>
          </w:tcPr>
          <w:p w14:paraId="14B2B00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Coste incremental del fármaco     56.580€</w:t>
            </w:r>
          </w:p>
        </w:tc>
      </w:tr>
      <w:tr w:rsidR="00634CDF" w14:paraId="422932AA" w14:textId="77777777">
        <w:tc>
          <w:tcPr>
            <w:tcW w:w="2301" w:type="dxa"/>
            <w:tcBorders>
              <w:top w:val="single" w:sz="4" w:space="0" w:color="000000"/>
              <w:left w:val="single" w:sz="4" w:space="0" w:color="000000"/>
              <w:bottom w:val="single" w:sz="4" w:space="0" w:color="000000"/>
            </w:tcBorders>
          </w:tcPr>
          <w:p w14:paraId="275886A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Coste total del paciente </w:t>
            </w:r>
          </w:p>
        </w:tc>
        <w:tc>
          <w:tcPr>
            <w:tcW w:w="1171" w:type="dxa"/>
            <w:tcBorders>
              <w:top w:val="single" w:sz="4" w:space="0" w:color="000000"/>
              <w:left w:val="single" w:sz="4" w:space="0" w:color="000000"/>
              <w:bottom w:val="single" w:sz="4" w:space="0" w:color="000000"/>
            </w:tcBorders>
          </w:tcPr>
          <w:p w14:paraId="0A323B3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207.460 €</w:t>
            </w:r>
          </w:p>
        </w:tc>
        <w:tc>
          <w:tcPr>
            <w:tcW w:w="1349" w:type="dxa"/>
            <w:tcBorders>
              <w:top w:val="single" w:sz="4" w:space="0" w:color="000000"/>
              <w:left w:val="single" w:sz="4" w:space="0" w:color="000000"/>
              <w:bottom w:val="single" w:sz="4" w:space="0" w:color="000000"/>
            </w:tcBorders>
          </w:tcPr>
          <w:p w14:paraId="441572B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151.700€</w:t>
            </w:r>
          </w:p>
        </w:tc>
        <w:tc>
          <w:tcPr>
            <w:tcW w:w="4129" w:type="dxa"/>
            <w:tcBorders>
              <w:top w:val="single" w:sz="4" w:space="0" w:color="000000"/>
              <w:left w:val="single" w:sz="4" w:space="0" w:color="000000"/>
              <w:bottom w:val="single" w:sz="4" w:space="0" w:color="000000"/>
              <w:right w:val="single" w:sz="4" w:space="0" w:color="000000"/>
            </w:tcBorders>
          </w:tcPr>
          <w:p w14:paraId="05DE748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Coste incremental por paciente  55.760 €</w:t>
            </w:r>
          </w:p>
        </w:tc>
      </w:tr>
      <w:tr w:rsidR="00634CDF" w14:paraId="75BFE4FE" w14:textId="77777777">
        <w:tc>
          <w:tcPr>
            <w:tcW w:w="2301" w:type="dxa"/>
            <w:tcBorders>
              <w:top w:val="single" w:sz="4" w:space="0" w:color="000000"/>
              <w:left w:val="single" w:sz="4" w:space="0" w:color="000000"/>
              <w:bottom w:val="single" w:sz="4" w:space="0" w:color="000000"/>
            </w:tcBorders>
            <w:shd w:val="clear" w:color="auto" w:fill="D9D9D9"/>
          </w:tcPr>
          <w:p w14:paraId="4189728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 xml:space="preserve">EFECTOS (1) </w:t>
            </w:r>
          </w:p>
        </w:tc>
        <w:tc>
          <w:tcPr>
            <w:tcW w:w="1171" w:type="dxa"/>
            <w:tcBorders>
              <w:top w:val="single" w:sz="4" w:space="0" w:color="000000"/>
              <w:left w:val="single" w:sz="4" w:space="0" w:color="000000"/>
              <w:bottom w:val="single" w:sz="4" w:space="0" w:color="000000"/>
            </w:tcBorders>
            <w:shd w:val="clear" w:color="auto" w:fill="D9D9D9"/>
          </w:tcPr>
          <w:p w14:paraId="50FABB6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Inclisiran+ estatina a dosis máxima tolerada + ezetimiba</w:t>
            </w:r>
          </w:p>
        </w:tc>
        <w:tc>
          <w:tcPr>
            <w:tcW w:w="1349" w:type="dxa"/>
            <w:tcBorders>
              <w:top w:val="single" w:sz="4" w:space="0" w:color="000000"/>
              <w:left w:val="single" w:sz="4" w:space="0" w:color="000000"/>
              <w:bottom w:val="single" w:sz="4" w:space="0" w:color="000000"/>
            </w:tcBorders>
            <w:shd w:val="clear" w:color="auto" w:fill="D9D9D9"/>
          </w:tcPr>
          <w:p w14:paraId="3DF3E72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Estatina a dosis máxima tolerada + ezetimiba</w:t>
            </w:r>
          </w:p>
        </w:tc>
        <w:tc>
          <w:tcPr>
            <w:tcW w:w="4129" w:type="dxa"/>
            <w:tcBorders>
              <w:top w:val="single" w:sz="4" w:space="0" w:color="000000"/>
              <w:left w:val="single" w:sz="4" w:space="0" w:color="000000"/>
              <w:bottom w:val="single" w:sz="4" w:space="0" w:color="000000"/>
              <w:right w:val="single" w:sz="4" w:space="0" w:color="000000"/>
            </w:tcBorders>
            <w:shd w:val="clear" w:color="auto" w:fill="D9D9D9"/>
          </w:tcPr>
          <w:p w14:paraId="50F8D99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 xml:space="preserve">Incrementos </w:t>
            </w:r>
          </w:p>
        </w:tc>
      </w:tr>
      <w:tr w:rsidR="00634CDF" w14:paraId="45ACEA6D" w14:textId="77777777">
        <w:tc>
          <w:tcPr>
            <w:tcW w:w="2301" w:type="dxa"/>
            <w:tcBorders>
              <w:top w:val="single" w:sz="4" w:space="0" w:color="000000"/>
              <w:left w:val="single" w:sz="4" w:space="0" w:color="000000"/>
              <w:bottom w:val="single" w:sz="4" w:space="0" w:color="000000"/>
            </w:tcBorders>
          </w:tcPr>
          <w:p w14:paraId="5DC0E97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AV </w:t>
            </w:r>
          </w:p>
        </w:tc>
        <w:tc>
          <w:tcPr>
            <w:tcW w:w="1171" w:type="dxa"/>
            <w:tcBorders>
              <w:top w:val="single" w:sz="4" w:space="0" w:color="000000"/>
              <w:left w:val="single" w:sz="4" w:space="0" w:color="000000"/>
              <w:bottom w:val="single" w:sz="4" w:space="0" w:color="000000"/>
            </w:tcBorders>
          </w:tcPr>
          <w:p w14:paraId="4CCA857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11,94 AV</w:t>
            </w:r>
          </w:p>
        </w:tc>
        <w:tc>
          <w:tcPr>
            <w:tcW w:w="1349" w:type="dxa"/>
            <w:tcBorders>
              <w:top w:val="single" w:sz="4" w:space="0" w:color="000000"/>
              <w:left w:val="single" w:sz="4" w:space="0" w:color="000000"/>
              <w:bottom w:val="single" w:sz="4" w:space="0" w:color="000000"/>
            </w:tcBorders>
          </w:tcPr>
          <w:p w14:paraId="106F791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11,48 AV</w:t>
            </w:r>
          </w:p>
        </w:tc>
        <w:tc>
          <w:tcPr>
            <w:tcW w:w="4129" w:type="dxa"/>
            <w:tcBorders>
              <w:top w:val="single" w:sz="4" w:space="0" w:color="000000"/>
              <w:left w:val="single" w:sz="4" w:space="0" w:color="000000"/>
              <w:bottom w:val="single" w:sz="4" w:space="0" w:color="000000"/>
              <w:right w:val="single" w:sz="4" w:space="0" w:color="000000"/>
            </w:tcBorders>
          </w:tcPr>
          <w:p w14:paraId="1F84D35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Incremento AV por paciente      0,46 AV ganados </w:t>
            </w:r>
          </w:p>
        </w:tc>
      </w:tr>
      <w:tr w:rsidR="00634CDF" w14:paraId="66F4A3B1" w14:textId="77777777">
        <w:tc>
          <w:tcPr>
            <w:tcW w:w="2301" w:type="dxa"/>
            <w:tcBorders>
              <w:top w:val="single" w:sz="4" w:space="0" w:color="000000"/>
              <w:left w:val="single" w:sz="4" w:space="0" w:color="000000"/>
              <w:bottom w:val="single" w:sz="4" w:space="0" w:color="000000"/>
            </w:tcBorders>
          </w:tcPr>
          <w:p w14:paraId="15AA436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AVAC </w:t>
            </w:r>
          </w:p>
        </w:tc>
        <w:tc>
          <w:tcPr>
            <w:tcW w:w="1171" w:type="dxa"/>
            <w:tcBorders>
              <w:top w:val="single" w:sz="4" w:space="0" w:color="000000"/>
              <w:left w:val="single" w:sz="4" w:space="0" w:color="000000"/>
              <w:bottom w:val="single" w:sz="4" w:space="0" w:color="000000"/>
            </w:tcBorders>
          </w:tcPr>
          <w:p w14:paraId="3FE9485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11,01 AVAC</w:t>
            </w:r>
          </w:p>
        </w:tc>
        <w:tc>
          <w:tcPr>
            <w:tcW w:w="1349" w:type="dxa"/>
            <w:tcBorders>
              <w:top w:val="single" w:sz="4" w:space="0" w:color="000000"/>
              <w:left w:val="single" w:sz="4" w:space="0" w:color="000000"/>
              <w:bottom w:val="single" w:sz="4" w:space="0" w:color="000000"/>
            </w:tcBorders>
          </w:tcPr>
          <w:p w14:paraId="7388539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10,57 AVAC</w:t>
            </w:r>
          </w:p>
        </w:tc>
        <w:tc>
          <w:tcPr>
            <w:tcW w:w="4129" w:type="dxa"/>
            <w:tcBorders>
              <w:top w:val="single" w:sz="4" w:space="0" w:color="000000"/>
              <w:left w:val="single" w:sz="4" w:space="0" w:color="000000"/>
              <w:bottom w:val="single" w:sz="4" w:space="0" w:color="000000"/>
              <w:right w:val="single" w:sz="4" w:space="0" w:color="000000"/>
            </w:tcBorders>
          </w:tcPr>
          <w:p w14:paraId="4FFAE37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Incremento AVAC por paciente    0,44 AVAC ganados </w:t>
            </w:r>
          </w:p>
        </w:tc>
      </w:tr>
      <w:tr w:rsidR="00634CDF" w14:paraId="1172AA77" w14:textId="77777777">
        <w:tc>
          <w:tcPr>
            <w:tcW w:w="2301" w:type="dxa"/>
            <w:tcBorders>
              <w:top w:val="single" w:sz="4" w:space="0" w:color="000000"/>
              <w:left w:val="single" w:sz="4" w:space="0" w:color="000000"/>
              <w:bottom w:val="single" w:sz="4" w:space="0" w:color="000000"/>
            </w:tcBorders>
          </w:tcPr>
          <w:p w14:paraId="5238B33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Utilidad calculada </w:t>
            </w:r>
          </w:p>
        </w:tc>
        <w:tc>
          <w:tcPr>
            <w:tcW w:w="1171" w:type="dxa"/>
            <w:tcBorders>
              <w:top w:val="single" w:sz="4" w:space="0" w:color="000000"/>
              <w:left w:val="single" w:sz="4" w:space="0" w:color="000000"/>
              <w:bottom w:val="single" w:sz="4" w:space="0" w:color="000000"/>
            </w:tcBorders>
          </w:tcPr>
          <w:p w14:paraId="6441014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0,92</w:t>
            </w:r>
          </w:p>
        </w:tc>
        <w:tc>
          <w:tcPr>
            <w:tcW w:w="1349" w:type="dxa"/>
            <w:tcBorders>
              <w:top w:val="single" w:sz="4" w:space="0" w:color="000000"/>
              <w:left w:val="single" w:sz="4" w:space="0" w:color="000000"/>
              <w:bottom w:val="single" w:sz="4" w:space="0" w:color="000000"/>
            </w:tcBorders>
          </w:tcPr>
          <w:p w14:paraId="2CD9E92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0,92</w:t>
            </w:r>
          </w:p>
        </w:tc>
        <w:tc>
          <w:tcPr>
            <w:tcW w:w="4129" w:type="dxa"/>
            <w:tcBorders>
              <w:top w:val="single" w:sz="4" w:space="0" w:color="000000"/>
              <w:left w:val="single" w:sz="4" w:space="0" w:color="000000"/>
              <w:bottom w:val="single" w:sz="4" w:space="0" w:color="000000"/>
              <w:right w:val="single" w:sz="4" w:space="0" w:color="000000"/>
            </w:tcBorders>
          </w:tcPr>
          <w:p w14:paraId="3ED1CB5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w:t>
            </w:r>
          </w:p>
        </w:tc>
      </w:tr>
      <w:tr w:rsidR="00634CDF" w14:paraId="592EFD86" w14:textId="77777777">
        <w:tc>
          <w:tcPr>
            <w:tcW w:w="4821" w:type="dxa"/>
            <w:gridSpan w:val="3"/>
            <w:tcBorders>
              <w:top w:val="single" w:sz="4" w:space="0" w:color="000000"/>
              <w:left w:val="single" w:sz="4" w:space="0" w:color="000000"/>
              <w:bottom w:val="single" w:sz="4" w:space="0" w:color="000000"/>
            </w:tcBorders>
            <w:shd w:val="clear" w:color="auto" w:fill="D9D9D9"/>
          </w:tcPr>
          <w:p w14:paraId="7702533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 xml:space="preserve">RATIO  DE COSTE EFECTIVIDAD INCREMENTAL </w:t>
            </w:r>
          </w:p>
        </w:tc>
        <w:tc>
          <w:tcPr>
            <w:tcW w:w="4129" w:type="dxa"/>
            <w:tcBorders>
              <w:top w:val="single" w:sz="4" w:space="0" w:color="000000"/>
              <w:left w:val="single" w:sz="4" w:space="0" w:color="000000"/>
              <w:bottom w:val="single" w:sz="4" w:space="0" w:color="000000"/>
              <w:right w:val="single" w:sz="4" w:space="0" w:color="000000"/>
            </w:tcBorders>
            <w:shd w:val="clear" w:color="auto" w:fill="D9D9D9"/>
          </w:tcPr>
          <w:p w14:paraId="2F4084A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 xml:space="preserve">RCEI </w:t>
            </w:r>
          </w:p>
        </w:tc>
      </w:tr>
      <w:tr w:rsidR="00634CDF" w14:paraId="32E7D5FB" w14:textId="77777777">
        <w:tc>
          <w:tcPr>
            <w:tcW w:w="4821" w:type="dxa"/>
            <w:gridSpan w:val="3"/>
            <w:tcBorders>
              <w:top w:val="single" w:sz="4" w:space="0" w:color="000000"/>
              <w:left w:val="single" w:sz="4" w:space="0" w:color="000000"/>
              <w:bottom w:val="single" w:sz="4" w:space="0" w:color="000000"/>
            </w:tcBorders>
          </w:tcPr>
          <w:p w14:paraId="7AC0D03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Caso base</w:t>
            </w:r>
          </w:p>
        </w:tc>
        <w:tc>
          <w:tcPr>
            <w:tcW w:w="4129" w:type="dxa"/>
            <w:tcBorders>
              <w:top w:val="single" w:sz="4" w:space="0" w:color="000000"/>
              <w:left w:val="single" w:sz="4" w:space="0" w:color="000000"/>
              <w:bottom w:val="single" w:sz="4" w:space="0" w:color="000000"/>
              <w:right w:val="single" w:sz="4" w:space="0" w:color="000000"/>
            </w:tcBorders>
          </w:tcPr>
          <w:p w14:paraId="5202078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120.540€ / AVG  ó 128.740 € / AVAC ganado</w:t>
            </w:r>
          </w:p>
        </w:tc>
      </w:tr>
      <w:tr w:rsidR="00634CDF" w14:paraId="761C1D69" w14:textId="77777777">
        <w:tc>
          <w:tcPr>
            <w:tcW w:w="4821" w:type="dxa"/>
            <w:gridSpan w:val="3"/>
            <w:tcBorders>
              <w:top w:val="single" w:sz="4" w:space="0" w:color="000000"/>
              <w:left w:val="single" w:sz="4" w:space="0" w:color="000000"/>
              <w:bottom w:val="single" w:sz="4" w:space="0" w:color="000000"/>
            </w:tcBorders>
          </w:tcPr>
          <w:p w14:paraId="0308D56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Otros escenarios de interés(análisis de sensibilidad asumiendo relación entre C-LDL y morbimortalidad de inhibidores PCSK9)</w:t>
            </w:r>
          </w:p>
        </w:tc>
        <w:tc>
          <w:tcPr>
            <w:tcW w:w="4129" w:type="dxa"/>
            <w:tcBorders>
              <w:top w:val="single" w:sz="4" w:space="0" w:color="000000"/>
              <w:left w:val="single" w:sz="4" w:space="0" w:color="000000"/>
              <w:bottom w:val="single" w:sz="4" w:space="0" w:color="000000"/>
              <w:right w:val="single" w:sz="4" w:space="0" w:color="000000"/>
            </w:tcBorders>
          </w:tcPr>
          <w:p w14:paraId="04EF946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433.780€ / AVG o ó  428.040 € / AVAC ganado</w:t>
            </w:r>
          </w:p>
        </w:tc>
      </w:tr>
      <w:tr w:rsidR="00634CDF" w14:paraId="58ABC01D" w14:textId="77777777">
        <w:tc>
          <w:tcPr>
            <w:tcW w:w="8950" w:type="dxa"/>
            <w:gridSpan w:val="4"/>
            <w:tcBorders>
              <w:top w:val="single" w:sz="4" w:space="0" w:color="000000"/>
              <w:left w:val="single" w:sz="4" w:space="0" w:color="000000"/>
              <w:bottom w:val="single" w:sz="4" w:space="0" w:color="000000"/>
              <w:right w:val="single" w:sz="4" w:space="0" w:color="000000"/>
            </w:tcBorders>
            <w:shd w:val="clear" w:color="auto" w:fill="DDDDDD"/>
          </w:tcPr>
          <w:p w14:paraId="2FA1439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Cambio de dólares americanos a euro a fecha 16/06/2021 1 dólar americano= 0,82 euros.</w:t>
            </w:r>
          </w:p>
        </w:tc>
      </w:tr>
    </w:tbl>
    <w:p w14:paraId="4FF60FD2"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DC9CBB9" w14:textId="44B81C7F"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La población incluida para la realización de este modelo se basó en la población de la encuesta </w:t>
      </w:r>
      <w:r w:rsidR="00D30540">
        <w:rPr>
          <w:rFonts w:ascii="Arial" w:eastAsia="Arial" w:hAnsi="Arial" w:cs="Arial"/>
          <w:color w:val="000000"/>
          <w:sz w:val="20"/>
          <w:szCs w:val="20"/>
          <w:vertAlign w:val="baseline"/>
        </w:rPr>
        <w:t>NHANES (</w:t>
      </w:r>
      <w:r>
        <w:rPr>
          <w:rFonts w:ascii="Arial" w:eastAsia="Arial" w:hAnsi="Arial" w:cs="Arial"/>
          <w:sz w:val="20"/>
          <w:szCs w:val="20"/>
          <w:vertAlign w:val="baseline"/>
        </w:rPr>
        <w:t>37</w:t>
      </w:r>
      <w:r>
        <w:rPr>
          <w:rFonts w:ascii="Arial" w:eastAsia="Arial" w:hAnsi="Arial" w:cs="Arial"/>
          <w:color w:val="000000"/>
          <w:sz w:val="20"/>
          <w:szCs w:val="20"/>
          <w:vertAlign w:val="baseline"/>
        </w:rPr>
        <w:t>)</w:t>
      </w:r>
      <w:r>
        <w:rPr>
          <w:rFonts w:ascii="Arial" w:eastAsia="Arial" w:hAnsi="Arial" w:cs="Arial"/>
          <w:sz w:val="20"/>
          <w:szCs w:val="20"/>
          <w:vertAlign w:val="baseline"/>
        </w:rPr>
        <w:t xml:space="preserve"> </w:t>
      </w:r>
      <w:r>
        <w:rPr>
          <w:rFonts w:ascii="Arial" w:eastAsia="Arial" w:hAnsi="Arial" w:cs="Arial"/>
          <w:color w:val="000000"/>
          <w:sz w:val="20"/>
          <w:szCs w:val="20"/>
          <w:vertAlign w:val="baseline"/>
        </w:rPr>
        <w:t xml:space="preserve">(datos agrupados entre los años 2009-2016): </w:t>
      </w:r>
    </w:p>
    <w:p w14:paraId="31994948" w14:textId="0277A81A" w:rsidR="00634CDF" w:rsidRDefault="00F0051D">
      <w:pPr>
        <w:numPr>
          <w:ilvl w:val="0"/>
          <w:numId w:val="1"/>
        </w:num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Pacientes con enfermedad cardiovascular </w:t>
      </w:r>
      <w:r w:rsidR="00D30540">
        <w:rPr>
          <w:rFonts w:ascii="Arial" w:eastAsia="Arial" w:hAnsi="Arial" w:cs="Arial"/>
          <w:color w:val="000000"/>
          <w:sz w:val="20"/>
          <w:szCs w:val="20"/>
          <w:vertAlign w:val="baseline"/>
        </w:rPr>
        <w:t>establecida (</w:t>
      </w:r>
      <w:r>
        <w:rPr>
          <w:rFonts w:ascii="Arial" w:eastAsia="Arial" w:hAnsi="Arial" w:cs="Arial"/>
          <w:color w:val="000000"/>
          <w:sz w:val="20"/>
          <w:szCs w:val="20"/>
          <w:vertAlign w:val="baseline"/>
        </w:rPr>
        <w:t>o riesgo equivalente).</w:t>
      </w:r>
    </w:p>
    <w:p w14:paraId="609D1729" w14:textId="4575A509" w:rsidR="00634CDF" w:rsidRPr="00D30540" w:rsidRDefault="00F0051D">
      <w:pPr>
        <w:numPr>
          <w:ilvl w:val="0"/>
          <w:numId w:val="1"/>
        </w:num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sidRPr="00D30540">
        <w:rPr>
          <w:rFonts w:ascii="Arial" w:eastAsia="Arial" w:hAnsi="Arial" w:cs="Arial"/>
          <w:color w:val="000000"/>
          <w:sz w:val="20"/>
          <w:szCs w:val="20"/>
          <w:vertAlign w:val="baseline"/>
        </w:rPr>
        <w:t>C-LDL≥70 mg/dL a pesar de dosis máximas toleradas. A los pacientes que no tomaban ezetimiba se les realizó una simulación para estimar el C-LDL que tendrían añadiendoles el fármaco (asumiendo una disminución del 23,5% en C-LDL con respecto al basal). Si seguían con C-LDL≥70 mg/dL se incluyeron en la simulación.</w:t>
      </w:r>
    </w:p>
    <w:p w14:paraId="058E6F18" w14:textId="77777777" w:rsidR="00634CDF" w:rsidRDefault="00F0051D">
      <w:pPr>
        <w:numPr>
          <w:ilvl w:val="0"/>
          <w:numId w:val="1"/>
        </w:numPr>
        <w:pBdr>
          <w:top w:val="nil"/>
          <w:left w:val="nil"/>
          <w:bottom w:val="nil"/>
          <w:right w:val="nil"/>
          <w:between w:val="nil"/>
        </w:pBdr>
        <w:spacing w:line="240" w:lineRule="auto"/>
        <w:ind w:left="0" w:hanging="2"/>
        <w:jc w:val="both"/>
        <w:rPr>
          <w:rFonts w:ascii="Arial" w:eastAsia="Arial" w:hAnsi="Arial" w:cs="Arial"/>
          <w:color w:val="000000"/>
          <w:vertAlign w:val="baseline"/>
        </w:rPr>
      </w:pPr>
      <w:r>
        <w:rPr>
          <w:rFonts w:ascii="Arial" w:eastAsia="Arial" w:hAnsi="Arial" w:cs="Arial"/>
          <w:color w:val="000000"/>
          <w:sz w:val="20"/>
          <w:szCs w:val="20"/>
          <w:vertAlign w:val="baseline"/>
        </w:rPr>
        <w:t>C-LDL mediana de 88,8 mg/dL.</w:t>
      </w:r>
    </w:p>
    <w:p w14:paraId="44488E1C" w14:textId="77777777" w:rsidR="00634CDF" w:rsidRDefault="00F0051D">
      <w:pPr>
        <w:numPr>
          <w:ilvl w:val="0"/>
          <w:numId w:val="1"/>
        </w:num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Edad mediana 66 años. </w:t>
      </w:r>
    </w:p>
    <w:p w14:paraId="2E80B053" w14:textId="77777777" w:rsidR="00634CDF" w:rsidRDefault="00F0051D">
      <w:pPr>
        <w:numPr>
          <w:ilvl w:val="0"/>
          <w:numId w:val="1"/>
        </w:num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lastRenderedPageBreak/>
        <w:t>Se asumió un 10% de pacientes con intolerancia a estatinas.</w:t>
      </w:r>
    </w:p>
    <w:p w14:paraId="19F92610"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0635F95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Se especificaron algunos subgrupos dentro de la población de estudio. Estos fueron: pacientes con hipercolesterolemia familiar heterocigótica con enfermedad cardiovascular aterosclerótica establecida, pacientes con intolerancia a estatinas y pacientes con un síndrome coronario agudo(SCA) en el año anterior.</w:t>
      </w:r>
    </w:p>
    <w:p w14:paraId="5FAB9463"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546877A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La intervención fue inclisiran (dos inyecciones anuales) añadido a la terapia con estatinas y ezetimiba frente a estatinas y ezetimiba. Para la porción de pacientes intolerantes a estatinas(10%) el comparador fue ezetimiba sola.</w:t>
      </w:r>
    </w:p>
    <w:p w14:paraId="46C210E9"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E0FA80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En el modelo existían las siguientes transiciones: historia de SCA, historia de ictus, historia de SCA+ictus, historia de enfermedad cardiovascular ateroesclerótica distinta de SCA e ictus, muerte cardiovascular y muerte no cardiovascular. Los riesgos para cada transición se obtuvieron de los resultados obtenidos de un metanálisis compuesto por 26 ensayos clínicos que involucran a 170.000 participantes (Cholesterol treatment trialists collaboration; CTTC) (</w:t>
      </w:r>
      <w:r>
        <w:rPr>
          <w:rFonts w:ascii="Arial" w:eastAsia="Arial" w:hAnsi="Arial" w:cs="Arial"/>
          <w:sz w:val="20"/>
          <w:szCs w:val="20"/>
          <w:vertAlign w:val="baseline"/>
        </w:rPr>
        <w:t>10</w:t>
      </w:r>
      <w:r>
        <w:rPr>
          <w:rFonts w:ascii="Arial" w:eastAsia="Arial" w:hAnsi="Arial" w:cs="Arial"/>
          <w:color w:val="000000"/>
          <w:sz w:val="20"/>
          <w:szCs w:val="20"/>
          <w:vertAlign w:val="baseline"/>
        </w:rPr>
        <w:t>) así como de otros ensayos clínicos y estudios epidemiológicos americanos.</w:t>
      </w:r>
    </w:p>
    <w:p w14:paraId="59AE68F7"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2FDA3B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Para correlacionar la eficacia de inclisiran sobre las variables cardiovasculares se emplearon los valores de CTTC que correlacionan reducción de C-LDL con morbimortalidad (tasa de SCA, tasa de ictus, mortalidad cardiovascular y ratio de revascularización electiva). La disminución de C-LDL se asumió igual a la que obtuvieron los autores al realizar un metanálisis con los datos de ORION-9, ORION-10 y ORION-11.</w:t>
      </w:r>
    </w:p>
    <w:p w14:paraId="277DC6F2"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F45FF3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Los valores de utilidad se obtuvieron de varias publicaciones anteriores (</w:t>
      </w:r>
      <w:r>
        <w:rPr>
          <w:rFonts w:ascii="Arial" w:eastAsia="Arial" w:hAnsi="Arial" w:cs="Arial"/>
          <w:sz w:val="20"/>
          <w:szCs w:val="20"/>
          <w:vertAlign w:val="baseline"/>
        </w:rPr>
        <w:t>38-41).</w:t>
      </w:r>
      <w:r>
        <w:rPr>
          <w:rFonts w:ascii="Arial" w:eastAsia="Arial" w:hAnsi="Arial" w:cs="Arial"/>
          <w:i/>
          <w:sz w:val="20"/>
          <w:szCs w:val="20"/>
          <w:vertAlign w:val="baseline"/>
        </w:rPr>
        <w:t xml:space="preserve"> </w:t>
      </w:r>
      <w:r>
        <w:rPr>
          <w:rFonts w:ascii="Arial" w:eastAsia="Arial" w:hAnsi="Arial" w:cs="Arial"/>
          <w:color w:val="000000"/>
          <w:sz w:val="20"/>
          <w:szCs w:val="20"/>
          <w:vertAlign w:val="baseline"/>
        </w:rPr>
        <w:t xml:space="preserve">Se incluyeron descuentos en la utilidad debido a eventos de seguridad. Inclisiran es un fármaco con pocos efectos adversos graves y los más frecuentes son reacciones en el sitio de inyección; se asumió una reducción de utilidad de 0,0003 basándose en otras publicaciones económicas anteriores. </w:t>
      </w:r>
    </w:p>
    <w:p w14:paraId="5B5DB262"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349130A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El coste anual de inclisiran se asumió como el coste anual de los inhibidores PCSK9 en EE.UU. No se introdujeron costes asociados a las reacciones en el sitio de inyección. Los costes relacionados con la enfermedad se obtuvieron de dos fuentes principales: National Inpatient Sample y Medical Expenditure Panel Survey.</w:t>
      </w:r>
    </w:p>
    <w:p w14:paraId="4104EC82"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74F20FA4" w14:textId="511A56E6"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Se realizó un análisis de sensibilidad con 1.000 simulaciones introduciendo parámetros de incertidumbre y rangos razonables para analizar la incertidumbre y el impacto de algunos factores clave en el modelo. </w:t>
      </w:r>
      <w:r w:rsidR="00B21A97">
        <w:rPr>
          <w:rFonts w:ascii="Arial" w:eastAsia="Arial" w:hAnsi="Arial" w:cs="Arial"/>
          <w:color w:val="000000"/>
          <w:sz w:val="20"/>
          <w:szCs w:val="20"/>
          <w:vertAlign w:val="baseline"/>
        </w:rPr>
        <w:t>Además,</w:t>
      </w:r>
      <w:r>
        <w:rPr>
          <w:rFonts w:ascii="Arial" w:eastAsia="Arial" w:hAnsi="Arial" w:cs="Arial"/>
          <w:color w:val="000000"/>
          <w:sz w:val="20"/>
          <w:szCs w:val="20"/>
          <w:vertAlign w:val="baseline"/>
        </w:rPr>
        <w:t xml:space="preserve"> se hizo un análisis de sensibilidad modificando el precio de inclisiran para alcanzar umbrales de coste-efectividad de 41.000, 82.000, 123.000, 164.000 y 205.000 euros por AVAC ganado y AVG. Por último, también se realizó un análisis de sensibilidad asumiendo una relación entre C-LDL y morbimortalidad similar a la de los inhibidores PCSK9 obtenida mediante un metanálisis.</w:t>
      </w:r>
    </w:p>
    <w:p w14:paraId="054EED4F"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3FF2A460" w14:textId="133384DD"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Los resultados del caso base indican que inclisiran consigue un RCEI para la población incluida en el modelo de 128.740 €/AVAC ganado.  Este RCEI se reduce si se consideran específicamente a los pacientes con hipercolesterolemia familiar heterocigótica a 68.880 € / AVAC ganado y en los pacientes con intolerancia a estatinas con un RCEI de 84.460 € / AVAC ganado. Sin </w:t>
      </w:r>
      <w:r w:rsidR="00B21A97">
        <w:rPr>
          <w:rFonts w:ascii="Arial" w:eastAsia="Arial" w:hAnsi="Arial" w:cs="Arial"/>
          <w:color w:val="000000"/>
          <w:sz w:val="20"/>
          <w:szCs w:val="20"/>
          <w:vertAlign w:val="baseline"/>
        </w:rPr>
        <w:t>embargo,</w:t>
      </w:r>
      <w:r>
        <w:rPr>
          <w:rFonts w:ascii="Arial" w:eastAsia="Arial" w:hAnsi="Arial" w:cs="Arial"/>
          <w:color w:val="000000"/>
          <w:sz w:val="20"/>
          <w:szCs w:val="20"/>
          <w:vertAlign w:val="baseline"/>
        </w:rPr>
        <w:t xml:space="preserve"> esta reducción no es tan elevada para los pacientes con un SCA reciente, siendo este de 120.540 € / AVAC ganado.</w:t>
      </w:r>
    </w:p>
    <w:p w14:paraId="5A98C4F3"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31C8827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En el análisis de sensibilidad por umbrales, un 0% de los casos son coste-efectivos para el umbral de 41.000 € / AVAC ganado y para el umbral de 82.000 € / AVAC ganado. Un 35,9% fue coste-efectivo para el umbral 123.000€ / AVAC ganado. Por último, un 90,3% y 98,9% lo fueron para los umbrales 164.000 y 205.000 € / AVAC ganado.</w:t>
      </w:r>
    </w:p>
    <w:p w14:paraId="744196B8"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El análisis de sensibilidad que asume la reducción de morbimortalidad de los inhibidores PCSK9 obtuvo un RCEI de 428.040 € / AVAC ganado.</w:t>
      </w:r>
    </w:p>
    <w:p w14:paraId="1340175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CCC403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Revisión crítica y aplicabilidad del estudio</w:t>
      </w:r>
    </w:p>
    <w:p w14:paraId="62C969F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lastRenderedPageBreak/>
        <w:t xml:space="preserve">Este análisis farmacoeconómico tiene también algunas limitaciones. La principal vuelve a ser que para el análisis del caso base se asume la correlación entre la reducción de C-LDL y la reducción de morbimortalidad de los datos del CTTC, metánalisis basado en el tratamiento con estatinas. Asumen que la relación entre la reducción de LDL y la reducción en riesgo CV es lineal, independiente de los valores de LDL basales y aplicable a terapia con estatinas y no estatinas.  Esta correlación no está confirmada en inclisiran. Conociendo esta potencial limitación los autores intentan paliar con la inclusión de un análisis de sensibilidad que tiene en cuenta la morbimortalidad asociada a la reducción de C-LDL de los ensayos FOURIER y ODYSSEY OUTCOMES de los inhibidores PCSK9 obteniendo un RCEI que se multiplica por más de 3 veces (128.740€ vs. 428.040€). Esta gran diferencia del RCEI implica que existe una gran incertidumbre sobre el coste-efectividad debido a que no existen aún datos de variables finales ni existe aún un precio para inclisiran con el que poder hacer un análisis más acertado.  </w:t>
      </w:r>
    </w:p>
    <w:p w14:paraId="63F3ABC1"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61108B2" w14:textId="06A1AA6B"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La población utilizada en la simulación es más representativa que la del anterior estudio por ser población real con enfermedad aterosclerótica establecida cuyos datos fueron obtenidos de encuestas nacionales estadounidenses, lo cual es importante de cara a la aplicabilidad de los resultados. Sin embargo, esta población puede ser sustancialmente diferente a la española en cuanto a riesgos, comorbilidad, etc. Además, la población con intolerancia a estatinas se estima en un 10% en este estudio. Este porcentaje es muy variable según el medio considerado. En una encuesta del año 2015 (</w:t>
      </w:r>
      <w:r>
        <w:rPr>
          <w:rFonts w:ascii="Arial" w:eastAsia="Arial" w:hAnsi="Arial" w:cs="Arial"/>
          <w:sz w:val="20"/>
          <w:szCs w:val="20"/>
          <w:vertAlign w:val="baseline"/>
        </w:rPr>
        <w:t>42</w:t>
      </w:r>
      <w:r>
        <w:rPr>
          <w:rFonts w:ascii="Arial" w:eastAsia="Arial" w:hAnsi="Arial" w:cs="Arial"/>
          <w:color w:val="000000"/>
          <w:sz w:val="20"/>
          <w:szCs w:val="20"/>
          <w:vertAlign w:val="baseline"/>
        </w:rPr>
        <w:t xml:space="preserve">) se estima que la media de pacientes intolerantes a estatinas es de un 6%, sin </w:t>
      </w:r>
      <w:r w:rsidR="009F44EF">
        <w:rPr>
          <w:rFonts w:ascii="Arial" w:eastAsia="Arial" w:hAnsi="Arial" w:cs="Arial"/>
          <w:color w:val="000000"/>
          <w:sz w:val="20"/>
          <w:szCs w:val="20"/>
          <w:vertAlign w:val="baseline"/>
        </w:rPr>
        <w:t>embargo,</w:t>
      </w:r>
      <w:r>
        <w:rPr>
          <w:rFonts w:ascii="Arial" w:eastAsia="Arial" w:hAnsi="Arial" w:cs="Arial"/>
          <w:color w:val="000000"/>
          <w:sz w:val="20"/>
          <w:szCs w:val="20"/>
          <w:vertAlign w:val="baseline"/>
        </w:rPr>
        <w:t xml:space="preserve"> fue de un 12% para </w:t>
      </w:r>
      <w:r w:rsidR="009F44EF">
        <w:rPr>
          <w:rFonts w:ascii="Arial" w:eastAsia="Arial" w:hAnsi="Arial" w:cs="Arial"/>
          <w:color w:val="000000"/>
          <w:sz w:val="20"/>
          <w:szCs w:val="20"/>
          <w:vertAlign w:val="baseline"/>
        </w:rPr>
        <w:t>EE. UU</w:t>
      </w:r>
      <w:r>
        <w:rPr>
          <w:rFonts w:ascii="Arial" w:eastAsia="Arial" w:hAnsi="Arial" w:cs="Arial"/>
          <w:color w:val="000000"/>
          <w:sz w:val="20"/>
          <w:szCs w:val="20"/>
          <w:vertAlign w:val="baseline"/>
        </w:rPr>
        <w:t xml:space="preserve"> y de tan solo un 2% en España. Considerar un 10% de pacientes intolerantes a estatinas en la simulación (para el que se asume un mayor riesgo cardiovascular) podría sobreestimar el efecto de inclisiran en el análisis si lo extrapolamos a nuestro medio. Además, algunos pacientes “intolerantes” pueden tolerar dosis intermedias o bajas dosis de estatinas. En la simulación no se incluyó el posible efecto que introducirían estas pequeñas dosis sobre el C-LDL inicial y en consecuencia sobre el riesgo cardiovascular inicial de estos pacientes. Esto también podría tener consecuencias a la hora de interpretar los resultados. </w:t>
      </w:r>
    </w:p>
    <w:p w14:paraId="268758A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Otro aspecto a considerar acerca de la población es que se desconoce en qué proporción permanece el riesgo cardiovascular de los pacientes con hipercolesterolemia familiar heterocigótica en prevención secundaria como los mismos autores comentan. </w:t>
      </w:r>
    </w:p>
    <w:p w14:paraId="315FC24D"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1ADC516"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En cuanto al comparador, parece más adecuado que hubiese sido algún inhibidor PCSK9 que actualmente constituye la práctica clínica habitual en la población elegible en este estudio (pacientes con enfermedad aterosclerótica establecida que necesitan terapia adicional para conseguir objetivos de C-LDL). Los autores plantean que los resultados de este estudio serán comparados cualitativamente con los de estos.</w:t>
      </w:r>
    </w:p>
    <w:p w14:paraId="426EB0E9"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B85C545" w14:textId="50C8FB94"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Las variables del estudio son las habituales en análisis farmacoeconómicos (AVAC, AVG) y la variable clínica es la variable compuesta escogida en los principales ensayos de hipolipemiantes (Major Adverse Cardiovascular Events</w:t>
      </w:r>
      <w:r w:rsidR="00B00408">
        <w:rPr>
          <w:rFonts w:ascii="Arial" w:eastAsia="Arial" w:hAnsi="Arial" w:cs="Arial"/>
          <w:color w:val="000000"/>
          <w:sz w:val="20"/>
          <w:szCs w:val="20"/>
          <w:vertAlign w:val="baseline"/>
        </w:rPr>
        <w:t xml:space="preserve">, </w:t>
      </w:r>
      <w:r>
        <w:rPr>
          <w:rFonts w:ascii="Arial" w:eastAsia="Arial" w:hAnsi="Arial" w:cs="Arial"/>
          <w:color w:val="000000"/>
          <w:sz w:val="20"/>
          <w:szCs w:val="20"/>
          <w:vertAlign w:val="baseline"/>
        </w:rPr>
        <w:t>MACE).</w:t>
      </w:r>
    </w:p>
    <w:p w14:paraId="45EDADC0"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A2F75B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También existen diferencias en los costes de utilidad y de los fármacos, que pueden variar entre EE.UU. y España que tienen sistemas sanitarios radicalmente distintos, alterando la interpretación e inferencia de este estudio en nuestro país.</w:t>
      </w:r>
    </w:p>
    <w:p w14:paraId="19C4CF72"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E56FE97" w14:textId="3EA17490"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Como conclusión, parece que existe mejor relación coste-efectividad en pacientes que tienen alto riesgo (en </w:t>
      </w:r>
      <w:r w:rsidR="00D30540">
        <w:rPr>
          <w:rFonts w:ascii="Arial" w:eastAsia="Arial" w:hAnsi="Arial" w:cs="Arial"/>
          <w:color w:val="000000"/>
          <w:sz w:val="20"/>
          <w:szCs w:val="20"/>
          <w:vertAlign w:val="baseline"/>
        </w:rPr>
        <w:t>el análisis paciente</w:t>
      </w:r>
      <w:r>
        <w:rPr>
          <w:rFonts w:ascii="Arial" w:eastAsia="Arial" w:hAnsi="Arial" w:cs="Arial"/>
          <w:color w:val="000000"/>
          <w:sz w:val="20"/>
          <w:szCs w:val="20"/>
          <w:vertAlign w:val="baseline"/>
        </w:rPr>
        <w:t xml:space="preserve"> con intolerancia a estatinas y con hipercolesterolemia familiar heterocigótica) y por lo tanto dos posibles formas de mejorar la eficiencia del fármaco serían rebajar el precio o seleccionar pacientes de alto riesgo como los propios autores proponen.</w:t>
      </w:r>
    </w:p>
    <w:p w14:paraId="5A71A6D8" w14:textId="77777777" w:rsidR="00634CDF" w:rsidRDefault="00634CDF">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bookmarkStart w:id="67" w:name="_heading=h.3tbugp1" w:colFirst="0" w:colLast="0"/>
      <w:bookmarkEnd w:id="67"/>
    </w:p>
    <w:p w14:paraId="551A8AF4" w14:textId="77777777" w:rsidR="00634CDF" w:rsidRPr="001779CA" w:rsidRDefault="00F0051D">
      <w:pPr>
        <w:ind w:left="0" w:hanging="2"/>
        <w:jc w:val="both"/>
        <w:rPr>
          <w:vertAlign w:val="baseline"/>
          <w:lang w:val="en-US"/>
        </w:rPr>
      </w:pPr>
      <w:r w:rsidRPr="001779CA">
        <w:rPr>
          <w:rFonts w:ascii="Arial" w:eastAsia="Arial" w:hAnsi="Arial" w:cs="Arial"/>
          <w:b/>
          <w:sz w:val="20"/>
          <w:szCs w:val="20"/>
          <w:vertAlign w:val="baseline"/>
          <w:lang w:val="en-US"/>
        </w:rPr>
        <w:t>INFORME DEL SCOTTISH MEDICINE CONSORTIUM (SMC) (28)</w:t>
      </w:r>
    </w:p>
    <w:p w14:paraId="76518E5A" w14:textId="77777777" w:rsidR="00634CDF" w:rsidRPr="001779CA" w:rsidRDefault="00634CDF">
      <w:pPr>
        <w:ind w:left="0" w:hanging="2"/>
        <w:jc w:val="both"/>
        <w:rPr>
          <w:rFonts w:ascii="Arial" w:eastAsia="Arial" w:hAnsi="Arial" w:cs="Arial"/>
          <w:sz w:val="20"/>
          <w:szCs w:val="20"/>
          <w:vertAlign w:val="baseline"/>
          <w:lang w:val="en-US"/>
        </w:rPr>
      </w:pPr>
    </w:p>
    <w:tbl>
      <w:tblPr>
        <w:tblStyle w:val="aff2"/>
        <w:tblW w:w="8940" w:type="dxa"/>
        <w:tblInd w:w="25" w:type="dxa"/>
        <w:tblLayout w:type="fixed"/>
        <w:tblLook w:val="0000" w:firstRow="0" w:lastRow="0" w:firstColumn="0" w:lastColumn="0" w:noHBand="0" w:noVBand="0"/>
      </w:tblPr>
      <w:tblGrid>
        <w:gridCol w:w="1515"/>
        <w:gridCol w:w="1440"/>
        <w:gridCol w:w="1035"/>
        <w:gridCol w:w="1170"/>
        <w:gridCol w:w="1245"/>
        <w:gridCol w:w="2535"/>
      </w:tblGrid>
      <w:tr w:rsidR="00634CDF" w14:paraId="6C37FFCA" w14:textId="77777777">
        <w:tc>
          <w:tcPr>
            <w:tcW w:w="8940" w:type="dxa"/>
            <w:gridSpan w:val="6"/>
            <w:tcBorders>
              <w:top w:val="single" w:sz="4" w:space="0" w:color="000000"/>
              <w:left w:val="single" w:sz="4" w:space="0" w:color="000000"/>
              <w:bottom w:val="single" w:sz="4" w:space="0" w:color="000000"/>
              <w:right w:val="single" w:sz="4" w:space="0" w:color="000000"/>
            </w:tcBorders>
            <w:shd w:val="clear" w:color="auto" w:fill="CCFFCC"/>
          </w:tcPr>
          <w:p w14:paraId="31CEF920" w14:textId="77777777" w:rsidR="00634CDF" w:rsidRDefault="00F0051D">
            <w:pPr>
              <w:ind w:left="0" w:hanging="2"/>
              <w:rPr>
                <w:vertAlign w:val="baseline"/>
              </w:rPr>
            </w:pPr>
            <w:r>
              <w:rPr>
                <w:rFonts w:ascii="Arial" w:eastAsia="Arial" w:hAnsi="Arial" w:cs="Arial"/>
                <w:b/>
                <w:sz w:val="18"/>
                <w:szCs w:val="18"/>
                <w:vertAlign w:val="baseline"/>
              </w:rPr>
              <w:t>Tabla 25. 7.2.b.3 Tabla de extracción de datos de una evaluación económica publicada</w:t>
            </w:r>
          </w:p>
        </w:tc>
      </w:tr>
      <w:tr w:rsidR="00634CDF" w:rsidRPr="00F76F68" w14:paraId="7148EE61" w14:textId="77777777">
        <w:tc>
          <w:tcPr>
            <w:tcW w:w="8940" w:type="dxa"/>
            <w:gridSpan w:val="6"/>
            <w:tcBorders>
              <w:top w:val="single" w:sz="4" w:space="0" w:color="000000"/>
              <w:left w:val="single" w:sz="4" w:space="0" w:color="000000"/>
              <w:bottom w:val="single" w:sz="4" w:space="0" w:color="000000"/>
              <w:right w:val="single" w:sz="4" w:space="0" w:color="000000"/>
            </w:tcBorders>
            <w:shd w:val="clear" w:color="auto" w:fill="D9D9D9"/>
          </w:tcPr>
          <w:p w14:paraId="3B5CC6F1" w14:textId="77777777" w:rsidR="00634CDF" w:rsidRPr="001779CA" w:rsidRDefault="00F0051D">
            <w:pPr>
              <w:ind w:left="0" w:hanging="2"/>
              <w:rPr>
                <w:vertAlign w:val="baseline"/>
                <w:lang w:val="en-US"/>
              </w:rPr>
            </w:pPr>
            <w:r w:rsidRPr="001779CA">
              <w:rPr>
                <w:rFonts w:ascii="Arial" w:eastAsia="Arial" w:hAnsi="Arial" w:cs="Arial"/>
                <w:b/>
                <w:sz w:val="16"/>
                <w:szCs w:val="16"/>
                <w:vertAlign w:val="baseline"/>
                <w:lang w:val="en-US"/>
              </w:rPr>
              <w:t xml:space="preserve">Referencia: </w:t>
            </w:r>
            <w:r w:rsidRPr="001779CA">
              <w:rPr>
                <w:rFonts w:ascii="Arial" w:eastAsia="Arial" w:hAnsi="Arial" w:cs="Arial"/>
                <w:b/>
                <w:sz w:val="18"/>
                <w:szCs w:val="18"/>
                <w:vertAlign w:val="baseline"/>
                <w:lang w:val="en-US"/>
              </w:rPr>
              <w:t>.SCOTTISH MEDICINE CONSORTIUM(SMC) ASSESMENT FOR INCLISIRAN(LEQVIO) (28)</w:t>
            </w:r>
          </w:p>
        </w:tc>
      </w:tr>
      <w:tr w:rsidR="00634CDF" w14:paraId="2288C9D0" w14:textId="77777777">
        <w:tc>
          <w:tcPr>
            <w:tcW w:w="8940" w:type="dxa"/>
            <w:gridSpan w:val="6"/>
            <w:tcBorders>
              <w:top w:val="single" w:sz="4" w:space="0" w:color="000000"/>
              <w:left w:val="single" w:sz="4" w:space="0" w:color="000000"/>
              <w:bottom w:val="single" w:sz="4" w:space="0" w:color="000000"/>
              <w:right w:val="single" w:sz="4" w:space="0" w:color="000000"/>
            </w:tcBorders>
          </w:tcPr>
          <w:p w14:paraId="15EDEF7C" w14:textId="77777777" w:rsidR="00634CDF" w:rsidRDefault="00F0051D">
            <w:pPr>
              <w:ind w:left="0" w:hanging="2"/>
              <w:jc w:val="both"/>
              <w:rPr>
                <w:vertAlign w:val="baseline"/>
              </w:rPr>
            </w:pPr>
            <w:r>
              <w:rPr>
                <w:rFonts w:ascii="Arial" w:eastAsia="Arial" w:hAnsi="Arial" w:cs="Arial"/>
                <w:b/>
                <w:sz w:val="16"/>
                <w:szCs w:val="16"/>
                <w:vertAlign w:val="baseline"/>
              </w:rPr>
              <w:t xml:space="preserve">- Tipo de estudio: </w:t>
            </w:r>
            <w:r>
              <w:rPr>
                <w:rFonts w:ascii="Arial" w:eastAsia="Arial" w:hAnsi="Arial" w:cs="Arial"/>
                <w:sz w:val="16"/>
                <w:szCs w:val="16"/>
                <w:vertAlign w:val="baseline"/>
              </w:rPr>
              <w:t>Coste-utilidad.</w:t>
            </w:r>
          </w:p>
          <w:p w14:paraId="64091F6B" w14:textId="77777777" w:rsidR="00634CDF" w:rsidRDefault="00F0051D">
            <w:pPr>
              <w:ind w:left="0" w:hanging="2"/>
              <w:jc w:val="both"/>
              <w:rPr>
                <w:vertAlign w:val="baseline"/>
              </w:rPr>
            </w:pPr>
            <w:r>
              <w:rPr>
                <w:rFonts w:ascii="Arial" w:eastAsia="Arial" w:hAnsi="Arial" w:cs="Arial"/>
                <w:b/>
                <w:sz w:val="16"/>
                <w:szCs w:val="16"/>
                <w:vertAlign w:val="baseline"/>
              </w:rPr>
              <w:t xml:space="preserve">- Fuente de datos: </w:t>
            </w:r>
            <w:r>
              <w:rPr>
                <w:rFonts w:ascii="Arial" w:eastAsia="Arial" w:hAnsi="Arial" w:cs="Arial"/>
                <w:sz w:val="16"/>
                <w:szCs w:val="16"/>
                <w:vertAlign w:val="baseline"/>
              </w:rPr>
              <w:t>metanálisis en red aportado por la compañía.</w:t>
            </w:r>
          </w:p>
          <w:p w14:paraId="4D072EA0" w14:textId="77777777" w:rsidR="00634CDF" w:rsidRDefault="00F0051D">
            <w:pPr>
              <w:ind w:left="0" w:hanging="2"/>
              <w:jc w:val="both"/>
              <w:rPr>
                <w:vertAlign w:val="baseline"/>
              </w:rPr>
            </w:pPr>
            <w:r>
              <w:rPr>
                <w:rFonts w:ascii="Arial" w:eastAsia="Arial" w:hAnsi="Arial" w:cs="Arial"/>
                <w:b/>
                <w:sz w:val="16"/>
                <w:szCs w:val="16"/>
                <w:vertAlign w:val="baseline"/>
              </w:rPr>
              <w:t xml:space="preserve">- Modelización: </w:t>
            </w:r>
            <w:r>
              <w:rPr>
                <w:rFonts w:ascii="Arial" w:eastAsia="Arial" w:hAnsi="Arial" w:cs="Arial"/>
                <w:sz w:val="16"/>
                <w:szCs w:val="16"/>
                <w:vertAlign w:val="baseline"/>
              </w:rPr>
              <w:t>modelo de Markov.</w:t>
            </w:r>
          </w:p>
          <w:p w14:paraId="27949967" w14:textId="77777777" w:rsidR="00634CDF" w:rsidRDefault="00F0051D">
            <w:pPr>
              <w:ind w:left="0" w:hanging="2"/>
              <w:jc w:val="both"/>
              <w:rPr>
                <w:vertAlign w:val="baseline"/>
              </w:rPr>
            </w:pPr>
            <w:r>
              <w:rPr>
                <w:rFonts w:ascii="Arial" w:eastAsia="Arial" w:hAnsi="Arial" w:cs="Arial"/>
                <w:b/>
                <w:sz w:val="16"/>
                <w:szCs w:val="16"/>
                <w:vertAlign w:val="baseline"/>
              </w:rPr>
              <w:t xml:space="preserve">- Perspectiva: </w:t>
            </w:r>
            <w:r>
              <w:rPr>
                <w:rFonts w:ascii="Arial" w:eastAsia="Arial" w:hAnsi="Arial" w:cs="Arial"/>
                <w:sz w:val="16"/>
                <w:szCs w:val="16"/>
                <w:vertAlign w:val="baseline"/>
              </w:rPr>
              <w:t>sistema de salud escocés (NHS Scotland)</w:t>
            </w:r>
          </w:p>
          <w:p w14:paraId="0ACDBFC4" w14:textId="77777777" w:rsidR="00634CDF" w:rsidRDefault="00F0051D">
            <w:pPr>
              <w:ind w:left="0" w:hanging="2"/>
              <w:jc w:val="both"/>
              <w:rPr>
                <w:vertAlign w:val="baseline"/>
              </w:rPr>
            </w:pPr>
            <w:r>
              <w:rPr>
                <w:rFonts w:ascii="Arial" w:eastAsia="Arial" w:hAnsi="Arial" w:cs="Arial"/>
                <w:b/>
                <w:sz w:val="16"/>
                <w:szCs w:val="16"/>
                <w:vertAlign w:val="baseline"/>
              </w:rPr>
              <w:lastRenderedPageBreak/>
              <w:t>- Población del escenario base</w:t>
            </w:r>
            <w:r>
              <w:rPr>
                <w:rFonts w:ascii="Arial" w:eastAsia="Arial" w:hAnsi="Arial" w:cs="Arial"/>
                <w:sz w:val="16"/>
                <w:szCs w:val="16"/>
                <w:vertAlign w:val="baseline"/>
              </w:rPr>
              <w:t xml:space="preserve"> La población incluida es población real cuyas características basales fueron obtenidas de Clinical Practice Research Database. Se analizaron dos tipos de pacientes: </w:t>
            </w:r>
          </w:p>
          <w:p w14:paraId="1242704A" w14:textId="77777777" w:rsidR="00634CDF" w:rsidRDefault="00F0051D">
            <w:pPr>
              <w:numPr>
                <w:ilvl w:val="0"/>
                <w:numId w:val="3"/>
              </w:numPr>
              <w:ind w:left="0" w:hanging="2"/>
              <w:jc w:val="both"/>
            </w:pPr>
            <w:r>
              <w:rPr>
                <w:rFonts w:ascii="Arial" w:eastAsia="Arial" w:hAnsi="Arial" w:cs="Arial"/>
                <w:sz w:val="16"/>
                <w:szCs w:val="16"/>
                <w:vertAlign w:val="baseline"/>
              </w:rPr>
              <w:t>Pacientes con ECV con C-LDL&gt;100 mg/dl a pesar de dosis máximas de estatinas</w:t>
            </w:r>
          </w:p>
          <w:p w14:paraId="19DA6F32" w14:textId="77777777" w:rsidR="00634CDF" w:rsidRDefault="00F0051D">
            <w:pPr>
              <w:numPr>
                <w:ilvl w:val="0"/>
                <w:numId w:val="3"/>
              </w:numPr>
              <w:ind w:left="0" w:hanging="2"/>
              <w:jc w:val="both"/>
            </w:pPr>
            <w:r>
              <w:rPr>
                <w:rFonts w:ascii="Arial" w:eastAsia="Arial" w:hAnsi="Arial" w:cs="Arial"/>
                <w:sz w:val="16"/>
                <w:szCs w:val="16"/>
                <w:vertAlign w:val="baseline"/>
              </w:rPr>
              <w:t>Pacientes de alto riesgo que precisan prevención primaria con C-LDL&gt;154 mg/dl a pesar de dosis máximas toleradas de estatinas.</w:t>
            </w:r>
          </w:p>
          <w:p w14:paraId="6BE8A05C" w14:textId="77777777" w:rsidR="00634CDF" w:rsidRDefault="00F0051D">
            <w:pPr>
              <w:ind w:left="0" w:hanging="2"/>
              <w:jc w:val="both"/>
              <w:rPr>
                <w:vertAlign w:val="baseline"/>
              </w:rPr>
            </w:pPr>
            <w:r>
              <w:rPr>
                <w:rFonts w:ascii="Arial" w:eastAsia="Arial" w:hAnsi="Arial" w:cs="Arial"/>
                <w:b/>
                <w:sz w:val="16"/>
                <w:szCs w:val="16"/>
                <w:vertAlign w:val="baseline"/>
              </w:rPr>
              <w:t xml:space="preserve">- Variables principales de resultado: </w:t>
            </w:r>
            <w:r>
              <w:rPr>
                <w:rFonts w:ascii="Arial" w:eastAsia="Arial" w:hAnsi="Arial" w:cs="Arial"/>
                <w:sz w:val="16"/>
                <w:szCs w:val="16"/>
                <w:vertAlign w:val="baseline"/>
              </w:rPr>
              <w:t>RCEI, AVG y AVAC.</w:t>
            </w:r>
          </w:p>
          <w:p w14:paraId="565CE966" w14:textId="77777777" w:rsidR="00634CDF" w:rsidRDefault="00F0051D">
            <w:pPr>
              <w:ind w:left="0" w:hanging="2"/>
              <w:jc w:val="both"/>
              <w:rPr>
                <w:vertAlign w:val="baseline"/>
              </w:rPr>
            </w:pPr>
            <w:r>
              <w:rPr>
                <w:rFonts w:ascii="Arial" w:eastAsia="Arial" w:hAnsi="Arial" w:cs="Arial"/>
                <w:b/>
                <w:sz w:val="16"/>
                <w:szCs w:val="16"/>
                <w:vertAlign w:val="baseline"/>
              </w:rPr>
              <w:t>- Horizonte temporal:</w:t>
            </w:r>
            <w:r>
              <w:rPr>
                <w:rFonts w:ascii="Arial" w:eastAsia="Arial" w:hAnsi="Arial" w:cs="Arial"/>
                <w:sz w:val="16"/>
                <w:szCs w:val="16"/>
                <w:vertAlign w:val="baseline"/>
              </w:rPr>
              <w:t xml:space="preserve"> ciclo vital.</w:t>
            </w:r>
          </w:p>
          <w:p w14:paraId="4572D12F" w14:textId="77777777" w:rsidR="00634CDF" w:rsidRDefault="00F0051D">
            <w:pPr>
              <w:ind w:left="0" w:hanging="2"/>
              <w:jc w:val="both"/>
              <w:rPr>
                <w:vertAlign w:val="baseline"/>
              </w:rPr>
            </w:pPr>
            <w:r>
              <w:rPr>
                <w:rFonts w:ascii="Arial" w:eastAsia="Arial" w:hAnsi="Arial" w:cs="Arial"/>
                <w:b/>
                <w:sz w:val="16"/>
                <w:szCs w:val="16"/>
                <w:vertAlign w:val="baseline"/>
              </w:rPr>
              <w:t>- Costes incluidos en el estudio:</w:t>
            </w:r>
            <w:r>
              <w:rPr>
                <w:rFonts w:ascii="Arial" w:eastAsia="Arial" w:hAnsi="Arial" w:cs="Arial"/>
                <w:sz w:val="16"/>
                <w:szCs w:val="16"/>
                <w:vertAlign w:val="baseline"/>
              </w:rPr>
              <w:t xml:space="preserve"> Costes de adquisición del medicamento, costes atribuidos al manejo agudo y crónico de la ECV, costes de administración del medicamento (solo para inclisiran). No se incluyeron costes asociados a eventos adversos.</w:t>
            </w:r>
          </w:p>
          <w:p w14:paraId="60CFDDD3" w14:textId="77777777" w:rsidR="00634CDF" w:rsidRDefault="00F0051D">
            <w:pPr>
              <w:ind w:left="0" w:hanging="2"/>
              <w:jc w:val="both"/>
              <w:rPr>
                <w:vertAlign w:val="baseline"/>
              </w:rPr>
            </w:pPr>
            <w:r>
              <w:rPr>
                <w:rFonts w:ascii="Arial" w:eastAsia="Arial" w:hAnsi="Arial" w:cs="Arial"/>
                <w:b/>
                <w:sz w:val="16"/>
                <w:szCs w:val="16"/>
                <w:vertAlign w:val="baseline"/>
              </w:rPr>
              <w:t xml:space="preserve">- Fuente de costes unitarios (GRD, e-Salud): </w:t>
            </w:r>
            <w:r>
              <w:rPr>
                <w:rFonts w:ascii="Arial" w:eastAsia="Arial" w:hAnsi="Arial" w:cs="Arial"/>
                <w:sz w:val="16"/>
                <w:szCs w:val="16"/>
                <w:vertAlign w:val="baseline"/>
              </w:rPr>
              <w:t xml:space="preserve">El coste de inclisiran fue aportado por la compañía. El resto no se especifica. </w:t>
            </w:r>
          </w:p>
          <w:p w14:paraId="217DDB1E" w14:textId="77777777" w:rsidR="00634CDF" w:rsidRDefault="00F0051D">
            <w:pPr>
              <w:ind w:left="0" w:hanging="2"/>
              <w:jc w:val="both"/>
              <w:rPr>
                <w:vertAlign w:val="baseline"/>
              </w:rPr>
            </w:pPr>
            <w:r>
              <w:rPr>
                <w:rFonts w:ascii="Arial" w:eastAsia="Arial" w:hAnsi="Arial" w:cs="Arial"/>
                <w:b/>
                <w:sz w:val="16"/>
                <w:szCs w:val="16"/>
                <w:vertAlign w:val="baseline"/>
              </w:rPr>
              <w:t xml:space="preserve">- Tasa de descuento aplicada en costes y en resultados de salud: </w:t>
            </w:r>
            <w:r>
              <w:rPr>
                <w:rFonts w:ascii="Arial" w:eastAsia="Arial" w:hAnsi="Arial" w:cs="Arial"/>
                <w:sz w:val="16"/>
                <w:szCs w:val="16"/>
                <w:vertAlign w:val="baseline"/>
              </w:rPr>
              <w:t>no especificado.</w:t>
            </w:r>
          </w:p>
          <w:p w14:paraId="744BE437" w14:textId="77777777" w:rsidR="00634CDF" w:rsidRDefault="00F0051D">
            <w:pPr>
              <w:ind w:left="0" w:hanging="2"/>
              <w:jc w:val="both"/>
              <w:rPr>
                <w:vertAlign w:val="baseline"/>
              </w:rPr>
            </w:pPr>
            <w:r>
              <w:rPr>
                <w:rFonts w:ascii="Arial" w:eastAsia="Arial" w:hAnsi="Arial" w:cs="Arial"/>
                <w:b/>
                <w:sz w:val="16"/>
                <w:szCs w:val="16"/>
                <w:vertAlign w:val="baseline"/>
              </w:rPr>
              <w:t xml:space="preserve">- Valores de utilidad considerados: </w:t>
            </w:r>
            <w:r>
              <w:rPr>
                <w:rFonts w:ascii="Arial" w:eastAsia="Arial" w:hAnsi="Arial" w:cs="Arial"/>
                <w:sz w:val="16"/>
                <w:szCs w:val="16"/>
                <w:vertAlign w:val="baseline"/>
              </w:rPr>
              <w:t>Los estados de transición fueron: vivo, vivo con evento cardiovascular no fatal, muerte cardiovascular o por cualquier causa.</w:t>
            </w:r>
          </w:p>
          <w:p w14:paraId="1E7EF56A" w14:textId="77777777" w:rsidR="00634CDF" w:rsidRDefault="00F0051D">
            <w:pPr>
              <w:ind w:left="0" w:hanging="2"/>
              <w:jc w:val="both"/>
              <w:rPr>
                <w:vertAlign w:val="baseline"/>
              </w:rPr>
            </w:pPr>
            <w:r>
              <w:rPr>
                <w:rFonts w:ascii="Arial" w:eastAsia="Arial" w:hAnsi="Arial" w:cs="Arial"/>
                <w:b/>
                <w:sz w:val="16"/>
                <w:szCs w:val="16"/>
                <w:vertAlign w:val="baseline"/>
              </w:rPr>
              <w:t xml:space="preserve">- Análisis de sensibilidad: </w:t>
            </w:r>
            <w:r>
              <w:rPr>
                <w:rFonts w:ascii="Arial" w:eastAsia="Arial" w:hAnsi="Arial" w:cs="Arial"/>
                <w:sz w:val="16"/>
                <w:szCs w:val="16"/>
                <w:vertAlign w:val="baseline"/>
              </w:rPr>
              <w:t>Se hizo un análisis de sensibilidad para los siguientes supuestos:</w:t>
            </w:r>
          </w:p>
          <w:p w14:paraId="0799987C" w14:textId="77777777" w:rsidR="00634CDF" w:rsidRDefault="00F0051D">
            <w:pPr>
              <w:numPr>
                <w:ilvl w:val="0"/>
                <w:numId w:val="8"/>
              </w:numPr>
              <w:ind w:left="0" w:hanging="2"/>
              <w:jc w:val="both"/>
            </w:pPr>
            <w:r>
              <w:rPr>
                <w:rFonts w:ascii="Arial" w:eastAsia="Arial" w:hAnsi="Arial" w:cs="Arial"/>
                <w:sz w:val="16"/>
                <w:szCs w:val="16"/>
                <w:vertAlign w:val="baseline"/>
              </w:rPr>
              <w:t>Pacientes con ECV con C-LDL&gt;154 mg/dl</w:t>
            </w:r>
          </w:p>
          <w:p w14:paraId="2A7B90A2" w14:textId="77777777" w:rsidR="00634CDF" w:rsidRDefault="00F0051D">
            <w:pPr>
              <w:numPr>
                <w:ilvl w:val="0"/>
                <w:numId w:val="8"/>
              </w:numPr>
              <w:ind w:left="0" w:hanging="2"/>
              <w:jc w:val="both"/>
            </w:pPr>
            <w:r>
              <w:rPr>
                <w:rFonts w:ascii="Arial" w:eastAsia="Arial" w:hAnsi="Arial" w:cs="Arial"/>
                <w:sz w:val="16"/>
                <w:szCs w:val="16"/>
                <w:vertAlign w:val="baseline"/>
              </w:rPr>
              <w:t>Pacientes de muy alto riesgo con C-LDL&gt;135 mg/dl</w:t>
            </w:r>
          </w:p>
          <w:p w14:paraId="61686A8B" w14:textId="77777777" w:rsidR="00634CDF" w:rsidRDefault="00F0051D">
            <w:pPr>
              <w:numPr>
                <w:ilvl w:val="0"/>
                <w:numId w:val="8"/>
              </w:numPr>
              <w:ind w:left="0" w:hanging="2"/>
              <w:jc w:val="both"/>
            </w:pPr>
            <w:r>
              <w:rPr>
                <w:rFonts w:ascii="Arial" w:eastAsia="Arial" w:hAnsi="Arial" w:cs="Arial"/>
                <w:sz w:val="16"/>
                <w:szCs w:val="16"/>
                <w:vertAlign w:val="baseline"/>
              </w:rPr>
              <w:t>Pacientes con hipercolesterolemia familiar en prevención primaria con C-LDL&gt;193 mg/dl</w:t>
            </w:r>
          </w:p>
          <w:p w14:paraId="7DCC5293" w14:textId="77777777" w:rsidR="00634CDF" w:rsidRDefault="00F0051D">
            <w:pPr>
              <w:ind w:left="0" w:hanging="2"/>
              <w:jc w:val="both"/>
              <w:rPr>
                <w:vertAlign w:val="baseline"/>
              </w:rPr>
            </w:pPr>
            <w:r>
              <w:rPr>
                <w:rFonts w:ascii="Arial" w:eastAsia="Arial" w:hAnsi="Arial" w:cs="Arial"/>
                <w:b/>
                <w:sz w:val="16"/>
                <w:szCs w:val="16"/>
                <w:vertAlign w:val="baseline"/>
              </w:rPr>
              <w:t xml:space="preserve">- Conflicto de intereses: </w:t>
            </w:r>
            <w:r>
              <w:rPr>
                <w:rFonts w:ascii="Arial" w:eastAsia="Arial" w:hAnsi="Arial" w:cs="Arial"/>
                <w:sz w:val="16"/>
                <w:szCs w:val="16"/>
                <w:vertAlign w:val="baseline"/>
              </w:rPr>
              <w:t>no indicado.</w:t>
            </w:r>
          </w:p>
        </w:tc>
      </w:tr>
      <w:tr w:rsidR="00634CDF" w14:paraId="6224CBFC" w14:textId="77777777">
        <w:tc>
          <w:tcPr>
            <w:tcW w:w="1515" w:type="dxa"/>
            <w:tcBorders>
              <w:top w:val="single" w:sz="4" w:space="0" w:color="000000"/>
              <w:left w:val="single" w:sz="4" w:space="0" w:color="000000"/>
              <w:bottom w:val="single" w:sz="4" w:space="0" w:color="000000"/>
            </w:tcBorders>
            <w:shd w:val="clear" w:color="auto" w:fill="D9D9D9"/>
          </w:tcPr>
          <w:p w14:paraId="74B30681" w14:textId="77777777" w:rsidR="00634CDF" w:rsidRDefault="00F0051D">
            <w:pPr>
              <w:ind w:left="0" w:hanging="2"/>
              <w:rPr>
                <w:vertAlign w:val="baseline"/>
              </w:rPr>
            </w:pPr>
            <w:r>
              <w:rPr>
                <w:rFonts w:ascii="Arial" w:eastAsia="Arial" w:hAnsi="Arial" w:cs="Arial"/>
                <w:b/>
                <w:sz w:val="16"/>
                <w:szCs w:val="16"/>
                <w:vertAlign w:val="baseline"/>
              </w:rPr>
              <w:lastRenderedPageBreak/>
              <w:t xml:space="preserve">COSTES </w:t>
            </w:r>
          </w:p>
        </w:tc>
        <w:tc>
          <w:tcPr>
            <w:tcW w:w="1440" w:type="dxa"/>
            <w:tcBorders>
              <w:top w:val="single" w:sz="4" w:space="0" w:color="000000"/>
              <w:left w:val="single" w:sz="4" w:space="0" w:color="000000"/>
              <w:bottom w:val="single" w:sz="4" w:space="0" w:color="000000"/>
            </w:tcBorders>
            <w:shd w:val="clear" w:color="auto" w:fill="D9D9D9"/>
          </w:tcPr>
          <w:p w14:paraId="130D69D1" w14:textId="77777777" w:rsidR="00634CDF" w:rsidRDefault="00F0051D">
            <w:pPr>
              <w:ind w:left="0" w:hanging="2"/>
              <w:jc w:val="center"/>
              <w:rPr>
                <w:vertAlign w:val="baseline"/>
              </w:rPr>
            </w:pPr>
            <w:r>
              <w:rPr>
                <w:rFonts w:ascii="Arial" w:eastAsia="Arial" w:hAnsi="Arial" w:cs="Arial"/>
                <w:b/>
                <w:sz w:val="16"/>
                <w:szCs w:val="16"/>
                <w:vertAlign w:val="baseline"/>
              </w:rPr>
              <w:t>Inclisiran+estatinas ± ezetimiba</w:t>
            </w:r>
          </w:p>
        </w:tc>
        <w:tc>
          <w:tcPr>
            <w:tcW w:w="1035" w:type="dxa"/>
            <w:tcBorders>
              <w:top w:val="single" w:sz="4" w:space="0" w:color="000000"/>
              <w:left w:val="single" w:sz="4" w:space="0" w:color="000000"/>
              <w:bottom w:val="single" w:sz="4" w:space="0" w:color="000000"/>
            </w:tcBorders>
            <w:shd w:val="clear" w:color="auto" w:fill="D9D9D9"/>
          </w:tcPr>
          <w:p w14:paraId="04A14096" w14:textId="77777777" w:rsidR="00634CDF" w:rsidRDefault="00F0051D">
            <w:pPr>
              <w:ind w:left="0" w:hanging="2"/>
              <w:jc w:val="center"/>
              <w:rPr>
                <w:vertAlign w:val="baseline"/>
              </w:rPr>
            </w:pPr>
            <w:r>
              <w:rPr>
                <w:rFonts w:ascii="Arial" w:eastAsia="Arial" w:hAnsi="Arial" w:cs="Arial"/>
                <w:b/>
                <w:sz w:val="16"/>
                <w:szCs w:val="16"/>
                <w:vertAlign w:val="baseline"/>
              </w:rPr>
              <w:t>Estatinas± ezetimiba</w:t>
            </w:r>
          </w:p>
          <w:p w14:paraId="39375CCF" w14:textId="77777777" w:rsidR="00634CDF" w:rsidRDefault="00634CDF">
            <w:pPr>
              <w:ind w:left="0" w:hanging="2"/>
              <w:rPr>
                <w:rFonts w:ascii="Arial" w:eastAsia="Arial" w:hAnsi="Arial" w:cs="Arial"/>
                <w:sz w:val="16"/>
                <w:szCs w:val="16"/>
                <w:vertAlign w:val="baseline"/>
              </w:rPr>
            </w:pPr>
          </w:p>
        </w:tc>
        <w:tc>
          <w:tcPr>
            <w:tcW w:w="1170" w:type="dxa"/>
            <w:tcBorders>
              <w:top w:val="single" w:sz="4" w:space="0" w:color="000000"/>
              <w:left w:val="single" w:sz="4" w:space="0" w:color="000000"/>
              <w:bottom w:val="single" w:sz="4" w:space="0" w:color="000000"/>
            </w:tcBorders>
            <w:shd w:val="clear" w:color="auto" w:fill="D9D9D9"/>
          </w:tcPr>
          <w:p w14:paraId="1BF05262" w14:textId="77777777" w:rsidR="00634CDF" w:rsidRDefault="00F0051D">
            <w:pPr>
              <w:ind w:left="0" w:hanging="2"/>
              <w:jc w:val="center"/>
              <w:rPr>
                <w:vertAlign w:val="baseline"/>
              </w:rPr>
            </w:pPr>
            <w:r>
              <w:rPr>
                <w:rFonts w:ascii="Arial" w:eastAsia="Arial" w:hAnsi="Arial" w:cs="Arial"/>
                <w:b/>
                <w:sz w:val="16"/>
                <w:szCs w:val="16"/>
                <w:vertAlign w:val="baseline"/>
              </w:rPr>
              <w:t>Alirocumab + estatinas</w:t>
            </w:r>
          </w:p>
          <w:p w14:paraId="6D9543A1" w14:textId="77777777" w:rsidR="00634CDF" w:rsidRDefault="00F0051D">
            <w:pPr>
              <w:ind w:left="0" w:hanging="2"/>
              <w:jc w:val="center"/>
              <w:rPr>
                <w:vertAlign w:val="baseline"/>
              </w:rPr>
            </w:pPr>
            <w:r>
              <w:rPr>
                <w:rFonts w:ascii="Arial" w:eastAsia="Arial" w:hAnsi="Arial" w:cs="Arial"/>
                <w:b/>
                <w:sz w:val="16"/>
                <w:szCs w:val="16"/>
                <w:vertAlign w:val="baseline"/>
              </w:rPr>
              <w:t>±ezetimiba</w:t>
            </w:r>
          </w:p>
        </w:tc>
        <w:tc>
          <w:tcPr>
            <w:tcW w:w="1245" w:type="dxa"/>
            <w:tcBorders>
              <w:top w:val="single" w:sz="4" w:space="0" w:color="000000"/>
              <w:left w:val="single" w:sz="4" w:space="0" w:color="000000"/>
              <w:bottom w:val="single" w:sz="4" w:space="0" w:color="000000"/>
            </w:tcBorders>
            <w:shd w:val="clear" w:color="auto" w:fill="D9D9D9"/>
          </w:tcPr>
          <w:p w14:paraId="12506303" w14:textId="77777777" w:rsidR="00634CDF" w:rsidRDefault="00F0051D">
            <w:pPr>
              <w:ind w:left="0" w:hanging="2"/>
              <w:jc w:val="center"/>
              <w:rPr>
                <w:vertAlign w:val="baseline"/>
              </w:rPr>
            </w:pPr>
            <w:r>
              <w:rPr>
                <w:rFonts w:ascii="Arial" w:eastAsia="Arial" w:hAnsi="Arial" w:cs="Arial"/>
                <w:b/>
                <w:sz w:val="16"/>
                <w:szCs w:val="16"/>
                <w:vertAlign w:val="baseline"/>
              </w:rPr>
              <w:t>Evolocumab + estatinas</w:t>
            </w:r>
          </w:p>
          <w:p w14:paraId="30F336BE" w14:textId="77777777" w:rsidR="00634CDF" w:rsidRDefault="00F0051D">
            <w:pPr>
              <w:ind w:left="0" w:hanging="2"/>
              <w:jc w:val="center"/>
              <w:rPr>
                <w:vertAlign w:val="baseline"/>
              </w:rPr>
            </w:pPr>
            <w:r>
              <w:rPr>
                <w:rFonts w:ascii="Arial" w:eastAsia="Arial" w:hAnsi="Arial" w:cs="Arial"/>
                <w:b/>
                <w:sz w:val="16"/>
                <w:szCs w:val="16"/>
                <w:vertAlign w:val="baseline"/>
              </w:rPr>
              <w:t>±ezetimiba</w:t>
            </w:r>
          </w:p>
        </w:tc>
        <w:tc>
          <w:tcPr>
            <w:tcW w:w="2535" w:type="dxa"/>
            <w:tcBorders>
              <w:top w:val="single" w:sz="4" w:space="0" w:color="000000"/>
              <w:left w:val="single" w:sz="4" w:space="0" w:color="000000"/>
              <w:bottom w:val="single" w:sz="4" w:space="0" w:color="000000"/>
              <w:right w:val="single" w:sz="4" w:space="0" w:color="000000"/>
            </w:tcBorders>
            <w:shd w:val="clear" w:color="auto" w:fill="D9D9D9"/>
          </w:tcPr>
          <w:p w14:paraId="7D87E9E4" w14:textId="77777777" w:rsidR="00634CDF" w:rsidRDefault="00F0051D">
            <w:pPr>
              <w:ind w:left="0" w:hanging="2"/>
              <w:rPr>
                <w:vertAlign w:val="baseline"/>
              </w:rPr>
            </w:pPr>
            <w:r>
              <w:rPr>
                <w:rFonts w:ascii="Arial" w:eastAsia="Arial" w:hAnsi="Arial" w:cs="Arial"/>
                <w:b/>
                <w:sz w:val="16"/>
                <w:szCs w:val="16"/>
                <w:vertAlign w:val="baseline"/>
              </w:rPr>
              <w:t xml:space="preserve">Incrementos </w:t>
            </w:r>
          </w:p>
        </w:tc>
      </w:tr>
      <w:tr w:rsidR="00634CDF" w14:paraId="2D8A06AC" w14:textId="77777777">
        <w:tc>
          <w:tcPr>
            <w:tcW w:w="1515" w:type="dxa"/>
            <w:tcBorders>
              <w:top w:val="single" w:sz="4" w:space="0" w:color="000000"/>
              <w:left w:val="single" w:sz="4" w:space="0" w:color="000000"/>
              <w:bottom w:val="single" w:sz="4" w:space="0" w:color="000000"/>
            </w:tcBorders>
          </w:tcPr>
          <w:p w14:paraId="38B25BA3" w14:textId="77777777" w:rsidR="00634CDF" w:rsidRDefault="00F0051D">
            <w:pPr>
              <w:ind w:left="0" w:hanging="2"/>
              <w:rPr>
                <w:vertAlign w:val="baseline"/>
              </w:rPr>
            </w:pPr>
            <w:r>
              <w:rPr>
                <w:rFonts w:ascii="Arial" w:eastAsia="Arial" w:hAnsi="Arial" w:cs="Arial"/>
                <w:sz w:val="16"/>
                <w:szCs w:val="16"/>
                <w:vertAlign w:val="baseline"/>
              </w:rPr>
              <w:t>Coste del tratamiento con el fármaco(Pacientes con ECV)</w:t>
            </w:r>
          </w:p>
        </w:tc>
        <w:tc>
          <w:tcPr>
            <w:tcW w:w="1440" w:type="dxa"/>
            <w:tcBorders>
              <w:top w:val="single" w:sz="4" w:space="0" w:color="000000"/>
              <w:left w:val="single" w:sz="4" w:space="0" w:color="000000"/>
              <w:bottom w:val="single" w:sz="4" w:space="0" w:color="000000"/>
            </w:tcBorders>
          </w:tcPr>
          <w:p w14:paraId="2D7254EE" w14:textId="77777777" w:rsidR="00634CDF" w:rsidRDefault="00F0051D">
            <w:pPr>
              <w:ind w:left="0" w:hanging="2"/>
              <w:rPr>
                <w:vertAlign w:val="baseline"/>
              </w:rPr>
            </w:pPr>
            <w:r>
              <w:rPr>
                <w:rFonts w:ascii="Arial" w:eastAsia="Arial" w:hAnsi="Arial" w:cs="Arial"/>
                <w:sz w:val="16"/>
                <w:szCs w:val="16"/>
                <w:vertAlign w:val="baseline"/>
              </w:rPr>
              <w:t>59.282,73 €</w:t>
            </w:r>
          </w:p>
        </w:tc>
        <w:tc>
          <w:tcPr>
            <w:tcW w:w="1035" w:type="dxa"/>
            <w:tcBorders>
              <w:top w:val="single" w:sz="4" w:space="0" w:color="000000"/>
              <w:left w:val="single" w:sz="4" w:space="0" w:color="000000"/>
              <w:bottom w:val="single" w:sz="4" w:space="0" w:color="000000"/>
            </w:tcBorders>
          </w:tcPr>
          <w:p w14:paraId="16310AB3" w14:textId="77777777" w:rsidR="00634CDF" w:rsidRDefault="00F0051D">
            <w:pPr>
              <w:ind w:left="0" w:hanging="2"/>
              <w:rPr>
                <w:vertAlign w:val="baseline"/>
              </w:rPr>
            </w:pPr>
            <w:r>
              <w:rPr>
                <w:rFonts w:ascii="Arial" w:eastAsia="Arial" w:hAnsi="Arial" w:cs="Arial"/>
                <w:sz w:val="16"/>
                <w:szCs w:val="16"/>
                <w:vertAlign w:val="baseline"/>
              </w:rPr>
              <w:t>6.508,71 €</w:t>
            </w:r>
          </w:p>
        </w:tc>
        <w:tc>
          <w:tcPr>
            <w:tcW w:w="1170" w:type="dxa"/>
            <w:tcBorders>
              <w:top w:val="single" w:sz="4" w:space="0" w:color="000000"/>
              <w:left w:val="single" w:sz="4" w:space="0" w:color="000000"/>
              <w:bottom w:val="single" w:sz="4" w:space="0" w:color="000000"/>
            </w:tcBorders>
          </w:tcPr>
          <w:p w14:paraId="72743F81" w14:textId="77777777" w:rsidR="00634CDF" w:rsidRDefault="00F0051D">
            <w:pPr>
              <w:ind w:left="0" w:hanging="2"/>
              <w:rPr>
                <w:vertAlign w:val="baseline"/>
              </w:rPr>
            </w:pPr>
            <w:r>
              <w:rPr>
                <w:rFonts w:ascii="Arial" w:eastAsia="Arial" w:hAnsi="Arial" w:cs="Arial"/>
                <w:sz w:val="16"/>
                <w:szCs w:val="16"/>
                <w:vertAlign w:val="baseline"/>
              </w:rPr>
              <w:t>62.118,81 €</w:t>
            </w:r>
          </w:p>
        </w:tc>
        <w:tc>
          <w:tcPr>
            <w:tcW w:w="1245" w:type="dxa"/>
            <w:tcBorders>
              <w:top w:val="single" w:sz="4" w:space="0" w:color="000000"/>
              <w:left w:val="single" w:sz="4" w:space="0" w:color="000000"/>
              <w:bottom w:val="single" w:sz="4" w:space="0" w:color="000000"/>
            </w:tcBorders>
          </w:tcPr>
          <w:p w14:paraId="70B526D4" w14:textId="77777777" w:rsidR="00634CDF" w:rsidRDefault="00F0051D">
            <w:pPr>
              <w:ind w:left="0" w:hanging="2"/>
              <w:rPr>
                <w:vertAlign w:val="baseline"/>
              </w:rPr>
            </w:pPr>
            <w:r>
              <w:rPr>
                <w:rFonts w:ascii="Arial" w:eastAsia="Arial" w:hAnsi="Arial" w:cs="Arial"/>
                <w:sz w:val="16"/>
                <w:szCs w:val="16"/>
                <w:vertAlign w:val="baseline"/>
              </w:rPr>
              <w:t>62.837,19€</w:t>
            </w:r>
          </w:p>
        </w:tc>
        <w:tc>
          <w:tcPr>
            <w:tcW w:w="2535" w:type="dxa"/>
            <w:tcBorders>
              <w:top w:val="single" w:sz="4" w:space="0" w:color="000000"/>
              <w:left w:val="single" w:sz="4" w:space="0" w:color="000000"/>
              <w:bottom w:val="single" w:sz="4" w:space="0" w:color="000000"/>
              <w:right w:val="single" w:sz="4" w:space="0" w:color="000000"/>
            </w:tcBorders>
          </w:tcPr>
          <w:p w14:paraId="709F93AA" w14:textId="77777777" w:rsidR="00634CDF" w:rsidRDefault="00F0051D">
            <w:pPr>
              <w:numPr>
                <w:ilvl w:val="0"/>
                <w:numId w:val="5"/>
              </w:numPr>
              <w:ind w:left="0" w:hanging="2"/>
            </w:pPr>
            <w:r>
              <w:rPr>
                <w:rFonts w:ascii="Arial" w:eastAsia="Arial" w:hAnsi="Arial" w:cs="Arial"/>
                <w:sz w:val="16"/>
                <w:szCs w:val="16"/>
                <w:vertAlign w:val="baseline"/>
              </w:rPr>
              <w:t>Inclisiran+estatinas ± ezetimiba vs.Estatinas± ezetimiba: 52.774,02€</w:t>
            </w:r>
          </w:p>
          <w:p w14:paraId="34F0DC51" w14:textId="77777777" w:rsidR="00634CDF" w:rsidRDefault="00F0051D">
            <w:pPr>
              <w:numPr>
                <w:ilvl w:val="0"/>
                <w:numId w:val="5"/>
              </w:numPr>
              <w:ind w:left="0" w:hanging="2"/>
            </w:pPr>
            <w:r>
              <w:rPr>
                <w:rFonts w:ascii="Arial" w:eastAsia="Arial" w:hAnsi="Arial" w:cs="Arial"/>
                <w:sz w:val="16"/>
                <w:szCs w:val="16"/>
                <w:vertAlign w:val="baseline"/>
              </w:rPr>
              <w:t>Alirocumab +estatinas ± ezetimiba vs.Estatinas± ezetimiba: 55.610,1€</w:t>
            </w:r>
          </w:p>
          <w:p w14:paraId="1740D723" w14:textId="77777777" w:rsidR="00634CDF" w:rsidRDefault="00F0051D">
            <w:pPr>
              <w:numPr>
                <w:ilvl w:val="0"/>
                <w:numId w:val="5"/>
              </w:numPr>
              <w:ind w:left="0" w:hanging="2"/>
            </w:pPr>
            <w:r>
              <w:rPr>
                <w:rFonts w:ascii="Arial" w:eastAsia="Arial" w:hAnsi="Arial" w:cs="Arial"/>
                <w:sz w:val="16"/>
                <w:szCs w:val="16"/>
                <w:vertAlign w:val="baseline"/>
              </w:rPr>
              <w:t>Evolocumab +estatinas ± ezetimiba vs.Estatinas± ezetimiba:56.328,48€</w:t>
            </w:r>
          </w:p>
        </w:tc>
      </w:tr>
      <w:tr w:rsidR="00634CDF" w14:paraId="14D0B072" w14:textId="77777777">
        <w:tc>
          <w:tcPr>
            <w:tcW w:w="1515" w:type="dxa"/>
            <w:tcBorders>
              <w:top w:val="single" w:sz="4" w:space="0" w:color="000000"/>
              <w:left w:val="single" w:sz="4" w:space="0" w:color="000000"/>
              <w:bottom w:val="single" w:sz="4" w:space="0" w:color="000000"/>
            </w:tcBorders>
          </w:tcPr>
          <w:p w14:paraId="232ECDBA" w14:textId="77777777" w:rsidR="00634CDF" w:rsidRDefault="00F0051D">
            <w:pPr>
              <w:ind w:left="0" w:hanging="2"/>
              <w:rPr>
                <w:vertAlign w:val="baseline"/>
              </w:rPr>
            </w:pPr>
            <w:r>
              <w:rPr>
                <w:rFonts w:ascii="Arial" w:eastAsia="Arial" w:hAnsi="Arial" w:cs="Arial"/>
                <w:sz w:val="16"/>
                <w:szCs w:val="16"/>
                <w:vertAlign w:val="baseline"/>
              </w:rPr>
              <w:t>Coste del tratamiento con el fármaco (Pacientes de alto riesgo en prevención primaria(PPAR))</w:t>
            </w:r>
          </w:p>
        </w:tc>
        <w:tc>
          <w:tcPr>
            <w:tcW w:w="1440" w:type="dxa"/>
            <w:tcBorders>
              <w:top w:val="single" w:sz="4" w:space="0" w:color="000000"/>
              <w:left w:val="single" w:sz="4" w:space="0" w:color="000000"/>
              <w:bottom w:val="single" w:sz="4" w:space="0" w:color="000000"/>
            </w:tcBorders>
          </w:tcPr>
          <w:p w14:paraId="559718DC" w14:textId="77777777" w:rsidR="00634CDF" w:rsidRDefault="00F0051D">
            <w:pPr>
              <w:ind w:left="0" w:hanging="2"/>
              <w:rPr>
                <w:vertAlign w:val="baseline"/>
              </w:rPr>
            </w:pPr>
            <w:r>
              <w:rPr>
                <w:rFonts w:ascii="Arial" w:eastAsia="Arial" w:hAnsi="Arial" w:cs="Arial"/>
                <w:sz w:val="16"/>
                <w:szCs w:val="16"/>
                <w:vertAlign w:val="baseline"/>
              </w:rPr>
              <w:t>72.291,96€</w:t>
            </w:r>
          </w:p>
        </w:tc>
        <w:tc>
          <w:tcPr>
            <w:tcW w:w="1035" w:type="dxa"/>
            <w:tcBorders>
              <w:top w:val="single" w:sz="4" w:space="0" w:color="000000"/>
              <w:left w:val="single" w:sz="4" w:space="0" w:color="000000"/>
              <w:bottom w:val="single" w:sz="4" w:space="0" w:color="000000"/>
            </w:tcBorders>
          </w:tcPr>
          <w:p w14:paraId="20A183EB" w14:textId="77777777" w:rsidR="00634CDF" w:rsidRDefault="00F0051D">
            <w:pPr>
              <w:ind w:left="0" w:hanging="2"/>
              <w:rPr>
                <w:vertAlign w:val="baseline"/>
              </w:rPr>
            </w:pPr>
            <w:r>
              <w:rPr>
                <w:rFonts w:ascii="Arial" w:eastAsia="Arial" w:hAnsi="Arial" w:cs="Arial"/>
                <w:sz w:val="16"/>
                <w:szCs w:val="16"/>
                <w:vertAlign w:val="baseline"/>
              </w:rPr>
              <w:t>4.323,15 €</w:t>
            </w:r>
          </w:p>
        </w:tc>
        <w:tc>
          <w:tcPr>
            <w:tcW w:w="1170" w:type="dxa"/>
            <w:tcBorders>
              <w:top w:val="single" w:sz="4" w:space="0" w:color="000000"/>
              <w:left w:val="single" w:sz="4" w:space="0" w:color="000000"/>
              <w:bottom w:val="single" w:sz="4" w:space="0" w:color="000000"/>
            </w:tcBorders>
          </w:tcPr>
          <w:p w14:paraId="6F4E9999" w14:textId="77777777" w:rsidR="00634CDF" w:rsidRDefault="00F0051D">
            <w:pPr>
              <w:ind w:left="0" w:hanging="2"/>
              <w:rPr>
                <w:vertAlign w:val="baseline"/>
              </w:rPr>
            </w:pPr>
            <w:r>
              <w:rPr>
                <w:rFonts w:ascii="Arial" w:eastAsia="Arial" w:hAnsi="Arial" w:cs="Arial"/>
                <w:sz w:val="16"/>
                <w:szCs w:val="16"/>
                <w:vertAlign w:val="baseline"/>
              </w:rPr>
              <w:t>76.629,15 €</w:t>
            </w:r>
          </w:p>
        </w:tc>
        <w:tc>
          <w:tcPr>
            <w:tcW w:w="1245" w:type="dxa"/>
            <w:tcBorders>
              <w:top w:val="single" w:sz="4" w:space="0" w:color="000000"/>
              <w:left w:val="single" w:sz="4" w:space="0" w:color="000000"/>
              <w:bottom w:val="single" w:sz="4" w:space="0" w:color="000000"/>
            </w:tcBorders>
          </w:tcPr>
          <w:p w14:paraId="35676A82" w14:textId="77777777" w:rsidR="00634CDF" w:rsidRDefault="00F0051D">
            <w:pPr>
              <w:ind w:left="0" w:hanging="2"/>
              <w:rPr>
                <w:vertAlign w:val="baseline"/>
              </w:rPr>
            </w:pPr>
            <w:r>
              <w:rPr>
                <w:rFonts w:ascii="Arial" w:eastAsia="Arial" w:hAnsi="Arial" w:cs="Arial"/>
                <w:sz w:val="16"/>
                <w:szCs w:val="16"/>
                <w:vertAlign w:val="baseline"/>
              </w:rPr>
              <w:t>77.561,64 €</w:t>
            </w:r>
          </w:p>
        </w:tc>
        <w:tc>
          <w:tcPr>
            <w:tcW w:w="2535" w:type="dxa"/>
            <w:tcBorders>
              <w:top w:val="single" w:sz="4" w:space="0" w:color="000000"/>
              <w:left w:val="single" w:sz="4" w:space="0" w:color="000000"/>
              <w:bottom w:val="single" w:sz="4" w:space="0" w:color="000000"/>
              <w:right w:val="single" w:sz="4" w:space="0" w:color="000000"/>
            </w:tcBorders>
          </w:tcPr>
          <w:p w14:paraId="5B6DD4AB" w14:textId="77777777" w:rsidR="00634CDF" w:rsidRDefault="00F0051D">
            <w:pPr>
              <w:numPr>
                <w:ilvl w:val="0"/>
                <w:numId w:val="5"/>
              </w:numPr>
              <w:ind w:left="0" w:hanging="2"/>
            </w:pPr>
            <w:r>
              <w:rPr>
                <w:rFonts w:ascii="Arial" w:eastAsia="Arial" w:hAnsi="Arial" w:cs="Arial"/>
                <w:sz w:val="16"/>
                <w:szCs w:val="16"/>
                <w:vertAlign w:val="baseline"/>
              </w:rPr>
              <w:t>Inclisiran+estatinas ± ezetimiba vs.Estatinas± ezetimiba: 67.968,81€</w:t>
            </w:r>
          </w:p>
          <w:p w14:paraId="1F847CFD" w14:textId="77777777" w:rsidR="00634CDF" w:rsidRDefault="00F0051D">
            <w:pPr>
              <w:numPr>
                <w:ilvl w:val="0"/>
                <w:numId w:val="5"/>
              </w:numPr>
              <w:ind w:left="0" w:hanging="2"/>
            </w:pPr>
            <w:r>
              <w:rPr>
                <w:rFonts w:ascii="Arial" w:eastAsia="Arial" w:hAnsi="Arial" w:cs="Arial"/>
                <w:sz w:val="16"/>
                <w:szCs w:val="16"/>
                <w:vertAlign w:val="baseline"/>
              </w:rPr>
              <w:t>Alirocumab +estatinas ± ezetimiba vs.Estatinas± ezetimiba: 72.306€</w:t>
            </w:r>
          </w:p>
          <w:p w14:paraId="38BBB9B9" w14:textId="77777777" w:rsidR="00634CDF" w:rsidRDefault="00F0051D">
            <w:pPr>
              <w:numPr>
                <w:ilvl w:val="0"/>
                <w:numId w:val="5"/>
              </w:numPr>
              <w:ind w:left="0" w:hanging="2"/>
            </w:pPr>
            <w:r>
              <w:rPr>
                <w:rFonts w:ascii="Arial" w:eastAsia="Arial" w:hAnsi="Arial" w:cs="Arial"/>
                <w:sz w:val="16"/>
                <w:szCs w:val="16"/>
                <w:vertAlign w:val="baseline"/>
              </w:rPr>
              <w:t>Evolocumab +estatinas ± ezetimiba vs.Estatinas± ezetimiba:72.238,49€</w:t>
            </w:r>
          </w:p>
        </w:tc>
      </w:tr>
      <w:tr w:rsidR="00634CDF" w14:paraId="7CE688C7" w14:textId="77777777">
        <w:tc>
          <w:tcPr>
            <w:tcW w:w="1515" w:type="dxa"/>
            <w:tcBorders>
              <w:top w:val="single" w:sz="4" w:space="0" w:color="000000"/>
              <w:left w:val="single" w:sz="4" w:space="0" w:color="000000"/>
              <w:bottom w:val="single" w:sz="4" w:space="0" w:color="000000"/>
            </w:tcBorders>
            <w:shd w:val="clear" w:color="auto" w:fill="D9D9D9"/>
          </w:tcPr>
          <w:p w14:paraId="250DCEC5" w14:textId="77777777" w:rsidR="00634CDF" w:rsidRDefault="00F0051D">
            <w:pPr>
              <w:ind w:left="0" w:hanging="2"/>
              <w:rPr>
                <w:vertAlign w:val="baseline"/>
              </w:rPr>
            </w:pPr>
            <w:r>
              <w:rPr>
                <w:rFonts w:ascii="Arial" w:eastAsia="Arial" w:hAnsi="Arial" w:cs="Arial"/>
                <w:b/>
                <w:sz w:val="16"/>
                <w:szCs w:val="16"/>
                <w:vertAlign w:val="baseline"/>
              </w:rPr>
              <w:t xml:space="preserve">EFECTOS </w:t>
            </w:r>
          </w:p>
        </w:tc>
        <w:tc>
          <w:tcPr>
            <w:tcW w:w="1440" w:type="dxa"/>
            <w:tcBorders>
              <w:top w:val="single" w:sz="4" w:space="0" w:color="000000"/>
              <w:left w:val="single" w:sz="4" w:space="0" w:color="000000"/>
              <w:bottom w:val="single" w:sz="4" w:space="0" w:color="000000"/>
            </w:tcBorders>
            <w:shd w:val="clear" w:color="auto" w:fill="D9D9D9"/>
          </w:tcPr>
          <w:p w14:paraId="1DC22EBD" w14:textId="77777777" w:rsidR="00634CDF" w:rsidRDefault="00F0051D">
            <w:pPr>
              <w:ind w:left="0" w:hanging="2"/>
              <w:jc w:val="center"/>
              <w:rPr>
                <w:vertAlign w:val="baseline"/>
              </w:rPr>
            </w:pPr>
            <w:r>
              <w:rPr>
                <w:rFonts w:ascii="Arial" w:eastAsia="Arial" w:hAnsi="Arial" w:cs="Arial"/>
                <w:b/>
                <w:sz w:val="16"/>
                <w:szCs w:val="16"/>
                <w:vertAlign w:val="baseline"/>
              </w:rPr>
              <w:t>Inclisiran+estatinas ± ezetimiba</w:t>
            </w:r>
          </w:p>
        </w:tc>
        <w:tc>
          <w:tcPr>
            <w:tcW w:w="1035" w:type="dxa"/>
            <w:tcBorders>
              <w:top w:val="single" w:sz="4" w:space="0" w:color="000000"/>
              <w:left w:val="single" w:sz="4" w:space="0" w:color="000000"/>
              <w:bottom w:val="single" w:sz="4" w:space="0" w:color="000000"/>
            </w:tcBorders>
            <w:shd w:val="clear" w:color="auto" w:fill="D9D9D9"/>
          </w:tcPr>
          <w:p w14:paraId="3D87D3F7" w14:textId="77777777" w:rsidR="00634CDF" w:rsidRDefault="00F0051D">
            <w:pPr>
              <w:ind w:left="0" w:hanging="2"/>
              <w:jc w:val="center"/>
              <w:rPr>
                <w:vertAlign w:val="baseline"/>
              </w:rPr>
            </w:pPr>
            <w:r>
              <w:rPr>
                <w:rFonts w:ascii="Arial" w:eastAsia="Arial" w:hAnsi="Arial" w:cs="Arial"/>
                <w:b/>
                <w:sz w:val="16"/>
                <w:szCs w:val="16"/>
                <w:vertAlign w:val="baseline"/>
              </w:rPr>
              <w:t>Estatinas± ezetimiba</w:t>
            </w:r>
          </w:p>
        </w:tc>
        <w:tc>
          <w:tcPr>
            <w:tcW w:w="1170" w:type="dxa"/>
            <w:tcBorders>
              <w:top w:val="single" w:sz="4" w:space="0" w:color="000000"/>
              <w:left w:val="single" w:sz="4" w:space="0" w:color="000000"/>
              <w:bottom w:val="single" w:sz="4" w:space="0" w:color="000000"/>
            </w:tcBorders>
            <w:shd w:val="clear" w:color="auto" w:fill="D9D9D9"/>
          </w:tcPr>
          <w:p w14:paraId="1EDB7343" w14:textId="77777777" w:rsidR="00634CDF" w:rsidRDefault="00F0051D">
            <w:pPr>
              <w:ind w:left="0" w:hanging="2"/>
              <w:jc w:val="center"/>
              <w:rPr>
                <w:vertAlign w:val="baseline"/>
              </w:rPr>
            </w:pPr>
            <w:r>
              <w:rPr>
                <w:rFonts w:ascii="Arial" w:eastAsia="Arial" w:hAnsi="Arial" w:cs="Arial"/>
                <w:b/>
                <w:sz w:val="16"/>
                <w:szCs w:val="16"/>
                <w:vertAlign w:val="baseline"/>
              </w:rPr>
              <w:t>Alirocumab + estatinas</w:t>
            </w:r>
          </w:p>
          <w:p w14:paraId="63E1A495" w14:textId="77777777" w:rsidR="00634CDF" w:rsidRDefault="00F0051D">
            <w:pPr>
              <w:ind w:left="0" w:hanging="2"/>
              <w:jc w:val="center"/>
              <w:rPr>
                <w:vertAlign w:val="baseline"/>
              </w:rPr>
            </w:pPr>
            <w:r>
              <w:rPr>
                <w:rFonts w:ascii="Arial" w:eastAsia="Arial" w:hAnsi="Arial" w:cs="Arial"/>
                <w:b/>
                <w:sz w:val="16"/>
                <w:szCs w:val="16"/>
                <w:vertAlign w:val="baseline"/>
              </w:rPr>
              <w:t>±ezetimiba</w:t>
            </w:r>
          </w:p>
        </w:tc>
        <w:tc>
          <w:tcPr>
            <w:tcW w:w="1245" w:type="dxa"/>
            <w:tcBorders>
              <w:top w:val="single" w:sz="4" w:space="0" w:color="000000"/>
              <w:left w:val="single" w:sz="4" w:space="0" w:color="000000"/>
              <w:bottom w:val="single" w:sz="4" w:space="0" w:color="000000"/>
            </w:tcBorders>
            <w:shd w:val="clear" w:color="auto" w:fill="D9D9D9"/>
          </w:tcPr>
          <w:p w14:paraId="6273E0C3" w14:textId="77777777" w:rsidR="00634CDF" w:rsidRDefault="00F0051D">
            <w:pPr>
              <w:ind w:left="0" w:hanging="2"/>
              <w:jc w:val="center"/>
              <w:rPr>
                <w:vertAlign w:val="baseline"/>
              </w:rPr>
            </w:pPr>
            <w:r>
              <w:rPr>
                <w:rFonts w:ascii="Arial" w:eastAsia="Arial" w:hAnsi="Arial" w:cs="Arial"/>
                <w:b/>
                <w:sz w:val="16"/>
                <w:szCs w:val="16"/>
                <w:vertAlign w:val="baseline"/>
              </w:rPr>
              <w:t>Evolocumab + estatinas</w:t>
            </w:r>
          </w:p>
          <w:p w14:paraId="1282839E" w14:textId="77777777" w:rsidR="00634CDF" w:rsidRDefault="00F0051D">
            <w:pPr>
              <w:ind w:left="0" w:hanging="2"/>
              <w:jc w:val="center"/>
              <w:rPr>
                <w:vertAlign w:val="baseline"/>
              </w:rPr>
            </w:pPr>
            <w:r>
              <w:rPr>
                <w:rFonts w:ascii="Arial" w:eastAsia="Arial" w:hAnsi="Arial" w:cs="Arial"/>
                <w:b/>
                <w:sz w:val="16"/>
                <w:szCs w:val="16"/>
                <w:vertAlign w:val="baseline"/>
              </w:rPr>
              <w:t>±ezetimiba</w:t>
            </w:r>
          </w:p>
        </w:tc>
        <w:tc>
          <w:tcPr>
            <w:tcW w:w="2535" w:type="dxa"/>
            <w:tcBorders>
              <w:top w:val="single" w:sz="4" w:space="0" w:color="000000"/>
              <w:left w:val="single" w:sz="4" w:space="0" w:color="000000"/>
              <w:bottom w:val="single" w:sz="4" w:space="0" w:color="000000"/>
              <w:right w:val="single" w:sz="4" w:space="0" w:color="000000"/>
            </w:tcBorders>
            <w:shd w:val="clear" w:color="auto" w:fill="D9D9D9"/>
          </w:tcPr>
          <w:p w14:paraId="33FFF1A8" w14:textId="77777777" w:rsidR="00634CDF" w:rsidRDefault="00F0051D">
            <w:pPr>
              <w:ind w:left="0" w:hanging="2"/>
              <w:rPr>
                <w:vertAlign w:val="baseline"/>
              </w:rPr>
            </w:pPr>
            <w:r>
              <w:rPr>
                <w:rFonts w:ascii="Arial" w:eastAsia="Arial" w:hAnsi="Arial" w:cs="Arial"/>
                <w:b/>
                <w:sz w:val="16"/>
                <w:szCs w:val="16"/>
                <w:vertAlign w:val="baseline"/>
              </w:rPr>
              <w:t xml:space="preserve">Incrementos </w:t>
            </w:r>
          </w:p>
        </w:tc>
      </w:tr>
      <w:tr w:rsidR="00634CDF" w14:paraId="7F40A62B" w14:textId="77777777">
        <w:tc>
          <w:tcPr>
            <w:tcW w:w="1515" w:type="dxa"/>
            <w:tcBorders>
              <w:top w:val="single" w:sz="4" w:space="0" w:color="000000"/>
              <w:left w:val="single" w:sz="4" w:space="0" w:color="000000"/>
              <w:bottom w:val="single" w:sz="4" w:space="0" w:color="000000"/>
            </w:tcBorders>
          </w:tcPr>
          <w:p w14:paraId="331A36D3" w14:textId="77777777" w:rsidR="00634CDF" w:rsidRDefault="00F0051D">
            <w:pPr>
              <w:ind w:left="0" w:hanging="2"/>
              <w:rPr>
                <w:vertAlign w:val="baseline"/>
              </w:rPr>
            </w:pPr>
            <w:r>
              <w:rPr>
                <w:rFonts w:ascii="Arial" w:eastAsia="Arial" w:hAnsi="Arial" w:cs="Arial"/>
                <w:sz w:val="16"/>
                <w:szCs w:val="16"/>
                <w:vertAlign w:val="baseline"/>
              </w:rPr>
              <w:t>AVG(ECV)</w:t>
            </w:r>
          </w:p>
          <w:p w14:paraId="0FB6124C" w14:textId="77777777" w:rsidR="00634CDF" w:rsidRDefault="00F0051D">
            <w:pPr>
              <w:ind w:left="0" w:hanging="2"/>
              <w:rPr>
                <w:vertAlign w:val="baseline"/>
              </w:rPr>
            </w:pPr>
            <w:r>
              <w:rPr>
                <w:rFonts w:ascii="Arial" w:eastAsia="Arial" w:hAnsi="Arial" w:cs="Arial"/>
                <w:sz w:val="16"/>
                <w:szCs w:val="16"/>
                <w:vertAlign w:val="baseline"/>
              </w:rPr>
              <w:t>AVG(PPAR)</w:t>
            </w:r>
          </w:p>
        </w:tc>
        <w:tc>
          <w:tcPr>
            <w:tcW w:w="1440" w:type="dxa"/>
            <w:tcBorders>
              <w:top w:val="single" w:sz="4" w:space="0" w:color="000000"/>
              <w:left w:val="single" w:sz="4" w:space="0" w:color="000000"/>
              <w:bottom w:val="single" w:sz="4" w:space="0" w:color="000000"/>
            </w:tcBorders>
          </w:tcPr>
          <w:p w14:paraId="56E8B8B0" w14:textId="77777777" w:rsidR="00634CDF" w:rsidRDefault="00F0051D">
            <w:pPr>
              <w:ind w:left="0" w:hanging="2"/>
              <w:rPr>
                <w:vertAlign w:val="baseline"/>
              </w:rPr>
            </w:pPr>
            <w:r>
              <w:rPr>
                <w:rFonts w:ascii="Arial" w:eastAsia="Arial" w:hAnsi="Arial" w:cs="Arial"/>
                <w:sz w:val="16"/>
                <w:szCs w:val="16"/>
                <w:vertAlign w:val="baseline"/>
              </w:rPr>
              <w:t>11,245AVG</w:t>
            </w:r>
          </w:p>
          <w:p w14:paraId="390211ED" w14:textId="77777777" w:rsidR="00634CDF" w:rsidRDefault="00F0051D">
            <w:pPr>
              <w:ind w:left="0" w:hanging="2"/>
              <w:rPr>
                <w:vertAlign w:val="baseline"/>
              </w:rPr>
            </w:pPr>
            <w:r>
              <w:rPr>
                <w:rFonts w:ascii="Arial" w:eastAsia="Arial" w:hAnsi="Arial" w:cs="Arial"/>
                <w:sz w:val="16"/>
                <w:szCs w:val="16"/>
                <w:vertAlign w:val="baseline"/>
              </w:rPr>
              <w:t>14,597 AVG</w:t>
            </w:r>
          </w:p>
        </w:tc>
        <w:tc>
          <w:tcPr>
            <w:tcW w:w="1035" w:type="dxa"/>
            <w:tcBorders>
              <w:top w:val="single" w:sz="4" w:space="0" w:color="000000"/>
              <w:left w:val="single" w:sz="4" w:space="0" w:color="000000"/>
              <w:bottom w:val="single" w:sz="4" w:space="0" w:color="000000"/>
            </w:tcBorders>
          </w:tcPr>
          <w:p w14:paraId="1F7690B5" w14:textId="77777777" w:rsidR="00634CDF" w:rsidRDefault="00F0051D">
            <w:pPr>
              <w:ind w:left="0" w:hanging="2"/>
              <w:rPr>
                <w:vertAlign w:val="baseline"/>
              </w:rPr>
            </w:pPr>
            <w:r>
              <w:rPr>
                <w:rFonts w:ascii="Arial" w:eastAsia="Arial" w:hAnsi="Arial" w:cs="Arial"/>
                <w:sz w:val="16"/>
                <w:szCs w:val="16"/>
                <w:vertAlign w:val="baseline"/>
              </w:rPr>
              <w:t>10,069AVG</w:t>
            </w:r>
          </w:p>
          <w:p w14:paraId="229A40E7" w14:textId="77777777" w:rsidR="00634CDF" w:rsidRDefault="00F0051D">
            <w:pPr>
              <w:ind w:left="0" w:hanging="2"/>
              <w:rPr>
                <w:vertAlign w:val="baseline"/>
              </w:rPr>
            </w:pPr>
            <w:r>
              <w:rPr>
                <w:rFonts w:ascii="Arial" w:eastAsia="Arial" w:hAnsi="Arial" w:cs="Arial"/>
                <w:sz w:val="16"/>
                <w:szCs w:val="16"/>
                <w:vertAlign w:val="baseline"/>
              </w:rPr>
              <w:t>13,156AVG</w:t>
            </w:r>
          </w:p>
        </w:tc>
        <w:tc>
          <w:tcPr>
            <w:tcW w:w="1170" w:type="dxa"/>
            <w:tcBorders>
              <w:top w:val="single" w:sz="4" w:space="0" w:color="000000"/>
              <w:left w:val="single" w:sz="4" w:space="0" w:color="000000"/>
              <w:bottom w:val="single" w:sz="4" w:space="0" w:color="000000"/>
            </w:tcBorders>
          </w:tcPr>
          <w:p w14:paraId="12B8ACE5" w14:textId="77777777" w:rsidR="00634CDF" w:rsidRDefault="00F0051D">
            <w:pPr>
              <w:ind w:left="0" w:hanging="2"/>
              <w:rPr>
                <w:vertAlign w:val="baseline"/>
              </w:rPr>
            </w:pPr>
            <w:r>
              <w:rPr>
                <w:rFonts w:ascii="Arial" w:eastAsia="Arial" w:hAnsi="Arial" w:cs="Arial"/>
                <w:sz w:val="16"/>
                <w:szCs w:val="16"/>
                <w:vertAlign w:val="baseline"/>
              </w:rPr>
              <w:t>11,245AVG</w:t>
            </w:r>
          </w:p>
          <w:p w14:paraId="51CD91E6" w14:textId="77777777" w:rsidR="00634CDF" w:rsidRDefault="00F0051D">
            <w:pPr>
              <w:ind w:left="0" w:hanging="2"/>
              <w:rPr>
                <w:vertAlign w:val="baseline"/>
              </w:rPr>
            </w:pPr>
            <w:r>
              <w:rPr>
                <w:rFonts w:ascii="Arial" w:eastAsia="Arial" w:hAnsi="Arial" w:cs="Arial"/>
                <w:sz w:val="16"/>
                <w:szCs w:val="16"/>
                <w:vertAlign w:val="baseline"/>
              </w:rPr>
              <w:t>14,597 AVG</w:t>
            </w:r>
          </w:p>
        </w:tc>
        <w:tc>
          <w:tcPr>
            <w:tcW w:w="1245" w:type="dxa"/>
            <w:tcBorders>
              <w:top w:val="single" w:sz="4" w:space="0" w:color="000000"/>
              <w:left w:val="single" w:sz="4" w:space="0" w:color="000000"/>
              <w:bottom w:val="single" w:sz="4" w:space="0" w:color="000000"/>
            </w:tcBorders>
          </w:tcPr>
          <w:p w14:paraId="5663140C" w14:textId="77777777" w:rsidR="00634CDF" w:rsidRDefault="00F0051D">
            <w:pPr>
              <w:ind w:left="0" w:hanging="2"/>
              <w:rPr>
                <w:vertAlign w:val="baseline"/>
              </w:rPr>
            </w:pPr>
            <w:r>
              <w:rPr>
                <w:rFonts w:ascii="Arial" w:eastAsia="Arial" w:hAnsi="Arial" w:cs="Arial"/>
                <w:sz w:val="16"/>
                <w:szCs w:val="16"/>
                <w:vertAlign w:val="baseline"/>
              </w:rPr>
              <w:t>11,245AVG</w:t>
            </w:r>
          </w:p>
          <w:p w14:paraId="3204F4FD" w14:textId="77777777" w:rsidR="00634CDF" w:rsidRDefault="00F0051D">
            <w:pPr>
              <w:ind w:left="0" w:hanging="2"/>
              <w:rPr>
                <w:vertAlign w:val="baseline"/>
              </w:rPr>
            </w:pPr>
            <w:r>
              <w:rPr>
                <w:rFonts w:ascii="Arial" w:eastAsia="Arial" w:hAnsi="Arial" w:cs="Arial"/>
                <w:sz w:val="16"/>
                <w:szCs w:val="16"/>
                <w:vertAlign w:val="baseline"/>
              </w:rPr>
              <w:t>14,597 AVG</w:t>
            </w:r>
          </w:p>
        </w:tc>
        <w:tc>
          <w:tcPr>
            <w:tcW w:w="2535" w:type="dxa"/>
            <w:tcBorders>
              <w:top w:val="single" w:sz="4" w:space="0" w:color="000000"/>
              <w:left w:val="single" w:sz="4" w:space="0" w:color="000000"/>
              <w:bottom w:val="single" w:sz="4" w:space="0" w:color="000000"/>
              <w:right w:val="single" w:sz="4" w:space="0" w:color="000000"/>
            </w:tcBorders>
          </w:tcPr>
          <w:p w14:paraId="03376595" w14:textId="77777777" w:rsidR="00634CDF" w:rsidRDefault="00F0051D">
            <w:pPr>
              <w:ind w:left="0" w:hanging="2"/>
              <w:rPr>
                <w:vertAlign w:val="baseline"/>
              </w:rPr>
            </w:pPr>
            <w:r>
              <w:rPr>
                <w:rFonts w:ascii="Arial" w:eastAsia="Arial" w:hAnsi="Arial" w:cs="Arial"/>
                <w:sz w:val="16"/>
                <w:szCs w:val="16"/>
                <w:vertAlign w:val="baseline"/>
              </w:rPr>
              <w:t>Cualquier alternativa vs. estatinas± ezetimiba: 1,176(ECV) y 1,441(PPAR)</w:t>
            </w:r>
          </w:p>
        </w:tc>
      </w:tr>
      <w:tr w:rsidR="00634CDF" w14:paraId="70B647CA" w14:textId="77777777">
        <w:tc>
          <w:tcPr>
            <w:tcW w:w="1515" w:type="dxa"/>
            <w:tcBorders>
              <w:top w:val="single" w:sz="4" w:space="0" w:color="000000"/>
              <w:left w:val="single" w:sz="4" w:space="0" w:color="000000"/>
              <w:bottom w:val="single" w:sz="4" w:space="0" w:color="000000"/>
            </w:tcBorders>
          </w:tcPr>
          <w:p w14:paraId="6E33C3CB" w14:textId="77777777" w:rsidR="00634CDF" w:rsidRDefault="00F0051D">
            <w:pPr>
              <w:ind w:left="0" w:hanging="2"/>
              <w:rPr>
                <w:vertAlign w:val="baseline"/>
              </w:rPr>
            </w:pPr>
            <w:r>
              <w:rPr>
                <w:rFonts w:ascii="Arial" w:eastAsia="Arial" w:hAnsi="Arial" w:cs="Arial"/>
                <w:sz w:val="16"/>
                <w:szCs w:val="16"/>
                <w:vertAlign w:val="baseline"/>
              </w:rPr>
              <w:t>AVAC(ECV)</w:t>
            </w:r>
          </w:p>
          <w:p w14:paraId="52EB438C" w14:textId="77777777" w:rsidR="00634CDF" w:rsidRDefault="00F0051D">
            <w:pPr>
              <w:ind w:left="0" w:hanging="2"/>
              <w:rPr>
                <w:vertAlign w:val="baseline"/>
              </w:rPr>
            </w:pPr>
            <w:r>
              <w:rPr>
                <w:rFonts w:ascii="Arial" w:eastAsia="Arial" w:hAnsi="Arial" w:cs="Arial"/>
                <w:sz w:val="16"/>
                <w:szCs w:val="16"/>
                <w:vertAlign w:val="baseline"/>
              </w:rPr>
              <w:t xml:space="preserve">AVAC(PPAR) </w:t>
            </w:r>
          </w:p>
        </w:tc>
        <w:tc>
          <w:tcPr>
            <w:tcW w:w="1440" w:type="dxa"/>
            <w:tcBorders>
              <w:top w:val="single" w:sz="4" w:space="0" w:color="000000"/>
              <w:left w:val="single" w:sz="4" w:space="0" w:color="000000"/>
              <w:bottom w:val="single" w:sz="4" w:space="0" w:color="000000"/>
            </w:tcBorders>
          </w:tcPr>
          <w:p w14:paraId="268B34FE" w14:textId="77777777" w:rsidR="00634CDF" w:rsidRDefault="00F0051D">
            <w:pPr>
              <w:ind w:left="0" w:hanging="2"/>
              <w:rPr>
                <w:vertAlign w:val="baseline"/>
              </w:rPr>
            </w:pPr>
            <w:r>
              <w:rPr>
                <w:rFonts w:ascii="Arial" w:eastAsia="Arial" w:hAnsi="Arial" w:cs="Arial"/>
                <w:sz w:val="16"/>
                <w:szCs w:val="16"/>
                <w:vertAlign w:val="baseline"/>
              </w:rPr>
              <w:t xml:space="preserve"> 7,893AVAC</w:t>
            </w:r>
          </w:p>
          <w:p w14:paraId="457CB3AA" w14:textId="77777777" w:rsidR="00634CDF" w:rsidRDefault="00F0051D">
            <w:pPr>
              <w:ind w:left="0" w:hanging="2"/>
              <w:rPr>
                <w:vertAlign w:val="baseline"/>
              </w:rPr>
            </w:pPr>
            <w:r>
              <w:rPr>
                <w:rFonts w:ascii="Arial" w:eastAsia="Arial" w:hAnsi="Arial" w:cs="Arial"/>
                <w:sz w:val="16"/>
                <w:szCs w:val="16"/>
                <w:vertAlign w:val="baseline"/>
              </w:rPr>
              <w:t>11,482AVAC</w:t>
            </w:r>
          </w:p>
        </w:tc>
        <w:tc>
          <w:tcPr>
            <w:tcW w:w="1035" w:type="dxa"/>
            <w:tcBorders>
              <w:top w:val="single" w:sz="4" w:space="0" w:color="000000"/>
              <w:left w:val="single" w:sz="4" w:space="0" w:color="000000"/>
              <w:bottom w:val="single" w:sz="4" w:space="0" w:color="000000"/>
            </w:tcBorders>
          </w:tcPr>
          <w:p w14:paraId="5C054DDC" w14:textId="77777777" w:rsidR="00634CDF" w:rsidRDefault="00F0051D">
            <w:pPr>
              <w:ind w:left="0" w:hanging="2"/>
              <w:rPr>
                <w:vertAlign w:val="baseline"/>
              </w:rPr>
            </w:pPr>
            <w:r>
              <w:rPr>
                <w:rFonts w:ascii="Arial" w:eastAsia="Arial" w:hAnsi="Arial" w:cs="Arial"/>
                <w:sz w:val="16"/>
                <w:szCs w:val="16"/>
                <w:vertAlign w:val="baseline"/>
              </w:rPr>
              <w:t>7,016AVAC</w:t>
            </w:r>
          </w:p>
          <w:p w14:paraId="5288C73D" w14:textId="77777777" w:rsidR="00634CDF" w:rsidRDefault="00F0051D">
            <w:pPr>
              <w:ind w:left="0" w:hanging="2"/>
              <w:rPr>
                <w:vertAlign w:val="baseline"/>
              </w:rPr>
            </w:pPr>
            <w:r>
              <w:rPr>
                <w:rFonts w:ascii="Arial" w:eastAsia="Arial" w:hAnsi="Arial" w:cs="Arial"/>
                <w:sz w:val="16"/>
                <w:szCs w:val="16"/>
                <w:vertAlign w:val="baseline"/>
              </w:rPr>
              <w:t>10,3AVAC</w:t>
            </w:r>
          </w:p>
        </w:tc>
        <w:tc>
          <w:tcPr>
            <w:tcW w:w="1170" w:type="dxa"/>
            <w:tcBorders>
              <w:top w:val="single" w:sz="4" w:space="0" w:color="000000"/>
              <w:left w:val="single" w:sz="4" w:space="0" w:color="000000"/>
              <w:bottom w:val="single" w:sz="4" w:space="0" w:color="000000"/>
            </w:tcBorders>
          </w:tcPr>
          <w:p w14:paraId="64505297" w14:textId="77777777" w:rsidR="00634CDF" w:rsidRDefault="00F0051D">
            <w:pPr>
              <w:ind w:left="0" w:hanging="2"/>
              <w:rPr>
                <w:vertAlign w:val="baseline"/>
              </w:rPr>
            </w:pPr>
            <w:r>
              <w:rPr>
                <w:rFonts w:ascii="Arial" w:eastAsia="Arial" w:hAnsi="Arial" w:cs="Arial"/>
                <w:sz w:val="16"/>
                <w:szCs w:val="16"/>
                <w:vertAlign w:val="baseline"/>
              </w:rPr>
              <w:t>7,893AVAC</w:t>
            </w:r>
          </w:p>
          <w:p w14:paraId="787D461D" w14:textId="77777777" w:rsidR="00634CDF" w:rsidRDefault="00F0051D">
            <w:pPr>
              <w:ind w:left="0" w:hanging="2"/>
              <w:rPr>
                <w:vertAlign w:val="baseline"/>
              </w:rPr>
            </w:pPr>
            <w:r>
              <w:rPr>
                <w:rFonts w:ascii="Arial" w:eastAsia="Arial" w:hAnsi="Arial" w:cs="Arial"/>
                <w:sz w:val="16"/>
                <w:szCs w:val="16"/>
                <w:vertAlign w:val="baseline"/>
              </w:rPr>
              <w:t>11,482AVAC</w:t>
            </w:r>
          </w:p>
        </w:tc>
        <w:tc>
          <w:tcPr>
            <w:tcW w:w="1245" w:type="dxa"/>
            <w:tcBorders>
              <w:top w:val="single" w:sz="4" w:space="0" w:color="000000"/>
              <w:left w:val="single" w:sz="4" w:space="0" w:color="000000"/>
              <w:bottom w:val="single" w:sz="4" w:space="0" w:color="000000"/>
            </w:tcBorders>
          </w:tcPr>
          <w:p w14:paraId="78F7CFE0" w14:textId="77777777" w:rsidR="00634CDF" w:rsidRDefault="00F0051D">
            <w:pPr>
              <w:ind w:left="0" w:hanging="2"/>
              <w:rPr>
                <w:vertAlign w:val="baseline"/>
              </w:rPr>
            </w:pPr>
            <w:r>
              <w:rPr>
                <w:rFonts w:ascii="Arial" w:eastAsia="Arial" w:hAnsi="Arial" w:cs="Arial"/>
                <w:sz w:val="16"/>
                <w:szCs w:val="16"/>
                <w:vertAlign w:val="baseline"/>
              </w:rPr>
              <w:t>7,893AVAC</w:t>
            </w:r>
          </w:p>
          <w:p w14:paraId="55EEC2A1" w14:textId="77777777" w:rsidR="00634CDF" w:rsidRDefault="00F0051D">
            <w:pPr>
              <w:ind w:left="0" w:hanging="2"/>
              <w:rPr>
                <w:vertAlign w:val="baseline"/>
              </w:rPr>
            </w:pPr>
            <w:r>
              <w:rPr>
                <w:rFonts w:ascii="Arial" w:eastAsia="Arial" w:hAnsi="Arial" w:cs="Arial"/>
                <w:sz w:val="16"/>
                <w:szCs w:val="16"/>
                <w:vertAlign w:val="baseline"/>
              </w:rPr>
              <w:t>11,482AVAC</w:t>
            </w:r>
          </w:p>
        </w:tc>
        <w:tc>
          <w:tcPr>
            <w:tcW w:w="2535" w:type="dxa"/>
            <w:tcBorders>
              <w:top w:val="single" w:sz="4" w:space="0" w:color="000000"/>
              <w:left w:val="single" w:sz="4" w:space="0" w:color="000000"/>
              <w:bottom w:val="single" w:sz="4" w:space="0" w:color="000000"/>
              <w:right w:val="single" w:sz="4" w:space="0" w:color="000000"/>
            </w:tcBorders>
          </w:tcPr>
          <w:p w14:paraId="43AD76E0" w14:textId="77777777" w:rsidR="00634CDF" w:rsidRDefault="00F0051D">
            <w:pPr>
              <w:ind w:left="0" w:hanging="2"/>
              <w:rPr>
                <w:vertAlign w:val="baseline"/>
              </w:rPr>
            </w:pPr>
            <w:r>
              <w:rPr>
                <w:rFonts w:ascii="Arial" w:eastAsia="Arial" w:hAnsi="Arial" w:cs="Arial"/>
                <w:sz w:val="16"/>
                <w:szCs w:val="16"/>
                <w:vertAlign w:val="baseline"/>
              </w:rPr>
              <w:t>Cualquier alternativa vs. estatinas± ezetimiba: 0,877(ECV) y 1,182(prevención primaria de alto riesgo;C-LDL&gt;154 mg/dl)</w:t>
            </w:r>
          </w:p>
        </w:tc>
      </w:tr>
      <w:tr w:rsidR="00634CDF" w14:paraId="71FF39A4" w14:textId="77777777">
        <w:tc>
          <w:tcPr>
            <w:tcW w:w="3990" w:type="dxa"/>
            <w:gridSpan w:val="3"/>
            <w:tcBorders>
              <w:top w:val="single" w:sz="4" w:space="0" w:color="000000"/>
              <w:left w:val="single" w:sz="4" w:space="0" w:color="000000"/>
              <w:bottom w:val="single" w:sz="4" w:space="0" w:color="000000"/>
            </w:tcBorders>
            <w:shd w:val="clear" w:color="auto" w:fill="D9D9D9"/>
          </w:tcPr>
          <w:p w14:paraId="1BECF71D" w14:textId="77777777" w:rsidR="00634CDF" w:rsidRDefault="00F0051D">
            <w:pPr>
              <w:ind w:left="0" w:hanging="2"/>
              <w:rPr>
                <w:vertAlign w:val="baseline"/>
              </w:rPr>
            </w:pPr>
            <w:r>
              <w:rPr>
                <w:rFonts w:ascii="Arial" w:eastAsia="Arial" w:hAnsi="Arial" w:cs="Arial"/>
                <w:b/>
                <w:sz w:val="16"/>
                <w:szCs w:val="16"/>
                <w:vertAlign w:val="baseline"/>
              </w:rPr>
              <w:t xml:space="preserve">RATIO  DE COSTE EFECTIVIDAD INCREMENTAL (1) </w:t>
            </w:r>
          </w:p>
        </w:tc>
        <w:tc>
          <w:tcPr>
            <w:tcW w:w="1170" w:type="dxa"/>
            <w:tcBorders>
              <w:top w:val="single" w:sz="4" w:space="0" w:color="000000"/>
              <w:left w:val="single" w:sz="4" w:space="0" w:color="000000"/>
              <w:bottom w:val="single" w:sz="4" w:space="0" w:color="000000"/>
            </w:tcBorders>
            <w:shd w:val="clear" w:color="auto" w:fill="D9D9D9"/>
          </w:tcPr>
          <w:p w14:paraId="6CD0C835" w14:textId="77777777" w:rsidR="00634CDF" w:rsidRDefault="00634CDF">
            <w:pPr>
              <w:widowControl w:val="0"/>
              <w:spacing w:line="276" w:lineRule="auto"/>
              <w:ind w:left="0" w:hanging="2"/>
              <w:rPr>
                <w:vertAlign w:val="baseline"/>
              </w:rPr>
            </w:pPr>
          </w:p>
        </w:tc>
        <w:tc>
          <w:tcPr>
            <w:tcW w:w="1245" w:type="dxa"/>
            <w:tcBorders>
              <w:top w:val="single" w:sz="4" w:space="0" w:color="000000"/>
              <w:left w:val="single" w:sz="4" w:space="0" w:color="000000"/>
              <w:bottom w:val="single" w:sz="4" w:space="0" w:color="000000"/>
            </w:tcBorders>
            <w:shd w:val="clear" w:color="auto" w:fill="D9D9D9"/>
          </w:tcPr>
          <w:p w14:paraId="209D8DB2" w14:textId="77777777" w:rsidR="00634CDF" w:rsidRDefault="00634CDF">
            <w:pPr>
              <w:widowControl w:val="0"/>
              <w:spacing w:line="276" w:lineRule="auto"/>
              <w:ind w:left="0" w:hanging="2"/>
              <w:rPr>
                <w:vertAlign w:val="baseline"/>
              </w:rPr>
            </w:pPr>
          </w:p>
        </w:tc>
        <w:tc>
          <w:tcPr>
            <w:tcW w:w="2535" w:type="dxa"/>
            <w:tcBorders>
              <w:top w:val="single" w:sz="4" w:space="0" w:color="000000"/>
              <w:left w:val="single" w:sz="4" w:space="0" w:color="000000"/>
              <w:bottom w:val="single" w:sz="4" w:space="0" w:color="000000"/>
              <w:right w:val="single" w:sz="4" w:space="0" w:color="000000"/>
            </w:tcBorders>
            <w:shd w:val="clear" w:color="auto" w:fill="D9D9D9"/>
          </w:tcPr>
          <w:p w14:paraId="5751A3A1" w14:textId="77777777" w:rsidR="00634CDF" w:rsidRDefault="00F0051D">
            <w:pPr>
              <w:ind w:left="0" w:hanging="2"/>
              <w:rPr>
                <w:vertAlign w:val="baseline"/>
              </w:rPr>
            </w:pPr>
            <w:r>
              <w:rPr>
                <w:rFonts w:ascii="Arial" w:eastAsia="Arial" w:hAnsi="Arial" w:cs="Arial"/>
                <w:b/>
                <w:sz w:val="16"/>
                <w:szCs w:val="16"/>
                <w:vertAlign w:val="baseline"/>
              </w:rPr>
              <w:t>RCEI</w:t>
            </w:r>
          </w:p>
        </w:tc>
      </w:tr>
      <w:tr w:rsidR="00634CDF" w14:paraId="2AEC7FB9" w14:textId="77777777">
        <w:tc>
          <w:tcPr>
            <w:tcW w:w="3990" w:type="dxa"/>
            <w:gridSpan w:val="3"/>
            <w:tcBorders>
              <w:top w:val="single" w:sz="4" w:space="0" w:color="000000"/>
              <w:left w:val="single" w:sz="4" w:space="0" w:color="000000"/>
              <w:bottom w:val="single" w:sz="4" w:space="0" w:color="000000"/>
            </w:tcBorders>
          </w:tcPr>
          <w:p w14:paraId="675346D5" w14:textId="77777777" w:rsidR="00634CDF" w:rsidRDefault="00F0051D">
            <w:pPr>
              <w:ind w:left="0" w:hanging="2"/>
              <w:rPr>
                <w:vertAlign w:val="baseline"/>
              </w:rPr>
            </w:pPr>
            <w:r>
              <w:rPr>
                <w:rFonts w:ascii="Arial" w:eastAsia="Arial" w:hAnsi="Arial" w:cs="Arial"/>
                <w:sz w:val="16"/>
                <w:szCs w:val="16"/>
                <w:vertAlign w:val="baseline"/>
              </w:rPr>
              <w:t>Caso base ECV</w:t>
            </w:r>
          </w:p>
        </w:tc>
        <w:tc>
          <w:tcPr>
            <w:tcW w:w="1170" w:type="dxa"/>
            <w:tcBorders>
              <w:top w:val="single" w:sz="4" w:space="0" w:color="000000"/>
              <w:left w:val="single" w:sz="4" w:space="0" w:color="000000"/>
              <w:bottom w:val="single" w:sz="4" w:space="0" w:color="000000"/>
            </w:tcBorders>
          </w:tcPr>
          <w:p w14:paraId="00D135C5" w14:textId="77777777" w:rsidR="00634CDF" w:rsidRDefault="00634CDF">
            <w:pPr>
              <w:widowControl w:val="0"/>
              <w:spacing w:line="276" w:lineRule="auto"/>
              <w:ind w:left="0" w:hanging="2"/>
              <w:rPr>
                <w:rFonts w:ascii="Arial" w:eastAsia="Arial" w:hAnsi="Arial" w:cs="Arial"/>
                <w:sz w:val="16"/>
                <w:szCs w:val="16"/>
                <w:vertAlign w:val="baseline"/>
              </w:rPr>
            </w:pPr>
          </w:p>
        </w:tc>
        <w:tc>
          <w:tcPr>
            <w:tcW w:w="1245" w:type="dxa"/>
            <w:tcBorders>
              <w:top w:val="single" w:sz="4" w:space="0" w:color="000000"/>
              <w:left w:val="single" w:sz="4" w:space="0" w:color="000000"/>
              <w:bottom w:val="single" w:sz="4" w:space="0" w:color="000000"/>
            </w:tcBorders>
          </w:tcPr>
          <w:p w14:paraId="7508789E" w14:textId="77777777" w:rsidR="00634CDF" w:rsidRDefault="00634CDF">
            <w:pPr>
              <w:widowControl w:val="0"/>
              <w:spacing w:line="276" w:lineRule="auto"/>
              <w:ind w:left="0" w:hanging="2"/>
              <w:rPr>
                <w:vertAlign w:val="baseline"/>
              </w:rPr>
            </w:pPr>
          </w:p>
        </w:tc>
        <w:tc>
          <w:tcPr>
            <w:tcW w:w="2535" w:type="dxa"/>
            <w:tcBorders>
              <w:top w:val="single" w:sz="4" w:space="0" w:color="000000"/>
              <w:left w:val="single" w:sz="4" w:space="0" w:color="000000"/>
              <w:bottom w:val="single" w:sz="4" w:space="0" w:color="000000"/>
              <w:right w:val="single" w:sz="4" w:space="0" w:color="000000"/>
            </w:tcBorders>
          </w:tcPr>
          <w:p w14:paraId="61082C20" w14:textId="77777777" w:rsidR="00634CDF" w:rsidRDefault="00F0051D">
            <w:pPr>
              <w:numPr>
                <w:ilvl w:val="0"/>
                <w:numId w:val="5"/>
              </w:numPr>
              <w:ind w:left="0" w:hanging="2"/>
            </w:pPr>
            <w:r>
              <w:rPr>
                <w:rFonts w:ascii="Arial" w:eastAsia="Arial" w:hAnsi="Arial" w:cs="Arial"/>
                <w:sz w:val="16"/>
                <w:szCs w:val="16"/>
                <w:vertAlign w:val="baseline"/>
              </w:rPr>
              <w:t>Inclisiran+estatinas ± ezetimiba vs.Estatinas± ezetimiba: 60.147,56€</w:t>
            </w:r>
          </w:p>
          <w:p w14:paraId="1191AE34" w14:textId="77777777" w:rsidR="00634CDF" w:rsidRDefault="00F0051D">
            <w:pPr>
              <w:numPr>
                <w:ilvl w:val="0"/>
                <w:numId w:val="5"/>
              </w:numPr>
              <w:ind w:left="0" w:hanging="2"/>
            </w:pPr>
            <w:r>
              <w:rPr>
                <w:rFonts w:ascii="Arial" w:eastAsia="Arial" w:hAnsi="Arial" w:cs="Arial"/>
                <w:sz w:val="16"/>
                <w:szCs w:val="16"/>
                <w:vertAlign w:val="baseline"/>
              </w:rPr>
              <w:t>Alirocumab +estatinas ± ezetimiba vs.Estatinas± ezetimiba:63.380,07 €</w:t>
            </w:r>
          </w:p>
          <w:p w14:paraId="1CD4CDEB" w14:textId="77777777" w:rsidR="00634CDF" w:rsidRDefault="00F0051D">
            <w:pPr>
              <w:numPr>
                <w:ilvl w:val="0"/>
                <w:numId w:val="5"/>
              </w:numPr>
              <w:ind w:left="0" w:hanging="2"/>
            </w:pPr>
            <w:r>
              <w:rPr>
                <w:rFonts w:ascii="Arial" w:eastAsia="Arial" w:hAnsi="Arial" w:cs="Arial"/>
                <w:sz w:val="16"/>
                <w:szCs w:val="16"/>
                <w:vertAlign w:val="baseline"/>
              </w:rPr>
              <w:t>Evolocumab +estatinas ± ezetimiba vs.Estatinas± ezetimiba:64.199,07€</w:t>
            </w:r>
          </w:p>
        </w:tc>
      </w:tr>
      <w:tr w:rsidR="00634CDF" w14:paraId="126B9C9B" w14:textId="77777777">
        <w:tc>
          <w:tcPr>
            <w:tcW w:w="3990" w:type="dxa"/>
            <w:gridSpan w:val="3"/>
            <w:tcBorders>
              <w:top w:val="single" w:sz="4" w:space="0" w:color="000000"/>
              <w:left w:val="single" w:sz="4" w:space="0" w:color="000000"/>
              <w:bottom w:val="single" w:sz="4" w:space="0" w:color="000000"/>
            </w:tcBorders>
          </w:tcPr>
          <w:p w14:paraId="4DEC9D65" w14:textId="77777777" w:rsidR="00634CDF" w:rsidRDefault="00F0051D">
            <w:pPr>
              <w:ind w:left="0" w:hanging="2"/>
              <w:rPr>
                <w:vertAlign w:val="baseline"/>
              </w:rPr>
            </w:pPr>
            <w:r>
              <w:rPr>
                <w:rFonts w:ascii="Arial" w:eastAsia="Arial" w:hAnsi="Arial" w:cs="Arial"/>
                <w:sz w:val="16"/>
                <w:szCs w:val="16"/>
                <w:vertAlign w:val="baseline"/>
              </w:rPr>
              <w:t>Caso base PPAR</w:t>
            </w:r>
          </w:p>
        </w:tc>
        <w:tc>
          <w:tcPr>
            <w:tcW w:w="1170" w:type="dxa"/>
            <w:tcBorders>
              <w:top w:val="single" w:sz="4" w:space="0" w:color="000000"/>
              <w:left w:val="single" w:sz="4" w:space="0" w:color="000000"/>
              <w:bottom w:val="single" w:sz="4" w:space="0" w:color="000000"/>
            </w:tcBorders>
          </w:tcPr>
          <w:p w14:paraId="095F0695" w14:textId="77777777" w:rsidR="00634CDF" w:rsidRDefault="00634CDF">
            <w:pPr>
              <w:widowControl w:val="0"/>
              <w:spacing w:line="276" w:lineRule="auto"/>
              <w:ind w:left="0" w:hanging="2"/>
              <w:rPr>
                <w:vertAlign w:val="baseline"/>
              </w:rPr>
            </w:pPr>
          </w:p>
        </w:tc>
        <w:tc>
          <w:tcPr>
            <w:tcW w:w="1245" w:type="dxa"/>
            <w:tcBorders>
              <w:top w:val="single" w:sz="4" w:space="0" w:color="000000"/>
              <w:left w:val="single" w:sz="4" w:space="0" w:color="000000"/>
              <w:bottom w:val="single" w:sz="4" w:space="0" w:color="000000"/>
            </w:tcBorders>
          </w:tcPr>
          <w:p w14:paraId="1D8C4245" w14:textId="77777777" w:rsidR="00634CDF" w:rsidRDefault="00634CDF">
            <w:pPr>
              <w:widowControl w:val="0"/>
              <w:spacing w:line="276" w:lineRule="auto"/>
              <w:ind w:left="0" w:hanging="2"/>
              <w:rPr>
                <w:vertAlign w:val="baseline"/>
              </w:rPr>
            </w:pPr>
          </w:p>
        </w:tc>
        <w:tc>
          <w:tcPr>
            <w:tcW w:w="2535" w:type="dxa"/>
            <w:tcBorders>
              <w:top w:val="single" w:sz="4" w:space="0" w:color="000000"/>
              <w:left w:val="single" w:sz="4" w:space="0" w:color="000000"/>
              <w:bottom w:val="single" w:sz="4" w:space="0" w:color="000000"/>
              <w:right w:val="single" w:sz="4" w:space="0" w:color="000000"/>
            </w:tcBorders>
          </w:tcPr>
          <w:p w14:paraId="28D71720" w14:textId="77777777" w:rsidR="00634CDF" w:rsidRDefault="00F0051D">
            <w:pPr>
              <w:numPr>
                <w:ilvl w:val="0"/>
                <w:numId w:val="5"/>
              </w:numPr>
              <w:ind w:left="0" w:hanging="2"/>
            </w:pPr>
            <w:r>
              <w:rPr>
                <w:rFonts w:ascii="Arial" w:eastAsia="Arial" w:hAnsi="Arial" w:cs="Arial"/>
                <w:sz w:val="16"/>
                <w:szCs w:val="16"/>
                <w:vertAlign w:val="baseline"/>
              </w:rPr>
              <w:t>Inclisiran+estatinas ± ezetimiba vs.Estatinas± ezetimiba: 57.490,29€</w:t>
            </w:r>
          </w:p>
          <w:p w14:paraId="5E9EFA18" w14:textId="77777777" w:rsidR="00634CDF" w:rsidRDefault="00F0051D">
            <w:pPr>
              <w:numPr>
                <w:ilvl w:val="0"/>
                <w:numId w:val="5"/>
              </w:numPr>
              <w:ind w:left="0" w:hanging="2"/>
            </w:pPr>
            <w:r>
              <w:rPr>
                <w:rFonts w:ascii="Arial" w:eastAsia="Arial" w:hAnsi="Arial" w:cs="Arial"/>
                <w:sz w:val="16"/>
                <w:szCs w:val="16"/>
                <w:vertAlign w:val="baseline"/>
              </w:rPr>
              <w:lastRenderedPageBreak/>
              <w:t>Alirocumab +estatinas ± ezetimiba vs.Estatinas± ezetimiba: 61.158,24€</w:t>
            </w:r>
          </w:p>
          <w:p w14:paraId="13ED51E6" w14:textId="77777777" w:rsidR="00634CDF" w:rsidRDefault="00F0051D">
            <w:pPr>
              <w:numPr>
                <w:ilvl w:val="0"/>
                <w:numId w:val="5"/>
              </w:numPr>
              <w:ind w:left="0" w:hanging="2"/>
            </w:pPr>
            <w:r>
              <w:rPr>
                <w:rFonts w:ascii="Arial" w:eastAsia="Arial" w:hAnsi="Arial" w:cs="Arial"/>
                <w:sz w:val="16"/>
                <w:szCs w:val="16"/>
                <w:vertAlign w:val="baseline"/>
              </w:rPr>
              <w:t>Evolocumab +estatinas ± ezetimiba vs.Estatinas± ezetimiba:61.946, 82€</w:t>
            </w:r>
          </w:p>
        </w:tc>
      </w:tr>
      <w:tr w:rsidR="00634CDF" w14:paraId="184C0E7D" w14:textId="77777777">
        <w:tc>
          <w:tcPr>
            <w:tcW w:w="8940" w:type="dxa"/>
            <w:gridSpan w:val="6"/>
            <w:tcBorders>
              <w:top w:val="single" w:sz="4" w:space="0" w:color="000000"/>
              <w:left w:val="single" w:sz="4" w:space="0" w:color="000000"/>
              <w:bottom w:val="single" w:sz="4" w:space="0" w:color="000000"/>
              <w:right w:val="single" w:sz="4" w:space="0" w:color="000000"/>
            </w:tcBorders>
            <w:shd w:val="clear" w:color="auto" w:fill="DDDDDD"/>
          </w:tcPr>
          <w:p w14:paraId="456394B0" w14:textId="77777777" w:rsidR="00634CDF" w:rsidRDefault="00F0051D">
            <w:pPr>
              <w:ind w:left="0" w:hanging="2"/>
              <w:jc w:val="both"/>
              <w:rPr>
                <w:vertAlign w:val="baseline"/>
              </w:rPr>
            </w:pPr>
            <w:r>
              <w:rPr>
                <w:rFonts w:ascii="Arial" w:eastAsia="Arial" w:hAnsi="Arial" w:cs="Arial"/>
                <w:sz w:val="16"/>
                <w:szCs w:val="16"/>
                <w:vertAlign w:val="baseline"/>
              </w:rPr>
              <w:lastRenderedPageBreak/>
              <w:t>Cambio de libra esterlina a euro a fecha 15/09/2021 1 libra esterlina= 1,17 euros.</w:t>
            </w:r>
          </w:p>
        </w:tc>
      </w:tr>
    </w:tbl>
    <w:p w14:paraId="38D49020" w14:textId="77777777" w:rsidR="00634CDF" w:rsidRDefault="00634CDF">
      <w:pPr>
        <w:ind w:left="0" w:hanging="2"/>
        <w:jc w:val="both"/>
        <w:rPr>
          <w:rFonts w:ascii="Arial" w:eastAsia="Arial" w:hAnsi="Arial" w:cs="Arial"/>
          <w:sz w:val="20"/>
          <w:szCs w:val="20"/>
          <w:vertAlign w:val="baseline"/>
        </w:rPr>
      </w:pPr>
    </w:p>
    <w:p w14:paraId="4DA9F6BD" w14:textId="77777777" w:rsidR="00634CDF" w:rsidRDefault="00634CDF">
      <w:pPr>
        <w:ind w:left="0" w:hanging="2"/>
        <w:jc w:val="both"/>
        <w:rPr>
          <w:rFonts w:ascii="Arial" w:eastAsia="Arial" w:hAnsi="Arial" w:cs="Arial"/>
          <w:sz w:val="20"/>
          <w:szCs w:val="20"/>
          <w:vertAlign w:val="baseline"/>
        </w:rPr>
      </w:pPr>
    </w:p>
    <w:p w14:paraId="0C6B85B5" w14:textId="23C6DC7C" w:rsidR="00634CDF" w:rsidRDefault="00F0051D">
      <w:pPr>
        <w:ind w:left="0" w:hanging="2"/>
        <w:jc w:val="both"/>
        <w:rPr>
          <w:vertAlign w:val="baseline"/>
        </w:rPr>
      </w:pPr>
      <w:r>
        <w:rPr>
          <w:rFonts w:ascii="Arial" w:eastAsia="Arial" w:hAnsi="Arial" w:cs="Arial"/>
          <w:sz w:val="20"/>
          <w:szCs w:val="20"/>
          <w:vertAlign w:val="baseline"/>
        </w:rPr>
        <w:t xml:space="preserve">Los resultados del análisis de sensibilidad para los supuestos de financiación del National Health Service(NHS) para los antiPCSK9 (pacientes con ECV con C-LDL&gt;154 mg/dl, pacientes con ECV y muy alto riesgo con C-LDL&gt;135 mg/dl) redujeron el RCEI de inclisiran por debajo de los antiPCSK9 y en torno a 35.100€, </w:t>
      </w:r>
      <w:r w:rsidR="00D30540">
        <w:rPr>
          <w:rFonts w:ascii="Arial" w:eastAsia="Arial" w:hAnsi="Arial" w:cs="Arial"/>
          <w:sz w:val="20"/>
          <w:szCs w:val="20"/>
          <w:vertAlign w:val="baseline"/>
        </w:rPr>
        <w:t>umbral comúnmente</w:t>
      </w:r>
      <w:r>
        <w:rPr>
          <w:rFonts w:ascii="Arial" w:eastAsia="Arial" w:hAnsi="Arial" w:cs="Arial"/>
          <w:sz w:val="20"/>
          <w:szCs w:val="20"/>
          <w:vertAlign w:val="baseline"/>
        </w:rPr>
        <w:t xml:space="preserve"> aceptado por NHS. Para los pacientes en prevención primaria con C-LDL&gt;195 mg/dl el RCEI fue más alto, pero igualmente inferior a estatinas y antiPCSK9. </w:t>
      </w:r>
    </w:p>
    <w:p w14:paraId="13F52A74" w14:textId="77777777" w:rsidR="00634CDF" w:rsidRDefault="00634CDF">
      <w:pPr>
        <w:ind w:left="0" w:hanging="2"/>
        <w:jc w:val="both"/>
        <w:rPr>
          <w:rFonts w:ascii="Arial" w:eastAsia="Arial" w:hAnsi="Arial" w:cs="Arial"/>
          <w:sz w:val="20"/>
          <w:szCs w:val="20"/>
          <w:vertAlign w:val="baseline"/>
        </w:rPr>
      </w:pPr>
    </w:p>
    <w:p w14:paraId="3F6A525F" w14:textId="77777777" w:rsidR="00634CDF" w:rsidRDefault="00F0051D">
      <w:pPr>
        <w:ind w:left="0" w:hanging="2"/>
        <w:jc w:val="both"/>
        <w:rPr>
          <w:vertAlign w:val="baseline"/>
        </w:rPr>
      </w:pPr>
      <w:r>
        <w:rPr>
          <w:rFonts w:ascii="Arial" w:eastAsia="Arial" w:hAnsi="Arial" w:cs="Arial"/>
          <w:sz w:val="20"/>
          <w:szCs w:val="20"/>
          <w:vertAlign w:val="baseline"/>
        </w:rPr>
        <w:t>Tras este análisis, el SMC propone utilizar inclisiran en las mismas condiciones de financiación que los antiPCSK9 en el NHS.</w:t>
      </w:r>
    </w:p>
    <w:p w14:paraId="6CE6E31F" w14:textId="77777777" w:rsidR="00634CDF" w:rsidRDefault="00634CDF">
      <w:pPr>
        <w:ind w:left="0" w:hanging="2"/>
        <w:jc w:val="both"/>
        <w:rPr>
          <w:rFonts w:ascii="Arial" w:eastAsia="Arial" w:hAnsi="Arial" w:cs="Arial"/>
          <w:sz w:val="20"/>
          <w:szCs w:val="20"/>
          <w:vertAlign w:val="baseline"/>
        </w:rPr>
      </w:pPr>
    </w:p>
    <w:p w14:paraId="70A40994" w14:textId="77777777" w:rsidR="00634CDF" w:rsidRDefault="00F0051D">
      <w:pPr>
        <w:ind w:left="0" w:hanging="2"/>
        <w:rPr>
          <w:vertAlign w:val="baseline"/>
        </w:rPr>
      </w:pPr>
      <w:r>
        <w:rPr>
          <w:rFonts w:ascii="Arial" w:eastAsia="Arial" w:hAnsi="Arial" w:cs="Arial"/>
          <w:b/>
          <w:sz w:val="20"/>
          <w:szCs w:val="20"/>
          <w:vertAlign w:val="baseline"/>
        </w:rPr>
        <w:t>Revisión crítica y aplicabilidad del estudio</w:t>
      </w:r>
    </w:p>
    <w:p w14:paraId="60107391" w14:textId="77777777" w:rsidR="00634CDF" w:rsidRDefault="00634CDF">
      <w:pPr>
        <w:ind w:left="0" w:hanging="2"/>
        <w:jc w:val="both"/>
        <w:rPr>
          <w:rFonts w:ascii="Arial" w:eastAsia="Arial" w:hAnsi="Arial" w:cs="Arial"/>
          <w:sz w:val="20"/>
          <w:szCs w:val="20"/>
          <w:vertAlign w:val="baseline"/>
        </w:rPr>
      </w:pPr>
      <w:bookmarkStart w:id="68" w:name="_heading=h.855a5mttlim9" w:colFirst="0" w:colLast="0"/>
      <w:bookmarkEnd w:id="68"/>
    </w:p>
    <w:p w14:paraId="722E64CE" w14:textId="77777777" w:rsidR="00634CDF" w:rsidRDefault="00F0051D">
      <w:pPr>
        <w:ind w:left="0" w:hanging="2"/>
        <w:jc w:val="both"/>
        <w:rPr>
          <w:vertAlign w:val="baseline"/>
        </w:rPr>
      </w:pPr>
      <w:bookmarkStart w:id="69" w:name="_heading=h.332cetubv87u" w:colFirst="0" w:colLast="0"/>
      <w:bookmarkEnd w:id="69"/>
      <w:r>
        <w:rPr>
          <w:rFonts w:ascii="Arial" w:eastAsia="Arial" w:hAnsi="Arial" w:cs="Arial"/>
          <w:sz w:val="20"/>
          <w:szCs w:val="20"/>
          <w:vertAlign w:val="baseline"/>
        </w:rPr>
        <w:t>En este análisis se tomó como variable de eficacia a evaluar la reducción C-LDL a las 24 semanas y asumió también la relación entre reducción de riesgo cardiovascular-reducción de C-LDL del CTTC. Esto vuelve a representar las mismas limitaciones que antes hemos comentado para otros estudios.</w:t>
      </w:r>
    </w:p>
    <w:p w14:paraId="78DE1896" w14:textId="77777777" w:rsidR="00634CDF" w:rsidRDefault="00F0051D">
      <w:pPr>
        <w:ind w:left="0" w:hanging="2"/>
        <w:jc w:val="both"/>
        <w:rPr>
          <w:vertAlign w:val="baseline"/>
        </w:rPr>
      </w:pPr>
      <w:bookmarkStart w:id="70" w:name="_heading=h.nc8692ze8j6a" w:colFirst="0" w:colLast="0"/>
      <w:bookmarkEnd w:id="70"/>
      <w:r>
        <w:rPr>
          <w:rFonts w:ascii="Arial" w:eastAsia="Arial" w:hAnsi="Arial" w:cs="Arial"/>
          <w:sz w:val="20"/>
          <w:szCs w:val="20"/>
          <w:vertAlign w:val="baseline"/>
        </w:rPr>
        <w:t>Las características de la población escogida provienen de datos clínicos de población real lo cual es positivo a la hora de poder sacar conclusiones en cuanto a validez externa y este es quizás un punto fuerte del estudio.</w:t>
      </w:r>
    </w:p>
    <w:p w14:paraId="7B62261A" w14:textId="77777777" w:rsidR="00634CDF" w:rsidRDefault="00634CDF">
      <w:pPr>
        <w:ind w:left="0" w:hanging="2"/>
        <w:jc w:val="both"/>
        <w:rPr>
          <w:rFonts w:ascii="Arial" w:eastAsia="Arial" w:hAnsi="Arial" w:cs="Arial"/>
          <w:sz w:val="20"/>
          <w:szCs w:val="20"/>
          <w:vertAlign w:val="baseline"/>
        </w:rPr>
      </w:pPr>
    </w:p>
    <w:p w14:paraId="7F5CBE22" w14:textId="77777777" w:rsidR="00634CDF" w:rsidRDefault="00F0051D">
      <w:pPr>
        <w:ind w:left="0" w:hanging="2"/>
        <w:jc w:val="both"/>
        <w:rPr>
          <w:vertAlign w:val="baseline"/>
        </w:rPr>
      </w:pPr>
      <w:bookmarkStart w:id="71" w:name="_heading=h.uyca12m67ze9" w:colFirst="0" w:colLast="0"/>
      <w:bookmarkEnd w:id="71"/>
      <w:r>
        <w:rPr>
          <w:rFonts w:ascii="Arial" w:eastAsia="Arial" w:hAnsi="Arial" w:cs="Arial"/>
          <w:sz w:val="20"/>
          <w:szCs w:val="20"/>
          <w:vertAlign w:val="baseline"/>
        </w:rPr>
        <w:t>Otra limitación es la asunción del mantenimiento del efecto y la discontinuación. El laboratorio aportó dos escenarios de discontinuación en su análisis de sensibilidad, tomando los datos de las tasas de discontinuación de los ensayos ORION, ODYSSEY y FOURIER, en el que exponían que inclisiran seguía siendo una opción más coste-efectiva que las alternativas. Sin embargo, la discontinuación real de inclisiran es todavía incierta y no existen datos a largo plazo.</w:t>
      </w:r>
    </w:p>
    <w:p w14:paraId="23F726F3" w14:textId="77777777" w:rsidR="00634CDF" w:rsidRDefault="00634CDF">
      <w:pPr>
        <w:ind w:left="0" w:hanging="2"/>
        <w:jc w:val="both"/>
        <w:rPr>
          <w:rFonts w:ascii="Arial" w:eastAsia="Arial" w:hAnsi="Arial" w:cs="Arial"/>
          <w:sz w:val="20"/>
          <w:szCs w:val="20"/>
          <w:vertAlign w:val="baseline"/>
        </w:rPr>
      </w:pPr>
    </w:p>
    <w:p w14:paraId="5B9DF0D9" w14:textId="77777777" w:rsidR="00634CDF" w:rsidRDefault="00F0051D">
      <w:pPr>
        <w:ind w:left="0" w:hanging="2"/>
        <w:jc w:val="both"/>
        <w:rPr>
          <w:vertAlign w:val="baseline"/>
        </w:rPr>
      </w:pPr>
      <w:bookmarkStart w:id="72" w:name="_heading=h.e3q7yt2p7esr" w:colFirst="0" w:colLast="0"/>
      <w:bookmarkEnd w:id="72"/>
      <w:r>
        <w:rPr>
          <w:rFonts w:ascii="Arial" w:eastAsia="Arial" w:hAnsi="Arial" w:cs="Arial"/>
          <w:sz w:val="20"/>
          <w:szCs w:val="20"/>
          <w:vertAlign w:val="baseline"/>
        </w:rPr>
        <w:t>El hecho de que SMC y NICE difieran en los criterios de financiación de inclisiran parece demostrar que el coste-efectividad es dependiente de su precio, posicionando el fármaco al nivel de antiPCSK9 (SMC) o incluso dándole prioridad disminuyendo el dintel de C-LDL a 100 mg/dL en pacientes con ECV (NICE). Es por esto que estos análisis no nos permiten extraer conclusiones aplicables al SNS puesto que el precio puede ser sustancialmente distinto.</w:t>
      </w:r>
    </w:p>
    <w:p w14:paraId="552D93FD" w14:textId="77777777" w:rsidR="00634CDF" w:rsidRDefault="00634CDF">
      <w:pPr>
        <w:ind w:left="0" w:hanging="2"/>
        <w:jc w:val="both"/>
        <w:rPr>
          <w:rFonts w:ascii="Arial" w:eastAsia="Arial" w:hAnsi="Arial" w:cs="Arial"/>
          <w:sz w:val="20"/>
          <w:szCs w:val="20"/>
          <w:vertAlign w:val="baseline"/>
        </w:rPr>
      </w:pPr>
    </w:p>
    <w:p w14:paraId="509344F9" w14:textId="77777777" w:rsidR="00634CDF" w:rsidRDefault="00F0051D">
      <w:pPr>
        <w:ind w:left="0" w:hanging="2"/>
        <w:jc w:val="both"/>
        <w:rPr>
          <w:rFonts w:ascii="Arial" w:eastAsia="Arial" w:hAnsi="Arial" w:cs="Arial"/>
          <w:sz w:val="20"/>
          <w:szCs w:val="20"/>
          <w:vertAlign w:val="baseline"/>
        </w:rPr>
      </w:pPr>
      <w:bookmarkStart w:id="73" w:name="_heading=h.pu699ji799y3" w:colFirst="0" w:colLast="0"/>
      <w:bookmarkEnd w:id="73"/>
      <w:r>
        <w:rPr>
          <w:rFonts w:ascii="Arial" w:eastAsia="Arial" w:hAnsi="Arial" w:cs="Arial"/>
          <w:sz w:val="20"/>
          <w:szCs w:val="20"/>
          <w:vertAlign w:val="baseline"/>
        </w:rPr>
        <w:t>Por otra parte, no se mostraba el precio real de los fármacos ya que el esquema de acceso de pacientes es confidencial.</w:t>
      </w:r>
    </w:p>
    <w:p w14:paraId="3CC9EC29" w14:textId="77777777" w:rsidR="00634CDF" w:rsidRDefault="00634CDF">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bookmarkStart w:id="74" w:name="_heading=h.d8sskyvf3ild" w:colFirst="0" w:colLast="0"/>
      <w:bookmarkEnd w:id="74"/>
    </w:p>
    <w:p w14:paraId="2975A35C" w14:textId="77777777" w:rsidR="00634CDF" w:rsidRPr="001779CA" w:rsidRDefault="00F0051D">
      <w:pPr>
        <w:ind w:left="0" w:hanging="2"/>
        <w:jc w:val="both"/>
        <w:rPr>
          <w:rFonts w:ascii="Arial" w:eastAsia="Arial" w:hAnsi="Arial" w:cs="Arial"/>
          <w:i/>
          <w:sz w:val="20"/>
          <w:szCs w:val="20"/>
          <w:vertAlign w:val="baseline"/>
          <w:lang w:val="en-US"/>
        </w:rPr>
      </w:pPr>
      <w:bookmarkStart w:id="75" w:name="_heading=h.ux2mtklz35r1" w:colFirst="0" w:colLast="0"/>
      <w:bookmarkEnd w:id="75"/>
      <w:r w:rsidRPr="001779CA">
        <w:rPr>
          <w:rFonts w:ascii="Arial" w:eastAsia="Arial" w:hAnsi="Arial" w:cs="Arial"/>
          <w:b/>
          <w:sz w:val="20"/>
          <w:szCs w:val="20"/>
          <w:vertAlign w:val="baseline"/>
          <w:lang w:val="en-US"/>
        </w:rPr>
        <w:t>INFORME DEL NATIONAL INSTITUTE FOR HEALTH AND CARE EXCELLENCE (NICE)</w:t>
      </w:r>
      <w:r w:rsidRPr="001779CA">
        <w:rPr>
          <w:vertAlign w:val="baseline"/>
          <w:lang w:val="en-US"/>
        </w:rPr>
        <w:t xml:space="preserve"> (29)</w:t>
      </w:r>
    </w:p>
    <w:p w14:paraId="2108B852" w14:textId="77777777" w:rsidR="00634CDF" w:rsidRPr="001779CA" w:rsidRDefault="00634CDF">
      <w:pPr>
        <w:ind w:left="0" w:hanging="2"/>
        <w:jc w:val="both"/>
        <w:rPr>
          <w:rFonts w:ascii="Arial" w:eastAsia="Arial" w:hAnsi="Arial" w:cs="Arial"/>
          <w:i/>
          <w:sz w:val="20"/>
          <w:szCs w:val="20"/>
          <w:vertAlign w:val="baseline"/>
          <w:lang w:val="en-US"/>
        </w:rPr>
      </w:pPr>
    </w:p>
    <w:p w14:paraId="6693E898" w14:textId="77777777" w:rsidR="00634CDF" w:rsidRPr="001779CA" w:rsidRDefault="00F0051D">
      <w:pPr>
        <w:spacing w:after="240"/>
        <w:ind w:left="0" w:hanging="2"/>
        <w:jc w:val="both"/>
        <w:rPr>
          <w:rFonts w:ascii="Arial" w:eastAsia="Arial" w:hAnsi="Arial" w:cs="Arial"/>
          <w:i/>
          <w:sz w:val="20"/>
          <w:szCs w:val="20"/>
          <w:vertAlign w:val="baseline"/>
          <w:lang w:val="en-US"/>
        </w:rPr>
      </w:pPr>
      <w:r w:rsidRPr="001779CA">
        <w:rPr>
          <w:rFonts w:ascii="Arial" w:eastAsia="Arial" w:hAnsi="Arial" w:cs="Arial"/>
          <w:sz w:val="20"/>
          <w:szCs w:val="20"/>
          <w:vertAlign w:val="baseline"/>
          <w:lang w:val="en-US"/>
        </w:rPr>
        <w:t xml:space="preserve">Inclisiran for treating primary hypercholesterolaemia or mixed dyslipidaemia Technology appraisal guidance Published: 6 October 2021 www.nice.org.uk/guidance/ta733 </w:t>
      </w:r>
    </w:p>
    <w:p w14:paraId="534F0202" w14:textId="77777777" w:rsidR="00634CDF" w:rsidRPr="001779CA" w:rsidRDefault="00634CDF">
      <w:pPr>
        <w:ind w:left="0" w:hanging="2"/>
        <w:jc w:val="both"/>
        <w:rPr>
          <w:rFonts w:ascii="Arial" w:eastAsia="Arial" w:hAnsi="Arial" w:cs="Arial"/>
          <w:sz w:val="20"/>
          <w:szCs w:val="20"/>
          <w:vertAlign w:val="baseline"/>
          <w:lang w:val="en-US"/>
        </w:rPr>
      </w:pPr>
    </w:p>
    <w:p w14:paraId="190CEB0F" w14:textId="77777777" w:rsidR="00634CDF" w:rsidRDefault="00F0051D">
      <w:pPr>
        <w:ind w:left="0" w:hanging="2"/>
        <w:jc w:val="both"/>
        <w:rPr>
          <w:vertAlign w:val="baseline"/>
        </w:rPr>
      </w:pPr>
      <w:r>
        <w:rPr>
          <w:rFonts w:ascii="Arial" w:eastAsia="Arial" w:hAnsi="Arial" w:cs="Arial"/>
          <w:sz w:val="20"/>
          <w:szCs w:val="20"/>
          <w:vertAlign w:val="baseline"/>
        </w:rPr>
        <w:t xml:space="preserve">En octubre de 2021 el NICE publica el </w:t>
      </w:r>
      <w:r w:rsidRPr="009F44EF">
        <w:rPr>
          <w:rFonts w:ascii="Arial" w:eastAsia="Arial" w:hAnsi="Arial" w:cs="Arial"/>
          <w:sz w:val="20"/>
          <w:szCs w:val="20"/>
          <w:vertAlign w:val="baseline"/>
        </w:rPr>
        <w:t>documento (29)</w:t>
      </w:r>
      <w:r>
        <w:rPr>
          <w:rFonts w:ascii="Arial" w:eastAsia="Arial" w:hAnsi="Arial" w:cs="Arial"/>
          <w:sz w:val="20"/>
          <w:szCs w:val="20"/>
          <w:vertAlign w:val="baseline"/>
        </w:rPr>
        <w:t xml:space="preserve"> con el análisis y conclusiones acerca de la eficacia, seguridad y eficiencia de inclisiran en la indicación autorizada. Las conclusiones están resumidas en un documento, pero el contenido íntegro del análisis económico está censurado para no desvelar el precio de adquisición del medicamento.</w:t>
      </w:r>
    </w:p>
    <w:p w14:paraId="1FA25A3F" w14:textId="77777777" w:rsidR="00634CDF" w:rsidRDefault="00634CDF">
      <w:pPr>
        <w:ind w:left="0" w:hanging="2"/>
        <w:jc w:val="both"/>
        <w:rPr>
          <w:rFonts w:ascii="Arial" w:eastAsia="Arial" w:hAnsi="Arial" w:cs="Arial"/>
          <w:sz w:val="20"/>
          <w:szCs w:val="20"/>
          <w:vertAlign w:val="baseline"/>
        </w:rPr>
      </w:pPr>
    </w:p>
    <w:p w14:paraId="326CD46A" w14:textId="49683661" w:rsidR="00634CDF" w:rsidRDefault="00F0051D">
      <w:pPr>
        <w:ind w:left="0" w:hanging="2"/>
        <w:jc w:val="both"/>
        <w:rPr>
          <w:vertAlign w:val="baseline"/>
        </w:rPr>
      </w:pPr>
      <w:r>
        <w:rPr>
          <w:rFonts w:ascii="Arial" w:eastAsia="Arial" w:hAnsi="Arial" w:cs="Arial"/>
          <w:sz w:val="20"/>
          <w:szCs w:val="20"/>
          <w:vertAlign w:val="baseline"/>
        </w:rPr>
        <w:t xml:space="preserve">NICE propone el uso de inclisiran en pacientes </w:t>
      </w:r>
      <w:r w:rsidR="00B00408">
        <w:rPr>
          <w:rFonts w:ascii="Arial" w:eastAsia="Arial" w:hAnsi="Arial" w:cs="Arial"/>
          <w:sz w:val="20"/>
          <w:szCs w:val="20"/>
          <w:vertAlign w:val="baseline"/>
        </w:rPr>
        <w:t>en prevención secundaria</w:t>
      </w:r>
      <w:r>
        <w:rPr>
          <w:rFonts w:ascii="Arial" w:eastAsia="Arial" w:hAnsi="Arial" w:cs="Arial"/>
          <w:sz w:val="20"/>
          <w:szCs w:val="20"/>
          <w:vertAlign w:val="baseline"/>
        </w:rPr>
        <w:t xml:space="preserve"> que no consiguen el objetivo de C-LDL</w:t>
      </w:r>
      <w:r w:rsidR="00B00408">
        <w:rPr>
          <w:rFonts w:ascii="Arial" w:eastAsia="Arial" w:hAnsi="Arial" w:cs="Arial"/>
          <w:sz w:val="20"/>
          <w:szCs w:val="20"/>
          <w:vertAlign w:val="baseline"/>
        </w:rPr>
        <w:t xml:space="preserve"> </w:t>
      </w:r>
      <w:r>
        <w:rPr>
          <w:rFonts w:ascii="Arial" w:eastAsia="Arial" w:hAnsi="Arial" w:cs="Arial"/>
          <w:sz w:val="20"/>
          <w:szCs w:val="20"/>
          <w:vertAlign w:val="baseline"/>
        </w:rPr>
        <w:t xml:space="preserve">(&gt;100 mg/dl) a pesar de tratamiento hipolipemiante a dosis máximas toleradas, </w:t>
      </w:r>
      <w:r>
        <w:rPr>
          <w:rFonts w:ascii="Arial" w:eastAsia="Arial" w:hAnsi="Arial" w:cs="Arial"/>
          <w:sz w:val="20"/>
          <w:szCs w:val="20"/>
          <w:vertAlign w:val="baseline"/>
        </w:rPr>
        <w:lastRenderedPageBreak/>
        <w:t xml:space="preserve">además de cumplir el acuerdo de precio. En prevención primaria, NICE no recomienda el uso de inclisiran salvo en investigación. </w:t>
      </w:r>
    </w:p>
    <w:p w14:paraId="141DC2D3" w14:textId="77777777" w:rsidR="00634CDF" w:rsidRDefault="00634CDF">
      <w:pPr>
        <w:ind w:left="0" w:hanging="2"/>
        <w:jc w:val="both"/>
        <w:rPr>
          <w:rFonts w:ascii="Arial" w:eastAsia="Arial" w:hAnsi="Arial" w:cs="Arial"/>
          <w:sz w:val="20"/>
          <w:szCs w:val="20"/>
          <w:vertAlign w:val="baseline"/>
        </w:rPr>
      </w:pPr>
    </w:p>
    <w:p w14:paraId="54C7C3BC" w14:textId="1845D50F" w:rsidR="00634CDF" w:rsidRDefault="00F0051D">
      <w:pPr>
        <w:ind w:left="0" w:hanging="2"/>
        <w:jc w:val="both"/>
        <w:rPr>
          <w:vertAlign w:val="baseline"/>
        </w:rPr>
      </w:pPr>
      <w:r>
        <w:rPr>
          <w:rFonts w:ascii="Arial" w:eastAsia="Arial" w:hAnsi="Arial" w:cs="Arial"/>
          <w:sz w:val="20"/>
          <w:szCs w:val="20"/>
          <w:vertAlign w:val="baseline"/>
        </w:rPr>
        <w:t>NICE hace esta recomendación tomando de base un metanálisis en red aportado por la compañía en el que se compara a 24 semanas la efectividad de inclisiran con alirocumab, evolocumab y ezetimiba. Se separó el análisis económico por indicación (prevención primaria,</w:t>
      </w:r>
      <w:r w:rsidR="009F44EF">
        <w:rPr>
          <w:rFonts w:ascii="Arial" w:eastAsia="Arial" w:hAnsi="Arial" w:cs="Arial"/>
          <w:sz w:val="20"/>
          <w:szCs w:val="20"/>
          <w:vertAlign w:val="baseline"/>
        </w:rPr>
        <w:t xml:space="preserve"> </w:t>
      </w:r>
      <w:r>
        <w:rPr>
          <w:rFonts w:ascii="Arial" w:eastAsia="Arial" w:hAnsi="Arial" w:cs="Arial"/>
          <w:sz w:val="20"/>
          <w:szCs w:val="20"/>
          <w:vertAlign w:val="baseline"/>
        </w:rPr>
        <w:t>pacientes de alto riesgo o no- y secundaria, ECV o hipercolesterolemia familiar heterocigótica) y por población elegible o no a alirocumab o evolocumab. Se hicieron algunas asunciones como que el efecto perdurará en el tiempo, asumiendo un uso durante toda la vida, que el C-LDL volvería a su nivel inicial si se discontinua el tratamiento y la relación entre la reducción de C-LDL y la del riesgo cardiovascular se asumió del estudio Cholesterol treatment trialists collaboration (CTTC).</w:t>
      </w:r>
    </w:p>
    <w:p w14:paraId="0EACEE26" w14:textId="77777777" w:rsidR="00634CDF" w:rsidRDefault="00634CDF">
      <w:pPr>
        <w:ind w:left="0" w:hanging="2"/>
        <w:jc w:val="both"/>
        <w:rPr>
          <w:rFonts w:ascii="Arial" w:eastAsia="Arial" w:hAnsi="Arial" w:cs="Arial"/>
          <w:sz w:val="20"/>
          <w:szCs w:val="20"/>
          <w:vertAlign w:val="baseline"/>
        </w:rPr>
      </w:pPr>
    </w:p>
    <w:p w14:paraId="1B38DC08" w14:textId="77777777" w:rsidR="00634CDF" w:rsidRDefault="00F0051D">
      <w:pPr>
        <w:ind w:left="0" w:hanging="2"/>
        <w:jc w:val="both"/>
        <w:rPr>
          <w:vertAlign w:val="baseline"/>
        </w:rPr>
      </w:pPr>
      <w:r>
        <w:rPr>
          <w:rFonts w:ascii="Arial" w:eastAsia="Arial" w:hAnsi="Arial" w:cs="Arial"/>
          <w:sz w:val="20"/>
          <w:szCs w:val="20"/>
          <w:vertAlign w:val="baseline"/>
        </w:rPr>
        <w:t>En el caso de prevención secundaria en pacientes elegibles y no elegibles a alirocumab o evolocumab (elegibilidad en base a los dinteles de C-LDL establecidos para la financiación de los mismos) se determinó que, para el precio acordado con el laboratorio, inclisiran era coste-efectivo para un umbral de 23.400 € por AVAC ganado (20.000 libras; equivalencia 1 libra=1,17 euros a día 13/09/2021). Sin embargo, no se encontró coste-efectivo en el caso de prevención primaria ni para pacientes de alto riesgo, ni para los pacientes con hipercolesterolemia familiar heterocigótica para los que NICE recomienda su uso solo en el marco de un ensayo en marcha en el que participa el NHS (ORION-17).</w:t>
      </w:r>
    </w:p>
    <w:p w14:paraId="6F5DE988" w14:textId="77777777" w:rsidR="00634CDF" w:rsidRDefault="00634CDF">
      <w:pPr>
        <w:ind w:left="0" w:hanging="2"/>
        <w:jc w:val="both"/>
        <w:rPr>
          <w:rFonts w:ascii="Arial" w:eastAsia="Arial" w:hAnsi="Arial" w:cs="Arial"/>
          <w:sz w:val="20"/>
          <w:szCs w:val="20"/>
          <w:vertAlign w:val="baseline"/>
        </w:rPr>
      </w:pPr>
    </w:p>
    <w:p w14:paraId="00D50351" w14:textId="77777777" w:rsidR="00634CDF" w:rsidRDefault="00F0051D">
      <w:pPr>
        <w:ind w:left="0" w:hanging="2"/>
        <w:rPr>
          <w:vertAlign w:val="baseline"/>
        </w:rPr>
      </w:pPr>
      <w:r>
        <w:rPr>
          <w:rFonts w:ascii="Arial" w:eastAsia="Arial" w:hAnsi="Arial" w:cs="Arial"/>
          <w:b/>
          <w:sz w:val="20"/>
          <w:szCs w:val="20"/>
          <w:vertAlign w:val="baseline"/>
        </w:rPr>
        <w:t>Revisión crítica y aplicabilidad del estudio</w:t>
      </w:r>
    </w:p>
    <w:p w14:paraId="06ECE61D" w14:textId="77777777" w:rsidR="00634CDF" w:rsidRDefault="00634CDF">
      <w:pPr>
        <w:ind w:left="0" w:hanging="2"/>
        <w:jc w:val="both"/>
        <w:rPr>
          <w:rFonts w:ascii="Arial" w:eastAsia="Arial" w:hAnsi="Arial" w:cs="Arial"/>
          <w:sz w:val="20"/>
          <w:szCs w:val="20"/>
          <w:vertAlign w:val="baseline"/>
        </w:rPr>
      </w:pPr>
    </w:p>
    <w:p w14:paraId="4944960A" w14:textId="77777777" w:rsidR="00634CDF" w:rsidRDefault="00F0051D">
      <w:pPr>
        <w:ind w:left="0" w:hanging="2"/>
        <w:jc w:val="both"/>
        <w:rPr>
          <w:vertAlign w:val="baseline"/>
        </w:rPr>
      </w:pPr>
      <w:r>
        <w:rPr>
          <w:rFonts w:ascii="Arial" w:eastAsia="Arial" w:hAnsi="Arial" w:cs="Arial"/>
          <w:sz w:val="20"/>
          <w:szCs w:val="20"/>
          <w:vertAlign w:val="baseline"/>
        </w:rPr>
        <w:t>El análisis vuelve a tener limitaciones que nos impiden extraer conclusiones aplicables al SNS. Por un lado, las asunciones coinciden con las existentes en otros análisis: el efecto de inclisiran a largo plazo, la eficacia de inclisiran en la reducción de morbimortalidad, la relación entre reducción de C-LDL y la disminución del riesgo cardiovascular extrapolada del CTTC, el horizonte escogido pese a que solo existen datos a 18 meses, el precio en nuestro país etc.</w:t>
      </w:r>
    </w:p>
    <w:p w14:paraId="673CE91E" w14:textId="77777777" w:rsidR="00634CDF" w:rsidRDefault="00F0051D">
      <w:pPr>
        <w:ind w:left="0" w:hanging="2"/>
        <w:jc w:val="both"/>
        <w:rPr>
          <w:vertAlign w:val="baseline"/>
        </w:rPr>
      </w:pPr>
      <w:r>
        <w:rPr>
          <w:rFonts w:ascii="Arial" w:eastAsia="Arial" w:hAnsi="Arial" w:cs="Arial"/>
          <w:sz w:val="20"/>
          <w:szCs w:val="20"/>
          <w:vertAlign w:val="baseline"/>
        </w:rPr>
        <w:t>Además, la población elegible para alirocumab y evolocumab es diferente en el NHS y en el SNS siendo mucho más restringida en el NHS (en base a los niveles iniciales de C-LDL requeridos). Esto puede presentar diferencias en los resultados de un análisis enfocado en nuestro medio.</w:t>
      </w:r>
    </w:p>
    <w:p w14:paraId="26C80036" w14:textId="77777777" w:rsidR="00634CDF" w:rsidRDefault="00634CDF">
      <w:pPr>
        <w:ind w:left="0" w:hanging="2"/>
        <w:jc w:val="both"/>
        <w:rPr>
          <w:rFonts w:ascii="Arial" w:eastAsia="Arial" w:hAnsi="Arial" w:cs="Arial"/>
          <w:sz w:val="20"/>
          <w:szCs w:val="20"/>
          <w:vertAlign w:val="baseline"/>
        </w:rPr>
      </w:pPr>
    </w:p>
    <w:p w14:paraId="61BCE910"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highlight w:val="yellow"/>
          <w:vertAlign w:val="baseline"/>
        </w:rPr>
      </w:pPr>
    </w:p>
    <w:p w14:paraId="2745F5A9" w14:textId="77777777" w:rsidR="00634CDF" w:rsidRPr="001779CA" w:rsidRDefault="00F0051D">
      <w:pPr>
        <w:pBdr>
          <w:top w:val="nil"/>
          <w:left w:val="nil"/>
          <w:bottom w:val="nil"/>
          <w:right w:val="nil"/>
          <w:between w:val="nil"/>
        </w:pBdr>
        <w:spacing w:line="240" w:lineRule="auto"/>
        <w:ind w:left="0" w:hanging="2"/>
        <w:jc w:val="both"/>
        <w:rPr>
          <w:color w:val="000000"/>
          <w:vertAlign w:val="baseline"/>
          <w:lang w:val="en-US"/>
        </w:rPr>
      </w:pPr>
      <w:r w:rsidRPr="001779CA">
        <w:rPr>
          <w:rFonts w:ascii="Arial" w:eastAsia="Arial" w:hAnsi="Arial" w:cs="Arial"/>
          <w:b/>
          <w:color w:val="000000"/>
          <w:sz w:val="20"/>
          <w:szCs w:val="20"/>
          <w:vertAlign w:val="baseline"/>
          <w:lang w:val="en-US"/>
        </w:rPr>
        <w:t xml:space="preserve">INFORME DE LA CANADIAN AGENCY FOR DRUGS AND TECHNOLOGIES IN HEALTH(CADTH) </w:t>
      </w:r>
      <w:r w:rsidRPr="001779CA">
        <w:rPr>
          <w:rFonts w:ascii="Arial" w:eastAsia="Arial" w:hAnsi="Arial" w:cs="Arial"/>
          <w:sz w:val="20"/>
          <w:szCs w:val="20"/>
          <w:vertAlign w:val="baseline"/>
          <w:lang w:val="en-US"/>
        </w:rPr>
        <w:t>CADTH Reimbursement Review CADTH Reimbursement Recommendation (30)</w:t>
      </w:r>
    </w:p>
    <w:p w14:paraId="41EE2EFC" w14:textId="77777777" w:rsidR="00634CDF" w:rsidRPr="001779CA"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lang w:val="en-US"/>
        </w:rPr>
      </w:pPr>
    </w:p>
    <w:p w14:paraId="698D442C"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En</w:t>
      </w:r>
      <w:r>
        <w:rPr>
          <w:rFonts w:ascii="Arial" w:eastAsia="Arial" w:hAnsi="Arial" w:cs="Arial"/>
          <w:sz w:val="20"/>
          <w:szCs w:val="20"/>
          <w:vertAlign w:val="baseline"/>
        </w:rPr>
        <w:t xml:space="preserve"> septiembre </w:t>
      </w:r>
      <w:r>
        <w:rPr>
          <w:rFonts w:ascii="Arial" w:eastAsia="Arial" w:hAnsi="Arial" w:cs="Arial"/>
          <w:color w:val="000000"/>
          <w:sz w:val="20"/>
          <w:szCs w:val="20"/>
          <w:vertAlign w:val="baseline"/>
        </w:rPr>
        <w:t xml:space="preserve">de 2021 la CADTH publica un </w:t>
      </w:r>
      <w:r>
        <w:rPr>
          <w:rFonts w:ascii="Arial" w:eastAsia="Arial" w:hAnsi="Arial" w:cs="Arial"/>
          <w:sz w:val="20"/>
          <w:szCs w:val="20"/>
          <w:vertAlign w:val="baseline"/>
        </w:rPr>
        <w:t>informe</w:t>
      </w:r>
      <w:r>
        <w:rPr>
          <w:rFonts w:ascii="Arial" w:eastAsia="Arial" w:hAnsi="Arial" w:cs="Arial"/>
          <w:color w:val="000000"/>
          <w:sz w:val="20"/>
          <w:szCs w:val="20"/>
          <w:vertAlign w:val="baseline"/>
        </w:rPr>
        <w:t xml:space="preserve"> con sus conclusiones al evaluar tanto la eficacia y la seguridad como la parte económica. En esta revisión se incluye un análisis económico aportado por el laboratorio y evaluado por esta agencia. </w:t>
      </w:r>
    </w:p>
    <w:p w14:paraId="6B7D48E3"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tbl>
      <w:tblPr>
        <w:tblStyle w:val="aff3"/>
        <w:tblW w:w="9301" w:type="dxa"/>
        <w:tblInd w:w="25" w:type="dxa"/>
        <w:tblLayout w:type="fixed"/>
        <w:tblLook w:val="0000" w:firstRow="0" w:lastRow="0" w:firstColumn="0" w:lastColumn="0" w:noHBand="0" w:noVBand="0"/>
      </w:tblPr>
      <w:tblGrid>
        <w:gridCol w:w="1217"/>
        <w:gridCol w:w="1610"/>
        <w:gridCol w:w="1503"/>
        <w:gridCol w:w="4971"/>
      </w:tblGrid>
      <w:tr w:rsidR="00634CDF" w14:paraId="102A9B86" w14:textId="77777777">
        <w:trPr>
          <w:trHeight w:val="206"/>
        </w:trPr>
        <w:tc>
          <w:tcPr>
            <w:tcW w:w="9301" w:type="dxa"/>
            <w:gridSpan w:val="4"/>
            <w:tcBorders>
              <w:top w:val="single" w:sz="4" w:space="0" w:color="000000"/>
              <w:left w:val="single" w:sz="4" w:space="0" w:color="000000"/>
              <w:bottom w:val="single" w:sz="4" w:space="0" w:color="000000"/>
              <w:right w:val="single" w:sz="4" w:space="0" w:color="000000"/>
            </w:tcBorders>
            <w:shd w:val="clear" w:color="auto" w:fill="CCFFCC"/>
          </w:tcPr>
          <w:p w14:paraId="406224C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8"/>
                <w:szCs w:val="18"/>
                <w:vertAlign w:val="baseline"/>
              </w:rPr>
              <w:t>Tabla 2</w:t>
            </w:r>
            <w:r>
              <w:rPr>
                <w:rFonts w:ascii="Arial" w:eastAsia="Arial" w:hAnsi="Arial" w:cs="Arial"/>
                <w:b/>
                <w:sz w:val="18"/>
                <w:szCs w:val="18"/>
                <w:vertAlign w:val="baseline"/>
              </w:rPr>
              <w:t xml:space="preserve">6 </w:t>
            </w:r>
            <w:r>
              <w:rPr>
                <w:rFonts w:ascii="Arial" w:eastAsia="Arial" w:hAnsi="Arial" w:cs="Arial"/>
                <w:b/>
                <w:color w:val="000000"/>
                <w:sz w:val="18"/>
                <w:szCs w:val="18"/>
                <w:vertAlign w:val="baseline"/>
              </w:rPr>
              <w:t>7.2.b</w:t>
            </w:r>
            <w:r>
              <w:rPr>
                <w:rFonts w:ascii="Arial" w:eastAsia="Arial" w:hAnsi="Arial" w:cs="Arial"/>
                <w:b/>
                <w:i/>
                <w:color w:val="000000"/>
                <w:sz w:val="18"/>
                <w:szCs w:val="18"/>
                <w:vertAlign w:val="baseline"/>
              </w:rPr>
              <w:t>.</w:t>
            </w:r>
            <w:r>
              <w:rPr>
                <w:rFonts w:ascii="Arial" w:eastAsia="Arial" w:hAnsi="Arial" w:cs="Arial"/>
                <w:b/>
                <w:i/>
                <w:sz w:val="18"/>
                <w:szCs w:val="18"/>
                <w:vertAlign w:val="baseline"/>
              </w:rPr>
              <w:t>4</w:t>
            </w:r>
            <w:r>
              <w:rPr>
                <w:rFonts w:ascii="Arial" w:eastAsia="Arial" w:hAnsi="Arial" w:cs="Arial"/>
                <w:b/>
                <w:i/>
                <w:color w:val="000000"/>
                <w:sz w:val="18"/>
                <w:szCs w:val="18"/>
                <w:vertAlign w:val="baseline"/>
              </w:rPr>
              <w:t xml:space="preserve">. </w:t>
            </w:r>
            <w:r>
              <w:rPr>
                <w:rFonts w:ascii="Arial" w:eastAsia="Arial" w:hAnsi="Arial" w:cs="Arial"/>
                <w:b/>
                <w:i/>
                <w:sz w:val="18"/>
                <w:szCs w:val="18"/>
                <w:vertAlign w:val="baseline"/>
              </w:rPr>
              <w:t>Tabla de extracción de datos de una evaluación económica publicada</w:t>
            </w:r>
          </w:p>
        </w:tc>
      </w:tr>
      <w:tr w:rsidR="00634CDF" w14:paraId="71F3DDF6" w14:textId="77777777">
        <w:trPr>
          <w:trHeight w:val="210"/>
        </w:trPr>
        <w:tc>
          <w:tcPr>
            <w:tcW w:w="9301" w:type="dxa"/>
            <w:gridSpan w:val="4"/>
            <w:tcBorders>
              <w:top w:val="single" w:sz="4" w:space="0" w:color="000000"/>
              <w:left w:val="single" w:sz="4" w:space="0" w:color="000000"/>
              <w:bottom w:val="single" w:sz="4" w:space="0" w:color="000000"/>
              <w:right w:val="single" w:sz="4" w:space="0" w:color="000000"/>
            </w:tcBorders>
            <w:shd w:val="clear" w:color="auto" w:fill="D9D9D9"/>
          </w:tcPr>
          <w:p w14:paraId="4D9D2F5B" w14:textId="77777777" w:rsidR="00634CDF" w:rsidRDefault="00F0051D">
            <w:pPr>
              <w:pBdr>
                <w:top w:val="nil"/>
                <w:left w:val="nil"/>
                <w:bottom w:val="nil"/>
                <w:right w:val="nil"/>
                <w:between w:val="nil"/>
              </w:pBdr>
              <w:spacing w:line="240" w:lineRule="auto"/>
              <w:ind w:left="0" w:hanging="2"/>
              <w:rPr>
                <w:vertAlign w:val="baseline"/>
              </w:rPr>
            </w:pPr>
            <w:r w:rsidRPr="001779CA">
              <w:rPr>
                <w:rFonts w:ascii="Arial" w:eastAsia="Arial" w:hAnsi="Arial" w:cs="Arial"/>
                <w:b/>
                <w:color w:val="000000"/>
                <w:sz w:val="16"/>
                <w:szCs w:val="16"/>
                <w:vertAlign w:val="baseline"/>
                <w:lang w:val="en-US"/>
              </w:rPr>
              <w:t xml:space="preserve">Referencia: </w:t>
            </w:r>
            <w:r w:rsidRPr="001779CA">
              <w:rPr>
                <w:rFonts w:ascii="Arial" w:eastAsia="Arial" w:hAnsi="Arial" w:cs="Arial"/>
                <w:b/>
                <w:i/>
                <w:sz w:val="18"/>
                <w:szCs w:val="18"/>
                <w:vertAlign w:val="baseline"/>
                <w:lang w:val="en-US"/>
              </w:rPr>
              <w:t xml:space="preserve">CADTH Reimbursement Recommendation for Inclisiran. </w:t>
            </w:r>
            <w:r>
              <w:rPr>
                <w:rFonts w:ascii="Arial" w:eastAsia="Arial" w:hAnsi="Arial" w:cs="Arial"/>
                <w:b/>
                <w:i/>
                <w:sz w:val="18"/>
                <w:szCs w:val="18"/>
                <w:vertAlign w:val="baseline"/>
              </w:rPr>
              <w:t>Economic Evaluation(30)</w:t>
            </w:r>
          </w:p>
          <w:p w14:paraId="222EA16F" w14:textId="77777777" w:rsidR="00634CDF" w:rsidRDefault="00634CDF">
            <w:pPr>
              <w:pBdr>
                <w:top w:val="nil"/>
                <w:left w:val="nil"/>
                <w:bottom w:val="nil"/>
                <w:right w:val="nil"/>
                <w:between w:val="nil"/>
              </w:pBdr>
              <w:spacing w:line="240" w:lineRule="auto"/>
              <w:ind w:left="0" w:hanging="2"/>
              <w:rPr>
                <w:rFonts w:ascii="Arial" w:eastAsia="Arial" w:hAnsi="Arial" w:cs="Arial"/>
                <w:b/>
                <w:i/>
                <w:sz w:val="18"/>
                <w:szCs w:val="18"/>
                <w:vertAlign w:val="baseline"/>
              </w:rPr>
            </w:pPr>
          </w:p>
        </w:tc>
      </w:tr>
      <w:tr w:rsidR="00634CDF" w14:paraId="4C266F49" w14:textId="77777777" w:rsidTr="004E4268">
        <w:trPr>
          <w:trHeight w:val="305"/>
        </w:trPr>
        <w:tc>
          <w:tcPr>
            <w:tcW w:w="9301" w:type="dxa"/>
            <w:gridSpan w:val="4"/>
            <w:tcBorders>
              <w:top w:val="single" w:sz="4" w:space="0" w:color="000000"/>
              <w:left w:val="single" w:sz="4" w:space="0" w:color="000000"/>
              <w:bottom w:val="single" w:sz="4" w:space="0" w:color="000000"/>
              <w:right w:val="single" w:sz="4" w:space="0" w:color="000000"/>
            </w:tcBorders>
          </w:tcPr>
          <w:p w14:paraId="339720E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 xml:space="preserve">Tipo de estudio: </w:t>
            </w:r>
            <w:r>
              <w:rPr>
                <w:rFonts w:ascii="Arial" w:eastAsia="Arial" w:hAnsi="Arial" w:cs="Arial"/>
                <w:color w:val="000000"/>
                <w:sz w:val="16"/>
                <w:szCs w:val="16"/>
                <w:vertAlign w:val="baseline"/>
              </w:rPr>
              <w:t xml:space="preserve"> Coste-utilidad</w:t>
            </w:r>
          </w:p>
          <w:p w14:paraId="47D50A9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w:t>
            </w:r>
            <w:r>
              <w:rPr>
                <w:rFonts w:ascii="Arial" w:eastAsia="Arial" w:hAnsi="Arial" w:cs="Arial"/>
                <w:b/>
                <w:color w:val="000000"/>
                <w:sz w:val="16"/>
                <w:szCs w:val="16"/>
                <w:vertAlign w:val="baseline"/>
              </w:rPr>
              <w:t xml:space="preserve"> Fuente de datos:</w:t>
            </w:r>
            <w:r>
              <w:rPr>
                <w:rFonts w:ascii="Arial" w:eastAsia="Arial" w:hAnsi="Arial" w:cs="Arial"/>
                <w:color w:val="000000"/>
                <w:sz w:val="16"/>
                <w:szCs w:val="16"/>
                <w:vertAlign w:val="baseline"/>
              </w:rPr>
              <w:t xml:space="preserve"> ORION-9 y ORION-10</w:t>
            </w:r>
          </w:p>
          <w:p w14:paraId="53050FB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Modelización:</w:t>
            </w:r>
            <w:r>
              <w:rPr>
                <w:rFonts w:ascii="Arial" w:eastAsia="Arial" w:hAnsi="Arial" w:cs="Arial"/>
                <w:color w:val="000000"/>
                <w:sz w:val="16"/>
                <w:szCs w:val="16"/>
                <w:vertAlign w:val="baseline"/>
              </w:rPr>
              <w:t xml:space="preserve"> Modelo Markov</w:t>
            </w:r>
          </w:p>
          <w:p w14:paraId="0437A6F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Perspectiva:</w:t>
            </w:r>
            <w:r>
              <w:rPr>
                <w:rFonts w:ascii="Arial" w:eastAsia="Arial" w:hAnsi="Arial" w:cs="Arial"/>
                <w:color w:val="000000"/>
                <w:sz w:val="16"/>
                <w:szCs w:val="16"/>
                <w:vertAlign w:val="baseline"/>
              </w:rPr>
              <w:t xml:space="preserve"> Sistema de salud canadiense</w:t>
            </w:r>
          </w:p>
          <w:p w14:paraId="660BEA0D"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Población del escenario base:</w:t>
            </w:r>
            <w:r>
              <w:rPr>
                <w:rFonts w:ascii="Arial" w:eastAsia="Arial" w:hAnsi="Arial" w:cs="Arial"/>
                <w:color w:val="000000"/>
                <w:sz w:val="16"/>
                <w:szCs w:val="16"/>
                <w:vertAlign w:val="baseline"/>
              </w:rPr>
              <w:t xml:space="preserve"> Pacientes con enfermedad cardiovascular establecida(ECV) o con hipercolesterolemia heterocigótica que precisan terapia hipocolesterolemiante a pesar de estar en tratamiento con estatinas a dosis máximas.</w:t>
            </w:r>
          </w:p>
          <w:p w14:paraId="721EDCA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 xml:space="preserve">Variables principales de resultado: </w:t>
            </w:r>
            <w:r>
              <w:rPr>
                <w:rFonts w:ascii="Arial" w:eastAsia="Arial" w:hAnsi="Arial" w:cs="Arial"/>
                <w:color w:val="000000"/>
                <w:sz w:val="16"/>
                <w:szCs w:val="16"/>
                <w:vertAlign w:val="baseline"/>
              </w:rPr>
              <w:t>RCEI</w:t>
            </w:r>
            <w:r>
              <w:rPr>
                <w:rFonts w:ascii="Arial" w:eastAsia="Arial" w:hAnsi="Arial" w:cs="Arial"/>
                <w:b/>
                <w:color w:val="000000"/>
                <w:sz w:val="16"/>
                <w:szCs w:val="16"/>
                <w:vertAlign w:val="baseline"/>
              </w:rPr>
              <w:t xml:space="preserve">, </w:t>
            </w:r>
            <w:r>
              <w:rPr>
                <w:rFonts w:ascii="Arial" w:eastAsia="Arial" w:hAnsi="Arial" w:cs="Arial"/>
                <w:color w:val="000000"/>
                <w:sz w:val="16"/>
                <w:szCs w:val="16"/>
                <w:vertAlign w:val="baseline"/>
              </w:rPr>
              <w:t>AVAC y AVG</w:t>
            </w:r>
          </w:p>
          <w:p w14:paraId="2503A3AC"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Horizonte temporal:</w:t>
            </w:r>
            <w:r>
              <w:rPr>
                <w:rFonts w:ascii="Arial" w:eastAsia="Arial" w:hAnsi="Arial" w:cs="Arial"/>
                <w:color w:val="000000"/>
                <w:sz w:val="16"/>
                <w:szCs w:val="16"/>
                <w:vertAlign w:val="baseline"/>
              </w:rPr>
              <w:t xml:space="preserve"> 40 años</w:t>
            </w:r>
          </w:p>
          <w:p w14:paraId="17AACF8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w:t>
            </w:r>
            <w:r>
              <w:rPr>
                <w:rFonts w:ascii="Arial" w:eastAsia="Arial" w:hAnsi="Arial" w:cs="Arial"/>
                <w:b/>
                <w:color w:val="000000"/>
                <w:sz w:val="16"/>
                <w:szCs w:val="16"/>
                <w:vertAlign w:val="baseline"/>
              </w:rPr>
              <w:t>Costes incluidos en el estudio</w:t>
            </w:r>
            <w:r>
              <w:rPr>
                <w:rFonts w:ascii="Arial" w:eastAsia="Arial" w:hAnsi="Arial" w:cs="Arial"/>
                <w:color w:val="000000"/>
                <w:sz w:val="16"/>
                <w:szCs w:val="16"/>
                <w:vertAlign w:val="baseline"/>
              </w:rPr>
              <w:t>: en el borrador sólo se especifica el coste del tratamiento con inclisiran.</w:t>
            </w:r>
          </w:p>
          <w:p w14:paraId="0EE86A4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Fuente de costes unitarios (GRD, e-Salud):</w:t>
            </w:r>
            <w:r>
              <w:rPr>
                <w:rFonts w:ascii="Arial" w:eastAsia="Arial" w:hAnsi="Arial" w:cs="Arial"/>
                <w:color w:val="000000"/>
                <w:sz w:val="16"/>
                <w:szCs w:val="16"/>
                <w:vertAlign w:val="baseline"/>
              </w:rPr>
              <w:t xml:space="preserve"> precio de inclisiran notificado por el laboratorio.</w:t>
            </w:r>
          </w:p>
          <w:p w14:paraId="0541DF6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 xml:space="preserve">Tasa de descuento aplicada en costes y en resultados de salud: </w:t>
            </w:r>
            <w:r>
              <w:rPr>
                <w:rFonts w:ascii="Arial" w:eastAsia="Arial" w:hAnsi="Arial" w:cs="Arial"/>
                <w:color w:val="000000"/>
                <w:sz w:val="16"/>
                <w:szCs w:val="16"/>
                <w:vertAlign w:val="baseline"/>
              </w:rPr>
              <w:t>no se menciona.</w:t>
            </w:r>
          </w:p>
          <w:p w14:paraId="4B24B322"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Valores de utilidad considerados:</w:t>
            </w:r>
            <w:r>
              <w:rPr>
                <w:rFonts w:ascii="Arial" w:eastAsia="Arial" w:hAnsi="Arial" w:cs="Arial"/>
                <w:color w:val="000000"/>
                <w:sz w:val="16"/>
                <w:szCs w:val="16"/>
                <w:vertAlign w:val="baseline"/>
              </w:rPr>
              <w:t xml:space="preserve"> reducción de C-LDL en porcentaje, valor absoluto y ajustado por tiempo, cambio en porcentaje de C-HDL, número de discontinuaciones total y discontinuaciones por EAs.</w:t>
            </w:r>
          </w:p>
          <w:p w14:paraId="59F9001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w:t>
            </w:r>
            <w:r>
              <w:rPr>
                <w:rFonts w:ascii="Arial" w:eastAsia="Arial" w:hAnsi="Arial" w:cs="Arial"/>
                <w:b/>
                <w:color w:val="000000"/>
                <w:sz w:val="16"/>
                <w:szCs w:val="16"/>
                <w:vertAlign w:val="baseline"/>
              </w:rPr>
              <w:t xml:space="preserve"> Análisis de sensibilidad:</w:t>
            </w:r>
            <w:r>
              <w:rPr>
                <w:rFonts w:ascii="Arial" w:eastAsia="Arial" w:hAnsi="Arial" w:cs="Arial"/>
                <w:color w:val="000000"/>
                <w:sz w:val="16"/>
                <w:szCs w:val="16"/>
                <w:vertAlign w:val="baseline"/>
              </w:rPr>
              <w:t xml:space="preserve"> No especificado en el borrador.</w:t>
            </w:r>
          </w:p>
          <w:p w14:paraId="4085129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 </w:t>
            </w:r>
            <w:r>
              <w:rPr>
                <w:rFonts w:ascii="Arial" w:eastAsia="Arial" w:hAnsi="Arial" w:cs="Arial"/>
                <w:b/>
                <w:color w:val="000000"/>
                <w:sz w:val="16"/>
                <w:szCs w:val="16"/>
                <w:vertAlign w:val="baseline"/>
              </w:rPr>
              <w:t xml:space="preserve">Conflicto de intereses: </w:t>
            </w:r>
            <w:r>
              <w:rPr>
                <w:rFonts w:ascii="Arial" w:eastAsia="Arial" w:hAnsi="Arial" w:cs="Arial"/>
                <w:color w:val="000000"/>
                <w:sz w:val="16"/>
                <w:szCs w:val="16"/>
                <w:vertAlign w:val="baseline"/>
              </w:rPr>
              <w:t>No especificado en el borrador.</w:t>
            </w:r>
          </w:p>
        </w:tc>
      </w:tr>
      <w:tr w:rsidR="00634CDF" w14:paraId="69AE2C1C" w14:textId="77777777">
        <w:trPr>
          <w:trHeight w:val="194"/>
        </w:trPr>
        <w:tc>
          <w:tcPr>
            <w:tcW w:w="1217" w:type="dxa"/>
            <w:tcBorders>
              <w:top w:val="single" w:sz="4" w:space="0" w:color="000000"/>
              <w:left w:val="single" w:sz="4" w:space="0" w:color="000000"/>
              <w:bottom w:val="single" w:sz="4" w:space="0" w:color="000000"/>
            </w:tcBorders>
            <w:shd w:val="clear" w:color="auto" w:fill="D9D9D9"/>
          </w:tcPr>
          <w:p w14:paraId="7988343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 xml:space="preserve">COSTES </w:t>
            </w:r>
          </w:p>
        </w:tc>
        <w:tc>
          <w:tcPr>
            <w:tcW w:w="1610" w:type="dxa"/>
            <w:tcBorders>
              <w:top w:val="single" w:sz="4" w:space="0" w:color="000000"/>
              <w:left w:val="single" w:sz="4" w:space="0" w:color="000000"/>
              <w:bottom w:val="single" w:sz="4" w:space="0" w:color="000000"/>
            </w:tcBorders>
            <w:shd w:val="clear" w:color="auto" w:fill="D9D9D9"/>
          </w:tcPr>
          <w:p w14:paraId="7947DCA5"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 xml:space="preserve">Inclisiran+ estatina a dosis </w:t>
            </w:r>
            <w:r>
              <w:rPr>
                <w:rFonts w:ascii="Arial" w:eastAsia="Arial" w:hAnsi="Arial" w:cs="Arial"/>
                <w:b/>
                <w:color w:val="000000"/>
                <w:sz w:val="16"/>
                <w:szCs w:val="16"/>
                <w:vertAlign w:val="baseline"/>
              </w:rPr>
              <w:lastRenderedPageBreak/>
              <w:t>máxima tolerada ± ezetimiba</w:t>
            </w:r>
          </w:p>
        </w:tc>
        <w:tc>
          <w:tcPr>
            <w:tcW w:w="1503" w:type="dxa"/>
            <w:tcBorders>
              <w:top w:val="single" w:sz="4" w:space="0" w:color="000000"/>
              <w:left w:val="single" w:sz="4" w:space="0" w:color="000000"/>
              <w:bottom w:val="single" w:sz="4" w:space="0" w:color="000000"/>
            </w:tcBorders>
            <w:shd w:val="clear" w:color="auto" w:fill="D9D9D9"/>
          </w:tcPr>
          <w:p w14:paraId="54E8AED6"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lastRenderedPageBreak/>
              <w:t>Estatina a dosis máxima tolerada ± ezetimiba</w:t>
            </w:r>
          </w:p>
        </w:tc>
        <w:tc>
          <w:tcPr>
            <w:tcW w:w="4971" w:type="dxa"/>
            <w:tcBorders>
              <w:top w:val="single" w:sz="4" w:space="0" w:color="000000"/>
              <w:left w:val="single" w:sz="4" w:space="0" w:color="000000"/>
              <w:bottom w:val="single" w:sz="4" w:space="0" w:color="000000"/>
              <w:right w:val="single" w:sz="4" w:space="0" w:color="000000"/>
            </w:tcBorders>
            <w:shd w:val="clear" w:color="auto" w:fill="D9D9D9"/>
          </w:tcPr>
          <w:p w14:paraId="7D881C2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Incrementos</w:t>
            </w:r>
          </w:p>
        </w:tc>
      </w:tr>
      <w:tr w:rsidR="00634CDF" w14:paraId="1BFC0A0D" w14:textId="77777777">
        <w:trPr>
          <w:trHeight w:val="716"/>
        </w:trPr>
        <w:tc>
          <w:tcPr>
            <w:tcW w:w="1217" w:type="dxa"/>
            <w:tcBorders>
              <w:top w:val="single" w:sz="4" w:space="0" w:color="000000"/>
              <w:left w:val="single" w:sz="4" w:space="0" w:color="000000"/>
              <w:bottom w:val="single" w:sz="4" w:space="0" w:color="000000"/>
            </w:tcBorders>
          </w:tcPr>
          <w:p w14:paraId="59DF23E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lastRenderedPageBreak/>
              <w:t>Coste del tratamiento con el fármaco.</w:t>
            </w:r>
          </w:p>
          <w:p w14:paraId="60707CA7"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1610" w:type="dxa"/>
            <w:tcBorders>
              <w:top w:val="single" w:sz="4" w:space="0" w:color="000000"/>
              <w:left w:val="single" w:sz="4" w:space="0" w:color="000000"/>
              <w:bottom w:val="single" w:sz="4" w:space="0" w:color="000000"/>
            </w:tcBorders>
          </w:tcPr>
          <w:p w14:paraId="566AED8E" w14:textId="77777777" w:rsidR="00634CDF" w:rsidRDefault="00F0051D">
            <w:pPr>
              <w:pBdr>
                <w:top w:val="nil"/>
                <w:left w:val="nil"/>
                <w:bottom w:val="nil"/>
                <w:right w:val="nil"/>
                <w:between w:val="nil"/>
              </w:pBdr>
              <w:spacing w:line="240" w:lineRule="auto"/>
              <w:ind w:left="0" w:hanging="2"/>
              <w:rPr>
                <w:color w:val="000000"/>
                <w:vertAlign w:val="baseline"/>
              </w:rPr>
            </w:pPr>
            <w:r>
              <w:rPr>
                <w:color w:val="000000"/>
                <w:vertAlign w:val="baseline"/>
              </w:rPr>
              <w:t>-</w:t>
            </w:r>
          </w:p>
        </w:tc>
        <w:tc>
          <w:tcPr>
            <w:tcW w:w="1503" w:type="dxa"/>
            <w:tcBorders>
              <w:top w:val="single" w:sz="4" w:space="0" w:color="000000"/>
              <w:left w:val="single" w:sz="4" w:space="0" w:color="000000"/>
              <w:bottom w:val="single" w:sz="4" w:space="0" w:color="000000"/>
            </w:tcBorders>
          </w:tcPr>
          <w:p w14:paraId="5F28471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w:t>
            </w:r>
          </w:p>
        </w:tc>
        <w:tc>
          <w:tcPr>
            <w:tcW w:w="4971" w:type="dxa"/>
            <w:tcBorders>
              <w:top w:val="single" w:sz="4" w:space="0" w:color="000000"/>
              <w:left w:val="single" w:sz="4" w:space="0" w:color="000000"/>
              <w:bottom w:val="single" w:sz="4" w:space="0" w:color="000000"/>
              <w:right w:val="single" w:sz="4" w:space="0" w:color="000000"/>
            </w:tcBorders>
          </w:tcPr>
          <w:p w14:paraId="273C036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ECV: 38.983, 38€ </w:t>
            </w:r>
          </w:p>
          <w:p w14:paraId="445BCCF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Hipercolesterolemia familiar heterocigótica:  63.693,55 €</w:t>
            </w:r>
          </w:p>
          <w:p w14:paraId="10D37A00"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r>
      <w:tr w:rsidR="00634CDF" w14:paraId="15097ABA" w14:textId="77777777">
        <w:trPr>
          <w:trHeight w:val="363"/>
        </w:trPr>
        <w:tc>
          <w:tcPr>
            <w:tcW w:w="1217" w:type="dxa"/>
            <w:tcBorders>
              <w:top w:val="single" w:sz="4" w:space="0" w:color="000000"/>
              <w:left w:val="single" w:sz="4" w:space="0" w:color="000000"/>
              <w:bottom w:val="single" w:sz="4" w:space="0" w:color="000000"/>
            </w:tcBorders>
          </w:tcPr>
          <w:p w14:paraId="2F1A431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Coste total del paciente </w:t>
            </w:r>
          </w:p>
        </w:tc>
        <w:tc>
          <w:tcPr>
            <w:tcW w:w="1610" w:type="dxa"/>
            <w:tcBorders>
              <w:top w:val="single" w:sz="4" w:space="0" w:color="000000"/>
              <w:left w:val="single" w:sz="4" w:space="0" w:color="000000"/>
              <w:bottom w:val="single" w:sz="4" w:space="0" w:color="000000"/>
            </w:tcBorders>
          </w:tcPr>
          <w:p w14:paraId="1D8D26F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Precio de inclisiran </w:t>
            </w:r>
            <w:r>
              <w:rPr>
                <w:rFonts w:ascii="Arial" w:eastAsia="Arial" w:hAnsi="Arial" w:cs="Arial"/>
                <w:b/>
                <w:color w:val="000000"/>
                <w:sz w:val="16"/>
                <w:szCs w:val="16"/>
                <w:vertAlign w:val="baseline"/>
              </w:rPr>
              <w:t>primer año</w:t>
            </w:r>
            <w:r>
              <w:rPr>
                <w:rFonts w:ascii="Arial" w:eastAsia="Arial" w:hAnsi="Arial" w:cs="Arial"/>
                <w:color w:val="000000"/>
                <w:sz w:val="16"/>
                <w:szCs w:val="16"/>
                <w:vertAlign w:val="baseline"/>
              </w:rPr>
              <w:t xml:space="preserve">: 5.707,06 € </w:t>
            </w:r>
          </w:p>
          <w:p w14:paraId="4B1DC35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Años siguientes: 3.804,93€</w:t>
            </w:r>
          </w:p>
          <w:p w14:paraId="4FDC2ECF"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1503" w:type="dxa"/>
            <w:tcBorders>
              <w:top w:val="single" w:sz="4" w:space="0" w:color="000000"/>
              <w:left w:val="single" w:sz="4" w:space="0" w:color="000000"/>
              <w:bottom w:val="single" w:sz="4" w:space="0" w:color="000000"/>
            </w:tcBorders>
          </w:tcPr>
          <w:p w14:paraId="4CFC903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w:t>
            </w:r>
          </w:p>
        </w:tc>
        <w:tc>
          <w:tcPr>
            <w:tcW w:w="4971" w:type="dxa"/>
            <w:tcBorders>
              <w:top w:val="single" w:sz="4" w:space="0" w:color="000000"/>
              <w:left w:val="single" w:sz="4" w:space="0" w:color="000000"/>
              <w:bottom w:val="single" w:sz="4" w:space="0" w:color="000000"/>
              <w:right w:val="single" w:sz="4" w:space="0" w:color="000000"/>
            </w:tcBorders>
          </w:tcPr>
          <w:p w14:paraId="10367A9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w:t>
            </w:r>
          </w:p>
        </w:tc>
      </w:tr>
      <w:tr w:rsidR="00634CDF" w14:paraId="77BB4225" w14:textId="77777777">
        <w:trPr>
          <w:trHeight w:val="363"/>
        </w:trPr>
        <w:tc>
          <w:tcPr>
            <w:tcW w:w="1217" w:type="dxa"/>
            <w:tcBorders>
              <w:top w:val="single" w:sz="4" w:space="0" w:color="000000"/>
              <w:left w:val="single" w:sz="4" w:space="0" w:color="000000"/>
              <w:bottom w:val="single" w:sz="4" w:space="0" w:color="000000"/>
            </w:tcBorders>
            <w:shd w:val="clear" w:color="auto" w:fill="D9D9D9"/>
          </w:tcPr>
          <w:p w14:paraId="27B5E7D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EFECTOS</w:t>
            </w:r>
          </w:p>
        </w:tc>
        <w:tc>
          <w:tcPr>
            <w:tcW w:w="1610" w:type="dxa"/>
            <w:tcBorders>
              <w:top w:val="single" w:sz="4" w:space="0" w:color="000000"/>
              <w:left w:val="single" w:sz="4" w:space="0" w:color="000000"/>
              <w:bottom w:val="single" w:sz="4" w:space="0" w:color="000000"/>
            </w:tcBorders>
            <w:shd w:val="clear" w:color="auto" w:fill="D9D9D9"/>
          </w:tcPr>
          <w:p w14:paraId="088B2A4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Inclisiran+ estatina a dosis máxima tolerada ± ezetimiba</w:t>
            </w:r>
          </w:p>
        </w:tc>
        <w:tc>
          <w:tcPr>
            <w:tcW w:w="1503" w:type="dxa"/>
            <w:tcBorders>
              <w:top w:val="single" w:sz="4" w:space="0" w:color="000000"/>
              <w:left w:val="single" w:sz="4" w:space="0" w:color="000000"/>
              <w:bottom w:val="single" w:sz="4" w:space="0" w:color="000000"/>
            </w:tcBorders>
            <w:shd w:val="clear" w:color="auto" w:fill="D9D9D9"/>
          </w:tcPr>
          <w:p w14:paraId="5DE08D4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Estatina a dosis máxima tolerada ± ezetimiba</w:t>
            </w:r>
          </w:p>
        </w:tc>
        <w:tc>
          <w:tcPr>
            <w:tcW w:w="4971" w:type="dxa"/>
            <w:tcBorders>
              <w:top w:val="single" w:sz="4" w:space="0" w:color="000000"/>
              <w:left w:val="single" w:sz="4" w:space="0" w:color="000000"/>
              <w:bottom w:val="single" w:sz="4" w:space="0" w:color="000000"/>
              <w:right w:val="single" w:sz="4" w:space="0" w:color="000000"/>
            </w:tcBorders>
            <w:shd w:val="clear" w:color="auto" w:fill="D9D9D9"/>
          </w:tcPr>
          <w:p w14:paraId="0A97AC5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 xml:space="preserve">Incrementos </w:t>
            </w:r>
          </w:p>
        </w:tc>
      </w:tr>
      <w:tr w:rsidR="00634CDF" w14:paraId="12D5555C" w14:textId="77777777">
        <w:trPr>
          <w:trHeight w:val="176"/>
        </w:trPr>
        <w:tc>
          <w:tcPr>
            <w:tcW w:w="1217" w:type="dxa"/>
            <w:tcBorders>
              <w:top w:val="single" w:sz="4" w:space="0" w:color="000000"/>
              <w:left w:val="single" w:sz="4" w:space="0" w:color="000000"/>
              <w:bottom w:val="single" w:sz="4" w:space="0" w:color="000000"/>
            </w:tcBorders>
          </w:tcPr>
          <w:p w14:paraId="65E57CA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AVAC</w:t>
            </w:r>
          </w:p>
        </w:tc>
        <w:tc>
          <w:tcPr>
            <w:tcW w:w="1610" w:type="dxa"/>
            <w:tcBorders>
              <w:top w:val="single" w:sz="4" w:space="0" w:color="000000"/>
              <w:left w:val="single" w:sz="4" w:space="0" w:color="000000"/>
              <w:bottom w:val="single" w:sz="4" w:space="0" w:color="000000"/>
            </w:tcBorders>
          </w:tcPr>
          <w:p w14:paraId="2FEBEC3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vertAlign w:val="baseline"/>
              </w:rPr>
              <w:t>-</w:t>
            </w:r>
          </w:p>
        </w:tc>
        <w:tc>
          <w:tcPr>
            <w:tcW w:w="1503" w:type="dxa"/>
            <w:tcBorders>
              <w:top w:val="single" w:sz="4" w:space="0" w:color="000000"/>
              <w:left w:val="single" w:sz="4" w:space="0" w:color="000000"/>
              <w:bottom w:val="single" w:sz="4" w:space="0" w:color="000000"/>
            </w:tcBorders>
          </w:tcPr>
          <w:p w14:paraId="08D1896B" w14:textId="77777777" w:rsidR="00634CDF" w:rsidRDefault="00F0051D">
            <w:pPr>
              <w:pBdr>
                <w:top w:val="nil"/>
                <w:left w:val="nil"/>
                <w:bottom w:val="nil"/>
                <w:right w:val="nil"/>
                <w:between w:val="nil"/>
              </w:pBdr>
              <w:spacing w:line="240" w:lineRule="auto"/>
              <w:ind w:left="0" w:hanging="2"/>
              <w:rPr>
                <w:color w:val="000000"/>
                <w:vertAlign w:val="baseline"/>
              </w:rPr>
            </w:pPr>
            <w:r>
              <w:rPr>
                <w:color w:val="000000"/>
                <w:vertAlign w:val="baseline"/>
              </w:rPr>
              <w:t>-</w:t>
            </w:r>
          </w:p>
        </w:tc>
        <w:tc>
          <w:tcPr>
            <w:tcW w:w="4971" w:type="dxa"/>
            <w:tcBorders>
              <w:top w:val="single" w:sz="4" w:space="0" w:color="000000"/>
              <w:left w:val="single" w:sz="4" w:space="0" w:color="000000"/>
              <w:bottom w:val="single" w:sz="4" w:space="0" w:color="000000"/>
              <w:right w:val="single" w:sz="4" w:space="0" w:color="000000"/>
            </w:tcBorders>
          </w:tcPr>
          <w:p w14:paraId="6991916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ECV: 0,16 AVAC ganado</w:t>
            </w:r>
          </w:p>
          <w:p w14:paraId="1083295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Hipercolesterolemia familiar heterocigóti</w:t>
            </w:r>
            <w:r>
              <w:rPr>
                <w:rFonts w:ascii="Arial" w:eastAsia="Arial" w:hAnsi="Arial" w:cs="Arial"/>
                <w:color w:val="000000"/>
                <w:sz w:val="16"/>
                <w:szCs w:val="16"/>
                <w:highlight w:val="white"/>
                <w:vertAlign w:val="baseline"/>
              </w:rPr>
              <w:t>ca: 0,15 AVAC ganado</w:t>
            </w:r>
          </w:p>
        </w:tc>
      </w:tr>
      <w:tr w:rsidR="00634CDF" w14:paraId="7D07FE60" w14:textId="77777777">
        <w:trPr>
          <w:trHeight w:val="176"/>
        </w:trPr>
        <w:tc>
          <w:tcPr>
            <w:tcW w:w="4330" w:type="dxa"/>
            <w:gridSpan w:val="3"/>
            <w:tcBorders>
              <w:top w:val="single" w:sz="4" w:space="0" w:color="000000"/>
              <w:left w:val="single" w:sz="4" w:space="0" w:color="000000"/>
              <w:bottom w:val="single" w:sz="4" w:space="0" w:color="000000"/>
            </w:tcBorders>
            <w:shd w:val="clear" w:color="auto" w:fill="D9D9D9"/>
          </w:tcPr>
          <w:p w14:paraId="1D3855B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 xml:space="preserve">RATIO  DE COSTE EFECTIVIDAD INCREMENTAL </w:t>
            </w:r>
          </w:p>
        </w:tc>
        <w:tc>
          <w:tcPr>
            <w:tcW w:w="4971" w:type="dxa"/>
            <w:tcBorders>
              <w:top w:val="single" w:sz="4" w:space="0" w:color="000000"/>
              <w:left w:val="single" w:sz="4" w:space="0" w:color="000000"/>
              <w:bottom w:val="single" w:sz="4" w:space="0" w:color="000000"/>
              <w:right w:val="single" w:sz="4" w:space="0" w:color="000000"/>
            </w:tcBorders>
            <w:shd w:val="clear" w:color="auto" w:fill="D9D9D9"/>
          </w:tcPr>
          <w:p w14:paraId="153DC05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16"/>
                <w:szCs w:val="16"/>
                <w:vertAlign w:val="baseline"/>
              </w:rPr>
              <w:t xml:space="preserve">RCEI </w:t>
            </w:r>
          </w:p>
        </w:tc>
      </w:tr>
      <w:tr w:rsidR="00634CDF" w14:paraId="03C0E17B" w14:textId="77777777">
        <w:trPr>
          <w:trHeight w:val="186"/>
        </w:trPr>
        <w:tc>
          <w:tcPr>
            <w:tcW w:w="4330" w:type="dxa"/>
            <w:gridSpan w:val="3"/>
            <w:tcBorders>
              <w:top w:val="single" w:sz="4" w:space="0" w:color="000000"/>
              <w:left w:val="single" w:sz="4" w:space="0" w:color="000000"/>
              <w:bottom w:val="single" w:sz="4" w:space="0" w:color="000000"/>
            </w:tcBorders>
          </w:tcPr>
          <w:p w14:paraId="36B69AF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Caso base</w:t>
            </w:r>
          </w:p>
        </w:tc>
        <w:tc>
          <w:tcPr>
            <w:tcW w:w="4971" w:type="dxa"/>
            <w:tcBorders>
              <w:top w:val="single" w:sz="4" w:space="0" w:color="000000"/>
              <w:left w:val="single" w:sz="4" w:space="0" w:color="000000"/>
              <w:bottom w:val="single" w:sz="4" w:space="0" w:color="000000"/>
              <w:right w:val="single" w:sz="4" w:space="0" w:color="000000"/>
            </w:tcBorders>
          </w:tcPr>
          <w:p w14:paraId="1664CE5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ECV: 245.655,5€/AVAC</w:t>
            </w:r>
          </w:p>
          <w:p w14:paraId="344C2E0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Hipercolesterolemia familiar heterocigótica:419.726,86€/AVAC</w:t>
            </w:r>
          </w:p>
          <w:p w14:paraId="698DACC2"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p w14:paraId="7B298ADB"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r>
      <w:tr w:rsidR="00634CDF" w14:paraId="4EADDA87" w14:textId="77777777">
        <w:trPr>
          <w:trHeight w:val="176"/>
        </w:trPr>
        <w:tc>
          <w:tcPr>
            <w:tcW w:w="9301" w:type="dxa"/>
            <w:gridSpan w:val="4"/>
            <w:tcBorders>
              <w:top w:val="single" w:sz="4" w:space="0" w:color="000000"/>
              <w:left w:val="single" w:sz="4" w:space="0" w:color="000000"/>
              <w:bottom w:val="single" w:sz="4" w:space="0" w:color="000000"/>
              <w:right w:val="single" w:sz="4" w:space="0" w:color="000000"/>
            </w:tcBorders>
            <w:shd w:val="clear" w:color="auto" w:fill="DDDDDD"/>
          </w:tcPr>
          <w:p w14:paraId="1996F125"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Cambio de dólares canadienses a euro a fecha 13/09/2021 1 dólar canadiense= 0,67 euros.</w:t>
            </w:r>
          </w:p>
        </w:tc>
      </w:tr>
    </w:tbl>
    <w:p w14:paraId="7EA54ED2"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6CDD011" w14:textId="473931AE"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La CADTH tuvo que reformular el análisis puesto que el metanálisis en red aportado por la compañía del que inicialmente tomó los datos tenía grandes limitaciones que podían comprometer su validez y pasó a tomar los datos de los ensayos ORION-9 y ORION-10. Además, inicialmente se iba a comparar también con anti-</w:t>
      </w:r>
      <w:r w:rsidR="00D30540">
        <w:rPr>
          <w:rFonts w:ascii="Arial" w:eastAsia="Arial" w:hAnsi="Arial" w:cs="Arial"/>
          <w:color w:val="000000"/>
          <w:sz w:val="20"/>
          <w:szCs w:val="20"/>
          <w:vertAlign w:val="baseline"/>
        </w:rPr>
        <w:t>PCSK9,</w:t>
      </w:r>
      <w:r>
        <w:rPr>
          <w:rFonts w:ascii="Arial" w:eastAsia="Arial" w:hAnsi="Arial" w:cs="Arial"/>
          <w:color w:val="000000"/>
          <w:sz w:val="20"/>
          <w:szCs w:val="20"/>
          <w:vertAlign w:val="baseline"/>
        </w:rPr>
        <w:t xml:space="preserve"> pero finalmente se decidió comparar solo con el estándar de tratamiento (estatinas ± ezetimiba). En este reanálisis la CADTH asumió una relación similar para la reducción del C-LDL y el riesgo cardiovascular que la encontrada en evolocumab en el ensayo FOURIER.</w:t>
      </w:r>
    </w:p>
    <w:p w14:paraId="40B3E6BB"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rFonts w:ascii="Arial" w:eastAsia="Arial" w:hAnsi="Arial" w:cs="Arial"/>
          <w:color w:val="000000"/>
          <w:sz w:val="20"/>
          <w:szCs w:val="20"/>
          <w:vertAlign w:val="baseline"/>
        </w:rPr>
        <w:t>La CADTH concluye en su informe que para su umbral de coste-efectividad de 33.500 €(50.000 dólares canadienses; equivalencia 1 dólar canadiense=0,67 euros a día 13/09/2021), el precio debería bajar un 83% en pacientes con ECV y un 91% en pacientes con hipercolesterolemia heterocigótica. Por lo tanto, propone no financiar inclisiran en la indicación autorizada.</w:t>
      </w:r>
    </w:p>
    <w:p w14:paraId="50A76382"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40A1485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Revisión crítica y aplicabilidad del estudio</w:t>
      </w:r>
    </w:p>
    <w:p w14:paraId="06604051"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359024B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Este análisis económico y la evidencia de la que parte tienen muchas limitaciones.  La primera es de nuevo la incertidumbre que existe sobre las variables finales. Tampoco existen comparaciones directas con antiPCSK9 y el metanálisis en red aportado por la compañía tenía demasiada incertidumbre, tanto en aspectos metodológicos como en asunciones inciertas. Por otro lado, los autores comentan que el riesgo cardiovascular de base puede no representar el riesgo de la población canadiense. Por último, un factor muy relevante es la efectividad a largo plazo. En el análisis se asume que la efectividad se mantiene de forma consistente durante un horizonte de 40 años, pero tan solo ha sido evaluada durante 18 meses.</w:t>
      </w:r>
    </w:p>
    <w:p w14:paraId="75DC55CA"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0D42F2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Este estudio no permite sacar conclusiones aplicables a nuestro medio por las limitaciones intrínsecas que tiene, su carácter no definitivo y las posibles diferencias en el precio, condiciones de financiación en el SNS y en las características basales de nuestra población diana.</w:t>
      </w:r>
    </w:p>
    <w:p w14:paraId="0720CB80"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02B9E0F"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bookmarkStart w:id="76" w:name="_heading=h.dk81t5v2rqlo" w:colFirst="0" w:colLast="0"/>
      <w:bookmarkEnd w:id="76"/>
    </w:p>
    <w:p w14:paraId="745B4D88"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7.3 Evaluación económica de elaboración propia</w:t>
      </w:r>
    </w:p>
    <w:p w14:paraId="6DBA616D"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highlight w:val="yellow"/>
          <w:vertAlign w:val="baseline"/>
        </w:rPr>
      </w:pPr>
    </w:p>
    <w:p w14:paraId="223878BA" w14:textId="77777777" w:rsidR="00634CDF" w:rsidRDefault="00F0051D">
      <w:p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color w:val="000000"/>
          <w:vertAlign w:val="baseline"/>
        </w:rPr>
      </w:pPr>
      <w:r>
        <w:rPr>
          <w:rFonts w:ascii="Arial" w:eastAsia="Arial" w:hAnsi="Arial" w:cs="Arial"/>
          <w:b/>
          <w:color w:val="000000"/>
          <w:sz w:val="20"/>
          <w:szCs w:val="20"/>
          <w:vertAlign w:val="baseline"/>
        </w:rPr>
        <w:t>7.3.1. Análisis de minimización de costes. Estudios propios</w:t>
      </w:r>
    </w:p>
    <w:p w14:paraId="6B7C4139" w14:textId="77777777" w:rsidR="00634CDF" w:rsidRDefault="00F0051D">
      <w:pPr>
        <w:pBdr>
          <w:top w:val="nil"/>
          <w:left w:val="nil"/>
          <w:bottom w:val="nil"/>
          <w:right w:val="nil"/>
          <w:between w:val="nil"/>
        </w:pBdr>
        <w:spacing w:line="240" w:lineRule="auto"/>
        <w:ind w:left="0" w:hanging="2"/>
        <w:rPr>
          <w:rFonts w:ascii="Arial" w:eastAsia="Arial" w:hAnsi="Arial" w:cs="Arial"/>
          <w:sz w:val="20"/>
          <w:szCs w:val="20"/>
          <w:vertAlign w:val="baseline"/>
        </w:rPr>
      </w:pPr>
      <w:r>
        <w:rPr>
          <w:rFonts w:ascii="Arial" w:eastAsia="Arial" w:hAnsi="Arial" w:cs="Arial"/>
          <w:sz w:val="20"/>
          <w:szCs w:val="20"/>
          <w:vertAlign w:val="baseline"/>
        </w:rPr>
        <w:t>No procede</w:t>
      </w:r>
    </w:p>
    <w:p w14:paraId="18DF16C1" w14:textId="77777777" w:rsidR="00634CDF" w:rsidRDefault="00634CDF">
      <w:pPr>
        <w:pBdr>
          <w:top w:val="nil"/>
          <w:left w:val="nil"/>
          <w:bottom w:val="nil"/>
          <w:right w:val="nil"/>
          <w:between w:val="nil"/>
        </w:pBdr>
        <w:spacing w:line="240" w:lineRule="auto"/>
        <w:ind w:left="0" w:hanging="2"/>
        <w:rPr>
          <w:rFonts w:ascii="Arial" w:eastAsia="Arial" w:hAnsi="Arial" w:cs="Arial"/>
          <w:sz w:val="20"/>
          <w:szCs w:val="20"/>
          <w:vertAlign w:val="baseline"/>
        </w:rPr>
      </w:pPr>
    </w:p>
    <w:p w14:paraId="4178A515" w14:textId="77777777" w:rsidR="00634CDF" w:rsidRDefault="00F0051D">
      <w:p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color w:val="000000"/>
          <w:vertAlign w:val="baseline"/>
        </w:rPr>
      </w:pPr>
      <w:r>
        <w:rPr>
          <w:rFonts w:ascii="Arial" w:eastAsia="Arial" w:hAnsi="Arial" w:cs="Arial"/>
          <w:b/>
          <w:color w:val="000000"/>
          <w:sz w:val="20"/>
          <w:szCs w:val="20"/>
          <w:vertAlign w:val="baseline"/>
        </w:rPr>
        <w:t>7.3.2. Coste-efectividad. Estudios propios</w:t>
      </w:r>
    </w:p>
    <w:p w14:paraId="4C61EE9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FF0000"/>
          <w:sz w:val="20"/>
          <w:szCs w:val="20"/>
          <w:vertAlign w:val="baseline"/>
        </w:rPr>
      </w:pPr>
    </w:p>
    <w:p w14:paraId="640B207F"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lastRenderedPageBreak/>
        <w:t xml:space="preserve">La variable principal de los ensayos pivotales es la misma en todos los casos (porcentaje medio de reducción con respecto al valor inicial en el C-LDL en el día 510). No la hemos empleado para realizar el análisis de coste eficacia incremental ya que no se considera relevante para establecer comparación entre las posibles alternativas comercializadas actualmente. </w:t>
      </w:r>
    </w:p>
    <w:p w14:paraId="19EA9BD4"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highlight w:val="yellow"/>
          <w:vertAlign w:val="baseline"/>
        </w:rPr>
      </w:pPr>
    </w:p>
    <w:p w14:paraId="5868D8E0"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Una variable secundaria relevante a considerar podría ser el porcentaje de pacientes que alcanzan los objetivos prefijados de C-LDL menor de 70 mg/dL en el día 510.</w:t>
      </w:r>
    </w:p>
    <w:p w14:paraId="4954E071"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Actualmente no se dispone de ninguna variable final. Se puede realizar un cálculo estimado de coste eficacia incremental respecto a eventos cardiovasculares con los datos exploratorios publicados hasta el momento. En el estudio ORION 9 no hay diferencia entre grupos en MACE por lo que no procedería realizar este cálculo.</w:t>
      </w:r>
    </w:p>
    <w:p w14:paraId="58332B70"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highlight w:val="yellow"/>
          <w:vertAlign w:val="baseline"/>
        </w:rPr>
      </w:pPr>
    </w:p>
    <w:p w14:paraId="3E16401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Si se dispusiera de datos de AVAC se podría calcular el precio máximo del fármaco para una disponibilidad a pagar </w:t>
      </w:r>
      <w:r>
        <w:rPr>
          <w:rFonts w:ascii="Arial" w:eastAsia="Arial" w:hAnsi="Arial" w:cs="Arial"/>
          <w:sz w:val="20"/>
          <w:szCs w:val="20"/>
          <w:vertAlign w:val="baseline"/>
        </w:rPr>
        <w:t>preestablecida de 21.000 €/AVAC</w:t>
      </w:r>
      <w:r>
        <w:rPr>
          <w:rFonts w:ascii="Arial" w:eastAsia="Arial" w:hAnsi="Arial" w:cs="Arial"/>
          <w:color w:val="000000"/>
          <w:sz w:val="20"/>
          <w:szCs w:val="20"/>
          <w:vertAlign w:val="baseline"/>
        </w:rPr>
        <w:t>. No empleamos los AVAC de los estudios localizados porque los valores son muy diferentes entre ambos estudios lo cual no nos genera confianza ni asumimos la premisa asumida en la que se emplean los valores de CTTC que correlacionan reducción de LDL de estatinas con eventos cardiovasculares mayores.</w:t>
      </w:r>
    </w:p>
    <w:p w14:paraId="76A60C2B"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5B2DCEF2" w14:textId="77777777" w:rsidR="00634CDF" w:rsidRDefault="00F0051D">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jc w:val="both"/>
        <w:rPr>
          <w:color w:val="000000"/>
          <w:vertAlign w:val="baseline"/>
        </w:rPr>
      </w:pPr>
      <w:r>
        <w:rPr>
          <w:rFonts w:ascii="Arial" w:eastAsia="Arial" w:hAnsi="Arial" w:cs="Arial"/>
          <w:sz w:val="20"/>
          <w:szCs w:val="20"/>
          <w:vertAlign w:val="baseline"/>
        </w:rPr>
        <w:t xml:space="preserve">Se ha realizado un análisis </w:t>
      </w:r>
      <w:r>
        <w:rPr>
          <w:rFonts w:ascii="Arial" w:eastAsia="Arial" w:hAnsi="Arial" w:cs="Arial"/>
          <w:color w:val="000000"/>
          <w:sz w:val="20"/>
          <w:szCs w:val="20"/>
          <w:vertAlign w:val="baseline"/>
        </w:rPr>
        <w:t>coste efectividad asumiendo mismo precio ANUAL (</w:t>
      </w:r>
      <w:r>
        <w:rPr>
          <w:rFonts w:ascii="Arial" w:eastAsia="Arial" w:hAnsi="Arial" w:cs="Arial"/>
          <w:sz w:val="20"/>
          <w:szCs w:val="20"/>
          <w:vertAlign w:val="baseline"/>
        </w:rPr>
        <w:t xml:space="preserve">primer año de tratamiento) </w:t>
      </w:r>
      <w:r>
        <w:rPr>
          <w:rFonts w:ascii="Arial" w:eastAsia="Arial" w:hAnsi="Arial" w:cs="Arial"/>
          <w:color w:val="000000"/>
          <w:sz w:val="20"/>
          <w:szCs w:val="20"/>
          <w:vertAlign w:val="baseline"/>
        </w:rPr>
        <w:t>que aliro/evolo</w:t>
      </w:r>
    </w:p>
    <w:p w14:paraId="0769078A" w14:textId="77777777" w:rsidR="00634CDF" w:rsidRDefault="00634CD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jc w:val="both"/>
        <w:rPr>
          <w:rFonts w:ascii="Arial" w:eastAsia="Arial" w:hAnsi="Arial" w:cs="Arial"/>
          <w:color w:val="000000"/>
          <w:sz w:val="20"/>
          <w:szCs w:val="20"/>
          <w:vertAlign w:val="baseline"/>
        </w:rPr>
      </w:pPr>
    </w:p>
    <w:tbl>
      <w:tblPr>
        <w:tblStyle w:val="aff4"/>
        <w:tblW w:w="9510" w:type="dxa"/>
        <w:tblInd w:w="-397" w:type="dxa"/>
        <w:tblLayout w:type="fixed"/>
        <w:tblLook w:val="0000" w:firstRow="0" w:lastRow="0" w:firstColumn="0" w:lastColumn="0" w:noHBand="0" w:noVBand="0"/>
      </w:tblPr>
      <w:tblGrid>
        <w:gridCol w:w="1035"/>
        <w:gridCol w:w="795"/>
        <w:gridCol w:w="1155"/>
        <w:gridCol w:w="944"/>
        <w:gridCol w:w="766"/>
        <w:gridCol w:w="660"/>
        <w:gridCol w:w="554"/>
        <w:gridCol w:w="1006"/>
        <w:gridCol w:w="900"/>
        <w:gridCol w:w="765"/>
        <w:gridCol w:w="930"/>
      </w:tblGrid>
      <w:tr w:rsidR="00634CDF" w14:paraId="7DCD9F8A" w14:textId="77777777">
        <w:tc>
          <w:tcPr>
            <w:tcW w:w="9510" w:type="dxa"/>
            <w:gridSpan w:val="11"/>
            <w:tcBorders>
              <w:top w:val="single" w:sz="4" w:space="0" w:color="000000"/>
              <w:left w:val="single" w:sz="4" w:space="0" w:color="000000"/>
              <w:bottom w:val="single" w:sz="4" w:space="0" w:color="000000"/>
              <w:right w:val="single" w:sz="4" w:space="0" w:color="000000"/>
            </w:tcBorders>
            <w:shd w:val="clear" w:color="auto" w:fill="CCFFCC"/>
          </w:tcPr>
          <w:p w14:paraId="6352E2A4"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18"/>
                <w:szCs w:val="18"/>
                <w:vertAlign w:val="baseline"/>
              </w:rPr>
              <w:t>Tabla 27  7.3.2.2. Análisis de coste-efectividad cuando la variable de eficacia/seguridad es una variable binaria</w:t>
            </w:r>
          </w:p>
        </w:tc>
      </w:tr>
      <w:tr w:rsidR="00634CDF" w14:paraId="369D2063" w14:textId="77777777">
        <w:tc>
          <w:tcPr>
            <w:tcW w:w="1035" w:type="dxa"/>
            <w:tcBorders>
              <w:top w:val="single" w:sz="4" w:space="0" w:color="000000"/>
              <w:left w:val="single" w:sz="4" w:space="0" w:color="000000"/>
              <w:bottom w:val="single" w:sz="4" w:space="0" w:color="000000"/>
            </w:tcBorders>
            <w:shd w:val="clear" w:color="auto" w:fill="E0E0E0"/>
          </w:tcPr>
          <w:p w14:paraId="546E7BE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c>
          <w:tcPr>
            <w:tcW w:w="795" w:type="dxa"/>
            <w:tcBorders>
              <w:top w:val="single" w:sz="4" w:space="0" w:color="000000"/>
              <w:left w:val="single" w:sz="4" w:space="0" w:color="000000"/>
              <w:bottom w:val="single" w:sz="4" w:space="0" w:color="000000"/>
            </w:tcBorders>
            <w:shd w:val="clear" w:color="auto" w:fill="E0E0E0"/>
          </w:tcPr>
          <w:p w14:paraId="2D940FA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color w:val="000000"/>
                <w:sz w:val="16"/>
                <w:szCs w:val="16"/>
                <w:vertAlign w:val="baseline"/>
              </w:rPr>
              <w:t>Variable</w:t>
            </w:r>
          </w:p>
        </w:tc>
        <w:tc>
          <w:tcPr>
            <w:tcW w:w="1155" w:type="dxa"/>
            <w:tcBorders>
              <w:top w:val="single" w:sz="4" w:space="0" w:color="000000"/>
              <w:left w:val="single" w:sz="4" w:space="0" w:color="000000"/>
              <w:bottom w:val="single" w:sz="4" w:space="0" w:color="000000"/>
            </w:tcBorders>
            <w:shd w:val="clear" w:color="auto" w:fill="E0E0E0"/>
          </w:tcPr>
          <w:p w14:paraId="242A59F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Descripción de la VARIABLE  evaluada</w:t>
            </w:r>
          </w:p>
        </w:tc>
        <w:tc>
          <w:tcPr>
            <w:tcW w:w="944" w:type="dxa"/>
            <w:tcBorders>
              <w:top w:val="single" w:sz="4" w:space="0" w:color="000000"/>
              <w:left w:val="single" w:sz="4" w:space="0" w:color="000000"/>
              <w:bottom w:val="single" w:sz="4" w:space="0" w:color="000000"/>
            </w:tcBorders>
            <w:shd w:val="clear" w:color="auto" w:fill="E0E0E0"/>
          </w:tcPr>
          <w:p w14:paraId="07CACEE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grupo comparador</w:t>
            </w:r>
          </w:p>
        </w:tc>
        <w:tc>
          <w:tcPr>
            <w:tcW w:w="766" w:type="dxa"/>
            <w:tcBorders>
              <w:top w:val="single" w:sz="4" w:space="0" w:color="000000"/>
              <w:left w:val="single" w:sz="4" w:space="0" w:color="000000"/>
              <w:bottom w:val="single" w:sz="4" w:space="0" w:color="000000"/>
            </w:tcBorders>
            <w:shd w:val="clear" w:color="auto" w:fill="E0E0E0"/>
          </w:tcPr>
          <w:p w14:paraId="0A6F0EF1"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Eficacia de A</w:t>
            </w:r>
          </w:p>
        </w:tc>
        <w:tc>
          <w:tcPr>
            <w:tcW w:w="660" w:type="dxa"/>
            <w:tcBorders>
              <w:top w:val="single" w:sz="4" w:space="0" w:color="000000"/>
              <w:left w:val="single" w:sz="4" w:space="0" w:color="000000"/>
              <w:bottom w:val="single" w:sz="4" w:space="0" w:color="000000"/>
            </w:tcBorders>
            <w:shd w:val="clear" w:color="auto" w:fill="E0E0E0"/>
          </w:tcPr>
          <w:p w14:paraId="619CE36E"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Eficacia de B</w:t>
            </w:r>
          </w:p>
        </w:tc>
        <w:tc>
          <w:tcPr>
            <w:tcW w:w="554" w:type="dxa"/>
            <w:tcBorders>
              <w:top w:val="single" w:sz="4" w:space="0" w:color="000000"/>
              <w:left w:val="single" w:sz="4" w:space="0" w:color="000000"/>
              <w:bottom w:val="single" w:sz="4" w:space="0" w:color="000000"/>
            </w:tcBorders>
            <w:shd w:val="clear" w:color="auto" w:fill="E0E0E0"/>
          </w:tcPr>
          <w:p w14:paraId="5ACDCF6C"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NNT</w:t>
            </w:r>
          </w:p>
        </w:tc>
        <w:tc>
          <w:tcPr>
            <w:tcW w:w="1006" w:type="dxa"/>
            <w:tcBorders>
              <w:top w:val="single" w:sz="4" w:space="0" w:color="000000"/>
              <w:left w:val="single" w:sz="4" w:space="0" w:color="000000"/>
              <w:bottom w:val="single" w:sz="4" w:space="0" w:color="000000"/>
            </w:tcBorders>
            <w:shd w:val="clear" w:color="auto" w:fill="E0E0E0"/>
          </w:tcPr>
          <w:p w14:paraId="249B419F"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Coste por paciente con A a los 510 días</w:t>
            </w:r>
          </w:p>
        </w:tc>
        <w:tc>
          <w:tcPr>
            <w:tcW w:w="900" w:type="dxa"/>
            <w:tcBorders>
              <w:top w:val="single" w:sz="4" w:space="0" w:color="000000"/>
              <w:left w:val="single" w:sz="4" w:space="0" w:color="000000"/>
              <w:bottom w:val="single" w:sz="4" w:space="0" w:color="000000"/>
            </w:tcBorders>
            <w:shd w:val="clear" w:color="auto" w:fill="E0E0E0"/>
          </w:tcPr>
          <w:p w14:paraId="73312D00"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Coste por paciente con B a los 510 días</w:t>
            </w:r>
          </w:p>
        </w:tc>
        <w:tc>
          <w:tcPr>
            <w:tcW w:w="765" w:type="dxa"/>
            <w:tcBorders>
              <w:top w:val="single" w:sz="4" w:space="0" w:color="000000"/>
              <w:left w:val="single" w:sz="4" w:space="0" w:color="000000"/>
              <w:bottom w:val="single" w:sz="4" w:space="0" w:color="000000"/>
            </w:tcBorders>
            <w:shd w:val="clear" w:color="auto" w:fill="E0E0E0"/>
          </w:tcPr>
          <w:p w14:paraId="40985AB3"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Coste incre-mental</w:t>
            </w:r>
          </w:p>
        </w:tc>
        <w:tc>
          <w:tcPr>
            <w:tcW w:w="930" w:type="dxa"/>
            <w:tcBorders>
              <w:top w:val="single" w:sz="4" w:space="0" w:color="000000"/>
              <w:left w:val="single" w:sz="4" w:space="0" w:color="000000"/>
              <w:bottom w:val="single" w:sz="4" w:space="0" w:color="000000"/>
              <w:right w:val="single" w:sz="4" w:space="0" w:color="000000"/>
            </w:tcBorders>
            <w:shd w:val="clear" w:color="auto" w:fill="E0E0E0"/>
          </w:tcPr>
          <w:p w14:paraId="2FDC6F0D" w14:textId="77777777" w:rsidR="00634CDF" w:rsidRDefault="00F0051D">
            <w:pPr>
              <w:pBdr>
                <w:top w:val="nil"/>
                <w:left w:val="nil"/>
                <w:bottom w:val="nil"/>
                <w:right w:val="nil"/>
                <w:between w:val="nil"/>
              </w:pBdr>
              <w:spacing w:line="240" w:lineRule="auto"/>
              <w:ind w:left="0" w:hanging="2"/>
              <w:jc w:val="center"/>
              <w:rPr>
                <w:color w:val="000000"/>
                <w:vertAlign w:val="baseline"/>
              </w:rPr>
            </w:pPr>
            <w:r>
              <w:rPr>
                <w:rFonts w:ascii="Arial" w:eastAsia="Arial" w:hAnsi="Arial" w:cs="Arial"/>
                <w:b/>
                <w:color w:val="000000"/>
                <w:sz w:val="16"/>
                <w:szCs w:val="16"/>
                <w:vertAlign w:val="baseline"/>
              </w:rPr>
              <w:t>Razón Coste-efectividad incremental (RCEI)</w:t>
            </w:r>
          </w:p>
        </w:tc>
      </w:tr>
      <w:tr w:rsidR="00634CDF" w14:paraId="5785B051" w14:textId="77777777">
        <w:trPr>
          <w:cantSplit/>
        </w:trPr>
        <w:tc>
          <w:tcPr>
            <w:tcW w:w="1035" w:type="dxa"/>
            <w:vMerge w:val="restart"/>
            <w:tcBorders>
              <w:top w:val="single" w:sz="4" w:space="0" w:color="000000"/>
              <w:left w:val="single" w:sz="4" w:space="0" w:color="000000"/>
              <w:bottom w:val="single" w:sz="4" w:space="0" w:color="000000"/>
            </w:tcBorders>
          </w:tcPr>
          <w:p w14:paraId="44F0479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ORION 9</w:t>
            </w:r>
          </w:p>
          <w:p w14:paraId="50F631B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hipercolesterolemia familiar heterocigótica </w:t>
            </w:r>
          </w:p>
          <w:p w14:paraId="0FDECBA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C-LDL</w:t>
            </w:r>
          </w:p>
          <w:p w14:paraId="71374451" w14:textId="77777777" w:rsidR="00634CDF" w:rsidRDefault="00782245">
            <w:pPr>
              <w:pBdr>
                <w:top w:val="nil"/>
                <w:left w:val="nil"/>
                <w:bottom w:val="nil"/>
                <w:right w:val="nil"/>
                <w:between w:val="nil"/>
              </w:pBdr>
              <w:spacing w:line="240" w:lineRule="auto"/>
              <w:ind w:left="0" w:hanging="2"/>
              <w:rPr>
                <w:color w:val="000000"/>
                <w:vertAlign w:val="baseline"/>
              </w:rPr>
            </w:pPr>
            <w:sdt>
              <w:sdtPr>
                <w:tag w:val="goog_rdk_26"/>
                <w:id w:val="-2056693234"/>
              </w:sdtPr>
              <w:sdtEndPr/>
              <w:sdtContent>
                <w:r w:rsidR="00F0051D">
                  <w:rPr>
                    <w:rFonts w:ascii="Arial Unicode MS" w:eastAsia="Arial Unicode MS" w:hAnsi="Arial Unicode MS" w:cs="Arial Unicode MS"/>
                    <w:color w:val="000000"/>
                    <w:sz w:val="16"/>
                    <w:szCs w:val="16"/>
                    <w:vertAlign w:val="baseline"/>
                  </w:rPr>
                  <w:t>≥100</w:t>
                </w:r>
              </w:sdtContent>
            </w:sdt>
          </w:p>
          <w:p w14:paraId="7044CD49"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795" w:type="dxa"/>
            <w:tcBorders>
              <w:top w:val="single" w:sz="4" w:space="0" w:color="000000"/>
              <w:left w:val="single" w:sz="4" w:space="0" w:color="000000"/>
              <w:bottom w:val="single" w:sz="4" w:space="0" w:color="000000"/>
            </w:tcBorders>
          </w:tcPr>
          <w:p w14:paraId="1A845F1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Principal</w:t>
            </w:r>
          </w:p>
        </w:tc>
        <w:tc>
          <w:tcPr>
            <w:tcW w:w="1155" w:type="dxa"/>
            <w:tcBorders>
              <w:top w:val="single" w:sz="4" w:space="0" w:color="000000"/>
              <w:left w:val="single" w:sz="4" w:space="0" w:color="000000"/>
              <w:bottom w:val="single" w:sz="4" w:space="0" w:color="000000"/>
            </w:tcBorders>
          </w:tcPr>
          <w:p w14:paraId="6340825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na</w:t>
            </w:r>
          </w:p>
        </w:tc>
        <w:tc>
          <w:tcPr>
            <w:tcW w:w="944" w:type="dxa"/>
            <w:tcBorders>
              <w:top w:val="single" w:sz="4" w:space="0" w:color="000000"/>
              <w:left w:val="single" w:sz="4" w:space="0" w:color="000000"/>
              <w:bottom w:val="single" w:sz="4" w:space="0" w:color="000000"/>
            </w:tcBorders>
          </w:tcPr>
          <w:p w14:paraId="3CD44786"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c>
          <w:tcPr>
            <w:tcW w:w="766" w:type="dxa"/>
            <w:tcBorders>
              <w:top w:val="single" w:sz="4" w:space="0" w:color="000000"/>
              <w:left w:val="single" w:sz="4" w:space="0" w:color="000000"/>
              <w:bottom w:val="single" w:sz="4" w:space="0" w:color="000000"/>
            </w:tcBorders>
          </w:tcPr>
          <w:p w14:paraId="36C8C150" w14:textId="77777777" w:rsidR="00634CDF" w:rsidRDefault="00634CDF">
            <w:pPr>
              <w:pBdr>
                <w:top w:val="nil"/>
                <w:left w:val="nil"/>
                <w:bottom w:val="nil"/>
                <w:right w:val="nil"/>
                <w:between w:val="nil"/>
              </w:pBdr>
              <w:spacing w:line="240" w:lineRule="auto"/>
              <w:ind w:left="0" w:hanging="2"/>
              <w:jc w:val="center"/>
              <w:rPr>
                <w:color w:val="000000"/>
                <w:vertAlign w:val="baseline"/>
              </w:rPr>
            </w:pPr>
          </w:p>
        </w:tc>
        <w:tc>
          <w:tcPr>
            <w:tcW w:w="660" w:type="dxa"/>
            <w:tcBorders>
              <w:top w:val="single" w:sz="4" w:space="0" w:color="000000"/>
              <w:left w:val="single" w:sz="4" w:space="0" w:color="000000"/>
              <w:bottom w:val="single" w:sz="4" w:space="0" w:color="000000"/>
            </w:tcBorders>
          </w:tcPr>
          <w:p w14:paraId="4EACE78A" w14:textId="77777777" w:rsidR="00634CDF" w:rsidRDefault="00634CDF">
            <w:pPr>
              <w:pBdr>
                <w:top w:val="nil"/>
                <w:left w:val="nil"/>
                <w:bottom w:val="nil"/>
                <w:right w:val="nil"/>
                <w:between w:val="nil"/>
              </w:pBdr>
              <w:spacing w:line="240" w:lineRule="auto"/>
              <w:ind w:left="0" w:hanging="2"/>
              <w:jc w:val="center"/>
              <w:rPr>
                <w:color w:val="000000"/>
                <w:vertAlign w:val="baseline"/>
              </w:rPr>
            </w:pPr>
          </w:p>
        </w:tc>
        <w:tc>
          <w:tcPr>
            <w:tcW w:w="554" w:type="dxa"/>
            <w:tcBorders>
              <w:top w:val="single" w:sz="4" w:space="0" w:color="000000"/>
              <w:left w:val="single" w:sz="4" w:space="0" w:color="000000"/>
              <w:bottom w:val="single" w:sz="4" w:space="0" w:color="000000"/>
            </w:tcBorders>
          </w:tcPr>
          <w:p w14:paraId="5A3B6BED" w14:textId="77777777" w:rsidR="00634CDF" w:rsidRDefault="00634CDF">
            <w:pPr>
              <w:pBdr>
                <w:top w:val="nil"/>
                <w:left w:val="nil"/>
                <w:bottom w:val="nil"/>
                <w:right w:val="nil"/>
                <w:between w:val="nil"/>
              </w:pBdr>
              <w:spacing w:line="240" w:lineRule="auto"/>
              <w:ind w:left="0" w:hanging="2"/>
              <w:jc w:val="center"/>
              <w:rPr>
                <w:rFonts w:ascii="Arial" w:eastAsia="Arial" w:hAnsi="Arial" w:cs="Arial"/>
                <w:color w:val="000000"/>
                <w:sz w:val="16"/>
                <w:szCs w:val="16"/>
                <w:vertAlign w:val="baseline"/>
              </w:rPr>
            </w:pPr>
          </w:p>
        </w:tc>
        <w:tc>
          <w:tcPr>
            <w:tcW w:w="1006" w:type="dxa"/>
            <w:tcBorders>
              <w:top w:val="single" w:sz="4" w:space="0" w:color="000000"/>
              <w:left w:val="single" w:sz="4" w:space="0" w:color="000000"/>
              <w:bottom w:val="single" w:sz="4" w:space="0" w:color="000000"/>
            </w:tcBorders>
          </w:tcPr>
          <w:p w14:paraId="34A85849" w14:textId="77777777" w:rsidR="00634CDF" w:rsidRDefault="00634CDF">
            <w:pPr>
              <w:pBdr>
                <w:top w:val="nil"/>
                <w:left w:val="nil"/>
                <w:bottom w:val="nil"/>
                <w:right w:val="nil"/>
                <w:between w:val="nil"/>
              </w:pBdr>
              <w:spacing w:line="240" w:lineRule="auto"/>
              <w:ind w:left="0" w:hanging="2"/>
              <w:jc w:val="center"/>
              <w:rPr>
                <w:color w:val="000000"/>
                <w:vertAlign w:val="baseline"/>
              </w:rPr>
            </w:pPr>
          </w:p>
        </w:tc>
        <w:tc>
          <w:tcPr>
            <w:tcW w:w="900" w:type="dxa"/>
            <w:tcBorders>
              <w:top w:val="single" w:sz="4" w:space="0" w:color="000000"/>
              <w:left w:val="single" w:sz="4" w:space="0" w:color="000000"/>
              <w:bottom w:val="single" w:sz="4" w:space="0" w:color="000000"/>
            </w:tcBorders>
          </w:tcPr>
          <w:p w14:paraId="394FC5A8" w14:textId="77777777" w:rsidR="00634CDF" w:rsidRDefault="00634CDF">
            <w:pPr>
              <w:pBdr>
                <w:top w:val="nil"/>
                <w:left w:val="nil"/>
                <w:bottom w:val="nil"/>
                <w:right w:val="nil"/>
                <w:between w:val="nil"/>
              </w:pBdr>
              <w:spacing w:line="240" w:lineRule="auto"/>
              <w:ind w:left="0" w:hanging="2"/>
              <w:jc w:val="center"/>
              <w:rPr>
                <w:color w:val="000000"/>
                <w:vertAlign w:val="baseline"/>
              </w:rPr>
            </w:pPr>
          </w:p>
        </w:tc>
        <w:tc>
          <w:tcPr>
            <w:tcW w:w="765" w:type="dxa"/>
            <w:tcBorders>
              <w:top w:val="single" w:sz="4" w:space="0" w:color="000000"/>
              <w:left w:val="single" w:sz="4" w:space="0" w:color="000000"/>
              <w:bottom w:val="single" w:sz="4" w:space="0" w:color="000000"/>
            </w:tcBorders>
          </w:tcPr>
          <w:p w14:paraId="445E8F67" w14:textId="77777777" w:rsidR="00634CDF" w:rsidRDefault="00634CDF">
            <w:pPr>
              <w:pBdr>
                <w:top w:val="nil"/>
                <w:left w:val="nil"/>
                <w:bottom w:val="nil"/>
                <w:right w:val="nil"/>
                <w:between w:val="nil"/>
              </w:pBdr>
              <w:spacing w:line="240" w:lineRule="auto"/>
              <w:ind w:left="0" w:hanging="2"/>
              <w:jc w:val="center"/>
              <w:rPr>
                <w:color w:val="000000"/>
                <w:vertAlign w:val="baseline"/>
              </w:rPr>
            </w:pPr>
          </w:p>
        </w:tc>
        <w:tc>
          <w:tcPr>
            <w:tcW w:w="930" w:type="dxa"/>
            <w:tcBorders>
              <w:top w:val="single" w:sz="4" w:space="0" w:color="000000"/>
              <w:left w:val="single" w:sz="4" w:space="0" w:color="000000"/>
              <w:bottom w:val="single" w:sz="4" w:space="0" w:color="000000"/>
              <w:right w:val="single" w:sz="4" w:space="0" w:color="000000"/>
            </w:tcBorders>
          </w:tcPr>
          <w:p w14:paraId="7AB0464B" w14:textId="77777777" w:rsidR="00634CDF" w:rsidRDefault="00634CDF">
            <w:pPr>
              <w:pBdr>
                <w:top w:val="nil"/>
                <w:left w:val="nil"/>
                <w:bottom w:val="nil"/>
                <w:right w:val="nil"/>
                <w:between w:val="nil"/>
              </w:pBdr>
              <w:spacing w:line="240" w:lineRule="auto"/>
              <w:ind w:left="0" w:hanging="2"/>
              <w:jc w:val="center"/>
              <w:rPr>
                <w:color w:val="000000"/>
                <w:vertAlign w:val="baseline"/>
              </w:rPr>
            </w:pPr>
          </w:p>
        </w:tc>
      </w:tr>
      <w:tr w:rsidR="00634CDF" w14:paraId="631BB5AF" w14:textId="77777777">
        <w:trPr>
          <w:cantSplit/>
        </w:trPr>
        <w:tc>
          <w:tcPr>
            <w:tcW w:w="1035" w:type="dxa"/>
            <w:vMerge/>
            <w:tcBorders>
              <w:top w:val="single" w:sz="4" w:space="0" w:color="000000"/>
              <w:left w:val="single" w:sz="4" w:space="0" w:color="000000"/>
              <w:bottom w:val="single" w:sz="4" w:space="0" w:color="000000"/>
            </w:tcBorders>
          </w:tcPr>
          <w:p w14:paraId="3ECA040B" w14:textId="77777777" w:rsidR="00634CDF" w:rsidRDefault="00634CDF">
            <w:pPr>
              <w:widowControl w:val="0"/>
              <w:pBdr>
                <w:top w:val="nil"/>
                <w:left w:val="nil"/>
                <w:bottom w:val="nil"/>
                <w:right w:val="nil"/>
                <w:between w:val="nil"/>
              </w:pBdr>
              <w:spacing w:line="276" w:lineRule="auto"/>
              <w:ind w:left="0" w:hanging="2"/>
              <w:rPr>
                <w:color w:val="000000"/>
                <w:vertAlign w:val="baseline"/>
              </w:rPr>
            </w:pPr>
          </w:p>
        </w:tc>
        <w:tc>
          <w:tcPr>
            <w:tcW w:w="795" w:type="dxa"/>
            <w:tcBorders>
              <w:top w:val="single" w:sz="4" w:space="0" w:color="000000"/>
              <w:left w:val="single" w:sz="4" w:space="0" w:color="000000"/>
              <w:bottom w:val="single" w:sz="4" w:space="0" w:color="000000"/>
            </w:tcBorders>
          </w:tcPr>
          <w:p w14:paraId="6709F40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Secundaria 1</w:t>
            </w:r>
          </w:p>
        </w:tc>
        <w:tc>
          <w:tcPr>
            <w:tcW w:w="1155" w:type="dxa"/>
            <w:tcBorders>
              <w:top w:val="single" w:sz="4" w:space="0" w:color="000000"/>
              <w:left w:val="single" w:sz="4" w:space="0" w:color="000000"/>
              <w:bottom w:val="single" w:sz="4" w:space="0" w:color="000000"/>
            </w:tcBorders>
          </w:tcPr>
          <w:p w14:paraId="03E4CA08"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pacientes que alcanzaron niveles &lt;100 mg/dL a los 510 días</w:t>
            </w:r>
          </w:p>
        </w:tc>
        <w:tc>
          <w:tcPr>
            <w:tcW w:w="944" w:type="dxa"/>
            <w:tcBorders>
              <w:top w:val="single" w:sz="4" w:space="0" w:color="000000"/>
              <w:left w:val="single" w:sz="4" w:space="0" w:color="000000"/>
              <w:bottom w:val="single" w:sz="4" w:space="0" w:color="000000"/>
            </w:tcBorders>
          </w:tcPr>
          <w:p w14:paraId="7B273B9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placebo en monoterapia o asociado a estatinas o ezetimibe</w:t>
            </w:r>
          </w:p>
        </w:tc>
        <w:tc>
          <w:tcPr>
            <w:tcW w:w="766" w:type="dxa"/>
            <w:tcBorders>
              <w:top w:val="single" w:sz="4" w:space="0" w:color="000000"/>
              <w:left w:val="single" w:sz="4" w:space="0" w:color="000000"/>
              <w:bottom w:val="single" w:sz="4" w:space="0" w:color="000000"/>
            </w:tcBorders>
          </w:tcPr>
          <w:p w14:paraId="2B251F6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65,3</w:t>
            </w:r>
          </w:p>
          <w:p w14:paraId="4A320097" w14:textId="77777777" w:rsidR="00634CDF" w:rsidRDefault="00634CDF">
            <w:pPr>
              <w:pBdr>
                <w:top w:val="nil"/>
                <w:left w:val="nil"/>
                <w:bottom w:val="nil"/>
                <w:right w:val="nil"/>
                <w:between w:val="nil"/>
              </w:pBdr>
              <w:spacing w:line="240" w:lineRule="auto"/>
              <w:ind w:left="0" w:hanging="2"/>
              <w:rPr>
                <w:color w:val="000000"/>
                <w:vertAlign w:val="baseline"/>
              </w:rPr>
            </w:pPr>
          </w:p>
        </w:tc>
        <w:tc>
          <w:tcPr>
            <w:tcW w:w="660" w:type="dxa"/>
            <w:tcBorders>
              <w:top w:val="single" w:sz="4" w:space="0" w:color="000000"/>
              <w:left w:val="single" w:sz="4" w:space="0" w:color="000000"/>
              <w:bottom w:val="single" w:sz="4" w:space="0" w:color="000000"/>
            </w:tcBorders>
          </w:tcPr>
          <w:p w14:paraId="7B4D82B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8,8</w:t>
            </w:r>
          </w:p>
          <w:p w14:paraId="679C627F" w14:textId="77777777" w:rsidR="00634CDF" w:rsidRDefault="00634CDF">
            <w:pPr>
              <w:pBdr>
                <w:top w:val="nil"/>
                <w:left w:val="nil"/>
                <w:bottom w:val="nil"/>
                <w:right w:val="nil"/>
                <w:between w:val="nil"/>
              </w:pBdr>
              <w:spacing w:line="240" w:lineRule="auto"/>
              <w:ind w:left="0" w:hanging="2"/>
              <w:rPr>
                <w:color w:val="000000"/>
                <w:vertAlign w:val="baseline"/>
              </w:rPr>
            </w:pPr>
          </w:p>
        </w:tc>
        <w:tc>
          <w:tcPr>
            <w:tcW w:w="554" w:type="dxa"/>
            <w:tcBorders>
              <w:top w:val="single" w:sz="4" w:space="0" w:color="000000"/>
              <w:left w:val="single" w:sz="4" w:space="0" w:color="000000"/>
              <w:bottom w:val="single" w:sz="4" w:space="0" w:color="000000"/>
            </w:tcBorders>
          </w:tcPr>
          <w:p w14:paraId="757B8F0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1,7</w:t>
            </w:r>
          </w:p>
        </w:tc>
        <w:tc>
          <w:tcPr>
            <w:tcW w:w="1006" w:type="dxa"/>
            <w:tcBorders>
              <w:top w:val="single" w:sz="4" w:space="0" w:color="000000"/>
              <w:left w:val="single" w:sz="4" w:space="0" w:color="000000"/>
              <w:bottom w:val="single" w:sz="4" w:space="0" w:color="000000"/>
            </w:tcBorders>
          </w:tcPr>
          <w:p w14:paraId="202A16A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variable según vaya en monoterapia o asociado a estatina o ezetimiba</w:t>
            </w:r>
          </w:p>
        </w:tc>
        <w:tc>
          <w:tcPr>
            <w:tcW w:w="900" w:type="dxa"/>
            <w:tcBorders>
              <w:top w:val="single" w:sz="4" w:space="0" w:color="000000"/>
              <w:left w:val="single" w:sz="4" w:space="0" w:color="000000"/>
              <w:bottom w:val="single" w:sz="4" w:space="0" w:color="000000"/>
            </w:tcBorders>
          </w:tcPr>
          <w:p w14:paraId="09B3866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estatina o ezetimiba</w:t>
            </w:r>
          </w:p>
        </w:tc>
        <w:tc>
          <w:tcPr>
            <w:tcW w:w="765" w:type="dxa"/>
            <w:tcBorders>
              <w:top w:val="single" w:sz="4" w:space="0" w:color="000000"/>
              <w:left w:val="single" w:sz="4" w:space="0" w:color="000000"/>
              <w:bottom w:val="single" w:sz="4" w:space="0" w:color="000000"/>
            </w:tcBorders>
          </w:tcPr>
          <w:p w14:paraId="47378AFC"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7.756 </w:t>
            </w:r>
          </w:p>
        </w:tc>
        <w:tc>
          <w:tcPr>
            <w:tcW w:w="930" w:type="dxa"/>
            <w:tcBorders>
              <w:top w:val="single" w:sz="4" w:space="0" w:color="000000"/>
              <w:left w:val="single" w:sz="4" w:space="0" w:color="000000"/>
              <w:bottom w:val="single" w:sz="4" w:space="0" w:color="000000"/>
              <w:right w:val="single" w:sz="4" w:space="0" w:color="000000"/>
            </w:tcBorders>
          </w:tcPr>
          <w:p w14:paraId="38DBCB8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13.185</w:t>
            </w:r>
          </w:p>
        </w:tc>
      </w:tr>
      <w:tr w:rsidR="00634CDF" w14:paraId="534695AA" w14:textId="77777777">
        <w:trPr>
          <w:cantSplit/>
        </w:trPr>
        <w:tc>
          <w:tcPr>
            <w:tcW w:w="1035" w:type="dxa"/>
            <w:vMerge/>
            <w:tcBorders>
              <w:top w:val="single" w:sz="4" w:space="0" w:color="000000"/>
              <w:left w:val="single" w:sz="4" w:space="0" w:color="000000"/>
              <w:bottom w:val="single" w:sz="4" w:space="0" w:color="000000"/>
            </w:tcBorders>
          </w:tcPr>
          <w:p w14:paraId="3915EAE4" w14:textId="77777777" w:rsidR="00634CDF" w:rsidRDefault="00634CDF">
            <w:pPr>
              <w:widowControl w:val="0"/>
              <w:pBdr>
                <w:top w:val="nil"/>
                <w:left w:val="nil"/>
                <w:bottom w:val="nil"/>
                <w:right w:val="nil"/>
                <w:between w:val="nil"/>
              </w:pBdr>
              <w:spacing w:line="276" w:lineRule="auto"/>
              <w:ind w:left="0" w:hanging="2"/>
              <w:rPr>
                <w:color w:val="000000"/>
                <w:vertAlign w:val="baseline"/>
              </w:rPr>
            </w:pPr>
          </w:p>
        </w:tc>
        <w:tc>
          <w:tcPr>
            <w:tcW w:w="795" w:type="dxa"/>
            <w:tcBorders>
              <w:top w:val="single" w:sz="4" w:space="0" w:color="000000"/>
              <w:left w:val="single" w:sz="4" w:space="0" w:color="000000"/>
              <w:bottom w:val="single" w:sz="4" w:space="0" w:color="000000"/>
            </w:tcBorders>
          </w:tcPr>
          <w:p w14:paraId="18E1116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 xml:space="preserve">Variable exploratoria </w:t>
            </w:r>
          </w:p>
        </w:tc>
        <w:tc>
          <w:tcPr>
            <w:tcW w:w="1155" w:type="dxa"/>
            <w:tcBorders>
              <w:top w:val="single" w:sz="4" w:space="0" w:color="000000"/>
              <w:left w:val="single" w:sz="4" w:space="0" w:color="000000"/>
              <w:bottom w:val="single" w:sz="4" w:space="0" w:color="000000"/>
            </w:tcBorders>
          </w:tcPr>
          <w:p w14:paraId="0D64AD4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eventos MACE(%)</w:t>
            </w:r>
          </w:p>
        </w:tc>
        <w:tc>
          <w:tcPr>
            <w:tcW w:w="944" w:type="dxa"/>
            <w:tcBorders>
              <w:top w:val="single" w:sz="4" w:space="0" w:color="000000"/>
              <w:left w:val="single" w:sz="4" w:space="0" w:color="000000"/>
              <w:bottom w:val="single" w:sz="4" w:space="0" w:color="000000"/>
            </w:tcBorders>
          </w:tcPr>
          <w:p w14:paraId="6A592E80"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766" w:type="dxa"/>
            <w:tcBorders>
              <w:top w:val="single" w:sz="4" w:space="0" w:color="000000"/>
              <w:left w:val="single" w:sz="4" w:space="0" w:color="000000"/>
              <w:bottom w:val="single" w:sz="4" w:space="0" w:color="000000"/>
            </w:tcBorders>
          </w:tcPr>
          <w:p w14:paraId="7A59C1E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4,1</w:t>
            </w:r>
          </w:p>
        </w:tc>
        <w:tc>
          <w:tcPr>
            <w:tcW w:w="660" w:type="dxa"/>
            <w:tcBorders>
              <w:top w:val="single" w:sz="4" w:space="0" w:color="000000"/>
              <w:left w:val="single" w:sz="4" w:space="0" w:color="000000"/>
              <w:bottom w:val="single" w:sz="4" w:space="0" w:color="000000"/>
            </w:tcBorders>
          </w:tcPr>
          <w:p w14:paraId="6071DB1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4,2</w:t>
            </w:r>
          </w:p>
        </w:tc>
        <w:tc>
          <w:tcPr>
            <w:tcW w:w="554" w:type="dxa"/>
            <w:tcBorders>
              <w:top w:val="single" w:sz="4" w:space="0" w:color="000000"/>
              <w:left w:val="single" w:sz="4" w:space="0" w:color="000000"/>
              <w:bottom w:val="single" w:sz="4" w:space="0" w:color="000000"/>
            </w:tcBorders>
          </w:tcPr>
          <w:p w14:paraId="0AEE1516" w14:textId="77777777" w:rsidR="00634CDF" w:rsidRDefault="00F0051D">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r>
              <w:rPr>
                <w:rFonts w:ascii="Arial" w:eastAsia="Arial" w:hAnsi="Arial" w:cs="Arial"/>
                <w:sz w:val="16"/>
                <w:szCs w:val="16"/>
                <w:vertAlign w:val="baseline"/>
              </w:rPr>
              <w:t>na</w:t>
            </w:r>
          </w:p>
        </w:tc>
        <w:tc>
          <w:tcPr>
            <w:tcW w:w="1006" w:type="dxa"/>
            <w:tcBorders>
              <w:top w:val="single" w:sz="4" w:space="0" w:color="000000"/>
              <w:left w:val="single" w:sz="4" w:space="0" w:color="000000"/>
              <w:bottom w:val="single" w:sz="4" w:space="0" w:color="000000"/>
            </w:tcBorders>
          </w:tcPr>
          <w:p w14:paraId="6AABB4C5"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900" w:type="dxa"/>
            <w:tcBorders>
              <w:top w:val="single" w:sz="4" w:space="0" w:color="000000"/>
              <w:left w:val="single" w:sz="4" w:space="0" w:color="000000"/>
              <w:bottom w:val="single" w:sz="4" w:space="0" w:color="000000"/>
            </w:tcBorders>
          </w:tcPr>
          <w:p w14:paraId="5842EA38"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765" w:type="dxa"/>
            <w:tcBorders>
              <w:top w:val="single" w:sz="4" w:space="0" w:color="000000"/>
              <w:left w:val="single" w:sz="4" w:space="0" w:color="000000"/>
              <w:bottom w:val="single" w:sz="4" w:space="0" w:color="000000"/>
            </w:tcBorders>
          </w:tcPr>
          <w:p w14:paraId="1A203B77"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930" w:type="dxa"/>
            <w:tcBorders>
              <w:top w:val="single" w:sz="4" w:space="0" w:color="000000"/>
              <w:left w:val="single" w:sz="4" w:space="0" w:color="000000"/>
              <w:bottom w:val="single" w:sz="4" w:space="0" w:color="000000"/>
              <w:right w:val="single" w:sz="4" w:space="0" w:color="000000"/>
            </w:tcBorders>
          </w:tcPr>
          <w:p w14:paraId="619604E4"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r>
      <w:tr w:rsidR="00634CDF" w14:paraId="38FF6501" w14:textId="77777777">
        <w:trPr>
          <w:cantSplit/>
        </w:trPr>
        <w:tc>
          <w:tcPr>
            <w:tcW w:w="1035" w:type="dxa"/>
            <w:vMerge w:val="restart"/>
            <w:tcBorders>
              <w:top w:val="single" w:sz="4" w:space="0" w:color="000000"/>
              <w:left w:val="single" w:sz="4" w:space="0" w:color="000000"/>
              <w:bottom w:val="single" w:sz="4" w:space="0" w:color="000000"/>
            </w:tcBorders>
          </w:tcPr>
          <w:p w14:paraId="55E877B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ORION 10</w:t>
            </w:r>
          </w:p>
          <w:p w14:paraId="52469DD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enfermedad cv establecida</w:t>
            </w:r>
            <w:sdt>
              <w:sdtPr>
                <w:tag w:val="goog_rdk_27"/>
                <w:id w:val="706692490"/>
              </w:sdtPr>
              <w:sdtEndPr/>
              <w:sdtContent>
                <w:r>
                  <w:rPr>
                    <w:rFonts w:ascii="Arial Unicode MS" w:eastAsia="Arial Unicode MS" w:hAnsi="Arial Unicode MS" w:cs="Arial Unicode MS"/>
                    <w:b/>
                    <w:color w:val="000000"/>
                    <w:sz w:val="16"/>
                    <w:szCs w:val="16"/>
                    <w:vertAlign w:val="baseline"/>
                  </w:rPr>
                  <w:t>≥</w:t>
                </w:r>
              </w:sdtContent>
            </w:sdt>
          </w:p>
          <w:p w14:paraId="7A216D6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70</w:t>
            </w:r>
          </w:p>
        </w:tc>
        <w:tc>
          <w:tcPr>
            <w:tcW w:w="795" w:type="dxa"/>
            <w:tcBorders>
              <w:top w:val="single" w:sz="4" w:space="0" w:color="000000"/>
              <w:left w:val="single" w:sz="4" w:space="0" w:color="000000"/>
              <w:bottom w:val="single" w:sz="4" w:space="0" w:color="000000"/>
            </w:tcBorders>
          </w:tcPr>
          <w:p w14:paraId="6F6F331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Principal</w:t>
            </w:r>
          </w:p>
        </w:tc>
        <w:tc>
          <w:tcPr>
            <w:tcW w:w="1155" w:type="dxa"/>
            <w:tcBorders>
              <w:top w:val="single" w:sz="4" w:space="0" w:color="000000"/>
              <w:left w:val="single" w:sz="4" w:space="0" w:color="000000"/>
              <w:bottom w:val="single" w:sz="4" w:space="0" w:color="000000"/>
            </w:tcBorders>
          </w:tcPr>
          <w:p w14:paraId="1808644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na</w:t>
            </w:r>
          </w:p>
        </w:tc>
        <w:tc>
          <w:tcPr>
            <w:tcW w:w="944" w:type="dxa"/>
            <w:tcBorders>
              <w:top w:val="single" w:sz="4" w:space="0" w:color="000000"/>
              <w:left w:val="single" w:sz="4" w:space="0" w:color="000000"/>
              <w:bottom w:val="single" w:sz="4" w:space="0" w:color="000000"/>
            </w:tcBorders>
          </w:tcPr>
          <w:p w14:paraId="14FAFC8A"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766" w:type="dxa"/>
            <w:tcBorders>
              <w:top w:val="single" w:sz="4" w:space="0" w:color="000000"/>
              <w:left w:val="single" w:sz="4" w:space="0" w:color="000000"/>
              <w:bottom w:val="single" w:sz="4" w:space="0" w:color="000000"/>
            </w:tcBorders>
          </w:tcPr>
          <w:p w14:paraId="7BB6F553"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660" w:type="dxa"/>
            <w:tcBorders>
              <w:top w:val="single" w:sz="4" w:space="0" w:color="000000"/>
              <w:left w:val="single" w:sz="4" w:space="0" w:color="000000"/>
              <w:bottom w:val="single" w:sz="4" w:space="0" w:color="000000"/>
            </w:tcBorders>
          </w:tcPr>
          <w:p w14:paraId="34EE5E06"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554" w:type="dxa"/>
            <w:tcBorders>
              <w:top w:val="single" w:sz="4" w:space="0" w:color="000000"/>
              <w:left w:val="single" w:sz="4" w:space="0" w:color="000000"/>
              <w:bottom w:val="single" w:sz="4" w:space="0" w:color="000000"/>
            </w:tcBorders>
          </w:tcPr>
          <w:p w14:paraId="3799E32C"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1006" w:type="dxa"/>
            <w:tcBorders>
              <w:top w:val="single" w:sz="4" w:space="0" w:color="000000"/>
              <w:left w:val="single" w:sz="4" w:space="0" w:color="000000"/>
              <w:bottom w:val="single" w:sz="4" w:space="0" w:color="000000"/>
            </w:tcBorders>
          </w:tcPr>
          <w:p w14:paraId="25ACE468"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900" w:type="dxa"/>
            <w:tcBorders>
              <w:top w:val="single" w:sz="4" w:space="0" w:color="000000"/>
              <w:left w:val="single" w:sz="4" w:space="0" w:color="000000"/>
              <w:bottom w:val="single" w:sz="4" w:space="0" w:color="000000"/>
            </w:tcBorders>
          </w:tcPr>
          <w:p w14:paraId="74C31FF4"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765" w:type="dxa"/>
            <w:tcBorders>
              <w:top w:val="single" w:sz="4" w:space="0" w:color="000000"/>
              <w:left w:val="single" w:sz="4" w:space="0" w:color="000000"/>
              <w:bottom w:val="single" w:sz="4" w:space="0" w:color="000000"/>
            </w:tcBorders>
          </w:tcPr>
          <w:p w14:paraId="7CADB9FD"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930" w:type="dxa"/>
            <w:tcBorders>
              <w:top w:val="single" w:sz="4" w:space="0" w:color="000000"/>
              <w:left w:val="single" w:sz="4" w:space="0" w:color="000000"/>
              <w:bottom w:val="single" w:sz="4" w:space="0" w:color="000000"/>
              <w:right w:val="single" w:sz="4" w:space="0" w:color="000000"/>
            </w:tcBorders>
          </w:tcPr>
          <w:p w14:paraId="2FC523E9"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r>
      <w:tr w:rsidR="00634CDF" w14:paraId="04F3A983" w14:textId="77777777">
        <w:trPr>
          <w:cantSplit/>
        </w:trPr>
        <w:tc>
          <w:tcPr>
            <w:tcW w:w="1035" w:type="dxa"/>
            <w:vMerge/>
            <w:tcBorders>
              <w:top w:val="single" w:sz="4" w:space="0" w:color="000000"/>
              <w:left w:val="single" w:sz="4" w:space="0" w:color="000000"/>
              <w:bottom w:val="single" w:sz="4" w:space="0" w:color="000000"/>
            </w:tcBorders>
          </w:tcPr>
          <w:p w14:paraId="38D2BC84" w14:textId="77777777" w:rsidR="00634CDF" w:rsidRDefault="00634CDF">
            <w:pPr>
              <w:widowControl w:val="0"/>
              <w:pBdr>
                <w:top w:val="nil"/>
                <w:left w:val="nil"/>
                <w:bottom w:val="nil"/>
                <w:right w:val="nil"/>
                <w:between w:val="nil"/>
              </w:pBdr>
              <w:spacing w:line="276" w:lineRule="auto"/>
              <w:ind w:left="0" w:hanging="2"/>
              <w:rPr>
                <w:rFonts w:ascii="Arial" w:eastAsia="Arial" w:hAnsi="Arial" w:cs="Arial"/>
                <w:color w:val="000000"/>
                <w:sz w:val="16"/>
                <w:szCs w:val="16"/>
                <w:vertAlign w:val="baseline"/>
              </w:rPr>
            </w:pPr>
          </w:p>
        </w:tc>
        <w:tc>
          <w:tcPr>
            <w:tcW w:w="795" w:type="dxa"/>
            <w:tcBorders>
              <w:top w:val="single" w:sz="4" w:space="0" w:color="000000"/>
              <w:left w:val="single" w:sz="4" w:space="0" w:color="000000"/>
              <w:bottom w:val="single" w:sz="4" w:space="0" w:color="000000"/>
            </w:tcBorders>
          </w:tcPr>
          <w:p w14:paraId="0796F60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Secundaria 1</w:t>
            </w:r>
          </w:p>
        </w:tc>
        <w:tc>
          <w:tcPr>
            <w:tcW w:w="1155" w:type="dxa"/>
            <w:tcBorders>
              <w:top w:val="single" w:sz="4" w:space="0" w:color="000000"/>
              <w:left w:val="single" w:sz="4" w:space="0" w:color="000000"/>
              <w:bottom w:val="single" w:sz="4" w:space="0" w:color="000000"/>
            </w:tcBorders>
          </w:tcPr>
          <w:p w14:paraId="45698831"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pacientes que alcanzaron niveles &lt;70 mg/dL a los 510 días</w:t>
            </w:r>
          </w:p>
        </w:tc>
        <w:tc>
          <w:tcPr>
            <w:tcW w:w="944" w:type="dxa"/>
            <w:tcBorders>
              <w:top w:val="single" w:sz="4" w:space="0" w:color="000000"/>
              <w:left w:val="single" w:sz="4" w:space="0" w:color="000000"/>
              <w:bottom w:val="single" w:sz="4" w:space="0" w:color="000000"/>
            </w:tcBorders>
          </w:tcPr>
          <w:p w14:paraId="7C9AA03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placebo en monoterapia o asociado a estatinas o ezetimibe</w:t>
            </w:r>
          </w:p>
          <w:p w14:paraId="5301EEDE"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766" w:type="dxa"/>
            <w:tcBorders>
              <w:top w:val="single" w:sz="4" w:space="0" w:color="000000"/>
              <w:left w:val="single" w:sz="4" w:space="0" w:color="000000"/>
              <w:bottom w:val="single" w:sz="4" w:space="0" w:color="000000"/>
            </w:tcBorders>
          </w:tcPr>
          <w:p w14:paraId="0C35A92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74,4</w:t>
            </w:r>
          </w:p>
        </w:tc>
        <w:tc>
          <w:tcPr>
            <w:tcW w:w="660" w:type="dxa"/>
            <w:tcBorders>
              <w:top w:val="single" w:sz="4" w:space="0" w:color="000000"/>
              <w:left w:val="single" w:sz="4" w:space="0" w:color="000000"/>
              <w:bottom w:val="single" w:sz="4" w:space="0" w:color="000000"/>
            </w:tcBorders>
          </w:tcPr>
          <w:p w14:paraId="01A7AD6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15,3</w:t>
            </w:r>
          </w:p>
        </w:tc>
        <w:tc>
          <w:tcPr>
            <w:tcW w:w="554" w:type="dxa"/>
            <w:tcBorders>
              <w:top w:val="single" w:sz="4" w:space="0" w:color="000000"/>
              <w:left w:val="single" w:sz="4" w:space="0" w:color="000000"/>
              <w:bottom w:val="single" w:sz="4" w:space="0" w:color="000000"/>
            </w:tcBorders>
          </w:tcPr>
          <w:p w14:paraId="18B395D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1,7</w:t>
            </w:r>
          </w:p>
        </w:tc>
        <w:tc>
          <w:tcPr>
            <w:tcW w:w="1006" w:type="dxa"/>
            <w:tcBorders>
              <w:top w:val="single" w:sz="4" w:space="0" w:color="000000"/>
              <w:left w:val="single" w:sz="4" w:space="0" w:color="000000"/>
              <w:bottom w:val="single" w:sz="4" w:space="0" w:color="000000"/>
            </w:tcBorders>
          </w:tcPr>
          <w:p w14:paraId="3C88420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variable según vaya en monoterapia o asociado a estatina o ezetimiba</w:t>
            </w:r>
          </w:p>
        </w:tc>
        <w:tc>
          <w:tcPr>
            <w:tcW w:w="900" w:type="dxa"/>
            <w:tcBorders>
              <w:top w:val="single" w:sz="4" w:space="0" w:color="000000"/>
              <w:left w:val="single" w:sz="4" w:space="0" w:color="000000"/>
              <w:bottom w:val="single" w:sz="4" w:space="0" w:color="000000"/>
            </w:tcBorders>
          </w:tcPr>
          <w:p w14:paraId="52591118"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estatina o ezetimiba</w:t>
            </w:r>
          </w:p>
        </w:tc>
        <w:tc>
          <w:tcPr>
            <w:tcW w:w="765" w:type="dxa"/>
            <w:tcBorders>
              <w:top w:val="single" w:sz="4" w:space="0" w:color="000000"/>
              <w:left w:val="single" w:sz="4" w:space="0" w:color="000000"/>
              <w:bottom w:val="single" w:sz="4" w:space="0" w:color="000000"/>
            </w:tcBorders>
          </w:tcPr>
          <w:p w14:paraId="3DF19717"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7756 </w:t>
            </w:r>
          </w:p>
        </w:tc>
        <w:tc>
          <w:tcPr>
            <w:tcW w:w="930" w:type="dxa"/>
            <w:tcBorders>
              <w:top w:val="single" w:sz="4" w:space="0" w:color="000000"/>
              <w:left w:val="single" w:sz="4" w:space="0" w:color="000000"/>
              <w:bottom w:val="single" w:sz="4" w:space="0" w:color="000000"/>
              <w:right w:val="single" w:sz="4" w:space="0" w:color="000000"/>
            </w:tcBorders>
          </w:tcPr>
          <w:p w14:paraId="783E313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13.185</w:t>
            </w:r>
          </w:p>
        </w:tc>
      </w:tr>
      <w:tr w:rsidR="00634CDF" w14:paraId="1671D8D2" w14:textId="77777777">
        <w:trPr>
          <w:cantSplit/>
          <w:trHeight w:val="694"/>
        </w:trPr>
        <w:tc>
          <w:tcPr>
            <w:tcW w:w="1035" w:type="dxa"/>
            <w:vMerge/>
            <w:tcBorders>
              <w:top w:val="single" w:sz="4" w:space="0" w:color="000000"/>
              <w:left w:val="single" w:sz="4" w:space="0" w:color="000000"/>
              <w:bottom w:val="single" w:sz="4" w:space="0" w:color="000000"/>
            </w:tcBorders>
          </w:tcPr>
          <w:p w14:paraId="12BAAA7C" w14:textId="77777777" w:rsidR="00634CDF" w:rsidRDefault="00634CDF">
            <w:pPr>
              <w:widowControl w:val="0"/>
              <w:pBdr>
                <w:top w:val="nil"/>
                <w:left w:val="nil"/>
                <w:bottom w:val="nil"/>
                <w:right w:val="nil"/>
                <w:between w:val="nil"/>
              </w:pBdr>
              <w:spacing w:line="276" w:lineRule="auto"/>
              <w:ind w:left="0" w:hanging="2"/>
              <w:rPr>
                <w:color w:val="000000"/>
                <w:vertAlign w:val="baseline"/>
              </w:rPr>
            </w:pPr>
          </w:p>
        </w:tc>
        <w:tc>
          <w:tcPr>
            <w:tcW w:w="795" w:type="dxa"/>
            <w:tcBorders>
              <w:top w:val="single" w:sz="4" w:space="0" w:color="000000"/>
              <w:left w:val="single" w:sz="4" w:space="0" w:color="000000"/>
              <w:bottom w:val="single" w:sz="4" w:space="0" w:color="000000"/>
            </w:tcBorders>
          </w:tcPr>
          <w:p w14:paraId="1E2B0AC0"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Variable exploratoria</w:t>
            </w:r>
          </w:p>
        </w:tc>
        <w:tc>
          <w:tcPr>
            <w:tcW w:w="1155" w:type="dxa"/>
            <w:tcBorders>
              <w:top w:val="single" w:sz="4" w:space="0" w:color="000000"/>
              <w:left w:val="single" w:sz="4" w:space="0" w:color="000000"/>
              <w:bottom w:val="single" w:sz="4" w:space="0" w:color="000000"/>
            </w:tcBorders>
          </w:tcPr>
          <w:p w14:paraId="744827F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eventos MACE(%)</w:t>
            </w:r>
          </w:p>
        </w:tc>
        <w:tc>
          <w:tcPr>
            <w:tcW w:w="944" w:type="dxa"/>
            <w:tcBorders>
              <w:top w:val="single" w:sz="4" w:space="0" w:color="000000"/>
              <w:left w:val="single" w:sz="4" w:space="0" w:color="000000"/>
              <w:bottom w:val="single" w:sz="4" w:space="0" w:color="000000"/>
            </w:tcBorders>
          </w:tcPr>
          <w:p w14:paraId="0F31FBC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7,4</w:t>
            </w:r>
          </w:p>
        </w:tc>
        <w:tc>
          <w:tcPr>
            <w:tcW w:w="766" w:type="dxa"/>
            <w:tcBorders>
              <w:top w:val="single" w:sz="4" w:space="0" w:color="000000"/>
              <w:left w:val="single" w:sz="4" w:space="0" w:color="000000"/>
              <w:bottom w:val="single" w:sz="4" w:space="0" w:color="000000"/>
            </w:tcBorders>
          </w:tcPr>
          <w:p w14:paraId="0B9410D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10,2</w:t>
            </w:r>
          </w:p>
        </w:tc>
        <w:tc>
          <w:tcPr>
            <w:tcW w:w="660" w:type="dxa"/>
            <w:tcBorders>
              <w:top w:val="single" w:sz="4" w:space="0" w:color="000000"/>
              <w:left w:val="single" w:sz="4" w:space="0" w:color="000000"/>
              <w:bottom w:val="single" w:sz="4" w:space="0" w:color="000000"/>
            </w:tcBorders>
          </w:tcPr>
          <w:p w14:paraId="4A565634"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554" w:type="dxa"/>
            <w:tcBorders>
              <w:top w:val="single" w:sz="4" w:space="0" w:color="000000"/>
              <w:left w:val="single" w:sz="4" w:space="0" w:color="000000"/>
              <w:bottom w:val="single" w:sz="4" w:space="0" w:color="000000"/>
            </w:tcBorders>
          </w:tcPr>
          <w:p w14:paraId="6D35E3C7" w14:textId="77777777" w:rsidR="00634CDF" w:rsidRDefault="00F0051D">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r>
              <w:rPr>
                <w:rFonts w:ascii="Arial" w:eastAsia="Arial" w:hAnsi="Arial" w:cs="Arial"/>
                <w:sz w:val="16"/>
                <w:szCs w:val="16"/>
                <w:vertAlign w:val="baseline"/>
              </w:rPr>
              <w:t>na*</w:t>
            </w:r>
          </w:p>
        </w:tc>
        <w:tc>
          <w:tcPr>
            <w:tcW w:w="1006" w:type="dxa"/>
            <w:tcBorders>
              <w:top w:val="single" w:sz="4" w:space="0" w:color="000000"/>
              <w:left w:val="single" w:sz="4" w:space="0" w:color="000000"/>
              <w:bottom w:val="single" w:sz="4" w:space="0" w:color="000000"/>
            </w:tcBorders>
          </w:tcPr>
          <w:p w14:paraId="47702FCB"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900" w:type="dxa"/>
            <w:tcBorders>
              <w:top w:val="single" w:sz="4" w:space="0" w:color="000000"/>
              <w:left w:val="single" w:sz="4" w:space="0" w:color="000000"/>
              <w:bottom w:val="single" w:sz="4" w:space="0" w:color="000000"/>
            </w:tcBorders>
          </w:tcPr>
          <w:p w14:paraId="35E66B2B"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765" w:type="dxa"/>
            <w:tcBorders>
              <w:top w:val="single" w:sz="4" w:space="0" w:color="000000"/>
              <w:left w:val="single" w:sz="4" w:space="0" w:color="000000"/>
              <w:bottom w:val="single" w:sz="4" w:space="0" w:color="000000"/>
            </w:tcBorders>
          </w:tcPr>
          <w:p w14:paraId="63AA2417"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930" w:type="dxa"/>
            <w:tcBorders>
              <w:top w:val="single" w:sz="4" w:space="0" w:color="000000"/>
              <w:left w:val="single" w:sz="4" w:space="0" w:color="000000"/>
              <w:bottom w:val="single" w:sz="4" w:space="0" w:color="000000"/>
              <w:right w:val="single" w:sz="4" w:space="0" w:color="000000"/>
            </w:tcBorders>
          </w:tcPr>
          <w:p w14:paraId="11376D89"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r>
      <w:tr w:rsidR="00634CDF" w14:paraId="633E1A45" w14:textId="77777777">
        <w:tc>
          <w:tcPr>
            <w:tcW w:w="1035" w:type="dxa"/>
            <w:tcBorders>
              <w:top w:val="single" w:sz="4" w:space="0" w:color="000000"/>
              <w:left w:val="single" w:sz="4" w:space="0" w:color="000000"/>
              <w:bottom w:val="single" w:sz="4" w:space="0" w:color="000000"/>
            </w:tcBorders>
          </w:tcPr>
          <w:p w14:paraId="28979EAC" w14:textId="77777777" w:rsidR="00634CDF" w:rsidRDefault="00F0051D">
            <w:pPr>
              <w:widowControl w:val="0"/>
              <w:pBdr>
                <w:top w:val="none" w:sz="0" w:space="0" w:color="000000"/>
                <w:left w:val="none" w:sz="0" w:space="0" w:color="000000"/>
                <w:bottom w:val="none" w:sz="0" w:space="0" w:color="000000"/>
                <w:right w:val="none" w:sz="0" w:space="0" w:color="000000"/>
                <w:between w:val="nil"/>
              </w:pBdr>
              <w:spacing w:line="276" w:lineRule="auto"/>
              <w:ind w:left="0" w:hanging="2"/>
              <w:rPr>
                <w:color w:val="000000"/>
                <w:vertAlign w:val="baseline"/>
              </w:rPr>
            </w:pPr>
            <w:r>
              <w:rPr>
                <w:rFonts w:ascii="Arial" w:eastAsia="Arial" w:hAnsi="Arial" w:cs="Arial"/>
                <w:color w:val="000000"/>
                <w:sz w:val="16"/>
                <w:szCs w:val="16"/>
                <w:vertAlign w:val="baseline"/>
              </w:rPr>
              <w:t>ORION 11</w:t>
            </w:r>
          </w:p>
          <w:p w14:paraId="5BAEF0A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enfermedad cv establecida</w:t>
            </w:r>
            <w:sdt>
              <w:sdtPr>
                <w:tag w:val="goog_rdk_28"/>
                <w:id w:val="278453250"/>
              </w:sdtPr>
              <w:sdtEndPr/>
              <w:sdtContent>
                <w:r>
                  <w:rPr>
                    <w:rFonts w:ascii="Arial Unicode MS" w:eastAsia="Arial Unicode MS" w:hAnsi="Arial Unicode MS" w:cs="Arial Unicode MS"/>
                    <w:b/>
                    <w:color w:val="000000"/>
                    <w:sz w:val="16"/>
                    <w:szCs w:val="16"/>
                    <w:vertAlign w:val="baseline"/>
                  </w:rPr>
                  <w:t>≥</w:t>
                </w:r>
              </w:sdtContent>
            </w:sdt>
          </w:p>
          <w:p w14:paraId="6153B53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lastRenderedPageBreak/>
              <w:t>70</w:t>
            </w:r>
          </w:p>
          <w:p w14:paraId="635B40A3" w14:textId="77777777" w:rsidR="00634CDF" w:rsidRDefault="00782245">
            <w:pPr>
              <w:widowControl w:val="0"/>
              <w:pBdr>
                <w:top w:val="none" w:sz="0" w:space="0" w:color="000000"/>
                <w:left w:val="none" w:sz="0" w:space="0" w:color="000000"/>
                <w:bottom w:val="none" w:sz="0" w:space="0" w:color="000000"/>
                <w:right w:val="none" w:sz="0" w:space="0" w:color="000000"/>
                <w:between w:val="nil"/>
              </w:pBdr>
              <w:spacing w:line="276" w:lineRule="auto"/>
              <w:ind w:left="0" w:hanging="2"/>
              <w:rPr>
                <w:rFonts w:ascii="Arial" w:eastAsia="Arial" w:hAnsi="Arial" w:cs="Arial"/>
                <w:color w:val="000000"/>
                <w:vertAlign w:val="baseline"/>
              </w:rPr>
            </w:pPr>
            <w:sdt>
              <w:sdtPr>
                <w:tag w:val="goog_rdk_29"/>
                <w:id w:val="-1667394011"/>
              </w:sdtPr>
              <w:sdtEndPr/>
              <w:sdtContent>
                <w:r w:rsidR="00F0051D">
                  <w:rPr>
                    <w:rFonts w:ascii="Arial Unicode MS" w:eastAsia="Arial Unicode MS" w:hAnsi="Arial Unicode MS" w:cs="Arial Unicode MS"/>
                    <w:color w:val="000000"/>
                    <w:sz w:val="16"/>
                    <w:szCs w:val="16"/>
                    <w:vertAlign w:val="baseline"/>
                  </w:rPr>
                  <w:t>o riesgo equivalente  de enf cv y LDL≥100</w:t>
                </w:r>
              </w:sdtContent>
            </w:sdt>
          </w:p>
        </w:tc>
        <w:tc>
          <w:tcPr>
            <w:tcW w:w="795" w:type="dxa"/>
            <w:tcBorders>
              <w:top w:val="single" w:sz="4" w:space="0" w:color="000000"/>
              <w:left w:val="single" w:sz="4" w:space="0" w:color="000000"/>
              <w:bottom w:val="single" w:sz="4" w:space="0" w:color="000000"/>
            </w:tcBorders>
          </w:tcPr>
          <w:p w14:paraId="3ECBA89F"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lastRenderedPageBreak/>
              <w:t>secundaria</w:t>
            </w:r>
          </w:p>
        </w:tc>
        <w:tc>
          <w:tcPr>
            <w:tcW w:w="1155" w:type="dxa"/>
            <w:tcBorders>
              <w:top w:val="single" w:sz="4" w:space="0" w:color="000000"/>
              <w:left w:val="single" w:sz="4" w:space="0" w:color="000000"/>
              <w:bottom w:val="single" w:sz="4" w:space="0" w:color="000000"/>
            </w:tcBorders>
          </w:tcPr>
          <w:p w14:paraId="2610BBD2" w14:textId="77777777" w:rsidR="00634CDF" w:rsidRDefault="00F0051D">
            <w:pPr>
              <w:pBdr>
                <w:top w:val="nil"/>
                <w:left w:val="nil"/>
                <w:bottom w:val="nil"/>
                <w:right w:val="nil"/>
                <w:between w:val="nil"/>
              </w:pBdr>
              <w:spacing w:before="240" w:after="240" w:line="240" w:lineRule="auto"/>
              <w:ind w:left="0" w:hanging="2"/>
              <w:jc w:val="center"/>
              <w:rPr>
                <w:color w:val="000000"/>
                <w:vertAlign w:val="baseline"/>
              </w:rPr>
            </w:pPr>
            <w:r>
              <w:rPr>
                <w:rFonts w:ascii="Arial" w:eastAsia="Arial" w:hAnsi="Arial" w:cs="Arial"/>
                <w:i/>
                <w:color w:val="000000"/>
                <w:sz w:val="16"/>
                <w:szCs w:val="16"/>
                <w:vertAlign w:val="baseline"/>
              </w:rPr>
              <w:t xml:space="preserve">-% pacientes que alcanzaron niveles &lt;70 </w:t>
            </w:r>
            <w:r>
              <w:rPr>
                <w:rFonts w:ascii="Arial" w:eastAsia="Arial" w:hAnsi="Arial" w:cs="Arial"/>
                <w:i/>
                <w:color w:val="000000"/>
                <w:sz w:val="16"/>
                <w:szCs w:val="16"/>
                <w:vertAlign w:val="baseline"/>
              </w:rPr>
              <w:lastRenderedPageBreak/>
              <w:t>mg/dL a los 510 días</w:t>
            </w:r>
          </w:p>
        </w:tc>
        <w:tc>
          <w:tcPr>
            <w:tcW w:w="944" w:type="dxa"/>
            <w:tcBorders>
              <w:top w:val="single" w:sz="4" w:space="0" w:color="000000"/>
              <w:left w:val="single" w:sz="4" w:space="0" w:color="000000"/>
              <w:bottom w:val="single" w:sz="4" w:space="0" w:color="000000"/>
            </w:tcBorders>
          </w:tcPr>
          <w:p w14:paraId="6B023BE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lastRenderedPageBreak/>
              <w:t xml:space="preserve">placebo en monoterapia o asociado </w:t>
            </w:r>
            <w:r>
              <w:rPr>
                <w:rFonts w:ascii="Arial" w:eastAsia="Arial" w:hAnsi="Arial" w:cs="Arial"/>
                <w:color w:val="000000"/>
                <w:sz w:val="16"/>
                <w:szCs w:val="16"/>
                <w:vertAlign w:val="baseline"/>
              </w:rPr>
              <w:lastRenderedPageBreak/>
              <w:t>a estatinas o ezetimibe</w:t>
            </w:r>
          </w:p>
          <w:p w14:paraId="4FC029B6"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766" w:type="dxa"/>
            <w:tcBorders>
              <w:top w:val="single" w:sz="4" w:space="0" w:color="000000"/>
              <w:left w:val="single" w:sz="4" w:space="0" w:color="000000"/>
              <w:bottom w:val="single" w:sz="4" w:space="0" w:color="000000"/>
            </w:tcBorders>
          </w:tcPr>
          <w:p w14:paraId="1A0D187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lastRenderedPageBreak/>
              <w:t>69,6</w:t>
            </w:r>
          </w:p>
        </w:tc>
        <w:tc>
          <w:tcPr>
            <w:tcW w:w="660" w:type="dxa"/>
            <w:tcBorders>
              <w:top w:val="single" w:sz="4" w:space="0" w:color="000000"/>
              <w:left w:val="single" w:sz="4" w:space="0" w:color="000000"/>
              <w:bottom w:val="single" w:sz="4" w:space="0" w:color="000000"/>
            </w:tcBorders>
          </w:tcPr>
          <w:p w14:paraId="036F5B0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12,9</w:t>
            </w:r>
          </w:p>
        </w:tc>
        <w:tc>
          <w:tcPr>
            <w:tcW w:w="554" w:type="dxa"/>
            <w:tcBorders>
              <w:top w:val="single" w:sz="4" w:space="0" w:color="000000"/>
              <w:left w:val="single" w:sz="4" w:space="0" w:color="000000"/>
              <w:bottom w:val="single" w:sz="4" w:space="0" w:color="000000"/>
            </w:tcBorders>
          </w:tcPr>
          <w:p w14:paraId="6204DDCF" w14:textId="77777777" w:rsidR="00634CDF" w:rsidRDefault="00F0051D">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r>
              <w:rPr>
                <w:rFonts w:ascii="Arial" w:eastAsia="Arial" w:hAnsi="Arial" w:cs="Arial"/>
                <w:sz w:val="16"/>
                <w:szCs w:val="16"/>
                <w:vertAlign w:val="baseline"/>
              </w:rPr>
              <w:t>1,7</w:t>
            </w:r>
          </w:p>
        </w:tc>
        <w:tc>
          <w:tcPr>
            <w:tcW w:w="1006" w:type="dxa"/>
            <w:tcBorders>
              <w:top w:val="single" w:sz="4" w:space="0" w:color="000000"/>
              <w:left w:val="single" w:sz="4" w:space="0" w:color="000000"/>
              <w:bottom w:val="single" w:sz="4" w:space="0" w:color="000000"/>
            </w:tcBorders>
          </w:tcPr>
          <w:p w14:paraId="6FBE311A"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900" w:type="dxa"/>
            <w:tcBorders>
              <w:top w:val="single" w:sz="4" w:space="0" w:color="000000"/>
              <w:left w:val="single" w:sz="4" w:space="0" w:color="000000"/>
              <w:bottom w:val="single" w:sz="4" w:space="0" w:color="000000"/>
            </w:tcBorders>
          </w:tcPr>
          <w:p w14:paraId="6E6EA9A7"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765" w:type="dxa"/>
            <w:tcBorders>
              <w:top w:val="single" w:sz="4" w:space="0" w:color="000000"/>
              <w:left w:val="single" w:sz="4" w:space="0" w:color="000000"/>
              <w:bottom w:val="single" w:sz="4" w:space="0" w:color="000000"/>
            </w:tcBorders>
          </w:tcPr>
          <w:p w14:paraId="266F6B93"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16"/>
                <w:szCs w:val="16"/>
                <w:vertAlign w:val="baseline"/>
              </w:rPr>
              <w:t xml:space="preserve">7756 </w:t>
            </w:r>
          </w:p>
        </w:tc>
        <w:tc>
          <w:tcPr>
            <w:tcW w:w="930" w:type="dxa"/>
            <w:tcBorders>
              <w:top w:val="single" w:sz="4" w:space="0" w:color="000000"/>
              <w:left w:val="single" w:sz="4" w:space="0" w:color="000000"/>
              <w:bottom w:val="single" w:sz="4" w:space="0" w:color="000000"/>
              <w:right w:val="single" w:sz="4" w:space="0" w:color="000000"/>
            </w:tcBorders>
          </w:tcPr>
          <w:p w14:paraId="1B7E9C4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13.185</w:t>
            </w:r>
          </w:p>
        </w:tc>
      </w:tr>
      <w:tr w:rsidR="00634CDF" w14:paraId="7BA72A59" w14:textId="77777777">
        <w:tc>
          <w:tcPr>
            <w:tcW w:w="1035" w:type="dxa"/>
            <w:tcBorders>
              <w:top w:val="single" w:sz="4" w:space="0" w:color="000000"/>
              <w:left w:val="single" w:sz="4" w:space="0" w:color="000000"/>
              <w:bottom w:val="single" w:sz="4" w:space="0" w:color="000000"/>
            </w:tcBorders>
          </w:tcPr>
          <w:p w14:paraId="6082B809" w14:textId="77777777" w:rsidR="00634CDF" w:rsidRDefault="00634CDF">
            <w:pPr>
              <w:widowControl w:val="0"/>
              <w:pBdr>
                <w:top w:val="none" w:sz="0" w:space="0" w:color="000000"/>
                <w:left w:val="none" w:sz="0" w:space="0" w:color="000000"/>
                <w:bottom w:val="none" w:sz="0" w:space="0" w:color="000000"/>
                <w:right w:val="none" w:sz="0" w:space="0" w:color="000000"/>
                <w:between w:val="nil"/>
              </w:pBdr>
              <w:spacing w:line="276" w:lineRule="auto"/>
              <w:ind w:left="0" w:hanging="2"/>
              <w:rPr>
                <w:rFonts w:ascii="Arial" w:eastAsia="Arial" w:hAnsi="Arial" w:cs="Arial"/>
                <w:color w:val="000000"/>
                <w:sz w:val="16"/>
                <w:szCs w:val="16"/>
                <w:vertAlign w:val="baseline"/>
              </w:rPr>
            </w:pPr>
          </w:p>
        </w:tc>
        <w:tc>
          <w:tcPr>
            <w:tcW w:w="795" w:type="dxa"/>
            <w:tcBorders>
              <w:top w:val="single" w:sz="4" w:space="0" w:color="000000"/>
              <w:left w:val="single" w:sz="4" w:space="0" w:color="000000"/>
              <w:bottom w:val="single" w:sz="4" w:space="0" w:color="000000"/>
            </w:tcBorders>
          </w:tcPr>
          <w:p w14:paraId="11DB0B7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variable exploratoria</w:t>
            </w:r>
          </w:p>
        </w:tc>
        <w:tc>
          <w:tcPr>
            <w:tcW w:w="1155" w:type="dxa"/>
            <w:tcBorders>
              <w:top w:val="single" w:sz="4" w:space="0" w:color="000000"/>
              <w:left w:val="single" w:sz="4" w:space="0" w:color="000000"/>
              <w:bottom w:val="single" w:sz="4" w:space="0" w:color="000000"/>
            </w:tcBorders>
          </w:tcPr>
          <w:p w14:paraId="1B546233"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eventos MACE</w:t>
            </w:r>
          </w:p>
        </w:tc>
        <w:tc>
          <w:tcPr>
            <w:tcW w:w="944" w:type="dxa"/>
            <w:tcBorders>
              <w:top w:val="single" w:sz="4" w:space="0" w:color="000000"/>
              <w:left w:val="single" w:sz="4" w:space="0" w:color="000000"/>
              <w:bottom w:val="single" w:sz="4" w:space="0" w:color="000000"/>
            </w:tcBorders>
          </w:tcPr>
          <w:p w14:paraId="0F48035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7,8</w:t>
            </w:r>
          </w:p>
        </w:tc>
        <w:tc>
          <w:tcPr>
            <w:tcW w:w="766" w:type="dxa"/>
            <w:tcBorders>
              <w:top w:val="single" w:sz="4" w:space="0" w:color="000000"/>
              <w:left w:val="single" w:sz="4" w:space="0" w:color="000000"/>
              <w:bottom w:val="single" w:sz="4" w:space="0" w:color="000000"/>
            </w:tcBorders>
          </w:tcPr>
          <w:p w14:paraId="58B3E42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6"/>
                <w:szCs w:val="16"/>
                <w:vertAlign w:val="baseline"/>
              </w:rPr>
              <w:t>10,3</w:t>
            </w:r>
          </w:p>
        </w:tc>
        <w:tc>
          <w:tcPr>
            <w:tcW w:w="660" w:type="dxa"/>
            <w:tcBorders>
              <w:top w:val="single" w:sz="4" w:space="0" w:color="000000"/>
              <w:left w:val="single" w:sz="4" w:space="0" w:color="000000"/>
              <w:bottom w:val="single" w:sz="4" w:space="0" w:color="000000"/>
            </w:tcBorders>
          </w:tcPr>
          <w:p w14:paraId="0844D968"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554" w:type="dxa"/>
            <w:tcBorders>
              <w:top w:val="single" w:sz="4" w:space="0" w:color="000000"/>
              <w:left w:val="single" w:sz="4" w:space="0" w:color="000000"/>
              <w:bottom w:val="single" w:sz="4" w:space="0" w:color="000000"/>
            </w:tcBorders>
          </w:tcPr>
          <w:p w14:paraId="54551C75" w14:textId="77777777" w:rsidR="00634CDF" w:rsidRDefault="00F0051D">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r>
              <w:rPr>
                <w:rFonts w:ascii="Arial" w:eastAsia="Arial" w:hAnsi="Arial" w:cs="Arial"/>
                <w:sz w:val="16"/>
                <w:szCs w:val="16"/>
                <w:vertAlign w:val="baseline"/>
              </w:rPr>
              <w:t>na*</w:t>
            </w:r>
          </w:p>
        </w:tc>
        <w:tc>
          <w:tcPr>
            <w:tcW w:w="1006" w:type="dxa"/>
            <w:tcBorders>
              <w:top w:val="single" w:sz="4" w:space="0" w:color="000000"/>
              <w:left w:val="single" w:sz="4" w:space="0" w:color="000000"/>
              <w:bottom w:val="single" w:sz="4" w:space="0" w:color="000000"/>
            </w:tcBorders>
          </w:tcPr>
          <w:p w14:paraId="60319EC0"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900" w:type="dxa"/>
            <w:tcBorders>
              <w:top w:val="single" w:sz="4" w:space="0" w:color="000000"/>
              <w:left w:val="single" w:sz="4" w:space="0" w:color="000000"/>
              <w:bottom w:val="single" w:sz="4" w:space="0" w:color="000000"/>
            </w:tcBorders>
          </w:tcPr>
          <w:p w14:paraId="6AA41B51"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765" w:type="dxa"/>
            <w:tcBorders>
              <w:top w:val="single" w:sz="4" w:space="0" w:color="000000"/>
              <w:left w:val="single" w:sz="4" w:space="0" w:color="000000"/>
              <w:bottom w:val="single" w:sz="4" w:space="0" w:color="000000"/>
            </w:tcBorders>
          </w:tcPr>
          <w:p w14:paraId="34B8DE06"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930" w:type="dxa"/>
            <w:tcBorders>
              <w:top w:val="single" w:sz="4" w:space="0" w:color="000000"/>
              <w:left w:val="single" w:sz="4" w:space="0" w:color="000000"/>
              <w:bottom w:val="single" w:sz="4" w:space="0" w:color="000000"/>
              <w:right w:val="single" w:sz="4" w:space="0" w:color="000000"/>
            </w:tcBorders>
          </w:tcPr>
          <w:p w14:paraId="332A5FBA"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r>
      <w:tr w:rsidR="00634CDF" w14:paraId="40513B10" w14:textId="77777777">
        <w:tc>
          <w:tcPr>
            <w:tcW w:w="1035" w:type="dxa"/>
            <w:tcBorders>
              <w:top w:val="single" w:sz="4" w:space="0" w:color="000000"/>
              <w:left w:val="single" w:sz="4" w:space="0" w:color="000000"/>
              <w:bottom w:val="single" w:sz="4" w:space="0" w:color="000000"/>
            </w:tcBorders>
          </w:tcPr>
          <w:p w14:paraId="571098FC" w14:textId="77777777" w:rsidR="00634CDF" w:rsidRDefault="00634CDF">
            <w:pPr>
              <w:widowControl w:val="0"/>
              <w:pBdr>
                <w:top w:val="none" w:sz="0" w:space="0" w:color="000000"/>
                <w:left w:val="none" w:sz="0" w:space="0" w:color="000000"/>
                <w:bottom w:val="none" w:sz="0" w:space="0" w:color="000000"/>
                <w:right w:val="none" w:sz="0" w:space="0" w:color="000000"/>
                <w:between w:val="nil"/>
              </w:pBdr>
              <w:spacing w:line="276" w:lineRule="auto"/>
              <w:ind w:left="0" w:hanging="2"/>
              <w:rPr>
                <w:rFonts w:ascii="Arial" w:eastAsia="Arial" w:hAnsi="Arial" w:cs="Arial"/>
                <w:color w:val="000000"/>
                <w:sz w:val="16"/>
                <w:szCs w:val="16"/>
                <w:vertAlign w:val="baseline"/>
              </w:rPr>
            </w:pPr>
          </w:p>
        </w:tc>
        <w:tc>
          <w:tcPr>
            <w:tcW w:w="795" w:type="dxa"/>
            <w:tcBorders>
              <w:top w:val="single" w:sz="4" w:space="0" w:color="000000"/>
              <w:left w:val="single" w:sz="4" w:space="0" w:color="000000"/>
              <w:bottom w:val="single" w:sz="4" w:space="0" w:color="000000"/>
            </w:tcBorders>
          </w:tcPr>
          <w:p w14:paraId="32C9D0BE"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1155" w:type="dxa"/>
            <w:tcBorders>
              <w:top w:val="single" w:sz="4" w:space="0" w:color="000000"/>
              <w:left w:val="single" w:sz="4" w:space="0" w:color="000000"/>
              <w:bottom w:val="single" w:sz="4" w:space="0" w:color="000000"/>
            </w:tcBorders>
          </w:tcPr>
          <w:p w14:paraId="0359D0A9"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944" w:type="dxa"/>
            <w:tcBorders>
              <w:top w:val="single" w:sz="4" w:space="0" w:color="000000"/>
              <w:left w:val="single" w:sz="4" w:space="0" w:color="000000"/>
              <w:bottom w:val="single" w:sz="4" w:space="0" w:color="000000"/>
            </w:tcBorders>
          </w:tcPr>
          <w:p w14:paraId="27A68963"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766" w:type="dxa"/>
            <w:tcBorders>
              <w:top w:val="single" w:sz="4" w:space="0" w:color="000000"/>
              <w:left w:val="single" w:sz="4" w:space="0" w:color="000000"/>
              <w:bottom w:val="single" w:sz="4" w:space="0" w:color="000000"/>
            </w:tcBorders>
          </w:tcPr>
          <w:p w14:paraId="3AF151F6"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660" w:type="dxa"/>
            <w:tcBorders>
              <w:top w:val="single" w:sz="4" w:space="0" w:color="000000"/>
              <w:left w:val="single" w:sz="4" w:space="0" w:color="000000"/>
              <w:bottom w:val="single" w:sz="4" w:space="0" w:color="000000"/>
            </w:tcBorders>
          </w:tcPr>
          <w:p w14:paraId="56E230A5"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554" w:type="dxa"/>
            <w:tcBorders>
              <w:top w:val="single" w:sz="4" w:space="0" w:color="000000"/>
              <w:left w:val="single" w:sz="4" w:space="0" w:color="000000"/>
              <w:bottom w:val="single" w:sz="4" w:space="0" w:color="000000"/>
            </w:tcBorders>
          </w:tcPr>
          <w:p w14:paraId="3E710175"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1006" w:type="dxa"/>
            <w:tcBorders>
              <w:top w:val="single" w:sz="4" w:space="0" w:color="000000"/>
              <w:left w:val="single" w:sz="4" w:space="0" w:color="000000"/>
              <w:bottom w:val="single" w:sz="4" w:space="0" w:color="000000"/>
            </w:tcBorders>
          </w:tcPr>
          <w:p w14:paraId="1051C557"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900" w:type="dxa"/>
            <w:tcBorders>
              <w:top w:val="single" w:sz="4" w:space="0" w:color="000000"/>
              <w:left w:val="single" w:sz="4" w:space="0" w:color="000000"/>
              <w:bottom w:val="single" w:sz="4" w:space="0" w:color="000000"/>
            </w:tcBorders>
          </w:tcPr>
          <w:p w14:paraId="2C0C5A4C"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765" w:type="dxa"/>
            <w:tcBorders>
              <w:top w:val="single" w:sz="4" w:space="0" w:color="000000"/>
              <w:left w:val="single" w:sz="4" w:space="0" w:color="000000"/>
              <w:bottom w:val="single" w:sz="4" w:space="0" w:color="000000"/>
            </w:tcBorders>
          </w:tcPr>
          <w:p w14:paraId="70F0D838"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c>
          <w:tcPr>
            <w:tcW w:w="930" w:type="dxa"/>
            <w:tcBorders>
              <w:top w:val="single" w:sz="4" w:space="0" w:color="000000"/>
              <w:left w:val="single" w:sz="4" w:space="0" w:color="000000"/>
              <w:bottom w:val="single" w:sz="4" w:space="0" w:color="000000"/>
              <w:right w:val="single" w:sz="4" w:space="0" w:color="000000"/>
            </w:tcBorders>
          </w:tcPr>
          <w:p w14:paraId="62A3C88A"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6"/>
                <w:szCs w:val="16"/>
                <w:vertAlign w:val="baseline"/>
              </w:rPr>
            </w:pPr>
          </w:p>
        </w:tc>
      </w:tr>
      <w:tr w:rsidR="00634CDF" w14:paraId="2397117A" w14:textId="77777777">
        <w:tc>
          <w:tcPr>
            <w:tcW w:w="9510" w:type="dxa"/>
            <w:gridSpan w:val="11"/>
            <w:tcBorders>
              <w:top w:val="single" w:sz="4" w:space="0" w:color="000000"/>
              <w:left w:val="single" w:sz="4" w:space="0" w:color="000000"/>
              <w:bottom w:val="single" w:sz="4" w:space="0" w:color="000000"/>
              <w:right w:val="single" w:sz="4" w:space="0" w:color="000000"/>
            </w:tcBorders>
            <w:shd w:val="clear" w:color="auto" w:fill="F2F2F2"/>
          </w:tcPr>
          <w:p w14:paraId="0753A1FE" w14:textId="77777777" w:rsidR="00634CDF" w:rsidRDefault="00F0051D">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jc w:val="both"/>
              <w:rPr>
                <w:color w:val="000000"/>
                <w:vertAlign w:val="baseline"/>
              </w:rPr>
            </w:pPr>
            <w:r>
              <w:rPr>
                <w:rFonts w:ascii="Arial" w:eastAsia="Arial" w:hAnsi="Arial" w:cs="Arial"/>
                <w:color w:val="000000"/>
                <w:sz w:val="15"/>
                <w:szCs w:val="15"/>
                <w:vertAlign w:val="baseline"/>
              </w:rPr>
              <w:t>Ref = referencia</w:t>
            </w:r>
          </w:p>
          <w:p w14:paraId="2E7A4433" w14:textId="77777777" w:rsidR="00634CDF" w:rsidRDefault="00F0051D">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jc w:val="both"/>
              <w:rPr>
                <w:color w:val="000000"/>
                <w:vertAlign w:val="baseline"/>
              </w:rPr>
            </w:pPr>
            <w:r>
              <w:rPr>
                <w:rFonts w:ascii="Arial" w:eastAsia="Arial" w:hAnsi="Arial" w:cs="Arial"/>
                <w:color w:val="000000"/>
                <w:sz w:val="15"/>
                <w:szCs w:val="15"/>
                <w:vertAlign w:val="baseline"/>
              </w:rPr>
              <w:t>Los datos de eficacia se extraen del apartado 5.2 del programa MADRE y de la tabla 7.3.0.1, y los de coste incremental o diferencial del apartado 7.1</w:t>
            </w:r>
          </w:p>
        </w:tc>
      </w:tr>
    </w:tbl>
    <w:p w14:paraId="75862A97" w14:textId="77777777" w:rsidR="00634CDF" w:rsidRDefault="00634CD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jc w:val="both"/>
        <w:rPr>
          <w:rFonts w:ascii="Arial" w:eastAsia="Arial" w:hAnsi="Arial" w:cs="Arial"/>
          <w:color w:val="000000"/>
          <w:highlight w:val="cyan"/>
          <w:vertAlign w:val="baseline"/>
        </w:rPr>
      </w:pPr>
    </w:p>
    <w:p w14:paraId="371CE8AE" w14:textId="3B7AA405" w:rsidR="00634CDF" w:rsidRPr="004E4268" w:rsidRDefault="00F0051D">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jc w:val="both"/>
        <w:rPr>
          <w:b/>
          <w:color w:val="000000"/>
          <w:vertAlign w:val="baseline"/>
        </w:rPr>
      </w:pPr>
      <w:r>
        <w:rPr>
          <w:rFonts w:ascii="Arial" w:eastAsia="Arial" w:hAnsi="Arial" w:cs="Arial"/>
          <w:color w:val="000000"/>
          <w:sz w:val="20"/>
          <w:szCs w:val="20"/>
          <w:vertAlign w:val="baseline"/>
        </w:rPr>
        <w:t xml:space="preserve">Según los datos de los estudios ORION 9, 10 y 11 sobre la eficacia de inclisiran asociado a estatina y ezetimiba, o en monoterapia, </w:t>
      </w:r>
      <w:r w:rsidR="00BA340B">
        <w:rPr>
          <w:rFonts w:ascii="Arial" w:eastAsia="Arial" w:hAnsi="Arial" w:cs="Arial"/>
          <w:b/>
          <w:color w:val="000000"/>
          <w:sz w:val="20"/>
          <w:szCs w:val="20"/>
          <w:vertAlign w:val="baseline"/>
        </w:rPr>
        <w:t xml:space="preserve"> </w:t>
      </w:r>
    </w:p>
    <w:p w14:paraId="6B171E92" w14:textId="77777777" w:rsidR="00634CDF" w:rsidRDefault="00634CD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jc w:val="both"/>
        <w:rPr>
          <w:rFonts w:ascii="Arial" w:eastAsia="Arial" w:hAnsi="Arial" w:cs="Arial"/>
          <w:color w:val="000000"/>
          <w:sz w:val="20"/>
          <w:szCs w:val="20"/>
          <w:highlight w:val="yellow"/>
          <w:vertAlign w:val="baseline"/>
        </w:rPr>
      </w:pPr>
    </w:p>
    <w:p w14:paraId="70FCAC31" w14:textId="0739C634" w:rsidR="00634CDF" w:rsidRDefault="00F0051D">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jc w:val="both"/>
        <w:rPr>
          <w:color w:val="000000"/>
          <w:vertAlign w:val="baseline"/>
        </w:rPr>
      </w:pPr>
      <w:r>
        <w:rPr>
          <w:rFonts w:ascii="Arial" w:eastAsia="Arial" w:hAnsi="Arial" w:cs="Arial"/>
          <w:sz w:val="20"/>
          <w:szCs w:val="20"/>
          <w:vertAlign w:val="baseline"/>
        </w:rPr>
        <w:t xml:space="preserve">*resultados obtenidos </w:t>
      </w:r>
      <w:r>
        <w:rPr>
          <w:rFonts w:ascii="Arial" w:eastAsia="Arial" w:hAnsi="Arial" w:cs="Arial"/>
          <w:color w:val="000000"/>
          <w:sz w:val="20"/>
          <w:szCs w:val="20"/>
          <w:vertAlign w:val="baseline"/>
        </w:rPr>
        <w:t>para evitar un evento MACE. No lo vemos claro: En el análisis post hoc de eventos MACE realizado en los estudios ORION 10 y ORION 11 se observa que inclisiran podría reducir la morbimortalidad cardiovascular en comparación con la terapia habitual sola. Sin embargo, agrupando los datos de varios estudios de inclisiran</w:t>
      </w:r>
      <w:r w:rsidR="00244778">
        <w:rPr>
          <w:rFonts w:ascii="Arial" w:eastAsia="Arial" w:hAnsi="Arial" w:cs="Arial"/>
          <w:color w:val="000000"/>
          <w:sz w:val="20"/>
          <w:szCs w:val="20"/>
          <w:vertAlign w:val="baseline"/>
        </w:rPr>
        <w:t xml:space="preserve"> </w:t>
      </w:r>
      <w:r>
        <w:rPr>
          <w:rFonts w:ascii="Arial" w:eastAsia="Arial" w:hAnsi="Arial" w:cs="Arial"/>
          <w:color w:val="000000"/>
          <w:sz w:val="20"/>
          <w:szCs w:val="20"/>
          <w:vertAlign w:val="baseline"/>
        </w:rPr>
        <w:t>no se encontrarían diferencias en eventos en los estudios exploratorios, por lo que no se puede</w:t>
      </w:r>
      <w:r w:rsidR="00244778">
        <w:rPr>
          <w:rFonts w:ascii="Arial" w:eastAsia="Arial" w:hAnsi="Arial" w:cs="Arial"/>
          <w:color w:val="000000"/>
          <w:sz w:val="20"/>
          <w:szCs w:val="20"/>
          <w:vertAlign w:val="baseline"/>
        </w:rPr>
        <w:t xml:space="preserve"> realizar un</w:t>
      </w:r>
      <w:r>
        <w:rPr>
          <w:rFonts w:ascii="Arial" w:eastAsia="Arial" w:hAnsi="Arial" w:cs="Arial"/>
          <w:color w:val="000000"/>
          <w:sz w:val="20"/>
          <w:szCs w:val="20"/>
          <w:vertAlign w:val="baseline"/>
        </w:rPr>
        <w:t xml:space="preserve"> coste eficacia incremental. En cualquier caso, se trata de estudios exploratorios, orientativos, los resultados reales de CEI se conocerán con los resultados de los EECC que evalúan los resultados en eventos CV y que se están realizando (ORION 4).</w:t>
      </w:r>
    </w:p>
    <w:p w14:paraId="2866B609" w14:textId="77777777" w:rsidR="00634CDF" w:rsidRDefault="00634CDF">
      <w:pPr>
        <w:pBdr>
          <w:top w:val="nil"/>
          <w:left w:val="nil"/>
          <w:bottom w:val="nil"/>
          <w:right w:val="nil"/>
          <w:between w:val="nil"/>
        </w:pBdr>
        <w:tabs>
          <w:tab w:val="center" w:pos="4252"/>
          <w:tab w:val="right" w:pos="8504"/>
        </w:tabs>
        <w:spacing w:line="240" w:lineRule="auto"/>
        <w:ind w:left="0" w:hanging="2"/>
        <w:jc w:val="both"/>
        <w:rPr>
          <w:rFonts w:ascii="Arial" w:eastAsia="Arial" w:hAnsi="Arial" w:cs="Arial"/>
          <w:color w:val="000000"/>
          <w:sz w:val="20"/>
          <w:szCs w:val="20"/>
          <w:vertAlign w:val="baseline"/>
        </w:rPr>
      </w:pPr>
    </w:p>
    <w:p w14:paraId="07622FD8"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7.3.3 Coste-utilidad. Estudios propios</w:t>
      </w:r>
    </w:p>
    <w:p w14:paraId="5CD22A43" w14:textId="77777777" w:rsidR="00634CDF" w:rsidRDefault="00634CD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rPr>
          <w:rFonts w:ascii="Arial" w:eastAsia="Arial" w:hAnsi="Arial" w:cs="Arial"/>
          <w:color w:val="000000"/>
          <w:vertAlign w:val="baseline"/>
        </w:rPr>
      </w:pPr>
    </w:p>
    <w:p w14:paraId="05AC4068" w14:textId="77777777" w:rsidR="00634CDF" w:rsidRDefault="00F0051D">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rPr>
          <w:color w:val="000000"/>
          <w:vertAlign w:val="baseline"/>
        </w:rPr>
      </w:pPr>
      <w:r>
        <w:rPr>
          <w:rFonts w:ascii="Arial" w:eastAsia="Arial" w:hAnsi="Arial" w:cs="Arial"/>
          <w:color w:val="000000"/>
          <w:sz w:val="20"/>
          <w:szCs w:val="20"/>
          <w:vertAlign w:val="baseline"/>
        </w:rPr>
        <w:t>Los datos de los estudios publicados hasta el momento no generan confianza para realizar un estudio coste utilidad (ya se ha desarrollado anteriormente).</w:t>
      </w:r>
    </w:p>
    <w:p w14:paraId="3C2F971F" w14:textId="77777777" w:rsidR="00634CDF" w:rsidRDefault="00634CD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jc w:val="both"/>
        <w:rPr>
          <w:rFonts w:ascii="Arial" w:eastAsia="Arial" w:hAnsi="Arial" w:cs="Arial"/>
          <w:color w:val="000000"/>
          <w:vertAlign w:val="baseline"/>
        </w:rPr>
      </w:pPr>
    </w:p>
    <w:p w14:paraId="08C542BA"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7.3.4. Análisis de sensibilidad</w:t>
      </w:r>
    </w:p>
    <w:p w14:paraId="129D9178" w14:textId="77777777" w:rsidR="00634CDF" w:rsidRDefault="00634CD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jc w:val="both"/>
        <w:rPr>
          <w:rFonts w:ascii="Arial" w:eastAsia="Arial" w:hAnsi="Arial" w:cs="Arial"/>
          <w:color w:val="000000"/>
          <w:sz w:val="20"/>
          <w:szCs w:val="20"/>
          <w:vertAlign w:val="baseline"/>
        </w:rPr>
      </w:pPr>
    </w:p>
    <w:p w14:paraId="41E26F67" w14:textId="77777777" w:rsidR="00634CDF" w:rsidRDefault="00F0051D">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jc w:val="both"/>
        <w:rPr>
          <w:rFonts w:ascii="Arial" w:eastAsia="Arial" w:hAnsi="Arial" w:cs="Arial"/>
          <w:color w:val="000000"/>
          <w:vertAlign w:val="baseline"/>
        </w:rPr>
      </w:pPr>
      <w:r>
        <w:rPr>
          <w:rFonts w:ascii="Arial" w:eastAsia="Arial" w:hAnsi="Arial" w:cs="Arial"/>
          <w:sz w:val="20"/>
          <w:szCs w:val="20"/>
          <w:vertAlign w:val="baseline"/>
        </w:rPr>
        <w:t xml:space="preserve">Actualmente no procede. Se podrían realizar análisis sensibilidad cuando se conozca el precio real del fármaco (asumiendo distinta reducción del precio, introduciendo resultados más eficaces en población de mayor riesgo cuando se tengan los resultados del ORION 4. </w:t>
      </w:r>
    </w:p>
    <w:p w14:paraId="26D88ED9"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5CECD8CC" w14:textId="77777777" w:rsidR="00634CDF" w:rsidRDefault="00F0051D">
      <w:p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color w:val="000000"/>
          <w:vertAlign w:val="baseline"/>
        </w:rPr>
      </w:pPr>
      <w:r>
        <w:rPr>
          <w:rFonts w:ascii="Arial" w:eastAsia="Arial" w:hAnsi="Arial" w:cs="Arial"/>
          <w:b/>
          <w:color w:val="000000"/>
          <w:sz w:val="20"/>
          <w:szCs w:val="20"/>
          <w:vertAlign w:val="baseline"/>
        </w:rPr>
        <w:t xml:space="preserve">7.4. </w:t>
      </w:r>
      <w:bookmarkStart w:id="77" w:name="_Hlk97066568"/>
      <w:r>
        <w:rPr>
          <w:rFonts w:ascii="Arial" w:eastAsia="Arial" w:hAnsi="Arial" w:cs="Arial"/>
          <w:b/>
          <w:color w:val="000000"/>
          <w:sz w:val="20"/>
          <w:szCs w:val="20"/>
          <w:vertAlign w:val="baseline"/>
        </w:rPr>
        <w:t>Estimación del impacto presupuestario y de los beneficios esperados en salud</w:t>
      </w:r>
      <w:bookmarkEnd w:id="77"/>
    </w:p>
    <w:p w14:paraId="0545EC45"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6685C498"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34D3D788" w14:textId="77777777" w:rsidR="00634CDF" w:rsidRDefault="00F0051D">
      <w:p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color w:val="000000"/>
          <w:vertAlign w:val="baseline"/>
        </w:rPr>
      </w:pPr>
      <w:r>
        <w:rPr>
          <w:rFonts w:ascii="Arial" w:eastAsia="Arial" w:hAnsi="Arial" w:cs="Arial"/>
          <w:b/>
          <w:color w:val="000000"/>
          <w:sz w:val="20"/>
          <w:szCs w:val="20"/>
          <w:vertAlign w:val="baseline"/>
        </w:rPr>
        <w:t>7.4.1. Estimación de la población diana</w:t>
      </w:r>
    </w:p>
    <w:p w14:paraId="3E004DDB"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2CB78F0B"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vertAlign w:val="baseline"/>
        </w:rPr>
        <w:t>Estimación de la población diana en tratamientos de duración prolongada o con tasa de reemplazo</w:t>
      </w:r>
    </w:p>
    <w:p w14:paraId="18F77396"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681A0C1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Se ha localizado un artículo (4</w:t>
      </w:r>
      <w:r>
        <w:rPr>
          <w:rFonts w:ascii="Arial" w:eastAsia="Arial" w:hAnsi="Arial" w:cs="Arial"/>
          <w:sz w:val="20"/>
          <w:szCs w:val="20"/>
          <w:vertAlign w:val="baseline"/>
        </w:rPr>
        <w:t>3</w:t>
      </w:r>
      <w:r>
        <w:rPr>
          <w:rFonts w:ascii="Arial" w:eastAsia="Arial" w:hAnsi="Arial" w:cs="Arial"/>
          <w:color w:val="000000"/>
          <w:sz w:val="20"/>
          <w:szCs w:val="20"/>
          <w:vertAlign w:val="baseline"/>
        </w:rPr>
        <w:t xml:space="preserve">) </w:t>
      </w:r>
      <w:r>
        <w:rPr>
          <w:rFonts w:ascii="Arial" w:eastAsia="Arial" w:hAnsi="Arial" w:cs="Arial"/>
          <w:sz w:val="20"/>
          <w:szCs w:val="20"/>
          <w:vertAlign w:val="baseline"/>
        </w:rPr>
        <w:t>que realiza una</w:t>
      </w:r>
      <w:r>
        <w:rPr>
          <w:rFonts w:ascii="Arial" w:eastAsia="Arial" w:hAnsi="Arial" w:cs="Arial"/>
          <w:color w:val="000000"/>
          <w:sz w:val="20"/>
          <w:szCs w:val="20"/>
          <w:vertAlign w:val="baseline"/>
        </w:rPr>
        <w:t xml:space="preserve"> estimación del número de pacientes candidatos a recibir iPCSK9 en España según los distintos criterios publicados. Asumimos similar número de pacientes para tratar con inclisiran</w:t>
      </w:r>
    </w:p>
    <w:p w14:paraId="4A4FD7C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w:t>
      </w:r>
    </w:p>
    <w:p w14:paraId="7416CBC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vertAlign w:val="baseline"/>
        </w:rPr>
        <w:t>Metología</w:t>
      </w:r>
    </w:p>
    <w:p w14:paraId="2995931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Es un estudio observacional que usa el sistema de información para el Desarrollo de la Investigación en Atención Primaria (SIDIAP), base de datos clínicos de registros longitudinales anónimos de 6.177.972 pacientes entre 2006 y 2014. El SIDIAP incluye información sobre la actividad clínica de 3.414 médicos de 274 centros de atención primaria del Institut Catala` de la Salut, entidad pública que da cobertura sanitaria al 85% de la población de Cataluña.</w:t>
      </w:r>
    </w:p>
    <w:p w14:paraId="6A390A42" w14:textId="08A3BC16"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rFonts w:ascii="Arial" w:eastAsia="Arial" w:hAnsi="Arial" w:cs="Arial"/>
          <w:color w:val="000000"/>
          <w:sz w:val="20"/>
          <w:szCs w:val="20"/>
          <w:vertAlign w:val="baseline"/>
        </w:rPr>
        <w:lastRenderedPageBreak/>
        <w:t>En el estudio se incluyeron todos los registros del SIDIAP de los individuos de</w:t>
      </w:r>
      <w:r w:rsidR="00D30540">
        <w:rPr>
          <w:rFonts w:ascii="Arial" w:eastAsia="Arial" w:hAnsi="Arial" w:cs="Arial"/>
          <w:color w:val="000000"/>
          <w:sz w:val="20"/>
          <w:szCs w:val="20"/>
          <w:vertAlign w:val="baseline"/>
        </w:rPr>
        <w:t xml:space="preserve"> edad </w:t>
      </w:r>
      <w:r>
        <w:rPr>
          <w:rFonts w:ascii="Arial" w:eastAsia="Arial" w:hAnsi="Arial" w:cs="Arial"/>
          <w:color w:val="000000"/>
          <w:sz w:val="20"/>
          <w:szCs w:val="20"/>
          <w:vertAlign w:val="baseline"/>
        </w:rPr>
        <w:t xml:space="preserve">mayores de 18 años vivos en diciembre de 2014 y con al menos una determinación de </w:t>
      </w:r>
      <w:r>
        <w:rPr>
          <w:rFonts w:ascii="Arial" w:eastAsia="Arial" w:hAnsi="Arial" w:cs="Arial"/>
          <w:sz w:val="20"/>
          <w:szCs w:val="20"/>
          <w:vertAlign w:val="baseline"/>
        </w:rPr>
        <w:t>C-</w:t>
      </w:r>
      <w:r>
        <w:rPr>
          <w:rFonts w:ascii="Arial" w:eastAsia="Arial" w:hAnsi="Arial" w:cs="Arial"/>
          <w:color w:val="000000"/>
          <w:sz w:val="20"/>
          <w:szCs w:val="20"/>
          <w:vertAlign w:val="baseline"/>
        </w:rPr>
        <w:t xml:space="preserve">LDL entre 2006 y 2014. Se excluyó a los pacientes con antecedentes de hipotiroidismo, síndrome nefrótico o triglicéridos basales 400 mg/dl. Se consideró que los participantes recibían terapia hipolipemiante si estaba registrada al menos una retirada de estatina o ezetimiba de la oficina de farmacia en los 6 meses previos a la determinación de </w:t>
      </w:r>
      <w:r>
        <w:rPr>
          <w:rFonts w:ascii="Arial" w:eastAsia="Arial" w:hAnsi="Arial" w:cs="Arial"/>
          <w:sz w:val="20"/>
          <w:szCs w:val="20"/>
          <w:vertAlign w:val="baseline"/>
        </w:rPr>
        <w:t>C-</w:t>
      </w:r>
      <w:r>
        <w:rPr>
          <w:rFonts w:ascii="Arial" w:eastAsia="Arial" w:hAnsi="Arial" w:cs="Arial"/>
          <w:color w:val="000000"/>
          <w:sz w:val="20"/>
          <w:szCs w:val="20"/>
          <w:vertAlign w:val="baseline"/>
        </w:rPr>
        <w:t xml:space="preserve">LDL y no tratado en caso contrario. Se considera tratamiento lipídico optimizado cuando la potencia hipolipemiante fuera </w:t>
      </w:r>
      <w:r>
        <w:rPr>
          <w:rFonts w:ascii="Arial" w:eastAsia="Arial" w:hAnsi="Arial" w:cs="Arial"/>
          <w:sz w:val="20"/>
          <w:szCs w:val="20"/>
          <w:vertAlign w:val="baseline"/>
        </w:rPr>
        <w:t xml:space="preserve">del </w:t>
      </w:r>
      <w:r>
        <w:rPr>
          <w:rFonts w:ascii="Arial" w:eastAsia="Arial" w:hAnsi="Arial" w:cs="Arial"/>
          <w:color w:val="000000"/>
          <w:sz w:val="20"/>
          <w:szCs w:val="20"/>
          <w:vertAlign w:val="baseline"/>
        </w:rPr>
        <w:t xml:space="preserve">50% y la adherencia, &gt; 80%. Se definió fenotipo de HF considerando los puntos de corte de </w:t>
      </w:r>
      <w:r>
        <w:rPr>
          <w:rFonts w:ascii="Arial" w:eastAsia="Arial" w:hAnsi="Arial" w:cs="Arial"/>
          <w:sz w:val="20"/>
          <w:szCs w:val="20"/>
          <w:vertAlign w:val="baseline"/>
        </w:rPr>
        <w:t>C</w:t>
      </w:r>
      <w:r>
        <w:rPr>
          <w:rFonts w:ascii="Arial" w:eastAsia="Arial" w:hAnsi="Arial" w:cs="Arial"/>
          <w:color w:val="000000"/>
          <w:sz w:val="20"/>
          <w:szCs w:val="20"/>
          <w:vertAlign w:val="baseline"/>
        </w:rPr>
        <w:t xml:space="preserve">LDL ajustados por edad definidos previamente en población adulta española:  18-30 años, &gt; 230 mg/dl; 31-39 años, &gt; 238 mg/dl; 40-48 años, &gt; 260 mg/dl, y &gt; 49 años, &gt; 255 mg/dl. El diagnóstico de ECV (enfermedad arterial periférica, enfermedad coronaria e ictus isquémico y la presencia de diabetes mellitus, hipertensión, hipercolesterolemia y tabaquismo) se determinó a partir de la CIE-10 y la CIE-9 en los registros de atención primaria y hospitalaria. Los criterios utilizados para la definición de candidatos a uso de iPCSK9 según los diferentes organismos del SNS (Sistema Nacional de Salud), SEA, SEC, NICE y ESC/EAS Task Force se señalan en la </w:t>
      </w:r>
      <w:r>
        <w:rPr>
          <w:rFonts w:ascii="Arial" w:eastAsia="Arial" w:hAnsi="Arial" w:cs="Arial"/>
          <w:sz w:val="20"/>
          <w:szCs w:val="20"/>
          <w:vertAlign w:val="baseline"/>
        </w:rPr>
        <w:t>Figura</w:t>
      </w:r>
      <w:r>
        <w:rPr>
          <w:rFonts w:ascii="Arial" w:eastAsia="Arial" w:hAnsi="Arial" w:cs="Arial"/>
          <w:color w:val="000000"/>
          <w:sz w:val="20"/>
          <w:szCs w:val="20"/>
          <w:vertAlign w:val="baseline"/>
        </w:rPr>
        <w:t xml:space="preserve"> </w:t>
      </w:r>
      <w:r>
        <w:rPr>
          <w:rFonts w:ascii="Arial" w:eastAsia="Arial" w:hAnsi="Arial" w:cs="Arial"/>
          <w:sz w:val="20"/>
          <w:szCs w:val="20"/>
          <w:vertAlign w:val="baseline"/>
        </w:rPr>
        <w:t>siguiente</w:t>
      </w:r>
      <w:r>
        <w:rPr>
          <w:rFonts w:ascii="Arial" w:eastAsia="Arial" w:hAnsi="Arial" w:cs="Arial"/>
          <w:color w:val="000000"/>
          <w:sz w:val="20"/>
          <w:szCs w:val="20"/>
          <w:vertAlign w:val="baseline"/>
        </w:rPr>
        <w:t>. Actualmente el criterio de financiación del SNS (IPT) y del NICE se mantiene y son los relevantes a considerar. Los criterios de SEA, SEC y ESC han sido modificados y aumenta la población diana que consideran susceptibles de tratamiento con estos fármacos. No es el objetivo de este apartado discutir estos dinteles.</w:t>
      </w:r>
    </w:p>
    <w:p w14:paraId="294B8090" w14:textId="77777777" w:rsidR="00634CDF" w:rsidRDefault="00634CDF">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p>
    <w:p w14:paraId="508FCE15" w14:textId="77777777" w:rsidR="00634CDF" w:rsidRDefault="00F0051D">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r>
        <w:rPr>
          <w:rFonts w:ascii="Arial" w:eastAsia="Arial" w:hAnsi="Arial" w:cs="Arial"/>
          <w:sz w:val="20"/>
          <w:szCs w:val="20"/>
          <w:vertAlign w:val="baseline"/>
        </w:rPr>
        <w:t>Figura 16. Presentación de los criterios de distintos organismos para el uso de iPCSK9</w:t>
      </w:r>
    </w:p>
    <w:p w14:paraId="37E1D731"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6E094B4A"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noProof/>
          <w:color w:val="000000"/>
          <w:vertAlign w:val="baseline"/>
          <w:lang w:eastAsia="es-ES"/>
        </w:rPr>
        <w:drawing>
          <wp:inline distT="0" distB="0" distL="114300" distR="114300" wp14:anchorId="72B7885B" wp14:editId="05F70FFC">
            <wp:extent cx="5552440" cy="3720465"/>
            <wp:effectExtent l="0" t="0" r="0" b="0"/>
            <wp:docPr id="107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5"/>
                    <a:srcRect/>
                    <a:stretch>
                      <a:fillRect/>
                    </a:stretch>
                  </pic:blipFill>
                  <pic:spPr>
                    <a:xfrm>
                      <a:off x="0" y="0"/>
                      <a:ext cx="5552440" cy="3720465"/>
                    </a:xfrm>
                    <a:prstGeom prst="rect">
                      <a:avLst/>
                    </a:prstGeom>
                    <a:ln/>
                  </pic:spPr>
                </pic:pic>
              </a:graphicData>
            </a:graphic>
          </wp:inline>
        </w:drawing>
      </w:r>
    </w:p>
    <w:p w14:paraId="759A4393"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3A1F5B9C"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600A373A"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Se calculó el número de pacientes candidatos a iPCSK9 en el escenario real y en un escenario de tratamiento optimizado aplicando a todos los pacientes la reducción de </w:t>
      </w:r>
      <w:r>
        <w:rPr>
          <w:rFonts w:ascii="Arial" w:eastAsia="Arial" w:hAnsi="Arial" w:cs="Arial"/>
          <w:sz w:val="20"/>
          <w:szCs w:val="20"/>
          <w:vertAlign w:val="baseline"/>
        </w:rPr>
        <w:t>C-</w:t>
      </w:r>
      <w:r>
        <w:rPr>
          <w:rFonts w:ascii="Arial" w:eastAsia="Arial" w:hAnsi="Arial" w:cs="Arial"/>
          <w:color w:val="000000"/>
          <w:sz w:val="20"/>
          <w:szCs w:val="20"/>
          <w:vertAlign w:val="baseline"/>
        </w:rPr>
        <w:t>LDL observada en</w:t>
      </w:r>
      <w:r>
        <w:rPr>
          <w:vertAlign w:val="baseline"/>
        </w:rPr>
        <w:t xml:space="preserve"> </w:t>
      </w:r>
      <w:r>
        <w:rPr>
          <w:rFonts w:ascii="Arial" w:eastAsia="Arial" w:hAnsi="Arial" w:cs="Arial"/>
          <w:color w:val="000000"/>
          <w:sz w:val="20"/>
          <w:szCs w:val="20"/>
          <w:vertAlign w:val="baseline"/>
        </w:rPr>
        <w:t>los optimizados. También se calculó el porcentaje total de pacientes candidatos a iPCSK9 en la población de estudio y en la española en un escenario supuesto en el que se aplica una reducción del 50% de cLDL respecto al valor basal.</w:t>
      </w:r>
    </w:p>
    <w:p w14:paraId="02F597D2"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22CE0E6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La parte que nos interesa es la del cálculo de pacientes candidatos a los fármacos en la población española.</w:t>
      </w:r>
      <w:r>
        <w:rPr>
          <w:vertAlign w:val="baseline"/>
        </w:rPr>
        <w:t xml:space="preserve"> </w:t>
      </w:r>
      <w:r>
        <w:rPr>
          <w:rFonts w:ascii="Arial" w:eastAsia="Arial" w:hAnsi="Arial" w:cs="Arial"/>
          <w:color w:val="000000"/>
          <w:sz w:val="20"/>
          <w:szCs w:val="20"/>
          <w:vertAlign w:val="baseline"/>
        </w:rPr>
        <w:t xml:space="preserve">Para realizar la proyección a escala nacional de los candidatos a iPCSK9, se estimó la prevalencia de ECV a partir de la población diagnosticada/ población asignada en la base del </w:t>
      </w:r>
      <w:r>
        <w:rPr>
          <w:rFonts w:ascii="Arial" w:eastAsia="Arial" w:hAnsi="Arial" w:cs="Arial"/>
          <w:color w:val="000000"/>
          <w:sz w:val="20"/>
          <w:szCs w:val="20"/>
          <w:vertAlign w:val="baseline"/>
        </w:rPr>
        <w:lastRenderedPageBreak/>
        <w:t>SIDIAP(independientemente de que los pacientes tuvieran anal</w:t>
      </w:r>
      <w:r>
        <w:rPr>
          <w:rFonts w:ascii="Arial" w:eastAsia="Arial" w:hAnsi="Arial" w:cs="Arial"/>
          <w:sz w:val="20"/>
          <w:szCs w:val="20"/>
          <w:vertAlign w:val="baseline"/>
        </w:rPr>
        <w:t>ític</w:t>
      </w:r>
      <w:r>
        <w:rPr>
          <w:rFonts w:ascii="Arial" w:eastAsia="Arial" w:hAnsi="Arial" w:cs="Arial"/>
          <w:color w:val="000000"/>
          <w:sz w:val="20"/>
          <w:szCs w:val="20"/>
          <w:vertAlign w:val="baseline"/>
        </w:rPr>
        <w:t>a registrada), y para la prevalencia de HF, se extrapoló la observada en nuestro estudio.</w:t>
      </w:r>
    </w:p>
    <w:p w14:paraId="560B91AF"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14E0D89E"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b/>
          <w:color w:val="000000"/>
          <w:sz w:val="20"/>
          <w:szCs w:val="20"/>
          <w:vertAlign w:val="baseline"/>
        </w:rPr>
        <w:t>Resultados</w:t>
      </w:r>
    </w:p>
    <w:p w14:paraId="10E2EA6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Para la estimación de los pacientes candidatos a tratamiento con iPCSK9 en población española de edad 18 años, la prevalencia de ECV observada en la población asignada en todo el conjunto de datos de SIDIAP era del 6,2%. La prevalencia de HF, del 0,53%. En un escenario de tratamiento optimizado, los criterios del SNS serían los que indicarían más candidatos a tratamiento con iPCSK9, el 1,7% de la población española de 18 o más años. Los criterios del NICE serían los más restrictivos, con el 0,1% (</w:t>
      </w:r>
      <w:r>
        <w:rPr>
          <w:rFonts w:ascii="Arial" w:eastAsia="Arial" w:hAnsi="Arial" w:cs="Arial"/>
          <w:sz w:val="20"/>
          <w:szCs w:val="20"/>
          <w:vertAlign w:val="baseline"/>
        </w:rPr>
        <w:t>Figura 17</w:t>
      </w:r>
      <w:r>
        <w:rPr>
          <w:rFonts w:ascii="Arial" w:eastAsia="Arial" w:hAnsi="Arial" w:cs="Arial"/>
          <w:color w:val="000000"/>
          <w:sz w:val="20"/>
          <w:szCs w:val="20"/>
          <w:vertAlign w:val="baseline"/>
        </w:rPr>
        <w:t>)</w:t>
      </w:r>
    </w:p>
    <w:p w14:paraId="6C477CC8" w14:textId="77777777" w:rsidR="00634CDF" w:rsidRDefault="00634CDF">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p>
    <w:p w14:paraId="0D8AFF2B" w14:textId="77777777" w:rsidR="00634CDF" w:rsidRDefault="00F0051D">
      <w:pPr>
        <w:pBdr>
          <w:top w:val="nil"/>
          <w:left w:val="nil"/>
          <w:bottom w:val="nil"/>
          <w:right w:val="nil"/>
          <w:between w:val="nil"/>
        </w:pBdr>
        <w:spacing w:line="240" w:lineRule="auto"/>
        <w:ind w:left="0" w:hanging="2"/>
        <w:jc w:val="both"/>
        <w:rPr>
          <w:rFonts w:ascii="Arial" w:eastAsia="Arial" w:hAnsi="Arial" w:cs="Arial"/>
          <w:sz w:val="20"/>
          <w:szCs w:val="20"/>
          <w:vertAlign w:val="baseline"/>
        </w:rPr>
      </w:pPr>
      <w:r>
        <w:rPr>
          <w:rFonts w:ascii="Arial" w:eastAsia="Arial" w:hAnsi="Arial" w:cs="Arial"/>
          <w:sz w:val="20"/>
          <w:szCs w:val="20"/>
          <w:vertAlign w:val="baseline"/>
        </w:rPr>
        <w:t>Figura 17. Pacientes candidatos a inhibidores de la PCSK9 en la población española.</w:t>
      </w:r>
    </w:p>
    <w:p w14:paraId="286BC780"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noProof/>
          <w:color w:val="000000"/>
          <w:vertAlign w:val="baseline"/>
          <w:lang w:eastAsia="es-ES"/>
        </w:rPr>
        <w:drawing>
          <wp:inline distT="0" distB="0" distL="114300" distR="114300" wp14:anchorId="722CF303" wp14:editId="4173AA55">
            <wp:extent cx="4057650" cy="3257550"/>
            <wp:effectExtent l="0" t="0" r="0" b="0"/>
            <wp:docPr id="107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6"/>
                    <a:srcRect/>
                    <a:stretch>
                      <a:fillRect/>
                    </a:stretch>
                  </pic:blipFill>
                  <pic:spPr>
                    <a:xfrm>
                      <a:off x="0" y="0"/>
                      <a:ext cx="4057650" cy="3257550"/>
                    </a:xfrm>
                    <a:prstGeom prst="rect">
                      <a:avLst/>
                    </a:prstGeom>
                    <a:ln/>
                  </pic:spPr>
                </pic:pic>
              </a:graphicData>
            </a:graphic>
          </wp:inline>
        </w:drawing>
      </w:r>
    </w:p>
    <w:p w14:paraId="49D139CA" w14:textId="77777777" w:rsidR="00634CDF" w:rsidRDefault="00F0051D">
      <w:pPr>
        <w:ind w:left="0" w:hanging="2"/>
        <w:jc w:val="both"/>
        <w:rPr>
          <w:vertAlign w:val="baseline"/>
        </w:rPr>
      </w:pPr>
      <w:r>
        <w:rPr>
          <w:rFonts w:ascii="Arial" w:eastAsia="Arial" w:hAnsi="Arial" w:cs="Arial"/>
          <w:sz w:val="16"/>
          <w:szCs w:val="16"/>
          <w:highlight w:val="white"/>
          <w:vertAlign w:val="baseline"/>
        </w:rPr>
        <w:t>Se podrian plantear como candidatos:</w:t>
      </w:r>
    </w:p>
    <w:p w14:paraId="7AA2CE60" w14:textId="7A7218E6" w:rsidR="00634CDF" w:rsidRDefault="00F0051D">
      <w:pPr>
        <w:ind w:left="0" w:hanging="2"/>
        <w:jc w:val="both"/>
        <w:rPr>
          <w:vertAlign w:val="baseline"/>
        </w:rPr>
      </w:pPr>
      <w:r>
        <w:rPr>
          <w:rFonts w:ascii="Arial" w:eastAsia="Arial" w:hAnsi="Arial" w:cs="Arial"/>
          <w:sz w:val="16"/>
          <w:szCs w:val="16"/>
          <w:highlight w:val="white"/>
          <w:vertAlign w:val="baseline"/>
        </w:rPr>
        <w:t xml:space="preserve">-Sujetos en tratamiento </w:t>
      </w:r>
      <w:r w:rsidR="00F76F68">
        <w:rPr>
          <w:rFonts w:ascii="Arial" w:eastAsia="Arial" w:hAnsi="Arial" w:cs="Arial"/>
          <w:sz w:val="16"/>
          <w:szCs w:val="16"/>
          <w:highlight w:val="white"/>
          <w:vertAlign w:val="baseline"/>
        </w:rPr>
        <w:t xml:space="preserve">con ezetimibe y/o </w:t>
      </w:r>
      <w:r>
        <w:rPr>
          <w:rFonts w:ascii="Arial" w:eastAsia="Arial" w:hAnsi="Arial" w:cs="Arial"/>
          <w:sz w:val="16"/>
          <w:szCs w:val="16"/>
          <w:highlight w:val="white"/>
          <w:vertAlign w:val="baseline"/>
        </w:rPr>
        <w:t>estatinas a dosis máxima, que no consiguen alcanzar niveles de LDL objetivo.</w:t>
      </w:r>
    </w:p>
    <w:p w14:paraId="52D42A77" w14:textId="32203864" w:rsidR="00634CDF" w:rsidRDefault="00F0051D">
      <w:pPr>
        <w:ind w:left="0" w:hanging="2"/>
        <w:jc w:val="both"/>
        <w:rPr>
          <w:vertAlign w:val="baseline"/>
        </w:rPr>
      </w:pPr>
      <w:r>
        <w:rPr>
          <w:rFonts w:ascii="Arial" w:eastAsia="Arial" w:hAnsi="Arial" w:cs="Arial"/>
          <w:sz w:val="16"/>
          <w:szCs w:val="16"/>
          <w:highlight w:val="white"/>
          <w:vertAlign w:val="baseline"/>
        </w:rPr>
        <w:t>-Sujetos en tratamiento con ezetimibe y</w:t>
      </w:r>
      <w:r w:rsidR="00F76F68">
        <w:rPr>
          <w:rFonts w:ascii="Arial" w:eastAsia="Arial" w:hAnsi="Arial" w:cs="Arial"/>
          <w:sz w:val="16"/>
          <w:szCs w:val="16"/>
          <w:highlight w:val="white"/>
          <w:vertAlign w:val="baseline"/>
        </w:rPr>
        <w:t>/o</w:t>
      </w:r>
      <w:bookmarkStart w:id="78" w:name="_GoBack"/>
      <w:bookmarkEnd w:id="78"/>
      <w:r>
        <w:rPr>
          <w:rFonts w:ascii="Arial" w:eastAsia="Arial" w:hAnsi="Arial" w:cs="Arial"/>
          <w:sz w:val="16"/>
          <w:szCs w:val="16"/>
          <w:highlight w:val="white"/>
          <w:vertAlign w:val="baseline"/>
        </w:rPr>
        <w:t xml:space="preserve"> estatinas, que no toleren dosis altas de estatinas y que no consiguen alcanzar niveles de LDL objetivo.</w:t>
      </w:r>
    </w:p>
    <w:p w14:paraId="306DFF28" w14:textId="77777777" w:rsidR="00634CDF" w:rsidRDefault="00F0051D">
      <w:pPr>
        <w:ind w:left="0" w:hanging="2"/>
        <w:jc w:val="both"/>
        <w:rPr>
          <w:rFonts w:ascii="Arial" w:eastAsia="Arial" w:hAnsi="Arial" w:cs="Arial"/>
          <w:sz w:val="20"/>
          <w:szCs w:val="20"/>
          <w:vertAlign w:val="baseline"/>
        </w:rPr>
      </w:pPr>
      <w:r>
        <w:rPr>
          <w:rFonts w:ascii="Arial" w:eastAsia="Arial" w:hAnsi="Arial" w:cs="Arial"/>
          <w:sz w:val="16"/>
          <w:szCs w:val="16"/>
          <w:highlight w:val="white"/>
          <w:vertAlign w:val="baseline"/>
        </w:rPr>
        <w:t>- Sujetos en monoterapia con ezetimibe por intolerancia a estatinas, que no consiguen alcanzar niveles de LDL objetivo.</w:t>
      </w:r>
    </w:p>
    <w:p w14:paraId="06E278E7" w14:textId="77777777" w:rsidR="00634CDF" w:rsidRDefault="00634CDF">
      <w:pPr>
        <w:pBdr>
          <w:top w:val="nil"/>
          <w:left w:val="nil"/>
          <w:bottom w:val="nil"/>
          <w:right w:val="nil"/>
          <w:between w:val="nil"/>
        </w:pBdr>
        <w:spacing w:line="240" w:lineRule="auto"/>
        <w:ind w:left="0" w:hanging="2"/>
        <w:jc w:val="right"/>
        <w:rPr>
          <w:rFonts w:ascii="Arial" w:eastAsia="Arial" w:hAnsi="Arial" w:cs="Arial"/>
          <w:color w:val="000000"/>
          <w:sz w:val="20"/>
          <w:szCs w:val="20"/>
          <w:vertAlign w:val="baseline"/>
        </w:rPr>
      </w:pPr>
    </w:p>
    <w:p w14:paraId="3944E174" w14:textId="77777777" w:rsidR="00634CDF" w:rsidRDefault="00F0051D">
      <w:p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Arial" w:eastAsia="Arial" w:hAnsi="Arial" w:cs="Arial"/>
          <w:b/>
          <w:color w:val="000000"/>
          <w:sz w:val="20"/>
          <w:szCs w:val="20"/>
          <w:vertAlign w:val="baseline"/>
        </w:rPr>
        <w:t xml:space="preserve">7.4.3.3. Estimación propia de impacto presupuestario y beneficios en salud a nivel autonómico/estatal </w:t>
      </w:r>
    </w:p>
    <w:p w14:paraId="2289E713" w14:textId="77777777" w:rsidR="00634CDF" w:rsidRDefault="00634CDF">
      <w:pPr>
        <w:pBdr>
          <w:top w:val="nil"/>
          <w:left w:val="nil"/>
          <w:bottom w:val="nil"/>
          <w:right w:val="nil"/>
          <w:between w:val="nil"/>
        </w:pBdr>
        <w:spacing w:line="240" w:lineRule="auto"/>
        <w:ind w:left="0" w:hanging="2"/>
        <w:jc w:val="right"/>
        <w:rPr>
          <w:rFonts w:ascii="Arial" w:eastAsia="Arial" w:hAnsi="Arial" w:cs="Arial"/>
          <w:color w:val="000000"/>
          <w:vertAlign w:val="baseline"/>
        </w:rPr>
      </w:pPr>
    </w:p>
    <w:p w14:paraId="1F7285C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sz w:val="20"/>
          <w:szCs w:val="20"/>
          <w:vertAlign w:val="baseline"/>
        </w:rPr>
        <w:t>Desconocemos cuál sería la estrategia para seleccionar la población candidata a inclisiran de novo y si se procedería a realizar intercambio desde alirocumab o evolocumab en el caso de intolerancia (incertidumbre en relación a la evidencia para realizar esta práctica)</w:t>
      </w:r>
    </w:p>
    <w:p w14:paraId="07827D15" w14:textId="77777777" w:rsidR="00634CDF" w:rsidRDefault="00634CD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rPr>
          <w:rFonts w:ascii="Arial" w:eastAsia="Arial" w:hAnsi="Arial" w:cs="Arial"/>
          <w:color w:val="000000"/>
          <w:vertAlign w:val="baseline"/>
        </w:rPr>
      </w:pPr>
    </w:p>
    <w:p w14:paraId="3405500B" w14:textId="77777777" w:rsidR="00634CDF" w:rsidRDefault="00F0051D">
      <w:p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rPr>
          <w:color w:val="000000"/>
          <w:vertAlign w:val="baseline"/>
        </w:rPr>
      </w:pPr>
      <w:r>
        <w:rPr>
          <w:rFonts w:ascii="Arial" w:eastAsia="Arial" w:hAnsi="Arial" w:cs="Arial"/>
          <w:b/>
          <w:color w:val="000000"/>
          <w:sz w:val="20"/>
          <w:szCs w:val="20"/>
          <w:vertAlign w:val="baseline"/>
        </w:rPr>
        <w:t>7.5. Propuesta de posicionamiento</w:t>
      </w:r>
    </w:p>
    <w:p w14:paraId="4ADC7F6D" w14:textId="77777777" w:rsidR="00634CDF" w:rsidRDefault="00634CD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jc w:val="both"/>
        <w:rPr>
          <w:rFonts w:ascii="Arial" w:eastAsia="Arial" w:hAnsi="Arial" w:cs="Arial"/>
          <w:color w:val="000000"/>
          <w:sz w:val="20"/>
          <w:szCs w:val="20"/>
          <w:vertAlign w:val="baseline"/>
        </w:rPr>
      </w:pPr>
    </w:p>
    <w:p w14:paraId="081152BD" w14:textId="77777777" w:rsidR="00634CDF" w:rsidRDefault="00634CD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jc w:val="both"/>
        <w:rPr>
          <w:color w:val="000000"/>
          <w:vertAlign w:val="baseline"/>
        </w:rPr>
      </w:pPr>
    </w:p>
    <w:p w14:paraId="1B9FE3D8" w14:textId="77777777" w:rsidR="00634CDF" w:rsidRDefault="00634CD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rPr>
          <w:rFonts w:ascii="Arial" w:eastAsia="Arial" w:hAnsi="Arial" w:cs="Arial"/>
          <w:color w:val="000000"/>
          <w:sz w:val="20"/>
          <w:szCs w:val="20"/>
          <w:vertAlign w:val="baseline"/>
        </w:rPr>
      </w:pPr>
    </w:p>
    <w:p w14:paraId="5FF49E5F" w14:textId="77777777" w:rsidR="00634CDF" w:rsidRDefault="00F0051D">
      <w:p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Arial" w:eastAsia="Arial" w:hAnsi="Arial" w:cs="Arial"/>
          <w:b/>
          <w:sz w:val="20"/>
          <w:szCs w:val="20"/>
          <w:vertAlign w:val="baseline"/>
        </w:rPr>
        <w:t>7.</w:t>
      </w:r>
      <w:r>
        <w:rPr>
          <w:rFonts w:ascii="Arial" w:eastAsia="Arial" w:hAnsi="Arial" w:cs="Arial"/>
          <w:b/>
          <w:color w:val="000000"/>
          <w:sz w:val="20"/>
          <w:szCs w:val="20"/>
          <w:vertAlign w:val="baseline"/>
        </w:rPr>
        <w:t>5.1 Criterios de precio y financiación: Medicamento que presenta un valor terapéutico añadido respecto a la terapia de referencia.</w:t>
      </w:r>
    </w:p>
    <w:p w14:paraId="466C9899" w14:textId="77777777" w:rsidR="00634CDF" w:rsidRDefault="00F0051D">
      <w:pPr>
        <w:keepNext/>
        <w:spacing w:before="240" w:after="240"/>
        <w:ind w:left="0" w:hanging="2"/>
        <w:jc w:val="both"/>
        <w:rPr>
          <w:rFonts w:ascii="Arial" w:eastAsia="Arial" w:hAnsi="Arial" w:cs="Arial"/>
          <w:sz w:val="20"/>
          <w:szCs w:val="20"/>
          <w:vertAlign w:val="baseline"/>
        </w:rPr>
      </w:pPr>
      <w:r>
        <w:rPr>
          <w:rFonts w:ascii="Arial" w:eastAsia="Arial" w:hAnsi="Arial" w:cs="Arial"/>
          <w:sz w:val="20"/>
          <w:szCs w:val="20"/>
          <w:vertAlign w:val="baseline"/>
        </w:rPr>
        <w:t xml:space="preserve">En los ensayos pivotales disponibles la comparación se ha realizado con placebo. En ningún caso se ha realizado la comparación con la terapia estándar actual para estas situaciones clínicas: </w:t>
      </w:r>
      <w:r>
        <w:rPr>
          <w:rFonts w:ascii="Arial" w:eastAsia="Arial" w:hAnsi="Arial" w:cs="Arial"/>
          <w:sz w:val="20"/>
          <w:szCs w:val="20"/>
          <w:vertAlign w:val="baseline"/>
        </w:rPr>
        <w:lastRenderedPageBreak/>
        <w:t>alirocumab y evolocumab. Por lo que la falta de comparador hace que este hecho sea relevante y le reste validez externa a los resultados.</w:t>
      </w:r>
    </w:p>
    <w:p w14:paraId="4F27099C" w14:textId="77777777" w:rsidR="00634CDF" w:rsidRDefault="00F0051D">
      <w:pPr>
        <w:keepNext/>
        <w:spacing w:before="240" w:after="240"/>
        <w:ind w:left="0" w:hanging="2"/>
        <w:jc w:val="both"/>
        <w:rPr>
          <w:rFonts w:ascii="Arial" w:eastAsia="Arial" w:hAnsi="Arial" w:cs="Arial"/>
          <w:color w:val="000000"/>
          <w:sz w:val="20"/>
          <w:szCs w:val="20"/>
          <w:vertAlign w:val="baseline"/>
        </w:rPr>
      </w:pPr>
      <w:r>
        <w:rPr>
          <w:rFonts w:ascii="Arial" w:eastAsia="Arial" w:hAnsi="Arial" w:cs="Arial"/>
          <w:sz w:val="20"/>
          <w:szCs w:val="20"/>
          <w:vertAlign w:val="baseline"/>
        </w:rPr>
        <w:t xml:space="preserve">No existen estudios directos que demuestren que inclisiran presente un valor terapéutico añadido respecto a alirocumab y evolocumab. </w:t>
      </w:r>
    </w:p>
    <w:p w14:paraId="27A89252" w14:textId="77777777" w:rsidR="00634CDF" w:rsidRDefault="00F0051D">
      <w:p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Arial" w:eastAsia="Arial" w:hAnsi="Arial" w:cs="Arial"/>
          <w:b/>
          <w:color w:val="000000"/>
          <w:sz w:val="20"/>
          <w:szCs w:val="20"/>
          <w:vertAlign w:val="baseline"/>
        </w:rPr>
        <w:t xml:space="preserve">7.5.2 Criterios de precio y financiación: Medicamento que presenta un valor terapéutico equivalente a la terapia de referencia. </w:t>
      </w:r>
    </w:p>
    <w:p w14:paraId="090215CE" w14:textId="77777777" w:rsidR="00634CDF" w:rsidRDefault="00F0051D">
      <w:pPr>
        <w:spacing w:before="240" w:after="240"/>
        <w:ind w:left="0" w:hanging="2"/>
        <w:jc w:val="both"/>
        <w:rPr>
          <w:rFonts w:ascii="Arial" w:eastAsia="Arial" w:hAnsi="Arial" w:cs="Arial"/>
          <w:sz w:val="20"/>
          <w:szCs w:val="20"/>
          <w:vertAlign w:val="baseline"/>
        </w:rPr>
      </w:pPr>
      <w:r>
        <w:rPr>
          <w:rFonts w:ascii="Arial" w:eastAsia="Arial" w:hAnsi="Arial" w:cs="Arial"/>
          <w:sz w:val="20"/>
          <w:szCs w:val="20"/>
          <w:vertAlign w:val="baseline"/>
        </w:rPr>
        <w:t xml:space="preserve">Actualmente no se dispone de precio para inclisiran en España. Para el cálculo de los costes se ha considerado la misma asunción empleada en un informe económico australiano (32) y en otro americano (33). </w:t>
      </w:r>
    </w:p>
    <w:p w14:paraId="300B3449" w14:textId="0C47EC86" w:rsidR="00634CDF" w:rsidRDefault="00F0051D">
      <w:pPr>
        <w:ind w:left="0" w:hanging="2"/>
        <w:jc w:val="both"/>
        <w:rPr>
          <w:rFonts w:ascii="Arial" w:eastAsia="Arial" w:hAnsi="Arial" w:cs="Arial"/>
          <w:sz w:val="20"/>
          <w:szCs w:val="20"/>
          <w:vertAlign w:val="baseline"/>
        </w:rPr>
      </w:pPr>
      <w:r>
        <w:rPr>
          <w:rFonts w:ascii="Arial" w:eastAsia="Arial" w:hAnsi="Arial" w:cs="Arial"/>
          <w:sz w:val="20"/>
          <w:szCs w:val="20"/>
          <w:vertAlign w:val="baseline"/>
        </w:rPr>
        <w:t xml:space="preserve">No se ha identificado evidencia de comparaciones directas entre inhibidores PCSK9 u otros fármacos que se adicionan al tratamiento como ezetimiba. La compañía que comercializa inclisiran proporcionó una comparación indirecta en la que sugería que inclisiran no tiene diferencias en eficacia, reducción de C-LDL comparado con alirocumab o evolocumab. Hay incertidumbre en los resultados de la comparación indirecta debido a la heterogeneidad inherente entre </w:t>
      </w:r>
      <w:r w:rsidR="00D30540">
        <w:rPr>
          <w:rFonts w:ascii="Arial" w:eastAsia="Arial" w:hAnsi="Arial" w:cs="Arial"/>
          <w:sz w:val="20"/>
          <w:szCs w:val="20"/>
          <w:vertAlign w:val="baseline"/>
        </w:rPr>
        <w:t>los estudios</w:t>
      </w:r>
      <w:r>
        <w:rPr>
          <w:rFonts w:ascii="Arial" w:eastAsia="Arial" w:hAnsi="Arial" w:cs="Arial"/>
          <w:sz w:val="20"/>
          <w:szCs w:val="20"/>
          <w:vertAlign w:val="baseline"/>
        </w:rPr>
        <w:t xml:space="preserve"> incluidos en los metanálisis. </w:t>
      </w:r>
      <w:r w:rsidR="00D30540">
        <w:rPr>
          <w:rFonts w:ascii="Arial" w:eastAsia="Arial" w:hAnsi="Arial" w:cs="Arial"/>
          <w:sz w:val="20"/>
          <w:szCs w:val="20"/>
          <w:vertAlign w:val="baseline"/>
        </w:rPr>
        <w:t>Además,</w:t>
      </w:r>
      <w:r>
        <w:rPr>
          <w:rFonts w:ascii="Arial" w:eastAsia="Arial" w:hAnsi="Arial" w:cs="Arial"/>
          <w:sz w:val="20"/>
          <w:szCs w:val="20"/>
          <w:vertAlign w:val="baseline"/>
        </w:rPr>
        <w:t xml:space="preserve"> se emplearon variables obtenidas a las 24 semanas, duración relativamente corta para una patología crónica como hipercolesterolemia.</w:t>
      </w:r>
    </w:p>
    <w:p w14:paraId="38E1B40E" w14:textId="77777777" w:rsidR="00634CDF" w:rsidRDefault="00F0051D">
      <w:pPr>
        <w:spacing w:before="240" w:after="240"/>
        <w:ind w:left="0" w:hanging="2"/>
        <w:jc w:val="both"/>
        <w:rPr>
          <w:rFonts w:ascii="Arial" w:eastAsia="Arial" w:hAnsi="Arial" w:cs="Arial"/>
          <w:color w:val="000000"/>
          <w:sz w:val="20"/>
          <w:szCs w:val="20"/>
          <w:vertAlign w:val="baseline"/>
        </w:rPr>
      </w:pPr>
      <w:r>
        <w:rPr>
          <w:rFonts w:ascii="Arial" w:eastAsia="Arial" w:hAnsi="Arial" w:cs="Arial"/>
          <w:sz w:val="20"/>
          <w:szCs w:val="20"/>
          <w:vertAlign w:val="baseline"/>
        </w:rPr>
        <w:t>Si consideramos el precio anual de alirocumab o evolocumab, el precio de inclisirán anual debería ser igual o menor al de los tratamientos disponibles. En concreto al no haber demostrado disminución en ningún evento MACE, el precio anual de inclisiran debería ser menor que el de los tratamientos disponibles.</w:t>
      </w:r>
    </w:p>
    <w:p w14:paraId="45C54744" w14:textId="77777777" w:rsidR="00634CDF" w:rsidRDefault="00F0051D">
      <w:pPr>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Arial" w:eastAsia="Arial" w:hAnsi="Arial" w:cs="Arial"/>
          <w:b/>
          <w:color w:val="000000"/>
          <w:sz w:val="20"/>
          <w:szCs w:val="20"/>
          <w:vertAlign w:val="baseline"/>
        </w:rPr>
        <w:t>7.5.3 Criterios de precio y financiación: Medicamento que presenta un valor terapéutico menor que la terapia de referencia.</w:t>
      </w:r>
    </w:p>
    <w:p w14:paraId="3C4BCECD"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highlight w:val="yellow"/>
          <w:vertAlign w:val="baseline"/>
        </w:rPr>
      </w:pPr>
    </w:p>
    <w:p w14:paraId="434952CF" w14:textId="77777777" w:rsidR="00634CDF" w:rsidRDefault="00F0051D">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r>
        <w:rPr>
          <w:rFonts w:ascii="Arial" w:eastAsia="Arial" w:hAnsi="Arial" w:cs="Arial"/>
          <w:sz w:val="20"/>
          <w:szCs w:val="20"/>
          <w:vertAlign w:val="baseline"/>
        </w:rPr>
        <w:t>No procede</w:t>
      </w:r>
    </w:p>
    <w:p w14:paraId="6EFA9BD9" w14:textId="77777777" w:rsidR="00634CDF" w:rsidRDefault="00634CDF">
      <w:pPr>
        <w:pBdr>
          <w:top w:val="nil"/>
          <w:left w:val="nil"/>
          <w:bottom w:val="nil"/>
          <w:right w:val="nil"/>
          <w:between w:val="nil"/>
        </w:pBdr>
        <w:spacing w:line="240" w:lineRule="auto"/>
        <w:ind w:left="0" w:hanging="2"/>
        <w:rPr>
          <w:rFonts w:ascii="Arial" w:eastAsia="Arial" w:hAnsi="Arial" w:cs="Arial"/>
          <w:color w:val="000080"/>
          <w:sz w:val="20"/>
          <w:szCs w:val="20"/>
          <w:vertAlign w:val="baseline"/>
        </w:rPr>
      </w:pPr>
    </w:p>
    <w:tbl>
      <w:tblPr>
        <w:tblStyle w:val="aff5"/>
        <w:tblW w:w="8879" w:type="dxa"/>
        <w:tblInd w:w="-5" w:type="dxa"/>
        <w:tblLayout w:type="fixed"/>
        <w:tblLook w:val="0000" w:firstRow="0" w:lastRow="0" w:firstColumn="0" w:lastColumn="0" w:noHBand="0" w:noVBand="0"/>
      </w:tblPr>
      <w:tblGrid>
        <w:gridCol w:w="8879"/>
      </w:tblGrid>
      <w:tr w:rsidR="00634CDF" w14:paraId="077CDB1F" w14:textId="77777777">
        <w:trPr>
          <w:trHeight w:val="228"/>
        </w:trPr>
        <w:tc>
          <w:tcPr>
            <w:tcW w:w="8879" w:type="dxa"/>
            <w:tcBorders>
              <w:top w:val="single" w:sz="4" w:space="0" w:color="000000"/>
              <w:left w:val="single" w:sz="4" w:space="0" w:color="000000"/>
              <w:bottom w:val="single" w:sz="4" w:space="0" w:color="000000"/>
              <w:right w:val="single" w:sz="4" w:space="0" w:color="000000"/>
            </w:tcBorders>
            <w:shd w:val="clear" w:color="auto" w:fill="B3B3B3"/>
          </w:tcPr>
          <w:p w14:paraId="1F39CD11" w14:textId="77777777" w:rsidR="00634CDF" w:rsidRDefault="00F0051D">
            <w:pPr>
              <w:keepNext/>
              <w:pBdr>
                <w:top w:val="none" w:sz="0" w:space="0" w:color="000000"/>
                <w:left w:val="none" w:sz="0" w:space="0" w:color="000000"/>
                <w:bottom w:val="none" w:sz="0" w:space="0" w:color="000000"/>
                <w:right w:val="none" w:sz="0" w:space="0" w:color="000000"/>
                <w:between w:val="nil"/>
              </w:pBdr>
              <w:shd w:val="clear" w:color="auto" w:fill="A6A6A6"/>
              <w:spacing w:line="240" w:lineRule="auto"/>
              <w:ind w:left="0" w:hanging="2"/>
              <w:rPr>
                <w:color w:val="000000"/>
                <w:vertAlign w:val="baseline"/>
              </w:rPr>
            </w:pPr>
            <w:r>
              <w:rPr>
                <w:rFonts w:ascii="Arial" w:eastAsia="Arial" w:hAnsi="Arial" w:cs="Arial"/>
                <w:b/>
                <w:color w:val="000000"/>
                <w:sz w:val="20"/>
                <w:szCs w:val="20"/>
                <w:vertAlign w:val="baseline"/>
              </w:rPr>
              <w:t xml:space="preserve">8. EVALUACIÓN DE LA CONVENIENCIA. </w:t>
            </w:r>
          </w:p>
        </w:tc>
      </w:tr>
    </w:tbl>
    <w:p w14:paraId="5BEEF4D9"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bookmarkStart w:id="79" w:name="_heading=h.37m2jsg" w:colFirst="0" w:colLast="0"/>
      <w:bookmarkEnd w:id="79"/>
    </w:p>
    <w:p w14:paraId="793418B2"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80"/>
          <w:sz w:val="20"/>
          <w:szCs w:val="20"/>
          <w:vertAlign w:val="baseline"/>
        </w:rPr>
      </w:pPr>
    </w:p>
    <w:p w14:paraId="5EA46C22"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bookmarkStart w:id="80" w:name="_heading=h.1mrcu09" w:colFirst="0" w:colLast="0"/>
      <w:bookmarkEnd w:id="80"/>
      <w:r>
        <w:rPr>
          <w:rFonts w:ascii="Cambria" w:eastAsia="Cambria" w:hAnsi="Cambria" w:cs="Cambria"/>
          <w:b/>
          <w:i/>
          <w:color w:val="000000"/>
          <w:sz w:val="20"/>
          <w:szCs w:val="20"/>
          <w:vertAlign w:val="baseline"/>
        </w:rPr>
        <w:t>8.1 Descripción de la conveniencia</w:t>
      </w:r>
    </w:p>
    <w:p w14:paraId="64D53DC6" w14:textId="77777777" w:rsidR="00634CDF" w:rsidRDefault="00634CDF">
      <w:pPr>
        <w:pBdr>
          <w:top w:val="nil"/>
          <w:left w:val="nil"/>
          <w:bottom w:val="nil"/>
          <w:right w:val="nil"/>
          <w:between w:val="nil"/>
        </w:pBdr>
        <w:shd w:val="clear" w:color="auto" w:fill="FFFFFF"/>
        <w:spacing w:line="240" w:lineRule="auto"/>
        <w:ind w:left="0" w:hanging="2"/>
        <w:jc w:val="both"/>
        <w:rPr>
          <w:rFonts w:ascii="Arial" w:eastAsia="Arial" w:hAnsi="Arial" w:cs="Arial"/>
          <w:color w:val="000080"/>
          <w:sz w:val="20"/>
          <w:szCs w:val="20"/>
          <w:vertAlign w:val="baseline"/>
        </w:rPr>
      </w:pPr>
    </w:p>
    <w:p w14:paraId="63AFC492" w14:textId="77777777" w:rsidR="00634CDF" w:rsidRDefault="00F0051D">
      <w:pPr>
        <w:pBdr>
          <w:top w:val="nil"/>
          <w:left w:val="nil"/>
          <w:bottom w:val="nil"/>
          <w:right w:val="nil"/>
          <w:between w:val="nil"/>
        </w:pBdr>
        <w:shd w:val="clear" w:color="auto" w:fill="FFFFFF"/>
        <w:spacing w:line="240" w:lineRule="auto"/>
        <w:ind w:left="0" w:hanging="2"/>
        <w:jc w:val="both"/>
        <w:rPr>
          <w:rFonts w:ascii="Arial" w:eastAsia="Arial" w:hAnsi="Arial" w:cs="Arial"/>
          <w:color w:val="0E0E0E"/>
          <w:sz w:val="20"/>
          <w:szCs w:val="20"/>
          <w:vertAlign w:val="baseline"/>
        </w:rPr>
      </w:pPr>
      <w:r>
        <w:rPr>
          <w:rFonts w:ascii="Arial" w:eastAsia="Arial" w:hAnsi="Arial" w:cs="Arial"/>
          <w:color w:val="0E0E0E"/>
          <w:sz w:val="20"/>
          <w:szCs w:val="20"/>
          <w:vertAlign w:val="baseline"/>
        </w:rPr>
        <w:t>Inclisiran se administra de forma subcutánea, al inicio, a los 3 meses y posteriormente cada 6 meses. En ficha técnica queda recogido que ha de ser administrado por un profesional sanitario. No requiere ninguna temperatura de conservación especial.</w:t>
      </w:r>
    </w:p>
    <w:p w14:paraId="6915079A" w14:textId="77777777" w:rsidR="00634CDF" w:rsidRDefault="00F0051D">
      <w:pPr>
        <w:pBdr>
          <w:top w:val="nil"/>
          <w:left w:val="nil"/>
          <w:bottom w:val="nil"/>
          <w:right w:val="nil"/>
          <w:between w:val="nil"/>
        </w:pBdr>
        <w:shd w:val="clear" w:color="auto" w:fill="FFFFFF"/>
        <w:spacing w:line="240" w:lineRule="auto"/>
        <w:ind w:left="0" w:hanging="2"/>
        <w:jc w:val="both"/>
        <w:rPr>
          <w:rFonts w:ascii="Arial" w:eastAsia="Arial" w:hAnsi="Arial" w:cs="Arial"/>
          <w:color w:val="0E0E0E"/>
          <w:sz w:val="20"/>
          <w:szCs w:val="20"/>
          <w:vertAlign w:val="baseline"/>
        </w:rPr>
      </w:pPr>
      <w:r>
        <w:rPr>
          <w:rFonts w:ascii="Arial" w:eastAsia="Arial" w:hAnsi="Arial" w:cs="Arial"/>
          <w:color w:val="0E0E0E"/>
          <w:sz w:val="20"/>
          <w:szCs w:val="20"/>
          <w:vertAlign w:val="baseline"/>
        </w:rPr>
        <w:t>Alirocumab y evolocumab se administran habitualmente cada 2 semanas. Pueden administrarse cada cuatro semanas. Han de conservarse entre 2 y 8 grados C. No se recoge ninguna indicación especial sobre el personal que lo ha de administrar.</w:t>
      </w:r>
    </w:p>
    <w:p w14:paraId="66D194BB" w14:textId="77777777" w:rsidR="00634CDF" w:rsidRDefault="00634CDF">
      <w:pPr>
        <w:pBdr>
          <w:top w:val="nil"/>
          <w:left w:val="nil"/>
          <w:bottom w:val="nil"/>
          <w:right w:val="nil"/>
          <w:between w:val="nil"/>
        </w:pBdr>
        <w:spacing w:line="240" w:lineRule="auto"/>
        <w:ind w:left="0" w:hanging="2"/>
        <w:rPr>
          <w:rFonts w:ascii="Arial" w:eastAsia="Arial" w:hAnsi="Arial" w:cs="Arial"/>
          <w:color w:val="000080"/>
          <w:sz w:val="20"/>
          <w:szCs w:val="20"/>
          <w:vertAlign w:val="baseline"/>
        </w:rPr>
      </w:pPr>
    </w:p>
    <w:p w14:paraId="1143B875"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bookmarkStart w:id="81" w:name="_heading=h.46r0co2" w:colFirst="0" w:colLast="0"/>
      <w:bookmarkEnd w:id="81"/>
      <w:r>
        <w:rPr>
          <w:rFonts w:ascii="Cambria" w:eastAsia="Cambria" w:hAnsi="Cambria" w:cs="Cambria"/>
          <w:b/>
          <w:i/>
          <w:color w:val="000000"/>
          <w:sz w:val="20"/>
          <w:szCs w:val="20"/>
          <w:vertAlign w:val="baseline"/>
        </w:rPr>
        <w:t>8.2 Influencia de la conveniencia en la efectividad del tratamiento</w:t>
      </w:r>
    </w:p>
    <w:p w14:paraId="6E0810E8" w14:textId="77777777" w:rsidR="00634CDF" w:rsidRDefault="00634CDF">
      <w:pPr>
        <w:pBdr>
          <w:top w:val="nil"/>
          <w:left w:val="nil"/>
          <w:bottom w:val="nil"/>
          <w:right w:val="nil"/>
          <w:between w:val="nil"/>
        </w:pBdr>
        <w:shd w:val="clear" w:color="auto" w:fill="FFFFFF"/>
        <w:spacing w:line="240" w:lineRule="auto"/>
        <w:ind w:left="0" w:hanging="2"/>
        <w:jc w:val="both"/>
        <w:rPr>
          <w:rFonts w:ascii="Arial" w:eastAsia="Arial" w:hAnsi="Arial" w:cs="Arial"/>
          <w:color w:val="000080"/>
          <w:sz w:val="20"/>
          <w:szCs w:val="20"/>
          <w:vertAlign w:val="baseline"/>
        </w:rPr>
      </w:pPr>
    </w:p>
    <w:p w14:paraId="467D7B28" w14:textId="77777777" w:rsidR="00634CDF" w:rsidRDefault="00634CDF">
      <w:pPr>
        <w:pBdr>
          <w:top w:val="nil"/>
          <w:left w:val="nil"/>
          <w:bottom w:val="nil"/>
          <w:right w:val="nil"/>
          <w:between w:val="nil"/>
        </w:pBdr>
        <w:spacing w:line="240" w:lineRule="auto"/>
        <w:ind w:left="0" w:hanging="2"/>
        <w:rPr>
          <w:rFonts w:ascii="Arial" w:eastAsia="Arial" w:hAnsi="Arial" w:cs="Arial"/>
          <w:color w:val="FF0000"/>
          <w:sz w:val="20"/>
          <w:szCs w:val="20"/>
          <w:vertAlign w:val="baseline"/>
        </w:rPr>
      </w:pPr>
    </w:p>
    <w:tbl>
      <w:tblPr>
        <w:tblStyle w:val="aff6"/>
        <w:tblW w:w="8910" w:type="dxa"/>
        <w:tblInd w:w="-5" w:type="dxa"/>
        <w:tblLayout w:type="fixed"/>
        <w:tblLook w:val="0000" w:firstRow="0" w:lastRow="0" w:firstColumn="0" w:lastColumn="0" w:noHBand="0" w:noVBand="0"/>
      </w:tblPr>
      <w:tblGrid>
        <w:gridCol w:w="8910"/>
      </w:tblGrid>
      <w:tr w:rsidR="00634CDF" w14:paraId="009CBF10" w14:textId="77777777">
        <w:tc>
          <w:tcPr>
            <w:tcW w:w="8910" w:type="dxa"/>
            <w:tcBorders>
              <w:top w:val="single" w:sz="4" w:space="0" w:color="000000"/>
              <w:left w:val="single" w:sz="4" w:space="0" w:color="000000"/>
              <w:bottom w:val="single" w:sz="4" w:space="0" w:color="000000"/>
              <w:right w:val="single" w:sz="4" w:space="0" w:color="000000"/>
            </w:tcBorders>
            <w:shd w:val="clear" w:color="auto" w:fill="B3B3B3"/>
          </w:tcPr>
          <w:p w14:paraId="56EA9681" w14:textId="77777777" w:rsidR="00634CDF" w:rsidRDefault="00F0051D">
            <w:pPr>
              <w:keepNext/>
              <w:pBdr>
                <w:top w:val="none" w:sz="0" w:space="0" w:color="000000"/>
                <w:left w:val="none" w:sz="0" w:space="0" w:color="000000"/>
                <w:bottom w:val="none" w:sz="0" w:space="0" w:color="000000"/>
                <w:right w:val="none" w:sz="0" w:space="0" w:color="000000"/>
                <w:between w:val="nil"/>
              </w:pBdr>
              <w:shd w:val="clear" w:color="auto" w:fill="A6A6A6"/>
              <w:spacing w:line="240" w:lineRule="auto"/>
              <w:ind w:left="0" w:hanging="2"/>
              <w:rPr>
                <w:color w:val="000000"/>
                <w:vertAlign w:val="baseline"/>
              </w:rPr>
            </w:pPr>
            <w:r>
              <w:rPr>
                <w:rFonts w:ascii="Arial" w:eastAsia="Arial" w:hAnsi="Arial" w:cs="Arial"/>
                <w:b/>
                <w:color w:val="000000"/>
                <w:sz w:val="20"/>
                <w:szCs w:val="20"/>
                <w:vertAlign w:val="baseline"/>
              </w:rPr>
              <w:t>9. AREA DE CONCLUSIONES.</w:t>
            </w:r>
          </w:p>
        </w:tc>
      </w:tr>
    </w:tbl>
    <w:p w14:paraId="185A8761" w14:textId="77777777" w:rsidR="00634CDF" w:rsidRDefault="00634CD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rPr>
          <w:rFonts w:ascii="Arial" w:eastAsia="Arial" w:hAnsi="Arial" w:cs="Arial"/>
          <w:color w:val="000000"/>
          <w:vertAlign w:val="baseline"/>
        </w:rPr>
      </w:pPr>
      <w:bookmarkStart w:id="82" w:name="_heading=h.2lwamvv" w:colFirst="0" w:colLast="0"/>
      <w:bookmarkEnd w:id="82"/>
    </w:p>
    <w:p w14:paraId="6408616A"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9.1 Resumen de los aspectos más significativos respecto a la alternativa y propuestas</w:t>
      </w:r>
    </w:p>
    <w:p w14:paraId="308E084C"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53E1133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20"/>
          <w:szCs w:val="20"/>
          <w:vertAlign w:val="baseline"/>
        </w:rPr>
        <w:t>A) Aspectos clínico-terapéuticos</w:t>
      </w:r>
    </w:p>
    <w:p w14:paraId="7CABFDDF"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6D3757BC" w14:textId="544CCAC3" w:rsidR="00634CDF" w:rsidRDefault="00F0051D">
      <w:pPr>
        <w:numPr>
          <w:ilvl w:val="0"/>
          <w:numId w:val="9"/>
        </w:numPr>
        <w:pBdr>
          <w:top w:val="nil"/>
          <w:left w:val="nil"/>
          <w:bottom w:val="nil"/>
          <w:right w:val="nil"/>
          <w:between w:val="nil"/>
        </w:pBdr>
        <w:spacing w:line="240" w:lineRule="auto"/>
        <w:ind w:left="0" w:hanging="2"/>
        <w:jc w:val="both"/>
        <w:rPr>
          <w:color w:val="000000"/>
          <w:vertAlign w:val="baseline"/>
        </w:rPr>
      </w:pPr>
      <w:r>
        <w:rPr>
          <w:rFonts w:ascii="Arial" w:eastAsia="Arial" w:hAnsi="Arial" w:cs="Arial"/>
          <w:sz w:val="20"/>
          <w:szCs w:val="20"/>
          <w:vertAlign w:val="baseline"/>
        </w:rPr>
        <w:t xml:space="preserve">Inclisiran (en monoterapia o en combinación con estatinas o ezetimiba) ha demostrado mejoría, con diferencia estadísticamente significativa, en relación a placebo (en monoterapia o en combinación con estatinas </w:t>
      </w:r>
      <w:r w:rsidR="00FD3B1C">
        <w:rPr>
          <w:rFonts w:ascii="Arial" w:eastAsia="Arial" w:hAnsi="Arial" w:cs="Arial"/>
          <w:sz w:val="20"/>
          <w:szCs w:val="20"/>
          <w:vertAlign w:val="baseline"/>
        </w:rPr>
        <w:t xml:space="preserve">y/ </w:t>
      </w:r>
      <w:r>
        <w:rPr>
          <w:rFonts w:ascii="Arial" w:eastAsia="Arial" w:hAnsi="Arial" w:cs="Arial"/>
          <w:sz w:val="20"/>
          <w:szCs w:val="20"/>
          <w:vertAlign w:val="baseline"/>
        </w:rPr>
        <w:t xml:space="preserve">o ezetimiba) para las variables coprincipales porcentaje de cambio </w:t>
      </w:r>
      <w:r>
        <w:rPr>
          <w:rFonts w:ascii="Arial" w:eastAsia="Arial" w:hAnsi="Arial" w:cs="Arial"/>
          <w:sz w:val="20"/>
          <w:szCs w:val="20"/>
          <w:vertAlign w:val="baseline"/>
        </w:rPr>
        <w:lastRenderedPageBreak/>
        <w:t>respecto al basal en nivel de LDL evaluada en el día 510, y cambio porcentual medio desde el nivel basal tras el día 90 y hasta el día 540.</w:t>
      </w:r>
    </w:p>
    <w:p w14:paraId="7F2DADB8" w14:textId="29CE9A11" w:rsidR="00634CDF" w:rsidRDefault="00F0051D">
      <w:pPr>
        <w:numPr>
          <w:ilvl w:val="0"/>
          <w:numId w:val="9"/>
        </w:numPr>
        <w:pBdr>
          <w:top w:val="nil"/>
          <w:left w:val="nil"/>
          <w:bottom w:val="nil"/>
          <w:right w:val="nil"/>
          <w:between w:val="nil"/>
        </w:pBdr>
        <w:spacing w:line="240" w:lineRule="auto"/>
        <w:ind w:left="0" w:hanging="2"/>
        <w:jc w:val="both"/>
        <w:rPr>
          <w:rFonts w:ascii="Arial" w:eastAsia="Arial" w:hAnsi="Arial" w:cs="Arial"/>
          <w:sz w:val="20"/>
          <w:szCs w:val="20"/>
          <w:vertAlign w:val="baseline"/>
        </w:rPr>
      </w:pPr>
      <w:r>
        <w:rPr>
          <w:rFonts w:ascii="Arial" w:eastAsia="Arial" w:hAnsi="Arial" w:cs="Arial"/>
          <w:sz w:val="20"/>
          <w:szCs w:val="20"/>
          <w:vertAlign w:val="baseline"/>
        </w:rPr>
        <w:t>Las poblaciones evaluadas hasta el momento han sido pacientes con hipercolesterolemia primaria (ORION 9: hipercolesterolemia familiar heterocigótica) y pacientes con enfermedad cardiovascular aterosclerótica establecida o con riesgo equivalente de enfermedad cardiovascular aterosclerótica (ORION 10 y 11).</w:t>
      </w:r>
    </w:p>
    <w:p w14:paraId="166E77BD" w14:textId="77777777" w:rsidR="00634CDF" w:rsidRDefault="00F0051D">
      <w:pPr>
        <w:numPr>
          <w:ilvl w:val="0"/>
          <w:numId w:val="9"/>
        </w:numPr>
        <w:pBdr>
          <w:top w:val="nil"/>
          <w:left w:val="nil"/>
          <w:bottom w:val="nil"/>
          <w:right w:val="nil"/>
          <w:between w:val="nil"/>
        </w:pBdr>
        <w:spacing w:line="240" w:lineRule="auto"/>
        <w:ind w:left="0" w:hanging="2"/>
        <w:jc w:val="both"/>
        <w:rPr>
          <w:rFonts w:ascii="Arial" w:eastAsia="Arial" w:hAnsi="Arial" w:cs="Arial"/>
          <w:sz w:val="20"/>
          <w:szCs w:val="20"/>
          <w:vertAlign w:val="baseline"/>
        </w:rPr>
      </w:pPr>
      <w:r>
        <w:rPr>
          <w:rFonts w:ascii="Arial" w:eastAsia="Arial" w:hAnsi="Arial" w:cs="Arial"/>
          <w:sz w:val="20"/>
          <w:szCs w:val="20"/>
          <w:vertAlign w:val="baseline"/>
        </w:rPr>
        <w:t>En los dos ensayos publicados finalizados hasta el momento no se dispone de resultados de morbimortalidad CV.  Los datos disponibles al respecto se limitan a variables secundarias de acontecimientos adversos cardiovasculares mayores (MACE). El limitado número de MACE observado no permite establecer si inclisiran da lugar a beneficio cardiovascular.</w:t>
      </w:r>
    </w:p>
    <w:p w14:paraId="26F445EF" w14:textId="1BDD2516" w:rsidR="00634CDF" w:rsidRDefault="00F0051D">
      <w:pPr>
        <w:numPr>
          <w:ilvl w:val="0"/>
          <w:numId w:val="9"/>
        </w:numPr>
        <w:pBdr>
          <w:top w:val="nil"/>
          <w:left w:val="nil"/>
          <w:bottom w:val="nil"/>
          <w:right w:val="nil"/>
          <w:between w:val="nil"/>
        </w:pBdr>
        <w:spacing w:line="240" w:lineRule="auto"/>
        <w:ind w:left="0" w:hanging="2"/>
        <w:jc w:val="both"/>
        <w:rPr>
          <w:color w:val="000000"/>
          <w:vertAlign w:val="baseline"/>
        </w:rPr>
      </w:pPr>
      <w:r>
        <w:rPr>
          <w:rFonts w:ascii="Arial" w:eastAsia="Arial" w:hAnsi="Arial" w:cs="Arial"/>
          <w:sz w:val="20"/>
          <w:szCs w:val="20"/>
          <w:vertAlign w:val="baseline"/>
        </w:rPr>
        <w:t xml:space="preserve">La compañía que comercializa inclisiran proporcionó una comparación indirecta en la que sugería que inclisiran no tiene diferencias en eficacia; reducción de C-LDL, comparado con alirocumab o evolocumab. Hay incertidumbre en los resultados de la comparación indirecta debido a la heterogeneidad inherente entre </w:t>
      </w:r>
      <w:r w:rsidR="00D30540">
        <w:rPr>
          <w:rFonts w:ascii="Arial" w:eastAsia="Arial" w:hAnsi="Arial" w:cs="Arial"/>
          <w:sz w:val="20"/>
          <w:szCs w:val="20"/>
          <w:vertAlign w:val="baseline"/>
        </w:rPr>
        <w:t>los estudios</w:t>
      </w:r>
      <w:r>
        <w:rPr>
          <w:rFonts w:ascii="Arial" w:eastAsia="Arial" w:hAnsi="Arial" w:cs="Arial"/>
          <w:sz w:val="20"/>
          <w:szCs w:val="20"/>
          <w:vertAlign w:val="baseline"/>
        </w:rPr>
        <w:t xml:space="preserve"> incluidos en los metanálisis.</w:t>
      </w:r>
    </w:p>
    <w:p w14:paraId="042BA51D" w14:textId="77777777" w:rsidR="00634CDF" w:rsidRDefault="00F0051D">
      <w:pPr>
        <w:numPr>
          <w:ilvl w:val="0"/>
          <w:numId w:val="9"/>
        </w:numPr>
        <w:pBdr>
          <w:top w:val="nil"/>
          <w:left w:val="nil"/>
          <w:bottom w:val="nil"/>
          <w:right w:val="nil"/>
          <w:between w:val="nil"/>
        </w:pBdr>
        <w:spacing w:line="240" w:lineRule="auto"/>
        <w:ind w:left="0" w:hanging="2"/>
        <w:jc w:val="both"/>
        <w:rPr>
          <w:color w:val="000000"/>
          <w:vertAlign w:val="baseline"/>
        </w:rPr>
      </w:pPr>
      <w:r>
        <w:rPr>
          <w:rFonts w:ascii="Arial" w:eastAsia="Arial" w:hAnsi="Arial" w:cs="Arial"/>
          <w:sz w:val="20"/>
          <w:szCs w:val="20"/>
          <w:vertAlign w:val="baseline"/>
        </w:rPr>
        <w:t>En el pool global de seguridad que incluía a los pacientes de los tres ensayos clínicos pivotales, se observó que los eventos adversos más frecuentes en el grupo de inclisiran fueron diabetes mellitus, nasofaringitis, artralgia, dolor de espalda, infección del tracto urinario, diarrea, bronquitis, tos, dolor de cabeza, angina, disnea y reacción en el sitio de inyección. Los eventos adversos graves fueron más frecuentes en el grupo placebo que en el grupo inclisiran. Los más frecuentes fueron infarto agudo de miocardio, enfermedad coronaria e insuficiencia cardiaca congestiva. Los eventos adversos atribuidos al fármaco fueron principalmente reacciones adversas en el sitio de inyección.</w:t>
      </w:r>
    </w:p>
    <w:p w14:paraId="196A015C"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12C2E644" w14:textId="77777777"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sz w:val="20"/>
          <w:szCs w:val="20"/>
          <w:vertAlign w:val="baseline"/>
        </w:rPr>
      </w:pPr>
      <w:bookmarkStart w:id="83" w:name="_heading=h.111kx3o" w:colFirst="0" w:colLast="0"/>
      <w:bookmarkEnd w:id="83"/>
      <w:r w:rsidRPr="00D30540">
        <w:rPr>
          <w:rFonts w:ascii="Arial" w:hAnsi="Arial" w:cs="Arial"/>
          <w:color w:val="000000"/>
          <w:sz w:val="20"/>
          <w:szCs w:val="20"/>
          <w:vertAlign w:val="baseline"/>
        </w:rPr>
        <w:t>B)</w:t>
      </w:r>
      <w:r>
        <w:rPr>
          <w:sz w:val="20"/>
          <w:szCs w:val="20"/>
          <w:vertAlign w:val="baseline"/>
        </w:rPr>
        <w:t xml:space="preserve"> </w:t>
      </w:r>
      <w:r>
        <w:rPr>
          <w:rFonts w:ascii="Arial" w:eastAsia="Arial" w:hAnsi="Arial" w:cs="Arial"/>
          <w:sz w:val="20"/>
          <w:szCs w:val="20"/>
          <w:vertAlign w:val="baseline"/>
        </w:rPr>
        <w:t>Aspectos económicos</w:t>
      </w:r>
    </w:p>
    <w:p w14:paraId="5A0868E3" w14:textId="77777777" w:rsidR="00634CDF" w:rsidRDefault="00F0051D">
      <w:pPr>
        <w:spacing w:before="240" w:after="240"/>
        <w:ind w:left="0" w:hanging="2"/>
        <w:jc w:val="both"/>
        <w:rPr>
          <w:rFonts w:ascii="Arial" w:eastAsia="Arial" w:hAnsi="Arial" w:cs="Arial"/>
          <w:sz w:val="20"/>
          <w:szCs w:val="20"/>
          <w:vertAlign w:val="baseline"/>
        </w:rPr>
      </w:pPr>
      <w:r>
        <w:rPr>
          <w:rFonts w:ascii="Arial" w:eastAsia="Arial" w:hAnsi="Arial" w:cs="Arial"/>
          <w:sz w:val="20"/>
          <w:szCs w:val="20"/>
          <w:vertAlign w:val="baseline"/>
        </w:rPr>
        <w:t xml:space="preserve">Actualmente inclisiran se encuentra pendiente de precio y financiación en España. </w:t>
      </w:r>
    </w:p>
    <w:p w14:paraId="0FACB06C" w14:textId="77777777" w:rsidR="00634CDF" w:rsidRDefault="00F0051D">
      <w:pPr>
        <w:spacing w:before="240" w:after="240"/>
        <w:ind w:left="0" w:hanging="2"/>
        <w:jc w:val="both"/>
        <w:rPr>
          <w:vertAlign w:val="baseline"/>
        </w:rPr>
      </w:pPr>
      <w:r>
        <w:rPr>
          <w:rFonts w:ascii="Arial" w:eastAsia="Arial" w:hAnsi="Arial" w:cs="Arial"/>
          <w:sz w:val="20"/>
          <w:szCs w:val="20"/>
          <w:vertAlign w:val="baseline"/>
        </w:rPr>
        <w:t>Para el cálculo del coste efectividad incremental se ha considerado la asunción empleada en informes económicos publicados. Según los datos de los estudios ORION 9, 10 y 11 costarían 13.185 € (a los 510 días) (ratio coste efectividad incremental) que un paciente adicional consiguiera objetivos de C-LDL inferiores a 100 mg/dL en pacientes con hipercolesterolemia familiar heterocigótica, o inferiores a 70 mg/dL para pacientes con enfermedad cardiovascular establecida o riesgo equivalente.</w:t>
      </w:r>
    </w:p>
    <w:p w14:paraId="6EF8DE8C"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rFonts w:ascii="Arial" w:eastAsia="Arial" w:hAnsi="Arial" w:cs="Arial"/>
          <w:sz w:val="20"/>
          <w:szCs w:val="20"/>
          <w:vertAlign w:val="baseline"/>
        </w:rPr>
      </w:pPr>
      <w:bookmarkStart w:id="84" w:name="_heading=h.y1o1fmzade25" w:colFirst="0" w:colLast="0"/>
      <w:bookmarkEnd w:id="84"/>
    </w:p>
    <w:p w14:paraId="5C7E8D5B"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jc w:val="both"/>
        <w:rPr>
          <w:rFonts w:ascii="Arial" w:eastAsia="Arial" w:hAnsi="Arial" w:cs="Arial"/>
          <w:color w:val="000080"/>
          <w:sz w:val="16"/>
          <w:szCs w:val="16"/>
          <w:u w:val="single"/>
          <w:vertAlign w:val="baseline"/>
        </w:rPr>
      </w:pPr>
    </w:p>
    <w:p w14:paraId="7E01B67E"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9.2 Decisión</w:t>
      </w:r>
    </w:p>
    <w:p w14:paraId="22C30932"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rPr>
          <w:color w:val="000000"/>
          <w:sz w:val="20"/>
          <w:szCs w:val="20"/>
          <w:vertAlign w:val="baseline"/>
        </w:rPr>
      </w:pPr>
    </w:p>
    <w:p w14:paraId="714BBA74" w14:textId="490BBDD6" w:rsidR="00634CDF" w:rsidRPr="00297FB7" w:rsidRDefault="00F0051D" w:rsidP="004D6234">
      <w:pPr>
        <w:pBdr>
          <w:top w:val="none" w:sz="0" w:space="0" w:color="000000"/>
          <w:left w:val="none" w:sz="0" w:space="0" w:color="000000"/>
          <w:bottom w:val="none" w:sz="0" w:space="0" w:color="000000"/>
          <w:right w:val="none" w:sz="0" w:space="0" w:color="000000"/>
          <w:between w:val="nil"/>
        </w:pBdr>
        <w:spacing w:line="240" w:lineRule="auto"/>
        <w:ind w:left="0" w:hanging="2"/>
        <w:rPr>
          <w:rFonts w:ascii="Arial" w:eastAsia="Arial" w:hAnsi="Arial" w:cs="Arial"/>
          <w:sz w:val="20"/>
          <w:szCs w:val="20"/>
          <w:vertAlign w:val="baseline"/>
        </w:rPr>
      </w:pPr>
      <w:bookmarkStart w:id="85" w:name="_heading=h.3l18frh" w:colFirst="0" w:colLast="0"/>
      <w:bookmarkEnd w:id="85"/>
      <w:r w:rsidRPr="00297FB7">
        <w:rPr>
          <w:rFonts w:ascii="Arial" w:eastAsia="Arial" w:hAnsi="Arial" w:cs="Arial"/>
          <w:sz w:val="20"/>
          <w:szCs w:val="20"/>
          <w:vertAlign w:val="baseline"/>
        </w:rPr>
        <w:t xml:space="preserve">-La propuesta de los autores del informe es que sea clasificado como: </w:t>
      </w:r>
    </w:p>
    <w:p w14:paraId="7B4EE237" w14:textId="77777777" w:rsidR="00297FB7" w:rsidRDefault="00297FB7" w:rsidP="00B17FB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Chars="0" w:left="0" w:firstLineChars="0" w:firstLine="0"/>
        <w:jc w:val="both"/>
        <w:rPr>
          <w:rFonts w:ascii="Arial" w:eastAsia="Arial" w:hAnsi="Arial" w:cs="Arial"/>
          <w:sz w:val="20"/>
          <w:szCs w:val="20"/>
          <w:vertAlign w:val="baseline"/>
        </w:rPr>
      </w:pPr>
      <w:bookmarkStart w:id="86" w:name="_heading=h.206ipza" w:colFirst="0" w:colLast="0"/>
      <w:bookmarkEnd w:id="86"/>
    </w:p>
    <w:p w14:paraId="4868DA11" w14:textId="0ED726C7" w:rsidR="00B25C98" w:rsidRDefault="00753242" w:rsidP="00B17FB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Chars="0" w:left="0" w:firstLineChars="0" w:firstLine="0"/>
        <w:jc w:val="both"/>
        <w:rPr>
          <w:rFonts w:ascii="Arial" w:eastAsia="Arial" w:hAnsi="Arial" w:cs="Arial"/>
          <w:sz w:val="20"/>
          <w:szCs w:val="20"/>
          <w:vertAlign w:val="baseline"/>
        </w:rPr>
      </w:pPr>
      <w:r>
        <w:rPr>
          <w:rFonts w:ascii="Arial" w:eastAsia="Arial" w:hAnsi="Arial" w:cs="Arial"/>
          <w:sz w:val="20"/>
          <w:szCs w:val="20"/>
          <w:vertAlign w:val="baseline"/>
        </w:rPr>
        <w:t>D-2. SE INCLUYE EN LA GFT con recomendaciones específicas y con el compromiso de re</w:t>
      </w:r>
      <w:r w:rsidR="00C93110">
        <w:rPr>
          <w:rFonts w:ascii="Arial" w:eastAsia="Arial" w:hAnsi="Arial" w:cs="Arial"/>
          <w:sz w:val="20"/>
          <w:szCs w:val="20"/>
          <w:vertAlign w:val="baseline"/>
        </w:rPr>
        <w:t>evaluación tras el periodo que l</w:t>
      </w:r>
      <w:r>
        <w:rPr>
          <w:rFonts w:ascii="Arial" w:eastAsia="Arial" w:hAnsi="Arial" w:cs="Arial"/>
          <w:sz w:val="20"/>
          <w:szCs w:val="20"/>
          <w:vertAlign w:val="baseline"/>
        </w:rPr>
        <w:t>a CFyT estime oportuno.</w:t>
      </w:r>
    </w:p>
    <w:p w14:paraId="3CE6861B" w14:textId="3D5FC2AD" w:rsidR="00B17FBF" w:rsidRPr="00753242" w:rsidRDefault="00B17FBF" w:rsidP="006D6E1E">
      <w:pPr>
        <w:spacing w:before="240" w:after="240"/>
        <w:ind w:leftChars="0" w:left="0" w:firstLineChars="0" w:firstLine="0"/>
        <w:jc w:val="both"/>
        <w:rPr>
          <w:rFonts w:ascii="Arial" w:eastAsia="Arial" w:hAnsi="Arial" w:cs="Arial"/>
          <w:sz w:val="20"/>
          <w:szCs w:val="20"/>
          <w:vertAlign w:val="baseline"/>
        </w:rPr>
      </w:pPr>
    </w:p>
    <w:p w14:paraId="1CEC0790" w14:textId="23F2AC3D" w:rsidR="00B17FBF" w:rsidRPr="00753242" w:rsidRDefault="00A35C57" w:rsidP="00753242">
      <w:pPr>
        <w:pStyle w:val="Prrafodelista"/>
        <w:numPr>
          <w:ilvl w:val="0"/>
          <w:numId w:val="17"/>
        </w:numPr>
        <w:spacing w:before="240" w:after="240"/>
        <w:ind w:leftChars="0" w:firstLineChars="0"/>
        <w:jc w:val="both"/>
        <w:rPr>
          <w:rFonts w:ascii="Arial" w:eastAsia="Arial" w:hAnsi="Arial" w:cs="Arial"/>
          <w:sz w:val="20"/>
          <w:szCs w:val="20"/>
          <w:vertAlign w:val="baseline"/>
        </w:rPr>
      </w:pPr>
      <w:r w:rsidRPr="00753242">
        <w:rPr>
          <w:rFonts w:ascii="Arial" w:eastAsia="Arial" w:hAnsi="Arial" w:cs="Arial"/>
          <w:sz w:val="20"/>
          <w:szCs w:val="20"/>
          <w:vertAlign w:val="baseline"/>
        </w:rPr>
        <w:t>P</w:t>
      </w:r>
      <w:r w:rsidR="00CF633D" w:rsidRPr="00753242">
        <w:rPr>
          <w:rFonts w:ascii="Arial" w:eastAsia="Arial" w:hAnsi="Arial" w:cs="Arial"/>
          <w:sz w:val="20"/>
          <w:szCs w:val="20"/>
          <w:vertAlign w:val="baseline"/>
        </w:rPr>
        <w:t xml:space="preserve">acientes con hipercolesterolemia </w:t>
      </w:r>
      <w:r w:rsidR="00EC5687" w:rsidRPr="00753242">
        <w:rPr>
          <w:rFonts w:ascii="Arial" w:eastAsia="Arial" w:hAnsi="Arial" w:cs="Arial"/>
          <w:sz w:val="20"/>
          <w:szCs w:val="20"/>
          <w:vertAlign w:val="baseline"/>
        </w:rPr>
        <w:t>primaria (</w:t>
      </w:r>
      <w:r w:rsidR="00CF633D" w:rsidRPr="00753242">
        <w:rPr>
          <w:rFonts w:ascii="Arial" w:eastAsia="Arial" w:hAnsi="Arial" w:cs="Arial"/>
          <w:sz w:val="20"/>
          <w:szCs w:val="20"/>
          <w:vertAlign w:val="baseline"/>
        </w:rPr>
        <w:t>familiar heterocigótica</w:t>
      </w:r>
      <w:r w:rsidR="00E753D7" w:rsidRPr="00753242">
        <w:rPr>
          <w:rFonts w:ascii="Arial" w:eastAsia="Arial" w:hAnsi="Arial" w:cs="Arial"/>
          <w:sz w:val="20"/>
          <w:szCs w:val="20"/>
          <w:vertAlign w:val="baseline"/>
        </w:rPr>
        <w:t xml:space="preserve"> </w:t>
      </w:r>
      <w:r w:rsidR="00EC5687" w:rsidRPr="00753242">
        <w:rPr>
          <w:rFonts w:ascii="Arial" w:eastAsia="Arial" w:hAnsi="Arial" w:cs="Arial"/>
          <w:sz w:val="20"/>
          <w:szCs w:val="20"/>
          <w:vertAlign w:val="baseline"/>
        </w:rPr>
        <w:t xml:space="preserve">y no familiar) </w:t>
      </w:r>
      <w:r w:rsidR="00E753D7" w:rsidRPr="00753242">
        <w:rPr>
          <w:rFonts w:ascii="Arial" w:eastAsia="Arial" w:hAnsi="Arial" w:cs="Arial"/>
          <w:sz w:val="20"/>
          <w:szCs w:val="20"/>
          <w:vertAlign w:val="baseline"/>
        </w:rPr>
        <w:t xml:space="preserve">con </w:t>
      </w:r>
      <w:r w:rsidR="00A04028" w:rsidRPr="00753242">
        <w:rPr>
          <w:rFonts w:ascii="Arial" w:eastAsia="Arial" w:hAnsi="Arial" w:cs="Arial"/>
          <w:sz w:val="20"/>
          <w:szCs w:val="20"/>
          <w:vertAlign w:val="baseline"/>
        </w:rPr>
        <w:t>C-</w:t>
      </w:r>
      <w:r w:rsidR="00E753D7" w:rsidRPr="00753242">
        <w:rPr>
          <w:rFonts w:ascii="Arial" w:eastAsia="Arial" w:hAnsi="Arial" w:cs="Arial"/>
          <w:sz w:val="20"/>
          <w:szCs w:val="20"/>
          <w:vertAlign w:val="baseline"/>
        </w:rPr>
        <w:t>LDL&gt;100 mg/dL a pesar de estar en tratamiento con estatinas a dosis máximas toleradas</w:t>
      </w:r>
      <w:r w:rsidR="00EC5687" w:rsidRPr="00753242">
        <w:rPr>
          <w:rFonts w:ascii="Arial" w:eastAsia="Arial" w:hAnsi="Arial" w:cs="Arial"/>
          <w:sz w:val="20"/>
          <w:szCs w:val="20"/>
          <w:vertAlign w:val="baseline"/>
        </w:rPr>
        <w:t xml:space="preserve"> </w:t>
      </w:r>
      <w:r w:rsidR="00E753D7" w:rsidRPr="00753242">
        <w:rPr>
          <w:rFonts w:ascii="Arial" w:eastAsia="Arial" w:hAnsi="Arial" w:cs="Arial"/>
          <w:sz w:val="20"/>
          <w:szCs w:val="20"/>
          <w:vertAlign w:val="baseline"/>
        </w:rPr>
        <w:t>(o intolerancia comprobada a las mismas)</w:t>
      </w:r>
      <w:r w:rsidRPr="00753242">
        <w:rPr>
          <w:rFonts w:ascii="Arial" w:eastAsia="Arial" w:hAnsi="Arial" w:cs="Arial"/>
          <w:sz w:val="20"/>
          <w:szCs w:val="20"/>
          <w:vertAlign w:val="baseline"/>
        </w:rPr>
        <w:t xml:space="preserve">. Y pacientes con enfermedad cardiovascular aterosclerótica establecida) con C-LDL&gt;70 mg/dL a pesar de estar en tratamiento con estatinas a dosis máximas toleradas (o intolerancia comprobada a las mismas) </w:t>
      </w:r>
      <w:r w:rsidR="00A04028" w:rsidRPr="00753242">
        <w:rPr>
          <w:rFonts w:ascii="Arial" w:eastAsia="Arial" w:hAnsi="Arial" w:cs="Arial"/>
          <w:sz w:val="20"/>
          <w:szCs w:val="20"/>
          <w:vertAlign w:val="baseline"/>
        </w:rPr>
        <w:t xml:space="preserve">La justificación de este grupo es su elevado riesgo cardiovascular y su alta incidencia de </w:t>
      </w:r>
      <w:r w:rsidR="002B19B7" w:rsidRPr="00753242">
        <w:rPr>
          <w:rFonts w:ascii="Arial" w:eastAsia="Arial" w:hAnsi="Arial" w:cs="Arial"/>
          <w:sz w:val="20"/>
          <w:szCs w:val="20"/>
          <w:vertAlign w:val="baseline"/>
        </w:rPr>
        <w:t>acontecimientos cardiovasculares.</w:t>
      </w:r>
      <w:r w:rsidR="00E753D7" w:rsidRPr="00753242">
        <w:rPr>
          <w:rFonts w:ascii="Arial" w:eastAsia="Arial" w:hAnsi="Arial" w:cs="Arial"/>
          <w:sz w:val="20"/>
          <w:szCs w:val="20"/>
          <w:vertAlign w:val="baseline"/>
        </w:rPr>
        <w:t xml:space="preserve"> </w:t>
      </w:r>
    </w:p>
    <w:p w14:paraId="71CA2893" w14:textId="35E5174E" w:rsidR="00B17FBF" w:rsidRPr="00753242" w:rsidRDefault="00D8470B" w:rsidP="00753242">
      <w:pPr>
        <w:pStyle w:val="Prrafodelista"/>
        <w:numPr>
          <w:ilvl w:val="0"/>
          <w:numId w:val="17"/>
        </w:numPr>
        <w:spacing w:before="240" w:after="240"/>
        <w:ind w:leftChars="0" w:firstLineChars="0"/>
        <w:jc w:val="both"/>
        <w:rPr>
          <w:rFonts w:ascii="Arial" w:eastAsia="Arial" w:hAnsi="Arial" w:cs="Arial"/>
          <w:sz w:val="20"/>
          <w:szCs w:val="20"/>
          <w:vertAlign w:val="baseline"/>
        </w:rPr>
      </w:pPr>
      <w:r w:rsidRPr="00753242">
        <w:rPr>
          <w:rFonts w:ascii="Arial" w:eastAsia="Arial" w:hAnsi="Arial" w:cs="Arial"/>
          <w:sz w:val="20"/>
          <w:szCs w:val="20"/>
          <w:vertAlign w:val="baseline"/>
        </w:rPr>
        <w:t xml:space="preserve">Dependiendo del precio se puede incluir como alternativa a iPCSK9 prevaleciendo </w:t>
      </w:r>
      <w:r w:rsidR="006D6E1E">
        <w:rPr>
          <w:rFonts w:ascii="Arial" w:eastAsia="Arial" w:hAnsi="Arial" w:cs="Arial"/>
          <w:sz w:val="20"/>
          <w:szCs w:val="20"/>
          <w:vertAlign w:val="baseline"/>
        </w:rPr>
        <w:t xml:space="preserve">los </w:t>
      </w:r>
      <w:r w:rsidRPr="00753242">
        <w:rPr>
          <w:rFonts w:ascii="Arial" w:eastAsia="Arial" w:hAnsi="Arial" w:cs="Arial"/>
          <w:sz w:val="20"/>
          <w:szCs w:val="20"/>
          <w:vertAlign w:val="baseline"/>
        </w:rPr>
        <w:t xml:space="preserve">criterios de eficiencia. </w:t>
      </w:r>
      <w:r w:rsidR="006D6E1E">
        <w:rPr>
          <w:rFonts w:ascii="Arial" w:eastAsia="Arial" w:hAnsi="Arial" w:cs="Arial"/>
          <w:sz w:val="20"/>
          <w:szCs w:val="20"/>
          <w:vertAlign w:val="baseline"/>
        </w:rPr>
        <w:t>Hay</w:t>
      </w:r>
      <w:r w:rsidRPr="00753242">
        <w:rPr>
          <w:rFonts w:ascii="Arial" w:eastAsia="Arial" w:hAnsi="Arial" w:cs="Arial"/>
          <w:sz w:val="20"/>
          <w:szCs w:val="20"/>
          <w:vertAlign w:val="baseline"/>
        </w:rPr>
        <w:t xml:space="preserve"> tener en cuenta que la adherencia será </w:t>
      </w:r>
      <w:r w:rsidR="00753242" w:rsidRPr="00753242">
        <w:rPr>
          <w:rFonts w:ascii="Arial" w:eastAsia="Arial" w:hAnsi="Arial" w:cs="Arial"/>
          <w:sz w:val="20"/>
          <w:szCs w:val="20"/>
          <w:vertAlign w:val="baseline"/>
        </w:rPr>
        <w:t>mayor,</w:t>
      </w:r>
      <w:r w:rsidRPr="00753242">
        <w:rPr>
          <w:rFonts w:ascii="Arial" w:eastAsia="Arial" w:hAnsi="Arial" w:cs="Arial"/>
          <w:sz w:val="20"/>
          <w:szCs w:val="20"/>
          <w:vertAlign w:val="baseline"/>
        </w:rPr>
        <w:t xml:space="preserve"> aunque la adherencia de los iPCSK9 es fácil de controlar con las analíticas periódicas.</w:t>
      </w:r>
    </w:p>
    <w:p w14:paraId="51972558" w14:textId="06E33BF5" w:rsidR="00B17FBF" w:rsidRPr="002D328A" w:rsidRDefault="00B17FBF" w:rsidP="002D328A">
      <w:pPr>
        <w:pStyle w:val="WW-normal"/>
        <w:ind w:left="0" w:hanging="2"/>
        <w:rPr>
          <w:rFonts w:eastAsia="Arial"/>
        </w:rPr>
      </w:pPr>
    </w:p>
    <w:p w14:paraId="73A4751D"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D9D9D9"/>
        <w:spacing w:line="240" w:lineRule="auto"/>
        <w:ind w:left="0" w:hanging="2"/>
        <w:jc w:val="both"/>
        <w:rPr>
          <w:color w:val="000000"/>
          <w:vertAlign w:val="baseline"/>
        </w:rPr>
      </w:pPr>
      <w:r>
        <w:rPr>
          <w:rFonts w:ascii="Cambria" w:eastAsia="Cambria" w:hAnsi="Cambria" w:cs="Cambria"/>
          <w:b/>
          <w:i/>
          <w:color w:val="000000"/>
          <w:sz w:val="20"/>
          <w:szCs w:val="20"/>
          <w:vertAlign w:val="baseline"/>
        </w:rPr>
        <w:t>9.4 Plan de seguimiento</w:t>
      </w:r>
    </w:p>
    <w:p w14:paraId="2D78C37B" w14:textId="77777777" w:rsidR="00B17FBF" w:rsidRDefault="00B17FBF" w:rsidP="00B17FB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rPr>
          <w:rFonts w:ascii="Arial" w:eastAsia="Arial" w:hAnsi="Arial" w:cs="Arial"/>
          <w:color w:val="FF0000"/>
          <w:sz w:val="20"/>
          <w:szCs w:val="20"/>
          <w:vertAlign w:val="baseline"/>
        </w:rPr>
      </w:pPr>
    </w:p>
    <w:p w14:paraId="4C319F99" w14:textId="79C92861" w:rsidR="00B17FBF" w:rsidRPr="00753242" w:rsidRDefault="00753242" w:rsidP="00050558">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jc w:val="both"/>
        <w:rPr>
          <w:rFonts w:ascii="Arial" w:eastAsia="Arial" w:hAnsi="Arial" w:cs="Arial"/>
          <w:sz w:val="20"/>
          <w:szCs w:val="20"/>
          <w:vertAlign w:val="baseline"/>
        </w:rPr>
      </w:pPr>
      <w:r w:rsidRPr="00753242">
        <w:rPr>
          <w:rFonts w:ascii="Arial" w:eastAsia="Arial" w:hAnsi="Arial" w:cs="Arial"/>
          <w:sz w:val="20"/>
          <w:szCs w:val="20"/>
          <w:vertAlign w:val="baseline"/>
        </w:rPr>
        <w:t>Se revisará este</w:t>
      </w:r>
      <w:r w:rsidR="00A04028" w:rsidRPr="00753242">
        <w:rPr>
          <w:rFonts w:ascii="Arial" w:eastAsia="Arial" w:hAnsi="Arial" w:cs="Arial"/>
          <w:sz w:val="20"/>
          <w:szCs w:val="20"/>
          <w:vertAlign w:val="baseline"/>
        </w:rPr>
        <w:t xml:space="preserve"> posicionamiento cuando</w:t>
      </w:r>
      <w:r w:rsidRPr="00753242">
        <w:rPr>
          <w:rFonts w:ascii="Arial" w:eastAsia="Arial" w:hAnsi="Arial" w:cs="Arial"/>
          <w:sz w:val="20"/>
          <w:szCs w:val="20"/>
          <w:vertAlign w:val="baseline"/>
        </w:rPr>
        <w:t xml:space="preserve"> la </w:t>
      </w:r>
      <w:r w:rsidR="00A04028" w:rsidRPr="00753242">
        <w:rPr>
          <w:rFonts w:ascii="Arial" w:eastAsia="Arial" w:hAnsi="Arial" w:cs="Arial"/>
          <w:sz w:val="20"/>
          <w:szCs w:val="20"/>
          <w:vertAlign w:val="baseline"/>
        </w:rPr>
        <w:t>EMA autorice su uso en enfermedad cardiovascular establecida</w:t>
      </w:r>
      <w:r w:rsidR="005C3503" w:rsidRPr="00753242">
        <w:rPr>
          <w:rFonts w:ascii="Arial" w:eastAsia="Arial" w:hAnsi="Arial" w:cs="Arial"/>
          <w:sz w:val="20"/>
          <w:szCs w:val="20"/>
          <w:vertAlign w:val="baseline"/>
        </w:rPr>
        <w:t xml:space="preserve">. </w:t>
      </w:r>
    </w:p>
    <w:p w14:paraId="26A26C60" w14:textId="77777777" w:rsidR="00753242" w:rsidRPr="00753242" w:rsidRDefault="00753242" w:rsidP="00050558">
      <w:pPr>
        <w:pStyle w:val="WW-normal"/>
        <w:ind w:left="0" w:hanging="2"/>
        <w:jc w:val="both"/>
        <w:rPr>
          <w:rFonts w:eastAsia="Arial"/>
        </w:rPr>
      </w:pPr>
    </w:p>
    <w:p w14:paraId="072DC92F" w14:textId="4B62309A" w:rsidR="00634CDF" w:rsidRPr="00753242" w:rsidRDefault="002D328A" w:rsidP="00050558">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jc w:val="both"/>
        <w:rPr>
          <w:rFonts w:ascii="Arial" w:eastAsia="Arial" w:hAnsi="Arial" w:cs="Arial"/>
          <w:sz w:val="20"/>
          <w:szCs w:val="20"/>
          <w:vertAlign w:val="baseline"/>
        </w:rPr>
      </w:pPr>
      <w:r w:rsidRPr="00753242">
        <w:rPr>
          <w:rFonts w:ascii="Arial" w:eastAsia="Arial" w:hAnsi="Arial" w:cs="Arial"/>
          <w:sz w:val="20"/>
          <w:szCs w:val="20"/>
          <w:vertAlign w:val="baseline"/>
        </w:rPr>
        <w:t>En prevención secundaria</w:t>
      </w:r>
      <w:r w:rsidR="00753242">
        <w:rPr>
          <w:rFonts w:ascii="Arial" w:eastAsia="Arial" w:hAnsi="Arial" w:cs="Arial"/>
          <w:sz w:val="20"/>
          <w:szCs w:val="20"/>
          <w:vertAlign w:val="baseline"/>
        </w:rPr>
        <w:t xml:space="preserve"> la relación </w:t>
      </w:r>
      <w:r w:rsidRPr="00753242">
        <w:rPr>
          <w:rFonts w:ascii="Arial" w:eastAsia="Arial" w:hAnsi="Arial" w:cs="Arial"/>
          <w:sz w:val="20"/>
          <w:szCs w:val="20"/>
          <w:vertAlign w:val="baseline"/>
        </w:rPr>
        <w:t>beneficio r</w:t>
      </w:r>
      <w:r w:rsidR="00C93110">
        <w:rPr>
          <w:rFonts w:ascii="Arial" w:eastAsia="Arial" w:hAnsi="Arial" w:cs="Arial"/>
          <w:sz w:val="20"/>
          <w:szCs w:val="20"/>
          <w:vertAlign w:val="baseline"/>
        </w:rPr>
        <w:t>iesgo es actualmente desconocida</w:t>
      </w:r>
      <w:r w:rsidR="00050558">
        <w:rPr>
          <w:rFonts w:ascii="Arial" w:eastAsia="Arial" w:hAnsi="Arial" w:cs="Arial"/>
          <w:sz w:val="20"/>
          <w:szCs w:val="20"/>
          <w:vertAlign w:val="baseline"/>
        </w:rPr>
        <w:t xml:space="preserve">, se </w:t>
      </w:r>
      <w:r w:rsidR="006D6E1E">
        <w:rPr>
          <w:rFonts w:ascii="Arial" w:eastAsia="Arial" w:hAnsi="Arial" w:cs="Arial"/>
          <w:sz w:val="20"/>
          <w:szCs w:val="20"/>
          <w:vertAlign w:val="baseline"/>
        </w:rPr>
        <w:t xml:space="preserve">revisará </w:t>
      </w:r>
      <w:r w:rsidR="006D6E1E" w:rsidRPr="00753242">
        <w:rPr>
          <w:rFonts w:ascii="Arial" w:eastAsia="Arial" w:hAnsi="Arial" w:cs="Arial"/>
          <w:sz w:val="20"/>
          <w:szCs w:val="20"/>
          <w:vertAlign w:val="baseline"/>
        </w:rPr>
        <w:t>cuando</w:t>
      </w:r>
      <w:r w:rsidRPr="00753242">
        <w:rPr>
          <w:rFonts w:ascii="Arial" w:eastAsia="Arial" w:hAnsi="Arial" w:cs="Arial"/>
          <w:sz w:val="20"/>
          <w:szCs w:val="20"/>
          <w:vertAlign w:val="baseline"/>
        </w:rPr>
        <w:t xml:space="preserve"> </w:t>
      </w:r>
      <w:r w:rsidR="00050558">
        <w:rPr>
          <w:rFonts w:ascii="Arial" w:eastAsia="Arial" w:hAnsi="Arial" w:cs="Arial"/>
          <w:sz w:val="20"/>
          <w:szCs w:val="20"/>
          <w:vertAlign w:val="baseline"/>
        </w:rPr>
        <w:t xml:space="preserve">se publiquen </w:t>
      </w:r>
      <w:r w:rsidRPr="00753242">
        <w:rPr>
          <w:rFonts w:ascii="Arial" w:eastAsia="Arial" w:hAnsi="Arial" w:cs="Arial"/>
          <w:sz w:val="20"/>
          <w:szCs w:val="20"/>
          <w:vertAlign w:val="baseline"/>
        </w:rPr>
        <w:t xml:space="preserve">los datos de morbimortalidad del </w:t>
      </w:r>
      <w:r w:rsidR="00050558">
        <w:rPr>
          <w:rFonts w:ascii="Arial" w:eastAsia="Arial" w:hAnsi="Arial" w:cs="Arial"/>
          <w:sz w:val="20"/>
          <w:szCs w:val="20"/>
          <w:vertAlign w:val="baseline"/>
        </w:rPr>
        <w:t xml:space="preserve">Ensayo clínico </w:t>
      </w:r>
      <w:r w:rsidRPr="00753242">
        <w:rPr>
          <w:rFonts w:ascii="Arial" w:eastAsia="Arial" w:hAnsi="Arial" w:cs="Arial"/>
          <w:sz w:val="20"/>
          <w:szCs w:val="20"/>
          <w:vertAlign w:val="baseline"/>
        </w:rPr>
        <w:t>ORION-4</w:t>
      </w:r>
    </w:p>
    <w:p w14:paraId="44D4612C" w14:textId="77777777" w:rsidR="00634CDF" w:rsidRDefault="00634CDF" w:rsidP="00C93110">
      <w:pPr>
        <w:pBdr>
          <w:top w:val="nil"/>
          <w:left w:val="nil"/>
          <w:bottom w:val="nil"/>
          <w:right w:val="nil"/>
          <w:between w:val="nil"/>
        </w:pBdr>
        <w:spacing w:line="240" w:lineRule="auto"/>
        <w:ind w:left="0" w:hanging="2"/>
        <w:jc w:val="right"/>
        <w:rPr>
          <w:rFonts w:ascii="Arial" w:eastAsia="Arial" w:hAnsi="Arial" w:cs="Arial"/>
          <w:color w:val="0000FF"/>
          <w:sz w:val="20"/>
          <w:szCs w:val="20"/>
          <w:u w:val="single"/>
          <w:vertAlign w:val="baseline"/>
        </w:rPr>
      </w:pPr>
      <w:bookmarkStart w:id="87" w:name="_heading=h.4k668n3" w:colFirst="0" w:colLast="0"/>
      <w:bookmarkEnd w:id="87"/>
    </w:p>
    <w:p w14:paraId="22A0BB44" w14:textId="77777777" w:rsidR="00634CDF" w:rsidRDefault="00634CDF" w:rsidP="00C93110">
      <w:pPr>
        <w:pBdr>
          <w:top w:val="nil"/>
          <w:left w:val="nil"/>
          <w:bottom w:val="nil"/>
          <w:right w:val="nil"/>
          <w:between w:val="nil"/>
        </w:pBdr>
        <w:spacing w:line="240" w:lineRule="auto"/>
        <w:ind w:left="0" w:hanging="2"/>
        <w:jc w:val="right"/>
        <w:rPr>
          <w:rFonts w:ascii="Arial" w:eastAsia="Arial" w:hAnsi="Arial" w:cs="Arial"/>
          <w:color w:val="0000FF"/>
          <w:sz w:val="20"/>
          <w:szCs w:val="20"/>
          <w:u w:val="single"/>
          <w:vertAlign w:val="baseline"/>
        </w:rPr>
      </w:pPr>
    </w:p>
    <w:p w14:paraId="0B3CE7DD" w14:textId="77777777" w:rsidR="00634CDF" w:rsidRDefault="00F0051D">
      <w:pPr>
        <w:keepNext/>
        <w:pBdr>
          <w:top w:val="single" w:sz="4" w:space="1" w:color="000000"/>
          <w:left w:val="single" w:sz="4" w:space="4" w:color="000000"/>
          <w:bottom w:val="single" w:sz="4" w:space="1" w:color="000000"/>
          <w:right w:val="single" w:sz="4" w:space="4" w:color="000000"/>
          <w:between w:val="nil"/>
        </w:pBdr>
        <w:shd w:val="clear" w:color="auto" w:fill="A6A6A6"/>
        <w:spacing w:line="240" w:lineRule="auto"/>
        <w:ind w:left="0" w:hanging="2"/>
        <w:rPr>
          <w:color w:val="000000"/>
          <w:vertAlign w:val="baseline"/>
        </w:rPr>
      </w:pPr>
      <w:r>
        <w:rPr>
          <w:rFonts w:ascii="Cambria" w:eastAsia="Cambria" w:hAnsi="Cambria" w:cs="Cambria"/>
          <w:b/>
          <w:color w:val="000000"/>
          <w:sz w:val="20"/>
          <w:szCs w:val="20"/>
          <w:vertAlign w:val="baseline"/>
        </w:rPr>
        <w:t>10. BIBLIOGRAFÍA</w:t>
      </w:r>
    </w:p>
    <w:p w14:paraId="3A97B9B1" w14:textId="77777777" w:rsidR="00634CDF" w:rsidRDefault="00634CDF">
      <w:pPr>
        <w:pBdr>
          <w:top w:val="nil"/>
          <w:left w:val="nil"/>
          <w:bottom w:val="nil"/>
          <w:right w:val="nil"/>
          <w:between w:val="nil"/>
        </w:pBdr>
        <w:spacing w:line="240" w:lineRule="auto"/>
        <w:ind w:left="0" w:hanging="2"/>
        <w:rPr>
          <w:rFonts w:ascii="Arial" w:eastAsia="Arial" w:hAnsi="Arial" w:cs="Arial"/>
          <w:color w:val="0000FF"/>
          <w:sz w:val="20"/>
          <w:szCs w:val="20"/>
          <w:u w:val="single"/>
          <w:vertAlign w:val="baseline"/>
        </w:rPr>
      </w:pPr>
    </w:p>
    <w:p w14:paraId="5889C376" w14:textId="77777777" w:rsidR="00634CDF" w:rsidRDefault="00634CDF">
      <w:pPr>
        <w:spacing w:after="240"/>
        <w:ind w:left="0" w:hanging="2"/>
        <w:jc w:val="both"/>
        <w:rPr>
          <w:rFonts w:ascii="Arial" w:eastAsia="Arial" w:hAnsi="Arial" w:cs="Arial"/>
          <w:color w:val="0E0E0E"/>
          <w:sz w:val="20"/>
          <w:szCs w:val="20"/>
          <w:vertAlign w:val="baseline"/>
        </w:rPr>
      </w:pPr>
    </w:p>
    <w:p w14:paraId="381C6B19" w14:textId="2D3707A0" w:rsidR="00634CDF" w:rsidRPr="001779CA" w:rsidRDefault="00F0051D">
      <w:pPr>
        <w:numPr>
          <w:ilvl w:val="0"/>
          <w:numId w:val="12"/>
        </w:numPr>
        <w:spacing w:line="259" w:lineRule="auto"/>
        <w:ind w:left="0" w:hanging="2"/>
        <w:jc w:val="both"/>
        <w:rPr>
          <w:rFonts w:ascii="Arial" w:eastAsia="Arial" w:hAnsi="Arial" w:cs="Arial"/>
          <w:color w:val="0E0E0E"/>
          <w:sz w:val="20"/>
          <w:szCs w:val="20"/>
          <w:vertAlign w:val="baseline"/>
          <w:lang w:val="en-US"/>
        </w:rPr>
      </w:pPr>
      <w:r w:rsidRPr="001779CA">
        <w:rPr>
          <w:rFonts w:ascii="Arial" w:eastAsia="Arial" w:hAnsi="Arial" w:cs="Arial"/>
          <w:color w:val="0E0E0E"/>
          <w:sz w:val="20"/>
          <w:szCs w:val="20"/>
          <w:vertAlign w:val="baseline"/>
          <w:lang w:val="en-US"/>
        </w:rPr>
        <w:t xml:space="preserve">Austin MA, Hutter CM, Zimmern RL, Humphries SE. Genetic causes of monogenic heterozygous familial hypercholesterolemia: a HuGE prevalence review. American journal of epidemiology. </w:t>
      </w:r>
      <w:r w:rsidR="00D30540" w:rsidRPr="001779CA">
        <w:rPr>
          <w:rFonts w:ascii="Arial" w:eastAsia="Arial" w:hAnsi="Arial" w:cs="Arial"/>
          <w:color w:val="0E0E0E"/>
          <w:sz w:val="20"/>
          <w:szCs w:val="20"/>
          <w:vertAlign w:val="baseline"/>
          <w:lang w:val="en-US"/>
        </w:rPr>
        <w:t>2004; 160:407</w:t>
      </w:r>
      <w:r w:rsidRPr="001779CA">
        <w:rPr>
          <w:rFonts w:ascii="Arial" w:eastAsia="Arial" w:hAnsi="Arial" w:cs="Arial"/>
          <w:color w:val="0E0E0E"/>
          <w:sz w:val="20"/>
          <w:szCs w:val="20"/>
          <w:vertAlign w:val="baseline"/>
          <w:lang w:val="en-US"/>
        </w:rPr>
        <w:t>-420.</w:t>
      </w:r>
    </w:p>
    <w:p w14:paraId="354560C5" w14:textId="77777777" w:rsidR="00634CDF" w:rsidRPr="00D66FD9" w:rsidRDefault="00F0051D" w:rsidP="00D66FD9">
      <w:pPr>
        <w:numPr>
          <w:ilvl w:val="0"/>
          <w:numId w:val="12"/>
        </w:numPr>
        <w:spacing w:line="259" w:lineRule="auto"/>
        <w:ind w:left="0" w:hanging="2"/>
        <w:jc w:val="both"/>
        <w:rPr>
          <w:rFonts w:ascii="Arial" w:eastAsia="Arial" w:hAnsi="Arial" w:cs="Arial"/>
          <w:color w:val="0E0E0E"/>
          <w:sz w:val="20"/>
          <w:szCs w:val="20"/>
          <w:vertAlign w:val="baseline"/>
          <w:lang w:val="en-US"/>
        </w:rPr>
      </w:pPr>
      <w:r>
        <w:rPr>
          <w:rFonts w:ascii="Arial" w:eastAsia="Arial" w:hAnsi="Arial" w:cs="Arial"/>
          <w:color w:val="0E0E0E"/>
          <w:sz w:val="20"/>
          <w:szCs w:val="20"/>
          <w:vertAlign w:val="baseline"/>
        </w:rPr>
        <w:t xml:space="preserve">Vegazo O, Banegas JR, Civeira F, Serrano P, Luengo E, Mantilla T. Prevalencia de las </w:t>
      </w:r>
      <w:r w:rsidRPr="00F20431">
        <w:rPr>
          <w:rFonts w:ascii="Arial" w:eastAsia="Arial" w:hAnsi="Arial" w:cs="Arial"/>
          <w:color w:val="0E0E0E"/>
          <w:sz w:val="20"/>
          <w:szCs w:val="20"/>
          <w:vertAlign w:val="baseline"/>
        </w:rPr>
        <w:t xml:space="preserve">dislipemias en consultas ambulatorias del sistema sanitario español. </w:t>
      </w:r>
      <w:r w:rsidRPr="00D66FD9">
        <w:rPr>
          <w:rFonts w:ascii="Arial" w:eastAsia="Arial" w:hAnsi="Arial" w:cs="Arial"/>
          <w:color w:val="0E0E0E"/>
          <w:sz w:val="20"/>
          <w:szCs w:val="20"/>
          <w:vertAlign w:val="baseline"/>
          <w:lang w:val="en-US"/>
        </w:rPr>
        <w:t>Estudio HISPALIPID. Med Clin (Barc). 2006; 127: 331-4.</w:t>
      </w:r>
    </w:p>
    <w:p w14:paraId="419E325E" w14:textId="77777777" w:rsidR="00634CDF" w:rsidRPr="00F20431" w:rsidRDefault="00F0051D" w:rsidP="00D66FD9">
      <w:pPr>
        <w:numPr>
          <w:ilvl w:val="0"/>
          <w:numId w:val="12"/>
        </w:numPr>
        <w:spacing w:line="259" w:lineRule="auto"/>
        <w:ind w:left="0" w:hanging="2"/>
        <w:jc w:val="both"/>
        <w:rPr>
          <w:rFonts w:ascii="Arial" w:eastAsia="Arial" w:hAnsi="Arial" w:cs="Arial"/>
          <w:color w:val="0E0E0E"/>
          <w:sz w:val="20"/>
          <w:szCs w:val="20"/>
          <w:vertAlign w:val="baseline"/>
        </w:rPr>
      </w:pPr>
      <w:r w:rsidRPr="00F20431">
        <w:rPr>
          <w:rFonts w:ascii="Arial" w:eastAsia="Arial" w:hAnsi="Arial" w:cs="Arial"/>
          <w:color w:val="0E0E0E"/>
          <w:sz w:val="20"/>
          <w:szCs w:val="20"/>
          <w:vertAlign w:val="baseline"/>
        </w:rPr>
        <w:t>Royo MA, Lobos JM, Millán J, Villar F, Brotons C, Camafort M et al. Dislipidemias: un reto pendiente en prevención cardiovascular. Documento de consenso CEIP/SEA. Med Clin (Barc). 2011; 137: 30.e1-30.e13.</w:t>
      </w:r>
    </w:p>
    <w:p w14:paraId="6CFF20F4" w14:textId="77777777" w:rsidR="00634CDF" w:rsidRPr="00D66FD9" w:rsidRDefault="00F0051D" w:rsidP="00D66FD9">
      <w:pPr>
        <w:numPr>
          <w:ilvl w:val="0"/>
          <w:numId w:val="12"/>
        </w:numPr>
        <w:spacing w:line="259" w:lineRule="auto"/>
        <w:ind w:left="0" w:hanging="2"/>
        <w:jc w:val="both"/>
        <w:rPr>
          <w:rFonts w:ascii="Arial" w:eastAsia="Arial" w:hAnsi="Arial" w:cs="Arial"/>
          <w:color w:val="0E0E0E"/>
          <w:sz w:val="20"/>
          <w:szCs w:val="20"/>
          <w:vertAlign w:val="baseline"/>
          <w:lang w:val="en-US"/>
        </w:rPr>
      </w:pPr>
      <w:r w:rsidRPr="001779CA">
        <w:rPr>
          <w:rFonts w:ascii="Arial" w:eastAsia="Arial" w:hAnsi="Arial" w:cs="Arial"/>
          <w:color w:val="0E0E0E"/>
          <w:sz w:val="20"/>
          <w:szCs w:val="20"/>
          <w:vertAlign w:val="baseline"/>
          <w:lang w:val="en-US"/>
        </w:rPr>
        <w:t xml:space="preserve">Beheshti SO, Madsen CM, Varbo A, Nordestgaard BG. Worldwide Prevalence of Familial Hypercholesterolemia: Meta-Analyses of 11 Million Subjects. </w:t>
      </w:r>
      <w:r w:rsidRPr="00D66FD9">
        <w:rPr>
          <w:rFonts w:ascii="Arial" w:eastAsia="Arial" w:hAnsi="Arial" w:cs="Arial"/>
          <w:color w:val="0E0E0E"/>
          <w:sz w:val="20"/>
          <w:szCs w:val="20"/>
          <w:vertAlign w:val="baseline"/>
          <w:lang w:val="en-US"/>
        </w:rPr>
        <w:t>J Am Coll Cardiol. 2020;75(20):2553-2566.</w:t>
      </w:r>
    </w:p>
    <w:p w14:paraId="12A0248F" w14:textId="77777777" w:rsidR="00634CDF" w:rsidRPr="00F76F68" w:rsidRDefault="00F0051D" w:rsidP="00574FA1">
      <w:pPr>
        <w:numPr>
          <w:ilvl w:val="0"/>
          <w:numId w:val="12"/>
        </w:numPr>
        <w:spacing w:line="259" w:lineRule="auto"/>
        <w:ind w:left="0" w:hanging="2"/>
        <w:jc w:val="both"/>
        <w:rPr>
          <w:rFonts w:ascii="Arial" w:eastAsia="Arial" w:hAnsi="Arial" w:cs="Arial"/>
          <w:color w:val="0E0E0E"/>
          <w:sz w:val="20"/>
          <w:szCs w:val="20"/>
          <w:vertAlign w:val="baseline"/>
        </w:rPr>
      </w:pPr>
      <w:r w:rsidRPr="00F76F68">
        <w:rPr>
          <w:rFonts w:ascii="Arial" w:eastAsia="Arial" w:hAnsi="Arial" w:cs="Arial"/>
          <w:color w:val="0E0E0E"/>
          <w:sz w:val="20"/>
          <w:szCs w:val="20"/>
          <w:vertAlign w:val="baseline"/>
        </w:rPr>
        <w:t xml:space="preserve">Instituto Nacional de Estadística. Defunciones según la causa de muerte. Año 2018. [Internet]. [Consultado el 03/02/2021]. Disponible en: </w:t>
      </w:r>
      <w:hyperlink r:id="rId47">
        <w:r w:rsidRPr="00F76F68">
          <w:rPr>
            <w:rFonts w:ascii="Arial" w:eastAsia="Arial" w:hAnsi="Arial" w:cs="Arial"/>
            <w:color w:val="0E0E0E"/>
            <w:sz w:val="20"/>
            <w:szCs w:val="20"/>
            <w:vertAlign w:val="baseline"/>
          </w:rPr>
          <w:t>https://www.ine.es/dynt3/inebase/es/index.htm?padre=6177&amp;capsel=6178</w:t>
        </w:r>
      </w:hyperlink>
    </w:p>
    <w:p w14:paraId="24A7356D" w14:textId="77777777" w:rsidR="00634CDF" w:rsidRPr="00C93110" w:rsidRDefault="00F0051D" w:rsidP="00D66FD9">
      <w:pPr>
        <w:numPr>
          <w:ilvl w:val="0"/>
          <w:numId w:val="12"/>
        </w:numPr>
        <w:spacing w:line="259" w:lineRule="auto"/>
        <w:ind w:left="0" w:hanging="2"/>
        <w:jc w:val="both"/>
        <w:rPr>
          <w:rFonts w:ascii="Arial" w:eastAsia="Arial" w:hAnsi="Arial" w:cs="Arial"/>
          <w:color w:val="0E0E0E"/>
          <w:sz w:val="20"/>
          <w:szCs w:val="20"/>
          <w:vertAlign w:val="baseline"/>
        </w:rPr>
      </w:pPr>
      <w:r w:rsidRPr="00F76F68">
        <w:rPr>
          <w:rFonts w:ascii="Arial" w:eastAsia="Arial" w:hAnsi="Arial" w:cs="Arial"/>
          <w:color w:val="0E0E0E"/>
          <w:sz w:val="20"/>
          <w:szCs w:val="20"/>
          <w:vertAlign w:val="baseline"/>
        </w:rPr>
        <w:t>Grau M, Elosua R, Cabrera de León A, Guembe MJ, Baena-Díez JM, Vega Alonso T et al. Factores de riesgo cardiovascular en España en la primera</w:t>
      </w:r>
      <w:r w:rsidRPr="00F20431">
        <w:rPr>
          <w:rFonts w:ascii="Arial" w:eastAsia="Arial" w:hAnsi="Arial" w:cs="Arial"/>
          <w:color w:val="0E0E0E"/>
          <w:sz w:val="20"/>
          <w:szCs w:val="20"/>
          <w:vertAlign w:val="baseline"/>
        </w:rPr>
        <w:t xml:space="preserve"> década del siglo xxi: análisis agrupado con datos individuales de 11 estudios de base poblacional, estudio DARIOS. </w:t>
      </w:r>
      <w:r w:rsidRPr="00C93110">
        <w:rPr>
          <w:rFonts w:ascii="Arial" w:eastAsia="Arial" w:hAnsi="Arial" w:cs="Arial"/>
          <w:color w:val="0E0E0E"/>
          <w:sz w:val="20"/>
          <w:szCs w:val="20"/>
          <w:vertAlign w:val="baseline"/>
        </w:rPr>
        <w:t xml:space="preserve">Rev Esp Cardiol. 2011; 64(4):295-304. </w:t>
      </w:r>
    </w:p>
    <w:p w14:paraId="3DB96845" w14:textId="77777777" w:rsidR="00634CDF" w:rsidRPr="00D66FD9" w:rsidRDefault="00F0051D" w:rsidP="00D66FD9">
      <w:pPr>
        <w:numPr>
          <w:ilvl w:val="0"/>
          <w:numId w:val="12"/>
        </w:numPr>
        <w:spacing w:line="259" w:lineRule="auto"/>
        <w:ind w:left="0" w:hanging="2"/>
        <w:jc w:val="both"/>
        <w:rPr>
          <w:rFonts w:ascii="Arial" w:eastAsia="Arial" w:hAnsi="Arial" w:cs="Arial"/>
          <w:color w:val="0E0E0E"/>
          <w:sz w:val="20"/>
          <w:szCs w:val="20"/>
          <w:vertAlign w:val="baseline"/>
          <w:lang w:val="en-US"/>
        </w:rPr>
      </w:pPr>
      <w:r w:rsidRPr="00D66FD9">
        <w:rPr>
          <w:rFonts w:ascii="Arial" w:eastAsia="Arial" w:hAnsi="Arial" w:cs="Arial"/>
          <w:color w:val="0E0E0E"/>
          <w:sz w:val="20"/>
          <w:szCs w:val="20"/>
          <w:vertAlign w:val="baseline"/>
          <w:lang w:val="en-US"/>
        </w:rPr>
        <w:t>Randomised trial of cholesterol lowering in 4444 patients with coronary heart disease: the Scandinavian Simvastatin Survival Study (4S). Lancet. 1994;344:1383–9.</w:t>
      </w:r>
    </w:p>
    <w:p w14:paraId="0CE1F876" w14:textId="77777777" w:rsidR="00634CDF" w:rsidRPr="00F20431" w:rsidRDefault="00F0051D" w:rsidP="00D66FD9">
      <w:pPr>
        <w:numPr>
          <w:ilvl w:val="0"/>
          <w:numId w:val="12"/>
        </w:numPr>
        <w:spacing w:line="259" w:lineRule="auto"/>
        <w:ind w:left="0" w:hanging="2"/>
        <w:jc w:val="both"/>
        <w:rPr>
          <w:rFonts w:ascii="Arial" w:eastAsia="Arial" w:hAnsi="Arial" w:cs="Arial"/>
          <w:color w:val="0E0E0E"/>
          <w:sz w:val="20"/>
          <w:szCs w:val="20"/>
          <w:vertAlign w:val="baseline"/>
        </w:rPr>
      </w:pPr>
      <w:r w:rsidRPr="00F20431">
        <w:rPr>
          <w:rFonts w:ascii="Arial" w:eastAsia="Arial" w:hAnsi="Arial" w:cs="Arial"/>
          <w:color w:val="0E0E0E"/>
          <w:sz w:val="20"/>
          <w:szCs w:val="20"/>
          <w:vertAlign w:val="baseline"/>
        </w:rPr>
        <w:t xml:space="preserve">Instituto Nacional de Estadística. Encuesta de morbilidad hospitalaria. Año 2017. [Internet]. [Consultado el 07/02/2021]. Disponible en: </w:t>
      </w:r>
      <w:hyperlink r:id="rId48">
        <w:r w:rsidRPr="00F20431">
          <w:rPr>
            <w:rFonts w:ascii="Arial" w:eastAsia="Arial" w:hAnsi="Arial" w:cs="Arial"/>
            <w:color w:val="0E0E0E"/>
            <w:sz w:val="20"/>
            <w:szCs w:val="20"/>
            <w:vertAlign w:val="baseline"/>
          </w:rPr>
          <w:t>https://www.ine.es/dynt3/inebase/es/index.htm?padre=5486</w:t>
        </w:r>
      </w:hyperlink>
      <w:r w:rsidRPr="00F20431">
        <w:rPr>
          <w:rFonts w:ascii="Arial" w:eastAsia="Arial" w:hAnsi="Arial" w:cs="Arial"/>
          <w:color w:val="0E0E0E"/>
          <w:sz w:val="20"/>
          <w:szCs w:val="20"/>
          <w:vertAlign w:val="baseline"/>
        </w:rPr>
        <w:t>.</w:t>
      </w:r>
    </w:p>
    <w:p w14:paraId="54056EBA" w14:textId="77777777" w:rsidR="00634CDF" w:rsidRPr="00F20431" w:rsidRDefault="00F0051D" w:rsidP="00D66FD9">
      <w:pPr>
        <w:numPr>
          <w:ilvl w:val="0"/>
          <w:numId w:val="12"/>
        </w:numPr>
        <w:spacing w:line="259" w:lineRule="auto"/>
        <w:ind w:left="0" w:hanging="2"/>
        <w:jc w:val="both"/>
        <w:rPr>
          <w:rFonts w:ascii="Arial" w:eastAsia="Arial" w:hAnsi="Arial" w:cs="Arial"/>
          <w:color w:val="0E0E0E"/>
          <w:sz w:val="20"/>
          <w:szCs w:val="20"/>
          <w:vertAlign w:val="baseline"/>
        </w:rPr>
      </w:pPr>
      <w:r w:rsidRPr="001779CA">
        <w:rPr>
          <w:rFonts w:ascii="Arial" w:eastAsia="Arial" w:hAnsi="Arial" w:cs="Arial"/>
          <w:color w:val="0E0E0E"/>
          <w:sz w:val="20"/>
          <w:szCs w:val="20"/>
          <w:vertAlign w:val="baseline"/>
          <w:lang w:val="en-US"/>
        </w:rPr>
        <w:t xml:space="preserve">European Medicines Agency. Clinical investigation of medicinal products in the treatment of lipid disorders. </w:t>
      </w:r>
      <w:r w:rsidRPr="00F20431">
        <w:rPr>
          <w:rFonts w:ascii="Arial" w:eastAsia="Arial" w:hAnsi="Arial" w:cs="Arial"/>
          <w:color w:val="0E0E0E"/>
          <w:sz w:val="20"/>
          <w:szCs w:val="20"/>
          <w:vertAlign w:val="baseline"/>
        </w:rPr>
        <w:t>EMA/CHMP/748108/2013, Rev. 3.[Internet]. [Consultado el 07/02/2021]. Disponible en:  </w:t>
      </w:r>
      <w:hyperlink r:id="rId49">
        <w:r w:rsidRPr="00F20431">
          <w:rPr>
            <w:rFonts w:ascii="Arial" w:eastAsia="Arial" w:hAnsi="Arial" w:cs="Arial"/>
            <w:color w:val="0E0E0E"/>
            <w:sz w:val="20"/>
            <w:szCs w:val="20"/>
            <w:vertAlign w:val="baseline"/>
          </w:rPr>
          <w:t>https://www.ema.europa.eu/en/documents/scientific-guideline/guideline-clinical-investigation-medicinal-products-treatment-lipid-disorders_en-0.pdf</w:t>
        </w:r>
      </w:hyperlink>
    </w:p>
    <w:p w14:paraId="6F75C7AF" w14:textId="77777777" w:rsidR="00634CDF" w:rsidRPr="00D66FD9" w:rsidRDefault="00F0051D" w:rsidP="00D66FD9">
      <w:pPr>
        <w:numPr>
          <w:ilvl w:val="0"/>
          <w:numId w:val="12"/>
        </w:numPr>
        <w:spacing w:line="259" w:lineRule="auto"/>
        <w:ind w:left="0" w:hanging="2"/>
        <w:jc w:val="both"/>
        <w:rPr>
          <w:rFonts w:ascii="Arial" w:eastAsia="Arial" w:hAnsi="Arial" w:cs="Arial"/>
          <w:color w:val="0E0E0E"/>
          <w:sz w:val="20"/>
          <w:szCs w:val="20"/>
          <w:vertAlign w:val="baseline"/>
          <w:lang w:val="en-US"/>
        </w:rPr>
      </w:pPr>
      <w:r w:rsidRPr="00D66FD9">
        <w:rPr>
          <w:rFonts w:ascii="Arial" w:eastAsia="Arial" w:hAnsi="Arial" w:cs="Arial"/>
          <w:color w:val="0E0E0E"/>
          <w:sz w:val="20"/>
          <w:szCs w:val="20"/>
          <w:vertAlign w:val="baseline"/>
          <w:lang w:val="en-US"/>
        </w:rPr>
        <w:t>Cholesterol Treatment Trialists’ (CTT) Collaboration, Baigent C, Blackwell L, Emberson J, Holland LE, Reith C et al. Efficacy and safety of more intensive lowering of LDL cholesterol: a meta-analysis of data from 170,000 participants in 26 randomised trials. Lancet. 2010. 13;376(9753):1670-81.</w:t>
      </w:r>
    </w:p>
    <w:p w14:paraId="147A76EB" w14:textId="77777777" w:rsidR="00634CDF" w:rsidRPr="00F20431" w:rsidRDefault="00F0051D" w:rsidP="00D66FD9">
      <w:pPr>
        <w:numPr>
          <w:ilvl w:val="0"/>
          <w:numId w:val="12"/>
        </w:numPr>
        <w:spacing w:line="259" w:lineRule="auto"/>
        <w:ind w:left="0" w:hanging="2"/>
        <w:jc w:val="both"/>
        <w:rPr>
          <w:rFonts w:ascii="Arial" w:eastAsia="Arial" w:hAnsi="Arial" w:cs="Arial"/>
          <w:color w:val="0E0E0E"/>
          <w:sz w:val="20"/>
          <w:szCs w:val="20"/>
          <w:vertAlign w:val="baseline"/>
        </w:rPr>
      </w:pPr>
      <w:r w:rsidRPr="00F20431">
        <w:rPr>
          <w:rFonts w:ascii="Arial" w:eastAsia="Arial" w:hAnsi="Arial" w:cs="Arial"/>
          <w:color w:val="0E0E0E"/>
          <w:sz w:val="20"/>
          <w:szCs w:val="20"/>
          <w:vertAlign w:val="baseline"/>
        </w:rPr>
        <w:t>Agencia Española de Medicamentos y Productos Sanitarios. Informe de Posicionamiento Terapéutico de Alirocumab (Praluent® ) en hipercolesterolemia. IPT, 13/2020. Año 2020. [Internet]. [Consultado el 07/02/2021]. Disponible en: https://www.aemps.gob.es/medicamentosUsoHumano/informesPublicos/docs/IPT_13-2020-alirocumab-Praluent.pdf?x24935</w:t>
      </w:r>
    </w:p>
    <w:p w14:paraId="3930D00A" w14:textId="77777777" w:rsidR="00634CDF" w:rsidRPr="00D66FD9" w:rsidRDefault="00F0051D" w:rsidP="00D66FD9">
      <w:pPr>
        <w:numPr>
          <w:ilvl w:val="0"/>
          <w:numId w:val="12"/>
        </w:numPr>
        <w:spacing w:line="259" w:lineRule="auto"/>
        <w:ind w:left="0" w:hanging="2"/>
        <w:jc w:val="both"/>
        <w:rPr>
          <w:rFonts w:ascii="Arial" w:eastAsia="Arial" w:hAnsi="Arial" w:cs="Arial"/>
          <w:color w:val="0E0E0E"/>
          <w:sz w:val="20"/>
          <w:szCs w:val="20"/>
          <w:vertAlign w:val="baseline"/>
          <w:lang w:val="en-US"/>
        </w:rPr>
      </w:pPr>
      <w:r w:rsidRPr="00F20431">
        <w:rPr>
          <w:rFonts w:ascii="Arial" w:eastAsia="Arial" w:hAnsi="Arial" w:cs="Arial"/>
          <w:color w:val="0E0E0E"/>
          <w:sz w:val="20"/>
          <w:szCs w:val="20"/>
          <w:vertAlign w:val="baseline"/>
        </w:rPr>
        <w:lastRenderedPageBreak/>
        <w:t xml:space="preserve">Mach F, Baigent C, Catapano AL, Koskinas KC, Casula M, Badimon L et al.  </w:t>
      </w:r>
      <w:r w:rsidRPr="00D66FD9">
        <w:rPr>
          <w:rFonts w:ascii="Arial" w:eastAsia="Arial" w:hAnsi="Arial" w:cs="Arial"/>
          <w:color w:val="0E0E0E"/>
          <w:sz w:val="20"/>
          <w:szCs w:val="20"/>
          <w:vertAlign w:val="baseline"/>
          <w:lang w:val="en-US"/>
        </w:rPr>
        <w:t xml:space="preserve">2019 ESC/EAS Guidelines for the management of dyslipidaemias: lipid modification to reduce cardiovascular risk. Eur Heart J. 2020 ;41(1):111-188. </w:t>
      </w:r>
    </w:p>
    <w:p w14:paraId="20A9F217" w14:textId="77777777" w:rsidR="00634CDF" w:rsidRPr="00D66FD9" w:rsidRDefault="00782245" w:rsidP="00D66FD9">
      <w:pPr>
        <w:numPr>
          <w:ilvl w:val="0"/>
          <w:numId w:val="12"/>
        </w:numPr>
        <w:spacing w:line="259" w:lineRule="auto"/>
        <w:ind w:left="0" w:hanging="2"/>
        <w:jc w:val="both"/>
        <w:rPr>
          <w:rFonts w:ascii="Arial" w:eastAsia="Arial" w:hAnsi="Arial" w:cs="Arial"/>
          <w:color w:val="0E0E0E"/>
          <w:sz w:val="20"/>
          <w:szCs w:val="20"/>
          <w:vertAlign w:val="baseline"/>
          <w:lang w:val="en-US"/>
        </w:rPr>
      </w:pPr>
      <w:hyperlink r:id="rId50" w:anchor="!/search/Ascaso%20Juan%20Francisco/%7B%22type%22:%22author%22%7D">
        <w:r w:rsidR="00F0051D" w:rsidRPr="00F20431">
          <w:rPr>
            <w:rFonts w:ascii="Arial" w:eastAsia="Arial" w:hAnsi="Arial" w:cs="Arial"/>
            <w:color w:val="0E0E0E"/>
            <w:sz w:val="20"/>
            <w:szCs w:val="20"/>
            <w:vertAlign w:val="baseline"/>
          </w:rPr>
          <w:t>Ascaso</w:t>
        </w:r>
      </w:hyperlink>
      <w:r w:rsidR="00F0051D" w:rsidRPr="00F20431">
        <w:rPr>
          <w:rFonts w:ascii="Arial" w:eastAsia="Arial" w:hAnsi="Arial" w:cs="Arial"/>
          <w:color w:val="0E0E0E"/>
          <w:sz w:val="20"/>
          <w:szCs w:val="20"/>
          <w:vertAlign w:val="baseline"/>
        </w:rPr>
        <w:t xml:space="preserve"> JF, </w:t>
      </w:r>
      <w:hyperlink r:id="rId51" w:anchor="!/search/Civeira%20Fernando/%7B%22type%22:%22author%22%7D">
        <w:r w:rsidR="00F0051D" w:rsidRPr="00F20431">
          <w:rPr>
            <w:rFonts w:ascii="Arial" w:eastAsia="Arial" w:hAnsi="Arial" w:cs="Arial"/>
            <w:color w:val="0E0E0E"/>
            <w:sz w:val="20"/>
            <w:szCs w:val="20"/>
            <w:vertAlign w:val="baseline"/>
          </w:rPr>
          <w:t>Civeira</w:t>
        </w:r>
      </w:hyperlink>
      <w:r w:rsidR="00F0051D" w:rsidRPr="00F20431">
        <w:rPr>
          <w:rFonts w:ascii="Arial" w:eastAsia="Arial" w:hAnsi="Arial" w:cs="Arial"/>
          <w:color w:val="0E0E0E"/>
          <w:sz w:val="20"/>
          <w:szCs w:val="20"/>
          <w:vertAlign w:val="baseline"/>
        </w:rPr>
        <w:t xml:space="preserve"> F, </w:t>
      </w:r>
      <w:hyperlink r:id="rId52" w:anchor="!/search/Guijarro%20Carlos/%7B%22type%22:%22author%22%7D">
        <w:r w:rsidR="00F0051D" w:rsidRPr="00F20431">
          <w:rPr>
            <w:rFonts w:ascii="Arial" w:eastAsia="Arial" w:hAnsi="Arial" w:cs="Arial"/>
            <w:color w:val="0E0E0E"/>
            <w:sz w:val="20"/>
            <w:szCs w:val="20"/>
            <w:vertAlign w:val="baseline"/>
          </w:rPr>
          <w:t>Guijarro</w:t>
        </w:r>
      </w:hyperlink>
      <w:r w:rsidR="00F0051D" w:rsidRPr="00F20431">
        <w:rPr>
          <w:rFonts w:ascii="Arial" w:eastAsia="Arial" w:hAnsi="Arial" w:cs="Arial"/>
          <w:color w:val="0E0E0E"/>
          <w:sz w:val="20"/>
          <w:szCs w:val="20"/>
          <w:vertAlign w:val="baseline"/>
        </w:rPr>
        <w:t xml:space="preserve"> C , </w:t>
      </w:r>
      <w:hyperlink r:id="rId53" w:anchor="!/search/L%C3%B3pez%20Miranda%20Jos%C3%A9/%7B%22type%22:%22author%22%7D">
        <w:r w:rsidR="00F0051D" w:rsidRPr="00F20431">
          <w:rPr>
            <w:rFonts w:ascii="Arial" w:eastAsia="Arial" w:hAnsi="Arial" w:cs="Arial"/>
            <w:color w:val="0E0E0E"/>
            <w:sz w:val="20"/>
            <w:szCs w:val="20"/>
            <w:vertAlign w:val="baseline"/>
          </w:rPr>
          <w:t>López Miranda</w:t>
        </w:r>
      </w:hyperlink>
      <w:r w:rsidR="00F0051D" w:rsidRPr="00F20431">
        <w:rPr>
          <w:rFonts w:ascii="Arial" w:eastAsia="Arial" w:hAnsi="Arial" w:cs="Arial"/>
          <w:color w:val="0E0E0E"/>
          <w:sz w:val="20"/>
          <w:szCs w:val="20"/>
          <w:vertAlign w:val="baseline"/>
        </w:rPr>
        <w:t xml:space="preserve"> J, </w:t>
      </w:r>
      <w:hyperlink r:id="rId54" w:anchor="!/search/Masana%20Luis/%7B%22type%22:%22author%22%7D">
        <w:r w:rsidR="00F0051D" w:rsidRPr="00F20431">
          <w:rPr>
            <w:rFonts w:ascii="Arial" w:eastAsia="Arial" w:hAnsi="Arial" w:cs="Arial"/>
            <w:color w:val="0E0E0E"/>
            <w:sz w:val="20"/>
            <w:szCs w:val="20"/>
            <w:vertAlign w:val="baseline"/>
          </w:rPr>
          <w:t>Masana</w:t>
        </w:r>
      </w:hyperlink>
      <w:r w:rsidR="00F0051D" w:rsidRPr="00F20431">
        <w:rPr>
          <w:rFonts w:ascii="Arial" w:eastAsia="Arial" w:hAnsi="Arial" w:cs="Arial"/>
          <w:color w:val="0E0E0E"/>
          <w:sz w:val="20"/>
          <w:szCs w:val="20"/>
          <w:vertAlign w:val="baseline"/>
        </w:rPr>
        <w:t xml:space="preserve"> L , </w:t>
      </w:r>
      <w:hyperlink r:id="rId55" w:anchor="!/search/Mostaza%20Jos%C3%A9%20Mar%C3%ADa/%7B%22type%22:%22author%22%7D">
        <w:r w:rsidR="00F0051D" w:rsidRPr="00F20431">
          <w:rPr>
            <w:rFonts w:ascii="Arial" w:eastAsia="Arial" w:hAnsi="Arial" w:cs="Arial"/>
            <w:color w:val="0E0E0E"/>
            <w:sz w:val="20"/>
            <w:szCs w:val="20"/>
            <w:vertAlign w:val="baseline"/>
          </w:rPr>
          <w:t>Mostaza</w:t>
        </w:r>
      </w:hyperlink>
      <w:r w:rsidR="00F0051D" w:rsidRPr="00F20431">
        <w:rPr>
          <w:rFonts w:ascii="Arial" w:eastAsia="Arial" w:hAnsi="Arial" w:cs="Arial"/>
          <w:color w:val="0E0E0E"/>
          <w:sz w:val="20"/>
          <w:szCs w:val="20"/>
          <w:vertAlign w:val="baseline"/>
        </w:rPr>
        <w:t xml:space="preserve"> JM et al. Indicaciones de los inhibidores de PCSK9 en la práctica clínica. Recomendaciones de la Sociedad Española de Arteriosclerosis (SEA). Clin Investig Arterioscler. </w:t>
      </w:r>
      <w:r w:rsidR="00F0051D" w:rsidRPr="00D66FD9">
        <w:rPr>
          <w:rFonts w:ascii="Arial" w:eastAsia="Arial" w:hAnsi="Arial" w:cs="Arial"/>
          <w:color w:val="0E0E0E"/>
          <w:sz w:val="20"/>
          <w:szCs w:val="20"/>
          <w:vertAlign w:val="baseline"/>
          <w:lang w:val="en-US"/>
        </w:rPr>
        <w:t>2019; 31(3):128-139.</w:t>
      </w:r>
    </w:p>
    <w:p w14:paraId="32B929C2" w14:textId="77777777" w:rsidR="00634CDF" w:rsidRPr="00D66FD9" w:rsidRDefault="00F0051D" w:rsidP="00D66FD9">
      <w:pPr>
        <w:numPr>
          <w:ilvl w:val="0"/>
          <w:numId w:val="12"/>
        </w:numPr>
        <w:spacing w:line="259" w:lineRule="auto"/>
        <w:ind w:left="0" w:hanging="2"/>
        <w:jc w:val="both"/>
        <w:rPr>
          <w:rFonts w:ascii="Arial" w:eastAsia="Arial" w:hAnsi="Arial" w:cs="Arial"/>
          <w:color w:val="0E0E0E"/>
          <w:sz w:val="20"/>
          <w:szCs w:val="20"/>
          <w:vertAlign w:val="baseline"/>
          <w:lang w:val="en-US"/>
        </w:rPr>
      </w:pPr>
      <w:r w:rsidRPr="00F20431">
        <w:rPr>
          <w:rFonts w:ascii="Arial" w:eastAsia="Arial" w:hAnsi="Arial" w:cs="Arial"/>
          <w:color w:val="0E0E0E"/>
          <w:sz w:val="20"/>
          <w:szCs w:val="20"/>
          <w:vertAlign w:val="baseline"/>
        </w:rPr>
        <w:t xml:space="preserve">Catapano AL, Pirillo A, Norata GD. </w:t>
      </w:r>
      <w:r w:rsidRPr="00D66FD9">
        <w:rPr>
          <w:rFonts w:ascii="Arial" w:eastAsia="Arial" w:hAnsi="Arial" w:cs="Arial"/>
          <w:color w:val="0E0E0E"/>
          <w:sz w:val="20"/>
          <w:szCs w:val="20"/>
          <w:vertAlign w:val="baseline"/>
          <w:lang w:val="en-US"/>
        </w:rPr>
        <w:t xml:space="preserve">New Pharmacological Approaches to Target PCSK9. Curr Atheroscler Rep. 2020; 22(7):24. </w:t>
      </w:r>
    </w:p>
    <w:p w14:paraId="0483C34F" w14:textId="77777777" w:rsidR="00634CDF" w:rsidRPr="00F20431" w:rsidRDefault="00F0051D" w:rsidP="00D66FD9">
      <w:pPr>
        <w:numPr>
          <w:ilvl w:val="0"/>
          <w:numId w:val="12"/>
        </w:numPr>
        <w:spacing w:line="259" w:lineRule="auto"/>
        <w:ind w:left="0" w:hanging="2"/>
        <w:jc w:val="both"/>
        <w:rPr>
          <w:rFonts w:ascii="Arial" w:eastAsia="Arial" w:hAnsi="Arial" w:cs="Arial"/>
          <w:color w:val="0E0E0E"/>
          <w:sz w:val="20"/>
          <w:szCs w:val="20"/>
          <w:vertAlign w:val="baseline"/>
        </w:rPr>
      </w:pPr>
      <w:r w:rsidRPr="00F20431">
        <w:rPr>
          <w:rFonts w:ascii="Arial" w:eastAsia="Arial" w:hAnsi="Arial" w:cs="Arial"/>
          <w:color w:val="0E0E0E"/>
          <w:sz w:val="20"/>
          <w:szCs w:val="20"/>
          <w:vertAlign w:val="baseline"/>
        </w:rPr>
        <w:t xml:space="preserve">European Medicines Agency. Ficha técnica de inclisiran (Leqvio ®). [Internet]. [Consultado 07/02/2021]. Disponible en: </w:t>
      </w:r>
      <w:hyperlink r:id="rId56">
        <w:r w:rsidRPr="00F20431">
          <w:rPr>
            <w:rFonts w:ascii="Arial" w:eastAsia="Arial" w:hAnsi="Arial" w:cs="Arial"/>
            <w:color w:val="0E0E0E"/>
            <w:sz w:val="20"/>
            <w:szCs w:val="20"/>
            <w:vertAlign w:val="baseline"/>
          </w:rPr>
          <w:t>https://www.ema.europa.eu/en/documents/product-information/leqvio-epar-product-information_es.pdf</w:t>
        </w:r>
      </w:hyperlink>
    </w:p>
    <w:p w14:paraId="4DE85A48" w14:textId="77777777" w:rsidR="00634CDF" w:rsidRPr="00F20431" w:rsidRDefault="00F0051D" w:rsidP="00D66FD9">
      <w:pPr>
        <w:numPr>
          <w:ilvl w:val="0"/>
          <w:numId w:val="12"/>
        </w:numPr>
        <w:spacing w:line="259" w:lineRule="auto"/>
        <w:ind w:left="0" w:hanging="2"/>
        <w:jc w:val="both"/>
        <w:rPr>
          <w:rFonts w:ascii="Arial" w:eastAsia="Arial" w:hAnsi="Arial" w:cs="Arial"/>
          <w:color w:val="0E0E0E"/>
          <w:sz w:val="20"/>
          <w:szCs w:val="20"/>
          <w:vertAlign w:val="baseline"/>
        </w:rPr>
      </w:pPr>
      <w:r w:rsidRPr="001779CA">
        <w:rPr>
          <w:rFonts w:ascii="Arial" w:eastAsia="Arial" w:hAnsi="Arial" w:cs="Arial"/>
          <w:sz w:val="20"/>
          <w:szCs w:val="20"/>
          <w:vertAlign w:val="baseline"/>
          <w:lang w:val="en-US"/>
        </w:rPr>
        <w:t xml:space="preserve">European Medicines Agency. Committee for Medicinal Products for Human Use. </w:t>
      </w:r>
      <w:r>
        <w:rPr>
          <w:rFonts w:ascii="Arial" w:eastAsia="Arial" w:hAnsi="Arial" w:cs="Arial"/>
          <w:sz w:val="20"/>
          <w:szCs w:val="20"/>
          <w:vertAlign w:val="baseline"/>
        </w:rPr>
        <w:t xml:space="preserve">European Public Assessment de inclisiran (Leqvio ®). [Internet]. [Consultado 07/02/2021]. Disponible en: </w:t>
      </w:r>
      <w:hyperlink r:id="rId57">
        <w:r w:rsidRPr="00F20431">
          <w:rPr>
            <w:rFonts w:ascii="Arial" w:eastAsia="Arial" w:hAnsi="Arial" w:cs="Arial"/>
            <w:color w:val="0E0E0E"/>
            <w:sz w:val="20"/>
            <w:szCs w:val="20"/>
            <w:vertAlign w:val="baseline"/>
          </w:rPr>
          <w:t>https://www.ema.europa.eu/en/documents/assessment-report/leqvio-epar-public-assessment-report_en.pdf</w:t>
        </w:r>
      </w:hyperlink>
    </w:p>
    <w:p w14:paraId="65DC58EA" w14:textId="77777777" w:rsidR="00634CDF" w:rsidRPr="00D66FD9" w:rsidRDefault="00F0051D" w:rsidP="00D66FD9">
      <w:pPr>
        <w:numPr>
          <w:ilvl w:val="0"/>
          <w:numId w:val="12"/>
        </w:numPr>
        <w:ind w:left="0" w:hanging="2"/>
        <w:jc w:val="both"/>
        <w:rPr>
          <w:rFonts w:ascii="Arial" w:eastAsia="Arial" w:hAnsi="Arial" w:cs="Arial"/>
          <w:sz w:val="20"/>
          <w:szCs w:val="20"/>
          <w:vertAlign w:val="baseline"/>
          <w:lang w:val="en-US"/>
        </w:rPr>
      </w:pPr>
      <w:r w:rsidRPr="00D66FD9">
        <w:rPr>
          <w:rFonts w:ascii="Arial" w:eastAsia="Arial" w:hAnsi="Arial" w:cs="Arial"/>
          <w:color w:val="0E0E0E"/>
          <w:sz w:val="20"/>
          <w:szCs w:val="20"/>
          <w:vertAlign w:val="baseline"/>
          <w:lang w:val="en-US"/>
        </w:rPr>
        <w:t xml:space="preserve">Raal FJ, Kallend D, Ray KK, Turner T, Koenig W, Wright RS et al. Inclisiran for the </w:t>
      </w:r>
      <w:r w:rsidRPr="00D66FD9">
        <w:rPr>
          <w:rFonts w:ascii="Arial" w:eastAsia="Arial" w:hAnsi="Arial" w:cs="Arial"/>
          <w:sz w:val="20"/>
          <w:szCs w:val="20"/>
          <w:vertAlign w:val="baseline"/>
          <w:lang w:val="en-US"/>
        </w:rPr>
        <w:t xml:space="preserve">Treatment of Heterozygous Familial Hypercholesterolemia. N Engl J Med. 2020; 382(16):1520-1530. </w:t>
      </w:r>
    </w:p>
    <w:p w14:paraId="514C0444" w14:textId="77777777" w:rsidR="00634CDF" w:rsidRPr="00D66FD9" w:rsidRDefault="00F0051D" w:rsidP="00D66FD9">
      <w:pPr>
        <w:numPr>
          <w:ilvl w:val="0"/>
          <w:numId w:val="12"/>
        </w:numPr>
        <w:ind w:left="0" w:hanging="2"/>
        <w:jc w:val="both"/>
        <w:rPr>
          <w:rFonts w:ascii="Arial" w:eastAsia="Arial" w:hAnsi="Arial" w:cs="Arial"/>
          <w:sz w:val="20"/>
          <w:szCs w:val="20"/>
          <w:vertAlign w:val="baseline"/>
          <w:lang w:val="en-US"/>
        </w:rPr>
      </w:pPr>
      <w:r w:rsidRPr="00D66FD9">
        <w:rPr>
          <w:rFonts w:ascii="Arial" w:eastAsia="Arial" w:hAnsi="Arial" w:cs="Arial"/>
          <w:sz w:val="20"/>
          <w:szCs w:val="20"/>
          <w:vertAlign w:val="baseline"/>
          <w:lang w:val="en-US"/>
        </w:rPr>
        <w:t xml:space="preserve">Ray KK, Wright RS, Kallend D, Koenig W, Leiter LA, Raal FJ et al. Two Phase 3 Trials of Inclisiran in Patients with Elevated LDL Cholesterol. N Engl J Med. 2020;382(16):1507-1519. </w:t>
      </w:r>
    </w:p>
    <w:p w14:paraId="6C4C76D2" w14:textId="77777777" w:rsidR="00634CDF" w:rsidRPr="00D66FD9" w:rsidRDefault="00F0051D" w:rsidP="00D66FD9">
      <w:pPr>
        <w:numPr>
          <w:ilvl w:val="0"/>
          <w:numId w:val="12"/>
        </w:numPr>
        <w:ind w:left="0" w:hanging="2"/>
        <w:jc w:val="both"/>
        <w:rPr>
          <w:rFonts w:ascii="Arial" w:eastAsia="Arial" w:hAnsi="Arial" w:cs="Arial"/>
          <w:sz w:val="20"/>
          <w:szCs w:val="20"/>
          <w:vertAlign w:val="baseline"/>
          <w:lang w:val="en-US"/>
        </w:rPr>
      </w:pPr>
      <w:r w:rsidRPr="00D66FD9">
        <w:rPr>
          <w:rFonts w:ascii="Arial" w:eastAsia="Arial" w:hAnsi="Arial" w:cs="Arial"/>
          <w:sz w:val="20"/>
          <w:szCs w:val="20"/>
          <w:vertAlign w:val="baseline"/>
          <w:lang w:val="en-US"/>
        </w:rPr>
        <w:t xml:space="preserve">Sabatine MS, Giugliano RP, Keech AC, Honarpour N, Wiviott SD, Murphy SA et al. Evolocumab and Clinical Outcomes in Patients with Cardiovascular Disease. N Engl J Med. 2017;376(18):1713-1722. </w:t>
      </w:r>
    </w:p>
    <w:p w14:paraId="4C77597D" w14:textId="77777777" w:rsidR="00634CDF" w:rsidRPr="00D66FD9" w:rsidRDefault="00F0051D" w:rsidP="00D66FD9">
      <w:pPr>
        <w:numPr>
          <w:ilvl w:val="0"/>
          <w:numId w:val="12"/>
        </w:numPr>
        <w:ind w:left="0" w:hanging="2"/>
        <w:jc w:val="both"/>
        <w:rPr>
          <w:rFonts w:ascii="Arial" w:eastAsia="Arial" w:hAnsi="Arial" w:cs="Arial"/>
          <w:sz w:val="20"/>
          <w:szCs w:val="20"/>
          <w:vertAlign w:val="baseline"/>
          <w:lang w:val="en-US"/>
        </w:rPr>
      </w:pPr>
      <w:r w:rsidRPr="00D66FD9">
        <w:rPr>
          <w:rFonts w:ascii="Arial" w:eastAsia="Arial" w:hAnsi="Arial" w:cs="Arial"/>
          <w:sz w:val="20"/>
          <w:szCs w:val="20"/>
          <w:vertAlign w:val="baseline"/>
          <w:lang w:val="en-US"/>
        </w:rPr>
        <w:t xml:space="preserve">Schwartz GG, Steg PG, Szarek M, Bhatt DL, Bittner VA, Diaz R et al. Alirocumab and Cardiovascular Outcomes after Acute Coronary Syndrome. N Engl J Med. 2018;379(22):2097-2107. </w:t>
      </w:r>
    </w:p>
    <w:p w14:paraId="19B0EC5A" w14:textId="77777777" w:rsidR="00634CDF" w:rsidRPr="00D66FD9" w:rsidRDefault="00F0051D" w:rsidP="00D66FD9">
      <w:pPr>
        <w:numPr>
          <w:ilvl w:val="0"/>
          <w:numId w:val="12"/>
        </w:numPr>
        <w:ind w:left="0" w:hanging="2"/>
        <w:jc w:val="both"/>
        <w:rPr>
          <w:rFonts w:ascii="Arial" w:eastAsia="Arial" w:hAnsi="Arial" w:cs="Arial"/>
          <w:sz w:val="20"/>
          <w:szCs w:val="20"/>
          <w:vertAlign w:val="baseline"/>
          <w:lang w:val="en-US"/>
        </w:rPr>
      </w:pPr>
      <w:bookmarkStart w:id="88" w:name="_heading=h.kadm3vhzczdd" w:colFirst="0" w:colLast="0"/>
      <w:bookmarkEnd w:id="88"/>
      <w:r w:rsidRPr="00D66FD9">
        <w:rPr>
          <w:rFonts w:ascii="Arial" w:eastAsia="Arial" w:hAnsi="Arial" w:cs="Arial"/>
          <w:sz w:val="20"/>
          <w:szCs w:val="20"/>
          <w:vertAlign w:val="baseline"/>
          <w:lang w:val="en-US"/>
        </w:rPr>
        <w:t xml:space="preserve">Khan SA, Naz A, Qamar Masood M, Shah R. Meta-Analysis of Inclisiran for the Treatment of Hypercholesterolemia. Am J Cardiol. 2020;134:69-73. </w:t>
      </w:r>
    </w:p>
    <w:p w14:paraId="3367E74D" w14:textId="77777777" w:rsidR="00634CDF" w:rsidRPr="00D66FD9" w:rsidRDefault="00F0051D" w:rsidP="00D66FD9">
      <w:pPr>
        <w:numPr>
          <w:ilvl w:val="0"/>
          <w:numId w:val="12"/>
        </w:numPr>
        <w:ind w:left="0" w:hanging="2"/>
        <w:jc w:val="both"/>
        <w:rPr>
          <w:rFonts w:ascii="Arial" w:eastAsia="Arial" w:hAnsi="Arial" w:cs="Arial"/>
          <w:sz w:val="20"/>
          <w:szCs w:val="20"/>
          <w:vertAlign w:val="baseline"/>
          <w:lang w:val="en-US"/>
        </w:rPr>
      </w:pPr>
      <w:bookmarkStart w:id="89" w:name="_heading=h.quo3i439rh8d" w:colFirst="0" w:colLast="0"/>
      <w:bookmarkEnd w:id="89"/>
      <w:r w:rsidRPr="00D66FD9">
        <w:rPr>
          <w:rFonts w:ascii="Arial" w:eastAsia="Arial" w:hAnsi="Arial" w:cs="Arial"/>
          <w:sz w:val="20"/>
          <w:szCs w:val="20"/>
          <w:vertAlign w:val="baseline"/>
          <w:lang w:val="en-US"/>
        </w:rPr>
        <w:t xml:space="preserve">Asbeutah AAA, Asbeutah SA, Abu-Assi MA. A Meta-Analysis of Cardiovascular Outcomes in Patients With Hypercholesterolemia Treated With Inclisiran. Am J Cardiol. 2020;128:218-219. </w:t>
      </w:r>
    </w:p>
    <w:p w14:paraId="34214E10" w14:textId="77777777" w:rsidR="00634CDF" w:rsidRPr="00D66FD9" w:rsidRDefault="00F0051D" w:rsidP="00D66FD9">
      <w:pPr>
        <w:numPr>
          <w:ilvl w:val="0"/>
          <w:numId w:val="12"/>
        </w:numPr>
        <w:ind w:left="0" w:hanging="2"/>
        <w:jc w:val="both"/>
        <w:rPr>
          <w:rFonts w:ascii="Arial" w:eastAsia="Arial" w:hAnsi="Arial" w:cs="Arial"/>
          <w:sz w:val="20"/>
          <w:szCs w:val="20"/>
          <w:vertAlign w:val="baseline"/>
          <w:lang w:val="en-US"/>
        </w:rPr>
      </w:pPr>
      <w:bookmarkStart w:id="90" w:name="_heading=h.94l11foyhz2m" w:colFirst="0" w:colLast="0"/>
      <w:bookmarkEnd w:id="90"/>
      <w:r w:rsidRPr="00F20431">
        <w:rPr>
          <w:rFonts w:ascii="Arial" w:eastAsia="Arial" w:hAnsi="Arial" w:cs="Arial"/>
          <w:sz w:val="20"/>
          <w:szCs w:val="20"/>
          <w:vertAlign w:val="baseline"/>
        </w:rPr>
        <w:t xml:space="preserve">Cordero A, Santos-Gallego CG, Fácila L, Rodríguez-Mañero M, Bertomeu-González V, Castellano JM et al. </w:t>
      </w:r>
      <w:r w:rsidRPr="00D66FD9">
        <w:rPr>
          <w:rFonts w:ascii="Arial" w:eastAsia="Arial" w:hAnsi="Arial" w:cs="Arial"/>
          <w:sz w:val="20"/>
          <w:szCs w:val="20"/>
          <w:vertAlign w:val="baseline"/>
          <w:lang w:val="en-US"/>
        </w:rPr>
        <w:t xml:space="preserve">Estimation of the major cardiovascular events prevention with Inclisiran. Atherosclerosis. 2020;313:76-80. </w:t>
      </w:r>
    </w:p>
    <w:p w14:paraId="7CBC9486" w14:textId="77777777" w:rsidR="00634CDF" w:rsidRPr="00D66FD9" w:rsidRDefault="00F0051D" w:rsidP="00D66FD9">
      <w:pPr>
        <w:numPr>
          <w:ilvl w:val="0"/>
          <w:numId w:val="12"/>
        </w:numPr>
        <w:ind w:left="0" w:hanging="2"/>
        <w:jc w:val="both"/>
        <w:rPr>
          <w:rFonts w:ascii="Arial" w:eastAsia="Arial" w:hAnsi="Arial" w:cs="Arial"/>
          <w:sz w:val="20"/>
          <w:szCs w:val="20"/>
          <w:vertAlign w:val="baseline"/>
          <w:lang w:val="en-US"/>
        </w:rPr>
      </w:pPr>
      <w:bookmarkStart w:id="91" w:name="_heading=h.d0axdvcqz4a6" w:colFirst="0" w:colLast="0"/>
      <w:bookmarkEnd w:id="91"/>
      <w:r w:rsidRPr="00D66FD9">
        <w:rPr>
          <w:rFonts w:ascii="Arial" w:eastAsia="Arial" w:hAnsi="Arial" w:cs="Arial"/>
          <w:sz w:val="20"/>
          <w:szCs w:val="20"/>
          <w:vertAlign w:val="baseline"/>
          <w:lang w:val="en-US"/>
        </w:rPr>
        <w:t xml:space="preserve">Arnett DK, Blumenthal RS, Albert MA, Buroker AB, Goldberger ZD, Hahn EJ, et al. 2019 ACC/AHA Guideline on the Primary Prevention of Cardiovascular Disease: A Report of the American College of Cardiology/American Heart Association Task Force on Clinical Practice Guidelines. Circulation. 2019;140(11):e596-e646. </w:t>
      </w:r>
    </w:p>
    <w:p w14:paraId="699ADB47" w14:textId="77777777" w:rsidR="00634CDF" w:rsidRPr="00D66FD9" w:rsidRDefault="00F0051D" w:rsidP="00D66FD9">
      <w:pPr>
        <w:numPr>
          <w:ilvl w:val="0"/>
          <w:numId w:val="12"/>
        </w:numPr>
        <w:ind w:left="0" w:hanging="2"/>
        <w:jc w:val="both"/>
        <w:rPr>
          <w:rFonts w:ascii="Arial" w:eastAsia="Arial" w:hAnsi="Arial" w:cs="Arial"/>
          <w:sz w:val="20"/>
          <w:szCs w:val="20"/>
          <w:vertAlign w:val="baseline"/>
          <w:lang w:val="en-US"/>
        </w:rPr>
      </w:pPr>
      <w:bookmarkStart w:id="92" w:name="_heading=h.551gd2oh2vf5" w:colFirst="0" w:colLast="0"/>
      <w:bookmarkEnd w:id="92"/>
      <w:r w:rsidRPr="00D66FD9">
        <w:rPr>
          <w:rFonts w:ascii="Arial" w:eastAsia="Arial" w:hAnsi="Arial" w:cs="Arial"/>
          <w:sz w:val="20"/>
          <w:szCs w:val="20"/>
          <w:vertAlign w:val="baseline"/>
          <w:lang w:val="en-US"/>
        </w:rPr>
        <w:t xml:space="preserve">Grundy SM, Stone NJ, Bailey AL, Beam C, Birtcher KK, Blumenthal RS et al. 2018 AHA/ACC/AACVPR/AAPA/ABC/ACPM/ADA/AGS/APhA/ASPC/NLA/PCNA Guideline on the Management of Blood Cholesterol: Executive Summary: A Report of the American College of Cardiology/American Heart Association Task Force on Clinical Practice Guidelines. J Am Coll Cardiol. 2019;73(24):3168-3209. </w:t>
      </w:r>
    </w:p>
    <w:p w14:paraId="74DB23B5" w14:textId="77777777" w:rsidR="00634CDF" w:rsidRPr="00D66FD9" w:rsidRDefault="00F0051D" w:rsidP="00D66FD9">
      <w:pPr>
        <w:numPr>
          <w:ilvl w:val="0"/>
          <w:numId w:val="12"/>
        </w:numPr>
        <w:ind w:left="0" w:hanging="2"/>
        <w:jc w:val="both"/>
        <w:rPr>
          <w:rFonts w:ascii="Arial" w:eastAsia="Arial" w:hAnsi="Arial" w:cs="Arial"/>
          <w:sz w:val="20"/>
          <w:szCs w:val="20"/>
          <w:vertAlign w:val="baseline"/>
          <w:lang w:val="en-US"/>
        </w:rPr>
      </w:pPr>
      <w:bookmarkStart w:id="93" w:name="_heading=h.kq4ja582dxwn" w:colFirst="0" w:colLast="0"/>
      <w:bookmarkEnd w:id="93"/>
      <w:r w:rsidRPr="00D66FD9">
        <w:rPr>
          <w:rFonts w:ascii="Arial" w:eastAsia="Arial" w:hAnsi="Arial" w:cs="Arial"/>
          <w:sz w:val="20"/>
          <w:szCs w:val="20"/>
          <w:vertAlign w:val="baseline"/>
          <w:lang w:val="en-US"/>
        </w:rPr>
        <w:t xml:space="preserve">Cannon CP, Khan I, Klimchak AC, Reynolds MR, Sanchez RJ, Sasiela WJ. Simulation of Lipid-Lowering Therapy Intensification in a Population With Atherosclerotic Cardiovascular Disease. JAMA Cardiol. 2017;2(9):959-966. </w:t>
      </w:r>
    </w:p>
    <w:p w14:paraId="15F5CCB2" w14:textId="77777777" w:rsidR="00634CDF" w:rsidRPr="00D66FD9" w:rsidRDefault="00F0051D" w:rsidP="00D66FD9">
      <w:pPr>
        <w:numPr>
          <w:ilvl w:val="0"/>
          <w:numId w:val="12"/>
        </w:numPr>
        <w:ind w:left="0" w:hanging="2"/>
        <w:jc w:val="both"/>
        <w:rPr>
          <w:rFonts w:ascii="Arial" w:eastAsia="Arial" w:hAnsi="Arial" w:cs="Arial"/>
          <w:sz w:val="20"/>
          <w:szCs w:val="20"/>
          <w:vertAlign w:val="baseline"/>
          <w:lang w:val="en-US"/>
        </w:rPr>
      </w:pPr>
      <w:bookmarkStart w:id="94" w:name="_heading=h.8a4z3rr0nh2j" w:colFirst="0" w:colLast="0"/>
      <w:bookmarkEnd w:id="94"/>
      <w:r w:rsidRPr="00D66FD9">
        <w:rPr>
          <w:rFonts w:ascii="Arial" w:eastAsia="Arial" w:hAnsi="Arial" w:cs="Arial"/>
          <w:sz w:val="20"/>
          <w:szCs w:val="20"/>
          <w:vertAlign w:val="baseline"/>
          <w:lang w:val="en-US"/>
        </w:rPr>
        <w:t xml:space="preserve">Virani SS, Akeroyd JM, Nambi V, Heidenreich PA, Morris PB, Nasir K, et al.  Estimation of Eligibility for Proprotein Convertase Subtilisin/Kexin Type 9 Inhibitors and Associated Costs Based on the FOURIER Trial (Further Cardiovascular Outcomes Research With PCSK9 Inhibition in Subjects With Elevated Risk): Insights From the Department of Veterans Affairs. Circulation. 2017;135(25):2572-2574. </w:t>
      </w:r>
    </w:p>
    <w:p w14:paraId="11BA788C" w14:textId="77777777" w:rsidR="00634CDF" w:rsidRPr="00F20431" w:rsidRDefault="00F0051D" w:rsidP="00D66FD9">
      <w:pPr>
        <w:numPr>
          <w:ilvl w:val="0"/>
          <w:numId w:val="12"/>
        </w:numPr>
        <w:ind w:left="0" w:hanging="2"/>
        <w:jc w:val="both"/>
        <w:rPr>
          <w:rFonts w:ascii="Arial" w:eastAsia="Arial" w:hAnsi="Arial" w:cs="Arial"/>
          <w:sz w:val="20"/>
          <w:szCs w:val="20"/>
          <w:vertAlign w:val="baseline"/>
        </w:rPr>
      </w:pPr>
      <w:bookmarkStart w:id="95" w:name="_heading=h.qdc4d1gvxoiv" w:colFirst="0" w:colLast="0"/>
      <w:bookmarkEnd w:id="95"/>
      <w:r w:rsidRPr="001779CA">
        <w:rPr>
          <w:rFonts w:ascii="Arial" w:eastAsia="Arial" w:hAnsi="Arial" w:cs="Arial"/>
          <w:sz w:val="20"/>
          <w:szCs w:val="20"/>
          <w:vertAlign w:val="baseline"/>
          <w:lang w:val="en-US"/>
        </w:rPr>
        <w:t xml:space="preserve">Scottish Medicines Consortium. Inclisiran 284mg solution for injection in pre-filled syringe (Leqvio®). </w:t>
      </w:r>
      <w:r w:rsidRPr="00F20431">
        <w:rPr>
          <w:rFonts w:ascii="Arial" w:eastAsia="Arial" w:hAnsi="Arial" w:cs="Arial"/>
          <w:sz w:val="20"/>
          <w:szCs w:val="20"/>
          <w:vertAlign w:val="baseline"/>
        </w:rPr>
        <w:t>2021. [Internet]. [Consultado el 10/09/2021]. Disponible en: www.scottishmedicines.org.uk(https://www.scottishmedicines.org.uk/media/6188/inclisiran-leqvio-final-july-2021-amended-050821-for-website.pdf.</w:t>
      </w:r>
    </w:p>
    <w:p w14:paraId="39AF48F5" w14:textId="77777777" w:rsidR="00634CDF" w:rsidRPr="00D66FD9" w:rsidRDefault="00F0051D" w:rsidP="00D66FD9">
      <w:pPr>
        <w:numPr>
          <w:ilvl w:val="0"/>
          <w:numId w:val="12"/>
        </w:numPr>
        <w:ind w:left="0" w:hanging="2"/>
        <w:jc w:val="both"/>
        <w:rPr>
          <w:rFonts w:ascii="Arial" w:eastAsia="Arial" w:hAnsi="Arial" w:cs="Arial"/>
          <w:sz w:val="20"/>
          <w:szCs w:val="20"/>
          <w:vertAlign w:val="baseline"/>
          <w:lang w:val="en-US"/>
        </w:rPr>
      </w:pPr>
      <w:bookmarkStart w:id="96" w:name="_heading=h.3gaqs4fpgi57" w:colFirst="0" w:colLast="0"/>
      <w:bookmarkEnd w:id="96"/>
      <w:r w:rsidRPr="001779CA">
        <w:rPr>
          <w:rFonts w:ascii="Arial" w:eastAsia="Arial" w:hAnsi="Arial" w:cs="Arial"/>
          <w:sz w:val="20"/>
          <w:szCs w:val="20"/>
          <w:vertAlign w:val="baseline"/>
          <w:lang w:val="en-US"/>
        </w:rPr>
        <w:t xml:space="preserve">National Institute for Health and Care Excellence. Inclisiran for treating primary hypercholesterolaemia or mixed dyslipidaemia. </w:t>
      </w:r>
      <w:r w:rsidRPr="00D66FD9">
        <w:rPr>
          <w:rFonts w:ascii="Arial" w:eastAsia="Arial" w:hAnsi="Arial" w:cs="Arial"/>
          <w:sz w:val="20"/>
          <w:szCs w:val="20"/>
          <w:vertAlign w:val="baseline"/>
          <w:lang w:val="en-US"/>
        </w:rPr>
        <w:t xml:space="preserve">Technology appraisal guidance. 2021. [Internet]. [Consultado el 10/10/2021]. Disponible en: www.nice.org.uk/guidance/ta733 </w:t>
      </w:r>
    </w:p>
    <w:p w14:paraId="148EBE64" w14:textId="77777777" w:rsidR="00634CDF" w:rsidRPr="00F20431" w:rsidRDefault="00F0051D" w:rsidP="00D66FD9">
      <w:pPr>
        <w:numPr>
          <w:ilvl w:val="0"/>
          <w:numId w:val="12"/>
        </w:numPr>
        <w:ind w:left="0" w:hanging="2"/>
        <w:jc w:val="both"/>
        <w:rPr>
          <w:rFonts w:ascii="Arial" w:eastAsia="Arial" w:hAnsi="Arial" w:cs="Arial"/>
          <w:sz w:val="20"/>
          <w:szCs w:val="20"/>
          <w:vertAlign w:val="baseline"/>
        </w:rPr>
      </w:pPr>
      <w:bookmarkStart w:id="97" w:name="_heading=h.xkpzmd9845eb" w:colFirst="0" w:colLast="0"/>
      <w:bookmarkEnd w:id="97"/>
      <w:r w:rsidRPr="001779CA">
        <w:rPr>
          <w:rFonts w:ascii="Arial" w:eastAsia="Arial" w:hAnsi="Arial" w:cs="Arial"/>
          <w:sz w:val="20"/>
          <w:szCs w:val="20"/>
          <w:vertAlign w:val="baseline"/>
          <w:lang w:val="en-US"/>
        </w:rPr>
        <w:lastRenderedPageBreak/>
        <w:t xml:space="preserve">Canadian Agency for Drugs and Technologies in Health. </w:t>
      </w:r>
      <w:r w:rsidRPr="00F20431">
        <w:rPr>
          <w:rFonts w:ascii="Arial" w:eastAsia="Arial" w:hAnsi="Arial" w:cs="Arial"/>
          <w:sz w:val="20"/>
          <w:szCs w:val="20"/>
          <w:vertAlign w:val="baseline"/>
        </w:rPr>
        <w:t>Inclisiran(Leqvio) Reimbursement Recommendation. Septiembre 2021. [Internet]. [Consultado el 10/10/2021]. Disponible en: https://www.cadth.ca/sites/default/files/DRR/2022/SR0681%20Leqvio%20-%20Confidential%20Final%20CADTH%20Rec%20Final.pdf</w:t>
      </w:r>
    </w:p>
    <w:p w14:paraId="66454FDD" w14:textId="772A172A" w:rsidR="00D66FD9" w:rsidRPr="00D66FD9" w:rsidRDefault="00F0051D" w:rsidP="00D66FD9">
      <w:pPr>
        <w:numPr>
          <w:ilvl w:val="0"/>
          <w:numId w:val="12"/>
        </w:numPr>
        <w:ind w:left="0" w:hanging="2"/>
        <w:jc w:val="both"/>
        <w:rPr>
          <w:rFonts w:ascii="Arial" w:eastAsia="Arial" w:hAnsi="Arial" w:cs="Arial"/>
          <w:sz w:val="20"/>
          <w:szCs w:val="20"/>
          <w:vertAlign w:val="baseline"/>
          <w:lang w:val="en-US"/>
        </w:rPr>
      </w:pPr>
      <w:r w:rsidRPr="00D66FD9">
        <w:rPr>
          <w:rFonts w:ascii="Arial" w:eastAsia="Arial" w:hAnsi="Arial" w:cs="Arial"/>
          <w:sz w:val="20"/>
          <w:szCs w:val="20"/>
          <w:vertAlign w:val="baseline"/>
          <w:lang w:val="en-US"/>
        </w:rPr>
        <w:t xml:space="preserve">Ray KK, Stoekenbroek RM, Kallend D, Nishikido T, Leiter LA, Landmesser U et al. Effect of 1 or 2 Doses of Inclisiran on Low-Density Lipoprotein Cholesterol Levels: One-Year Follow-up of the ORION-1 Randomized Clinical Trial. JAMA Cardiol. 2019;4(11):1067-1075. </w:t>
      </w:r>
    </w:p>
    <w:p w14:paraId="59DDC260" w14:textId="77777777" w:rsidR="00634CDF" w:rsidRPr="00D66FD9" w:rsidRDefault="00F0051D">
      <w:pPr>
        <w:numPr>
          <w:ilvl w:val="0"/>
          <w:numId w:val="12"/>
        </w:numPr>
        <w:ind w:left="0" w:hanging="2"/>
        <w:jc w:val="both"/>
        <w:rPr>
          <w:rFonts w:ascii="Arial" w:eastAsia="Arial" w:hAnsi="Arial" w:cs="Arial"/>
          <w:sz w:val="20"/>
          <w:szCs w:val="20"/>
          <w:vertAlign w:val="baseline"/>
          <w:lang w:val="en-US"/>
        </w:rPr>
      </w:pPr>
      <w:r w:rsidRPr="00D66FD9">
        <w:rPr>
          <w:rFonts w:ascii="Arial" w:eastAsia="Arial" w:hAnsi="Arial" w:cs="Arial"/>
          <w:sz w:val="20"/>
          <w:szCs w:val="20"/>
          <w:vertAlign w:val="baseline"/>
          <w:lang w:val="en-US"/>
        </w:rPr>
        <w:t>Kam N, Perera K, Zomer E, Liew D, Ademi Z. Inclisiran as Adjunct Lipid-Lowering Therapy for Patients with Cardiovascular Disease: A Cost-Effectiveness Analysis. Pharmacoeconomics. 2020;38(9):1007-1020.</w:t>
      </w:r>
    </w:p>
    <w:p w14:paraId="2B76C6D3" w14:textId="77777777" w:rsidR="00634CDF" w:rsidRDefault="00F0051D">
      <w:pPr>
        <w:numPr>
          <w:ilvl w:val="0"/>
          <w:numId w:val="12"/>
        </w:numPr>
        <w:ind w:left="0" w:hanging="2"/>
        <w:jc w:val="both"/>
        <w:rPr>
          <w:rFonts w:ascii="Arial" w:eastAsia="Arial" w:hAnsi="Arial" w:cs="Arial"/>
          <w:sz w:val="20"/>
          <w:szCs w:val="20"/>
          <w:vertAlign w:val="baseline"/>
        </w:rPr>
      </w:pPr>
      <w:r w:rsidRPr="001779CA">
        <w:rPr>
          <w:rFonts w:ascii="Arial" w:eastAsia="Arial" w:hAnsi="Arial" w:cs="Arial"/>
          <w:sz w:val="20"/>
          <w:szCs w:val="20"/>
          <w:vertAlign w:val="baseline"/>
          <w:lang w:val="en-US"/>
        </w:rPr>
        <w:t xml:space="preserve">Institute for Clinical and Economic Review. Inclisiran and Bempedoic Acid for Patients with Heterozygous Familial Hypercholesterolemia and for Secondary Prevention of ASCVD: Effectiveness and Value; Final Evidence Report. </w:t>
      </w:r>
      <w:r>
        <w:rPr>
          <w:rFonts w:ascii="Arial" w:eastAsia="Arial" w:hAnsi="Arial" w:cs="Arial"/>
          <w:sz w:val="20"/>
          <w:szCs w:val="20"/>
          <w:vertAlign w:val="baseline"/>
        </w:rPr>
        <w:t>Marzo 2021. [Internet]. [Consultado el 10/09/2021]. Disponible en: https://icer.org/wp-content/uploads/2020/10/ICER_High-Cholesterol_Final-Evidence-Report_030221.pdf</w:t>
      </w:r>
    </w:p>
    <w:p w14:paraId="06B6605A" w14:textId="77777777" w:rsidR="00634CDF" w:rsidRDefault="00F0051D">
      <w:pPr>
        <w:numPr>
          <w:ilvl w:val="0"/>
          <w:numId w:val="12"/>
        </w:numPr>
        <w:ind w:left="0" w:hanging="2"/>
        <w:jc w:val="both"/>
        <w:rPr>
          <w:rFonts w:ascii="Arial" w:eastAsia="Arial" w:hAnsi="Arial" w:cs="Arial"/>
          <w:sz w:val="20"/>
          <w:szCs w:val="20"/>
          <w:vertAlign w:val="baseline"/>
        </w:rPr>
      </w:pPr>
      <w:r w:rsidRPr="001779CA">
        <w:rPr>
          <w:rFonts w:ascii="Arial" w:eastAsia="Arial" w:hAnsi="Arial" w:cs="Arial"/>
          <w:color w:val="212121"/>
          <w:sz w:val="20"/>
          <w:szCs w:val="20"/>
          <w:highlight w:val="white"/>
          <w:vertAlign w:val="baseline"/>
          <w:lang w:val="en-US"/>
        </w:rPr>
        <w:t xml:space="preserve">Cobiac LJ, Magnus A, Barendregt JJ, Carter R, Vos T. Improving the cost-effectiveness of cardiovascular disease prevention in Australia: a modelling study. </w:t>
      </w:r>
      <w:r>
        <w:rPr>
          <w:rFonts w:ascii="Arial" w:eastAsia="Arial" w:hAnsi="Arial" w:cs="Arial"/>
          <w:color w:val="212121"/>
          <w:sz w:val="20"/>
          <w:szCs w:val="20"/>
          <w:highlight w:val="white"/>
          <w:vertAlign w:val="baseline"/>
        </w:rPr>
        <w:t>BMC Public Health. 2012;12:398.</w:t>
      </w:r>
    </w:p>
    <w:p w14:paraId="1D9B0C0D" w14:textId="77777777" w:rsidR="00634CDF" w:rsidRDefault="00F0051D">
      <w:pPr>
        <w:numPr>
          <w:ilvl w:val="0"/>
          <w:numId w:val="12"/>
        </w:numPr>
        <w:ind w:left="0" w:hanging="2"/>
        <w:jc w:val="both"/>
        <w:rPr>
          <w:rFonts w:ascii="Arial" w:eastAsia="Arial" w:hAnsi="Arial" w:cs="Arial"/>
          <w:sz w:val="20"/>
          <w:szCs w:val="20"/>
          <w:vertAlign w:val="baseline"/>
        </w:rPr>
      </w:pPr>
      <w:r w:rsidRPr="001779CA">
        <w:rPr>
          <w:rFonts w:ascii="Arial" w:eastAsia="Arial" w:hAnsi="Arial" w:cs="Arial"/>
          <w:color w:val="303030"/>
          <w:sz w:val="20"/>
          <w:szCs w:val="20"/>
          <w:highlight w:val="white"/>
          <w:vertAlign w:val="baseline"/>
          <w:lang w:val="en-US"/>
        </w:rPr>
        <w:t xml:space="preserve">Ference BA, Ginsberg HN, Graham I, Ray KK, Packard CJ, Bruckert E et al. </w:t>
      </w:r>
      <w:r w:rsidRPr="00F20431">
        <w:rPr>
          <w:rFonts w:ascii="Arial" w:eastAsia="Arial" w:hAnsi="Arial" w:cs="Arial"/>
          <w:color w:val="303030"/>
          <w:sz w:val="20"/>
          <w:szCs w:val="20"/>
          <w:highlight w:val="white"/>
          <w:vertAlign w:val="baseline"/>
          <w:lang w:val="en-GB"/>
        </w:rPr>
        <w:t xml:space="preserve">Low-density lipoproteins cause atherosclerotic cardiovascular disease. </w:t>
      </w:r>
      <w:r w:rsidRPr="001779CA">
        <w:rPr>
          <w:rFonts w:ascii="Arial" w:eastAsia="Arial" w:hAnsi="Arial" w:cs="Arial"/>
          <w:color w:val="303030"/>
          <w:sz w:val="20"/>
          <w:szCs w:val="20"/>
          <w:highlight w:val="white"/>
          <w:vertAlign w:val="baseline"/>
          <w:lang w:val="en-US"/>
        </w:rPr>
        <w:t xml:space="preserve">1. Evidence from genetic, epidemiologic, and clinical studies. A consensus statement from the European Atherosclerosis Society Consensus Panel. </w:t>
      </w:r>
      <w:r>
        <w:rPr>
          <w:rFonts w:ascii="Arial" w:eastAsia="Arial" w:hAnsi="Arial" w:cs="Arial"/>
          <w:color w:val="303030"/>
          <w:sz w:val="20"/>
          <w:szCs w:val="20"/>
          <w:highlight w:val="white"/>
          <w:vertAlign w:val="baseline"/>
        </w:rPr>
        <w:t xml:space="preserve">Eur Heart J. 2017;38(32):2459-2472. </w:t>
      </w:r>
    </w:p>
    <w:p w14:paraId="602A20C4" w14:textId="07038FF8" w:rsidR="00634CDF" w:rsidRPr="001779CA" w:rsidRDefault="00F0051D">
      <w:pPr>
        <w:numPr>
          <w:ilvl w:val="0"/>
          <w:numId w:val="12"/>
        </w:numPr>
        <w:ind w:left="0" w:hanging="2"/>
        <w:jc w:val="both"/>
        <w:rPr>
          <w:rFonts w:ascii="Arial" w:eastAsia="Arial" w:hAnsi="Arial" w:cs="Arial"/>
          <w:sz w:val="20"/>
          <w:szCs w:val="20"/>
          <w:vertAlign w:val="baseline"/>
          <w:lang w:val="en-US"/>
        </w:rPr>
      </w:pPr>
      <w:r w:rsidRPr="001779CA">
        <w:rPr>
          <w:rFonts w:ascii="Arial" w:eastAsia="Arial" w:hAnsi="Arial" w:cs="Arial"/>
          <w:color w:val="212121"/>
          <w:sz w:val="20"/>
          <w:szCs w:val="20"/>
          <w:highlight w:val="white"/>
          <w:vertAlign w:val="baseline"/>
          <w:lang w:val="en-US"/>
        </w:rPr>
        <w:t xml:space="preserve">Deedwania PC, Pedersen TR, DeMicco DA, Breazna A, Betteridge DJ, Hitman GA et al. Differing predictive relationships between baseline LDL-C, systolic blood pressure, and cardiovascular outcomes. Int J Cardiol. </w:t>
      </w:r>
      <w:r w:rsidR="00574FA1" w:rsidRPr="001779CA">
        <w:rPr>
          <w:rFonts w:ascii="Arial" w:eastAsia="Arial" w:hAnsi="Arial" w:cs="Arial"/>
          <w:color w:val="212121"/>
          <w:sz w:val="20"/>
          <w:szCs w:val="20"/>
          <w:highlight w:val="white"/>
          <w:vertAlign w:val="baseline"/>
          <w:lang w:val="en-US"/>
        </w:rPr>
        <w:t>2016; 222:548</w:t>
      </w:r>
      <w:r w:rsidRPr="001779CA">
        <w:rPr>
          <w:rFonts w:ascii="Arial" w:eastAsia="Arial" w:hAnsi="Arial" w:cs="Arial"/>
          <w:color w:val="212121"/>
          <w:sz w:val="20"/>
          <w:szCs w:val="20"/>
          <w:highlight w:val="white"/>
          <w:vertAlign w:val="baseline"/>
          <w:lang w:val="en-US"/>
        </w:rPr>
        <w:t>-556.</w:t>
      </w:r>
    </w:p>
    <w:p w14:paraId="4B37FB6F" w14:textId="77777777" w:rsidR="00634CDF" w:rsidRPr="00D66FD9" w:rsidRDefault="00F0051D" w:rsidP="00D66FD9">
      <w:pPr>
        <w:numPr>
          <w:ilvl w:val="0"/>
          <w:numId w:val="12"/>
        </w:numPr>
        <w:spacing w:line="259" w:lineRule="auto"/>
        <w:ind w:left="0" w:hanging="2"/>
        <w:jc w:val="both"/>
        <w:rPr>
          <w:rFonts w:ascii="Arial" w:eastAsia="Arial" w:hAnsi="Arial" w:cs="Arial"/>
          <w:color w:val="0E0E0E"/>
          <w:sz w:val="20"/>
          <w:szCs w:val="20"/>
          <w:vertAlign w:val="baseline"/>
          <w:lang w:val="en-US"/>
        </w:rPr>
      </w:pPr>
      <w:r w:rsidRPr="00D66FD9">
        <w:rPr>
          <w:rFonts w:ascii="Arial" w:eastAsia="Arial" w:hAnsi="Arial" w:cs="Arial"/>
          <w:color w:val="0E0E0E"/>
          <w:sz w:val="20"/>
          <w:szCs w:val="20"/>
          <w:vertAlign w:val="baseline"/>
          <w:lang w:val="en-US"/>
        </w:rPr>
        <w:t xml:space="preserve">Centers for Disease Control and Prevention. National Health and Nutrition Examination survey. NHANES Survey Methods and Analytic Guidelines:2020.[Internet].[Consultado el 10/09/2021].Disponible en:  </w:t>
      </w:r>
      <w:hyperlink r:id="rId58" w:anchor="analyticguidelines%20(2020)">
        <w:r w:rsidRPr="00D66FD9">
          <w:rPr>
            <w:rFonts w:ascii="Arial" w:eastAsia="Arial" w:hAnsi="Arial" w:cs="Arial"/>
            <w:color w:val="0E0E0E"/>
            <w:sz w:val="20"/>
            <w:szCs w:val="20"/>
            <w:vertAlign w:val="baseline"/>
            <w:lang w:val="en-US"/>
          </w:rPr>
          <w:t>https://wwwn.cdc.gov/nchs/nhanes/analyticguidelines.aspx#analyticguidelines%20(2020)</w:t>
        </w:r>
      </w:hyperlink>
    </w:p>
    <w:p w14:paraId="3DB5B14F" w14:textId="77777777" w:rsidR="00634CDF" w:rsidRPr="00D66FD9" w:rsidRDefault="00F0051D" w:rsidP="00D66FD9">
      <w:pPr>
        <w:numPr>
          <w:ilvl w:val="0"/>
          <w:numId w:val="12"/>
        </w:numPr>
        <w:spacing w:line="259" w:lineRule="auto"/>
        <w:ind w:left="0" w:hanging="2"/>
        <w:jc w:val="both"/>
        <w:rPr>
          <w:rFonts w:ascii="Arial" w:eastAsia="Arial" w:hAnsi="Arial" w:cs="Arial"/>
          <w:color w:val="0E0E0E"/>
          <w:sz w:val="20"/>
          <w:szCs w:val="20"/>
          <w:vertAlign w:val="baseline"/>
          <w:lang w:val="en-US"/>
        </w:rPr>
      </w:pPr>
      <w:r w:rsidRPr="00D66FD9">
        <w:rPr>
          <w:rFonts w:ascii="Arial" w:eastAsia="Arial" w:hAnsi="Arial" w:cs="Arial"/>
          <w:color w:val="0E0E0E"/>
          <w:sz w:val="20"/>
          <w:szCs w:val="20"/>
          <w:vertAlign w:val="baseline"/>
          <w:lang w:val="en-US"/>
        </w:rPr>
        <w:t xml:space="preserve">Moran AE, Forouzanfar MH, Roth GA, Mensah GA, Ezzati M, Flaxman A et al. The global burden of ischemic heart disease in 1990 and 2010: the Global Burden of Disease 2010 study. Circulation. 2014;129(14):1493-501. </w:t>
      </w:r>
    </w:p>
    <w:p w14:paraId="7E5FF152" w14:textId="77777777" w:rsidR="00634CDF" w:rsidRPr="00D66FD9" w:rsidRDefault="00F0051D" w:rsidP="00D66FD9">
      <w:pPr>
        <w:numPr>
          <w:ilvl w:val="0"/>
          <w:numId w:val="12"/>
        </w:numPr>
        <w:spacing w:line="259" w:lineRule="auto"/>
        <w:ind w:left="0" w:hanging="2"/>
        <w:jc w:val="both"/>
        <w:rPr>
          <w:rFonts w:ascii="Arial" w:eastAsia="Arial" w:hAnsi="Arial" w:cs="Arial"/>
          <w:color w:val="0E0E0E"/>
          <w:sz w:val="20"/>
          <w:szCs w:val="20"/>
          <w:vertAlign w:val="baseline"/>
          <w:lang w:val="en-US"/>
        </w:rPr>
      </w:pPr>
      <w:r w:rsidRPr="00D66FD9">
        <w:rPr>
          <w:rFonts w:ascii="Arial" w:eastAsia="Arial" w:hAnsi="Arial" w:cs="Arial"/>
          <w:color w:val="0E0E0E"/>
          <w:sz w:val="20"/>
          <w:szCs w:val="20"/>
          <w:vertAlign w:val="baseline"/>
          <w:lang w:val="en-US"/>
        </w:rPr>
        <w:t>Moran AE, Forouzanfar MH, Roth GA, Mensah GA, Ezzati M, Murray CJ et al. Temporal trends in ischemic heart disease mortality in 21 world regions, 1980 to 2010: the Global Burden of Disease 2010 study. Circulation. 2014;129(14):1483-92.</w:t>
      </w:r>
    </w:p>
    <w:p w14:paraId="41B9DDE3" w14:textId="77777777" w:rsidR="00634CDF" w:rsidRPr="00D66FD9" w:rsidRDefault="00F0051D" w:rsidP="00D66FD9">
      <w:pPr>
        <w:numPr>
          <w:ilvl w:val="0"/>
          <w:numId w:val="12"/>
        </w:numPr>
        <w:spacing w:line="259" w:lineRule="auto"/>
        <w:ind w:left="0" w:hanging="2"/>
        <w:jc w:val="both"/>
        <w:rPr>
          <w:rFonts w:ascii="Arial" w:eastAsia="Arial" w:hAnsi="Arial" w:cs="Arial"/>
          <w:color w:val="0E0E0E"/>
          <w:sz w:val="20"/>
          <w:szCs w:val="20"/>
          <w:vertAlign w:val="baseline"/>
          <w:lang w:val="en-US"/>
        </w:rPr>
      </w:pPr>
      <w:r w:rsidRPr="00D66FD9">
        <w:rPr>
          <w:rFonts w:ascii="Arial" w:eastAsia="Arial" w:hAnsi="Arial" w:cs="Arial"/>
          <w:color w:val="0E0E0E"/>
          <w:sz w:val="20"/>
          <w:szCs w:val="20"/>
          <w:vertAlign w:val="baseline"/>
          <w:lang w:val="en-US"/>
        </w:rPr>
        <w:t xml:space="preserve">Murray CJ, Vos T, Lozano R, Naghavi M, Flaxman AD, Michaud C et al.  Disability-adjusted life years (DALYs) for 291 diseases and injuries in 21 regions, 1990-2010: a systematic analysis for the Global Burden of Disease Study 2010. Lancet. 2012;380(9859):2197-223. </w:t>
      </w:r>
    </w:p>
    <w:p w14:paraId="12821420" w14:textId="77777777" w:rsidR="00634CDF" w:rsidRPr="00D66FD9" w:rsidRDefault="00F0051D" w:rsidP="00D66FD9">
      <w:pPr>
        <w:numPr>
          <w:ilvl w:val="0"/>
          <w:numId w:val="12"/>
        </w:numPr>
        <w:spacing w:line="259" w:lineRule="auto"/>
        <w:ind w:left="0" w:hanging="2"/>
        <w:jc w:val="both"/>
        <w:rPr>
          <w:rFonts w:ascii="Arial" w:eastAsia="Arial" w:hAnsi="Arial" w:cs="Arial"/>
          <w:color w:val="0E0E0E"/>
          <w:sz w:val="20"/>
          <w:szCs w:val="20"/>
          <w:vertAlign w:val="baseline"/>
          <w:lang w:val="en-US"/>
        </w:rPr>
      </w:pPr>
      <w:r w:rsidRPr="00D66FD9">
        <w:rPr>
          <w:rFonts w:ascii="Arial" w:eastAsia="Arial" w:hAnsi="Arial" w:cs="Arial"/>
          <w:color w:val="0E0E0E"/>
          <w:sz w:val="20"/>
          <w:szCs w:val="20"/>
          <w:vertAlign w:val="baseline"/>
          <w:lang w:val="en-US"/>
        </w:rPr>
        <w:t>Kazi DS, Garber AM, Shah RU, Dudley RA, Mell MW, Rhee C et al. Cost-effectiveness of genotype-guided and dual antiplatelet therapies in acute coronary syndrome. Ann Intern Med. 2014;160(4):221-32.</w:t>
      </w:r>
    </w:p>
    <w:p w14:paraId="234ACE1E" w14:textId="77777777" w:rsidR="00634CDF" w:rsidRPr="00D66FD9" w:rsidRDefault="00F0051D" w:rsidP="00D66FD9">
      <w:pPr>
        <w:numPr>
          <w:ilvl w:val="0"/>
          <w:numId w:val="12"/>
        </w:numPr>
        <w:spacing w:line="259" w:lineRule="auto"/>
        <w:ind w:left="0" w:hanging="2"/>
        <w:jc w:val="both"/>
        <w:rPr>
          <w:rFonts w:ascii="Arial" w:eastAsia="Arial" w:hAnsi="Arial" w:cs="Arial"/>
          <w:color w:val="0E0E0E"/>
          <w:sz w:val="20"/>
          <w:szCs w:val="20"/>
          <w:vertAlign w:val="baseline"/>
          <w:lang w:val="en-US"/>
        </w:rPr>
      </w:pPr>
      <w:r w:rsidRPr="00D66FD9">
        <w:rPr>
          <w:rFonts w:ascii="Arial" w:eastAsia="Arial" w:hAnsi="Arial" w:cs="Arial"/>
          <w:color w:val="0E0E0E"/>
          <w:sz w:val="20"/>
          <w:szCs w:val="20"/>
          <w:vertAlign w:val="baseline"/>
          <w:lang w:val="en-US"/>
        </w:rPr>
        <w:t>Hovingh GK, Gandra SR, McKendrick J, Dent R, Wieffer H, Catapano AL et al. Identification and management of patients with statin-associated symptoms in clinical practice: A clinician survey. Atherosclerosis. 2016;245:111-7.</w:t>
      </w:r>
    </w:p>
    <w:p w14:paraId="07D21B1C" w14:textId="77777777" w:rsidR="00634CDF" w:rsidRPr="00C93110" w:rsidRDefault="00F0051D" w:rsidP="00D66FD9">
      <w:pPr>
        <w:numPr>
          <w:ilvl w:val="0"/>
          <w:numId w:val="12"/>
        </w:numPr>
        <w:spacing w:line="259" w:lineRule="auto"/>
        <w:ind w:left="0" w:hanging="2"/>
        <w:jc w:val="both"/>
        <w:rPr>
          <w:rFonts w:ascii="Arial" w:eastAsia="Arial" w:hAnsi="Arial" w:cs="Arial"/>
          <w:color w:val="0E0E0E"/>
          <w:sz w:val="20"/>
          <w:szCs w:val="20"/>
          <w:vertAlign w:val="baseline"/>
        </w:rPr>
      </w:pPr>
      <w:r w:rsidRPr="00F20431">
        <w:rPr>
          <w:rFonts w:ascii="Arial" w:eastAsia="Arial" w:hAnsi="Arial" w:cs="Arial"/>
          <w:color w:val="0E0E0E"/>
          <w:sz w:val="20"/>
          <w:szCs w:val="20"/>
          <w:vertAlign w:val="baseline"/>
        </w:rPr>
        <w:t xml:space="preserve">Zamora A, Masana L, Comas-Cufi M, Plana N, Vilá A, García-Gil M et al. Número de pacientes candidatos a recibir inhibidores de la PCSK9 según datos de 2,5 millones de participantes de la práctica clínica real. </w:t>
      </w:r>
      <w:r w:rsidRPr="00C93110">
        <w:rPr>
          <w:rFonts w:ascii="Arial" w:eastAsia="Arial" w:hAnsi="Arial" w:cs="Arial"/>
          <w:color w:val="0E0E0E"/>
          <w:sz w:val="20"/>
          <w:szCs w:val="20"/>
          <w:vertAlign w:val="baseline"/>
        </w:rPr>
        <w:t>Rev. Esp Cardiol.2018;71(12):1010-1017.</w:t>
      </w:r>
    </w:p>
    <w:p w14:paraId="2266BC38" w14:textId="77777777" w:rsidR="00634CDF" w:rsidRDefault="00634CDF">
      <w:pPr>
        <w:spacing w:after="240"/>
        <w:ind w:left="0" w:hanging="2"/>
        <w:jc w:val="both"/>
        <w:rPr>
          <w:rFonts w:ascii="Arial" w:eastAsia="Arial" w:hAnsi="Arial" w:cs="Arial"/>
          <w:color w:val="0E0E0E"/>
          <w:sz w:val="20"/>
          <w:szCs w:val="20"/>
          <w:vertAlign w:val="baseline"/>
        </w:rPr>
      </w:pPr>
    </w:p>
    <w:p w14:paraId="5A4F68EA"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FF"/>
          <w:sz w:val="20"/>
          <w:szCs w:val="20"/>
          <w:u w:val="single"/>
          <w:vertAlign w:val="baseline"/>
        </w:rPr>
      </w:pPr>
    </w:p>
    <w:p w14:paraId="3378B82B" w14:textId="77777777" w:rsidR="00634CDF" w:rsidRDefault="00F0051D">
      <w:pPr>
        <w:pageBreakBefore/>
        <w:pBdr>
          <w:top w:val="nil"/>
          <w:left w:val="nil"/>
          <w:bottom w:val="nil"/>
          <w:right w:val="nil"/>
          <w:between w:val="nil"/>
        </w:pBdr>
        <w:shd w:val="clear" w:color="auto" w:fill="DBE5F1"/>
        <w:spacing w:line="240" w:lineRule="auto"/>
        <w:ind w:left="0" w:hanging="2"/>
        <w:jc w:val="center"/>
        <w:rPr>
          <w:color w:val="000000"/>
          <w:vertAlign w:val="baseline"/>
        </w:rPr>
      </w:pPr>
      <w:r>
        <w:rPr>
          <w:rFonts w:ascii="Arial" w:eastAsia="Arial" w:hAnsi="Arial" w:cs="Arial"/>
          <w:b/>
          <w:color w:val="000000"/>
          <w:sz w:val="20"/>
          <w:szCs w:val="20"/>
          <w:vertAlign w:val="baseline"/>
        </w:rPr>
        <w:lastRenderedPageBreak/>
        <w:t>Formulario de declaración de conflictos de intereses</w:t>
      </w:r>
    </w:p>
    <w:p w14:paraId="393E1753"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1E118C7E" w14:textId="77777777" w:rsidR="00634CDF" w:rsidRDefault="00F0051D">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Los potenciales conflictos de intereses en la elaboración de informes de evaluación se consideran siempre que superen la cantidad de 2.000 euros anuales (últimos 3 años). </w:t>
      </w:r>
    </w:p>
    <w:p w14:paraId="2247803D"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rPr>
          <w:rFonts w:ascii="Arial" w:eastAsia="Arial" w:hAnsi="Arial" w:cs="Arial"/>
          <w:color w:val="000080"/>
          <w:sz w:val="20"/>
          <w:szCs w:val="20"/>
          <w:vertAlign w:val="baseline"/>
        </w:rPr>
      </w:pPr>
    </w:p>
    <w:p w14:paraId="2C0F5C0F" w14:textId="4872BD44"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 Nombre y apellidos:</w:t>
      </w:r>
      <w:r w:rsidR="00A4153B">
        <w:rPr>
          <w:rFonts w:ascii="Arial" w:eastAsia="Arial" w:hAnsi="Arial" w:cs="Arial"/>
          <w:b/>
          <w:color w:val="000000"/>
          <w:sz w:val="20"/>
          <w:szCs w:val="20"/>
          <w:vertAlign w:val="baseline"/>
        </w:rPr>
        <w:t xml:space="preserve"> </w:t>
      </w:r>
      <w:r w:rsidR="00A4153B" w:rsidRPr="00A4153B">
        <w:rPr>
          <w:rFonts w:ascii="Arial" w:eastAsia="Arial" w:hAnsi="Arial" w:cs="Arial"/>
          <w:color w:val="000000"/>
          <w:sz w:val="20"/>
          <w:szCs w:val="20"/>
          <w:vertAlign w:val="baseline"/>
        </w:rPr>
        <w:t>Ruth Ubago Pérez</w:t>
      </w:r>
    </w:p>
    <w:p w14:paraId="644B7241"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3D6B1A67" w14:textId="08C9DEF5"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 Institución en la que trabaja:</w:t>
      </w:r>
      <w:r w:rsidR="00A4153B">
        <w:rPr>
          <w:rFonts w:ascii="Arial" w:eastAsia="Arial" w:hAnsi="Arial" w:cs="Arial"/>
          <w:b/>
          <w:color w:val="000000"/>
          <w:sz w:val="20"/>
          <w:szCs w:val="20"/>
          <w:vertAlign w:val="baseline"/>
        </w:rPr>
        <w:t xml:space="preserve"> </w:t>
      </w:r>
      <w:r w:rsidR="00A4153B" w:rsidRPr="00A4153B">
        <w:rPr>
          <w:rFonts w:ascii="Arial" w:eastAsia="Arial" w:hAnsi="Arial" w:cs="Arial"/>
          <w:color w:val="000000"/>
          <w:sz w:val="20"/>
          <w:szCs w:val="20"/>
          <w:vertAlign w:val="baseline"/>
        </w:rPr>
        <w:t>Hospital Universitario San Cecilio. Granada</w:t>
      </w:r>
    </w:p>
    <w:p w14:paraId="50E0C5BF"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5A0F128B" w14:textId="6B5374F0"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 xml:space="preserve">– Institución que le vincula al informe. </w:t>
      </w:r>
      <w:r w:rsidR="00A4153B">
        <w:rPr>
          <w:rFonts w:ascii="Arial" w:eastAsia="Arial" w:hAnsi="Arial" w:cs="Arial"/>
          <w:color w:val="000000"/>
          <w:sz w:val="20"/>
          <w:szCs w:val="20"/>
          <w:vertAlign w:val="baseline"/>
        </w:rPr>
        <w:t>Grupo GENESIS de la SEFH</w:t>
      </w:r>
    </w:p>
    <w:p w14:paraId="0F473664" w14:textId="77777777" w:rsidR="00634CDF" w:rsidRDefault="00634CDF">
      <w:pPr>
        <w:pBdr>
          <w:top w:val="nil"/>
          <w:left w:val="nil"/>
          <w:bottom w:val="nil"/>
          <w:right w:val="nil"/>
          <w:between w:val="nil"/>
        </w:pBdr>
        <w:spacing w:after="40" w:line="240" w:lineRule="auto"/>
        <w:ind w:left="0" w:hanging="2"/>
        <w:rPr>
          <w:rFonts w:ascii="Arial" w:eastAsia="Arial" w:hAnsi="Arial" w:cs="Arial"/>
          <w:color w:val="000000"/>
          <w:sz w:val="20"/>
          <w:szCs w:val="20"/>
          <w:vertAlign w:val="baseline"/>
        </w:rPr>
      </w:pPr>
    </w:p>
    <w:p w14:paraId="39FE5047" w14:textId="77777777" w:rsidR="00634CDF" w:rsidRDefault="00F0051D">
      <w:pPr>
        <w:pBdr>
          <w:top w:val="nil"/>
          <w:left w:val="nil"/>
          <w:bottom w:val="nil"/>
          <w:right w:val="nil"/>
          <w:between w:val="nil"/>
        </w:pBdr>
        <w:spacing w:after="40" w:line="240" w:lineRule="auto"/>
        <w:ind w:left="0" w:hanging="2"/>
        <w:rPr>
          <w:color w:val="000000"/>
          <w:vertAlign w:val="baseline"/>
        </w:rPr>
      </w:pPr>
      <w:r>
        <w:rPr>
          <w:rFonts w:ascii="Arial" w:eastAsia="Arial" w:hAnsi="Arial" w:cs="Arial"/>
          <w:color w:val="000000"/>
          <w:sz w:val="20"/>
          <w:szCs w:val="20"/>
          <w:vertAlign w:val="baseline"/>
        </w:rPr>
        <w:t>Participación en el informe de evaluación como:</w:t>
      </w:r>
    </w:p>
    <w:p w14:paraId="6C5A853D" w14:textId="77777777" w:rsidR="00634CDF" w:rsidRPr="00A4153B" w:rsidRDefault="00F0051D">
      <w:pPr>
        <w:pBdr>
          <w:top w:val="nil"/>
          <w:left w:val="nil"/>
          <w:bottom w:val="nil"/>
          <w:right w:val="nil"/>
          <w:between w:val="nil"/>
        </w:pBdr>
        <w:spacing w:line="240" w:lineRule="auto"/>
        <w:ind w:left="0" w:hanging="2"/>
        <w:rPr>
          <w:color w:val="000000"/>
          <w:u w:val="single"/>
          <w:vertAlign w:val="baseline"/>
        </w:rPr>
      </w:pPr>
      <w:r w:rsidRPr="00A4153B">
        <w:rPr>
          <w:rFonts w:ascii="Arial" w:eastAsia="Arial" w:hAnsi="Arial" w:cs="Arial"/>
          <w:color w:val="000000"/>
          <w:sz w:val="20"/>
          <w:szCs w:val="20"/>
          <w:u w:val="single"/>
          <w:vertAlign w:val="baseline"/>
        </w:rPr>
        <w:t>1-Autor/a</w:t>
      </w:r>
    </w:p>
    <w:p w14:paraId="67B6600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20"/>
          <w:szCs w:val="20"/>
          <w:vertAlign w:val="baseline"/>
        </w:rPr>
        <w:t>2-Tutor/a</w:t>
      </w:r>
    </w:p>
    <w:p w14:paraId="5A8E077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20"/>
          <w:szCs w:val="20"/>
          <w:vertAlign w:val="baseline"/>
        </w:rPr>
        <w:t>3-Revisor/a externo/a</w:t>
      </w:r>
    </w:p>
    <w:p w14:paraId="15C138CC"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30ACB869" w14:textId="77777777" w:rsidR="00634CDF" w:rsidRDefault="00F0051D">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Tras haber y leído y comprendido la información remitida sobre la declaración de conflictos para el presente informe, formulo la siguiente declaración:</w:t>
      </w:r>
    </w:p>
    <w:p w14:paraId="6D2B66DD" w14:textId="77777777" w:rsidR="00634CDF" w:rsidRDefault="00634CDF">
      <w:pPr>
        <w:pBdr>
          <w:top w:val="nil"/>
          <w:left w:val="nil"/>
          <w:bottom w:val="nil"/>
          <w:right w:val="nil"/>
          <w:between w:val="nil"/>
        </w:pBdr>
        <w:spacing w:after="40" w:line="240" w:lineRule="auto"/>
        <w:ind w:left="0" w:hanging="2"/>
        <w:rPr>
          <w:rFonts w:ascii="Arial" w:eastAsia="Arial" w:hAnsi="Arial" w:cs="Arial"/>
          <w:color w:val="000000"/>
          <w:sz w:val="20"/>
          <w:szCs w:val="20"/>
          <w:vertAlign w:val="baseline"/>
        </w:rPr>
      </w:pPr>
    </w:p>
    <w:p w14:paraId="35161A81" w14:textId="7247AD9E"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A- Intereses personales (</w:t>
      </w:r>
      <w:r>
        <w:rPr>
          <w:rFonts w:ascii="Arial" w:eastAsia="Arial" w:hAnsi="Arial" w:cs="Arial"/>
          <w:color w:val="000000"/>
          <w:sz w:val="20"/>
          <w:szCs w:val="20"/>
          <w:vertAlign w:val="baseline"/>
        </w:rPr>
        <w:t>En caso afirmativo especificar</w:t>
      </w:r>
      <w:r>
        <w:rPr>
          <w:rFonts w:ascii="Arial" w:eastAsia="Arial" w:hAnsi="Arial" w:cs="Arial"/>
          <w:b/>
          <w:color w:val="000000"/>
          <w:sz w:val="20"/>
          <w:szCs w:val="20"/>
          <w:vertAlign w:val="baseline"/>
        </w:rPr>
        <w:t xml:space="preserve">): </w:t>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sidR="00251F35">
        <w:rPr>
          <w:rFonts w:ascii="Noto Sans Symbols" w:eastAsia="Noto Sans Symbols" w:hAnsi="Noto Sans Symbols" w:cs="Noto Sans Symbols"/>
          <w:b/>
          <w:color w:val="000000"/>
          <w:sz w:val="20"/>
          <w:szCs w:val="20"/>
          <w:vertAlign w:val="baseline"/>
        </w:rPr>
        <w:sym w:font="Symbol" w:char="F07F"/>
      </w:r>
      <w:r>
        <w:rPr>
          <w:rFonts w:ascii="Arial" w:eastAsia="Arial" w:hAnsi="Arial" w:cs="Arial"/>
          <w:b/>
          <w:color w:val="000000"/>
          <w:sz w:val="20"/>
          <w:szCs w:val="20"/>
          <w:vertAlign w:val="baseline"/>
        </w:rPr>
        <w:t>SI</w:t>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sidR="00A4153B">
        <w:rPr>
          <w:rFonts w:ascii="Noto Sans Symbols" w:eastAsia="Noto Sans Symbols" w:hAnsi="Noto Sans Symbols" w:cs="Noto Sans Symbols"/>
          <w:b/>
          <w:color w:val="000000"/>
          <w:sz w:val="20"/>
          <w:szCs w:val="20"/>
          <w:vertAlign w:val="baseline"/>
        </w:rPr>
        <w:sym w:font="Wingdings" w:char="F078"/>
      </w:r>
      <w:r>
        <w:rPr>
          <w:rFonts w:ascii="Arial" w:eastAsia="Arial" w:hAnsi="Arial" w:cs="Arial"/>
          <w:b/>
          <w:color w:val="000000"/>
          <w:sz w:val="20"/>
          <w:szCs w:val="20"/>
          <w:vertAlign w:val="baseline"/>
        </w:rPr>
        <w:t xml:space="preserve">NO </w:t>
      </w:r>
    </w:p>
    <w:p w14:paraId="2C03A832"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tbl>
      <w:tblPr>
        <w:tblStyle w:val="aff7"/>
        <w:tblW w:w="8898" w:type="dxa"/>
        <w:tblInd w:w="-5" w:type="dxa"/>
        <w:tblLayout w:type="fixed"/>
        <w:tblLook w:val="0000" w:firstRow="0" w:lastRow="0" w:firstColumn="0" w:lastColumn="0" w:noHBand="0" w:noVBand="0"/>
      </w:tblPr>
      <w:tblGrid>
        <w:gridCol w:w="5495"/>
        <w:gridCol w:w="1276"/>
        <w:gridCol w:w="1275"/>
        <w:gridCol w:w="852"/>
      </w:tblGrid>
      <w:tr w:rsidR="00634CDF" w14:paraId="7D060E49" w14:textId="77777777">
        <w:tc>
          <w:tcPr>
            <w:tcW w:w="5495" w:type="dxa"/>
            <w:tcBorders>
              <w:top w:val="single" w:sz="4" w:space="0" w:color="000000"/>
              <w:left w:val="single" w:sz="4" w:space="0" w:color="000000"/>
              <w:bottom w:val="single" w:sz="4" w:space="0" w:color="000000"/>
            </w:tcBorders>
          </w:tcPr>
          <w:p w14:paraId="23585E22"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6" w:type="dxa"/>
            <w:tcBorders>
              <w:top w:val="single" w:sz="4" w:space="0" w:color="000000"/>
              <w:left w:val="single" w:sz="4" w:space="0" w:color="000000"/>
              <w:bottom w:val="single" w:sz="4" w:space="0" w:color="000000"/>
            </w:tcBorders>
          </w:tcPr>
          <w:p w14:paraId="101FFB4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Actividad</w:t>
            </w:r>
          </w:p>
        </w:tc>
        <w:tc>
          <w:tcPr>
            <w:tcW w:w="1275" w:type="dxa"/>
            <w:tcBorders>
              <w:top w:val="single" w:sz="4" w:space="0" w:color="000000"/>
              <w:left w:val="single" w:sz="4" w:space="0" w:color="000000"/>
              <w:bottom w:val="single" w:sz="4" w:space="0" w:color="000000"/>
            </w:tcBorders>
          </w:tcPr>
          <w:p w14:paraId="35F75365"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Institución</w:t>
            </w:r>
          </w:p>
        </w:tc>
        <w:tc>
          <w:tcPr>
            <w:tcW w:w="852" w:type="dxa"/>
            <w:tcBorders>
              <w:top w:val="single" w:sz="4" w:space="0" w:color="000000"/>
              <w:left w:val="single" w:sz="4" w:space="0" w:color="000000"/>
              <w:bottom w:val="single" w:sz="4" w:space="0" w:color="000000"/>
              <w:right w:val="single" w:sz="4" w:space="0" w:color="000000"/>
            </w:tcBorders>
          </w:tcPr>
          <w:p w14:paraId="6C470E8C"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Fecha</w:t>
            </w:r>
          </w:p>
        </w:tc>
      </w:tr>
      <w:tr w:rsidR="00634CDF" w14:paraId="416E3E1C" w14:textId="77777777">
        <w:tc>
          <w:tcPr>
            <w:tcW w:w="5495" w:type="dxa"/>
            <w:tcBorders>
              <w:top w:val="single" w:sz="4" w:space="0" w:color="000000"/>
              <w:left w:val="single" w:sz="4" w:space="0" w:color="000000"/>
              <w:bottom w:val="single" w:sz="4" w:space="0" w:color="000000"/>
            </w:tcBorders>
          </w:tcPr>
          <w:p w14:paraId="6C5F096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Financiación para reuniones y congresos, asistencia a cursos (inscripciones, bolsas de viajes, alojamiento…)</w:t>
            </w:r>
          </w:p>
        </w:tc>
        <w:tc>
          <w:tcPr>
            <w:tcW w:w="1276" w:type="dxa"/>
            <w:tcBorders>
              <w:top w:val="single" w:sz="4" w:space="0" w:color="000000"/>
              <w:left w:val="single" w:sz="4" w:space="0" w:color="000000"/>
              <w:bottom w:val="single" w:sz="4" w:space="0" w:color="000000"/>
            </w:tcBorders>
          </w:tcPr>
          <w:p w14:paraId="14F9344D"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37582D23"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4CC87646"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634CDF" w14:paraId="78908895" w14:textId="77777777">
        <w:tc>
          <w:tcPr>
            <w:tcW w:w="5495" w:type="dxa"/>
            <w:tcBorders>
              <w:top w:val="single" w:sz="4" w:space="0" w:color="000000"/>
              <w:left w:val="single" w:sz="4" w:space="0" w:color="000000"/>
              <w:bottom w:val="single" w:sz="4" w:space="0" w:color="000000"/>
            </w:tcBorders>
          </w:tcPr>
          <w:p w14:paraId="3D519A7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Honorarios como ponente (conferencias, cursos…)</w:t>
            </w:r>
          </w:p>
        </w:tc>
        <w:tc>
          <w:tcPr>
            <w:tcW w:w="1276" w:type="dxa"/>
            <w:tcBorders>
              <w:top w:val="single" w:sz="4" w:space="0" w:color="000000"/>
              <w:left w:val="single" w:sz="4" w:space="0" w:color="000000"/>
              <w:bottom w:val="single" w:sz="4" w:space="0" w:color="000000"/>
            </w:tcBorders>
          </w:tcPr>
          <w:p w14:paraId="7EA02025"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5FFE25DF"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33FFD4B9"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634CDF" w14:paraId="4E807A60" w14:textId="77777777">
        <w:tc>
          <w:tcPr>
            <w:tcW w:w="5495" w:type="dxa"/>
            <w:tcBorders>
              <w:top w:val="single" w:sz="4" w:space="0" w:color="000000"/>
              <w:left w:val="single" w:sz="4" w:space="0" w:color="000000"/>
              <w:bottom w:val="single" w:sz="4" w:space="0" w:color="000000"/>
            </w:tcBorders>
          </w:tcPr>
          <w:p w14:paraId="5BD4B1F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Financiación de programas educativos o cursos (contratación de personal, alquiler de instalaciones…)</w:t>
            </w:r>
          </w:p>
        </w:tc>
        <w:tc>
          <w:tcPr>
            <w:tcW w:w="1276" w:type="dxa"/>
            <w:tcBorders>
              <w:top w:val="single" w:sz="4" w:space="0" w:color="000000"/>
              <w:left w:val="single" w:sz="4" w:space="0" w:color="000000"/>
              <w:bottom w:val="single" w:sz="4" w:space="0" w:color="000000"/>
            </w:tcBorders>
          </w:tcPr>
          <w:p w14:paraId="09BD2C7A"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395FF792"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31A97F2C"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634CDF" w14:paraId="5D1B4E3D" w14:textId="77777777">
        <w:tc>
          <w:tcPr>
            <w:tcW w:w="5495" w:type="dxa"/>
            <w:tcBorders>
              <w:top w:val="single" w:sz="4" w:space="0" w:color="000000"/>
              <w:left w:val="single" w:sz="4" w:space="0" w:color="000000"/>
              <w:bottom w:val="single" w:sz="4" w:space="0" w:color="000000"/>
            </w:tcBorders>
          </w:tcPr>
          <w:p w14:paraId="31E381FA"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Financiación por participar en una investigación</w:t>
            </w:r>
          </w:p>
        </w:tc>
        <w:tc>
          <w:tcPr>
            <w:tcW w:w="1276" w:type="dxa"/>
            <w:tcBorders>
              <w:top w:val="single" w:sz="4" w:space="0" w:color="000000"/>
              <w:left w:val="single" w:sz="4" w:space="0" w:color="000000"/>
              <w:bottom w:val="single" w:sz="4" w:space="0" w:color="000000"/>
            </w:tcBorders>
          </w:tcPr>
          <w:p w14:paraId="7FFE2A22"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54A36425"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1B45BAC8"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634CDF" w14:paraId="3C33A35E" w14:textId="77777777">
        <w:tc>
          <w:tcPr>
            <w:tcW w:w="5495" w:type="dxa"/>
            <w:tcBorders>
              <w:top w:val="single" w:sz="4" w:space="0" w:color="000000"/>
              <w:left w:val="single" w:sz="4" w:space="0" w:color="000000"/>
              <w:bottom w:val="single" w:sz="4" w:space="0" w:color="000000"/>
            </w:tcBorders>
          </w:tcPr>
          <w:p w14:paraId="7B95743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Consultoría para una compañía farmacéutica/otras tecnologías</w:t>
            </w:r>
          </w:p>
        </w:tc>
        <w:tc>
          <w:tcPr>
            <w:tcW w:w="1276" w:type="dxa"/>
            <w:tcBorders>
              <w:top w:val="single" w:sz="4" w:space="0" w:color="000000"/>
              <w:left w:val="single" w:sz="4" w:space="0" w:color="000000"/>
              <w:bottom w:val="single" w:sz="4" w:space="0" w:color="000000"/>
            </w:tcBorders>
          </w:tcPr>
          <w:p w14:paraId="2F985E10"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035D5DDD"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2FE696CA"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634CDF" w14:paraId="071F8CD9" w14:textId="77777777">
        <w:tc>
          <w:tcPr>
            <w:tcW w:w="5495" w:type="dxa"/>
            <w:tcBorders>
              <w:top w:val="single" w:sz="4" w:space="0" w:color="000000"/>
              <w:left w:val="single" w:sz="4" w:space="0" w:color="000000"/>
              <w:bottom w:val="single" w:sz="4" w:space="0" w:color="000000"/>
            </w:tcBorders>
          </w:tcPr>
          <w:p w14:paraId="240F1AC7"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Accionista o con intereses comerciales en una compañía</w:t>
            </w:r>
          </w:p>
        </w:tc>
        <w:tc>
          <w:tcPr>
            <w:tcW w:w="1276" w:type="dxa"/>
            <w:tcBorders>
              <w:top w:val="single" w:sz="4" w:space="0" w:color="000000"/>
              <w:left w:val="single" w:sz="4" w:space="0" w:color="000000"/>
              <w:bottom w:val="single" w:sz="4" w:space="0" w:color="000000"/>
            </w:tcBorders>
          </w:tcPr>
          <w:p w14:paraId="7282FEA9"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26708658"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45DE95A4"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634CDF" w14:paraId="297FE508" w14:textId="77777777">
        <w:tc>
          <w:tcPr>
            <w:tcW w:w="5495" w:type="dxa"/>
            <w:tcBorders>
              <w:top w:val="single" w:sz="4" w:space="0" w:color="000000"/>
              <w:left w:val="single" w:sz="4" w:space="0" w:color="000000"/>
              <w:bottom w:val="single" w:sz="4" w:space="0" w:color="000000"/>
            </w:tcBorders>
          </w:tcPr>
          <w:p w14:paraId="606B134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Intereses económicos en una empresa privada relacionada con la salud (propietario, empleado, accionista, consulta privada…), que puede ser significativo en relación a la autoría del informe</w:t>
            </w:r>
          </w:p>
        </w:tc>
        <w:tc>
          <w:tcPr>
            <w:tcW w:w="1276" w:type="dxa"/>
            <w:tcBorders>
              <w:top w:val="single" w:sz="4" w:space="0" w:color="000000"/>
              <w:left w:val="single" w:sz="4" w:space="0" w:color="000000"/>
              <w:bottom w:val="single" w:sz="4" w:space="0" w:color="000000"/>
            </w:tcBorders>
          </w:tcPr>
          <w:p w14:paraId="06CEAE2F"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41FD076F"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2312F64E"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634CDF" w14:paraId="1215F899" w14:textId="77777777">
        <w:tc>
          <w:tcPr>
            <w:tcW w:w="5495" w:type="dxa"/>
            <w:tcBorders>
              <w:top w:val="single" w:sz="4" w:space="0" w:color="000000"/>
              <w:left w:val="single" w:sz="4" w:space="0" w:color="000000"/>
              <w:bottom w:val="single" w:sz="4" w:space="0" w:color="000000"/>
            </w:tcBorders>
          </w:tcPr>
          <w:p w14:paraId="2A821D7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Conflictos de intereses de índole no económico que pueden ser significativos en relación a la autoría en la guía</w:t>
            </w:r>
          </w:p>
        </w:tc>
        <w:tc>
          <w:tcPr>
            <w:tcW w:w="1276" w:type="dxa"/>
            <w:tcBorders>
              <w:top w:val="single" w:sz="4" w:space="0" w:color="000000"/>
              <w:left w:val="single" w:sz="4" w:space="0" w:color="000000"/>
              <w:bottom w:val="single" w:sz="4" w:space="0" w:color="000000"/>
            </w:tcBorders>
          </w:tcPr>
          <w:p w14:paraId="5CB0B1CC"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01A1C3F8"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35E7A0F0"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634CDF" w14:paraId="36B9898A" w14:textId="77777777">
        <w:trPr>
          <w:trHeight w:val="226"/>
        </w:trPr>
        <w:tc>
          <w:tcPr>
            <w:tcW w:w="8898" w:type="dxa"/>
            <w:gridSpan w:val="4"/>
            <w:tcBorders>
              <w:top w:val="single" w:sz="4" w:space="0" w:color="000000"/>
              <w:left w:val="single" w:sz="4" w:space="0" w:color="000000"/>
              <w:bottom w:val="single" w:sz="4" w:space="0" w:color="000000"/>
              <w:right w:val="single" w:sz="4" w:space="0" w:color="000000"/>
            </w:tcBorders>
          </w:tcPr>
          <w:p w14:paraId="6FEEC99D" w14:textId="77777777" w:rsidR="00634CDF" w:rsidRDefault="00634CDF">
            <w:pPr>
              <w:pBdr>
                <w:top w:val="nil"/>
                <w:left w:val="nil"/>
                <w:bottom w:val="nil"/>
                <w:right w:val="nil"/>
                <w:between w:val="nil"/>
              </w:pBdr>
              <w:spacing w:line="240" w:lineRule="auto"/>
              <w:ind w:left="0" w:hanging="2"/>
              <w:jc w:val="both"/>
              <w:rPr>
                <w:rFonts w:ascii="Arial" w:eastAsia="Arial" w:hAnsi="Arial" w:cs="Arial"/>
                <w:color w:val="FF0000"/>
                <w:sz w:val="18"/>
                <w:szCs w:val="18"/>
                <w:vertAlign w:val="baseline"/>
              </w:rPr>
            </w:pPr>
          </w:p>
        </w:tc>
      </w:tr>
    </w:tbl>
    <w:p w14:paraId="06DE5691" w14:textId="544ADE7B"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B- Intereses no personales (</w:t>
      </w:r>
      <w:r>
        <w:rPr>
          <w:rFonts w:ascii="Arial" w:eastAsia="Arial" w:hAnsi="Arial" w:cs="Arial"/>
          <w:color w:val="000000"/>
          <w:sz w:val="20"/>
          <w:szCs w:val="20"/>
          <w:vertAlign w:val="baseline"/>
        </w:rPr>
        <w:t>En caso afirmativo especificar</w:t>
      </w:r>
      <w:r>
        <w:rPr>
          <w:rFonts w:ascii="Arial" w:eastAsia="Arial" w:hAnsi="Arial" w:cs="Arial"/>
          <w:b/>
          <w:color w:val="000000"/>
          <w:sz w:val="20"/>
          <w:szCs w:val="20"/>
          <w:vertAlign w:val="baseline"/>
        </w:rPr>
        <w:t xml:space="preserve">): </w:t>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sidR="00251F35">
        <w:rPr>
          <w:rFonts w:ascii="Noto Sans Symbols" w:eastAsia="Noto Sans Symbols" w:hAnsi="Noto Sans Symbols" w:cs="Noto Sans Symbols"/>
          <w:b/>
          <w:color w:val="000000"/>
          <w:sz w:val="20"/>
          <w:szCs w:val="20"/>
          <w:vertAlign w:val="baseline"/>
        </w:rPr>
        <w:sym w:font="Symbol" w:char="F07F"/>
      </w:r>
      <w:r>
        <w:rPr>
          <w:rFonts w:ascii="Arial" w:eastAsia="Arial" w:hAnsi="Arial" w:cs="Arial"/>
          <w:b/>
          <w:color w:val="000000"/>
          <w:sz w:val="20"/>
          <w:szCs w:val="20"/>
          <w:vertAlign w:val="baseline"/>
        </w:rPr>
        <w:t>SI</w:t>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sidR="00A4153B">
        <w:rPr>
          <w:rFonts w:ascii="Noto Sans Symbols" w:eastAsia="Noto Sans Symbols" w:hAnsi="Noto Sans Symbols" w:cs="Noto Sans Symbols"/>
          <w:b/>
          <w:color w:val="000000"/>
          <w:sz w:val="20"/>
          <w:szCs w:val="20"/>
          <w:vertAlign w:val="baseline"/>
        </w:rPr>
        <w:sym w:font="Wingdings" w:char="F078"/>
      </w:r>
      <w:r>
        <w:rPr>
          <w:rFonts w:ascii="Arial" w:eastAsia="Arial" w:hAnsi="Arial" w:cs="Arial"/>
          <w:b/>
          <w:color w:val="000000"/>
          <w:sz w:val="20"/>
          <w:szCs w:val="20"/>
          <w:vertAlign w:val="baseline"/>
        </w:rPr>
        <w:t>NO</w:t>
      </w:r>
    </w:p>
    <w:p w14:paraId="1AABAD94"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 xml:space="preserve"> </w:t>
      </w:r>
    </w:p>
    <w:tbl>
      <w:tblPr>
        <w:tblStyle w:val="aff8"/>
        <w:tblW w:w="9039" w:type="dxa"/>
        <w:tblInd w:w="0" w:type="dxa"/>
        <w:tblLayout w:type="fixed"/>
        <w:tblLook w:val="0000" w:firstRow="0" w:lastRow="0" w:firstColumn="0" w:lastColumn="0" w:noHBand="0" w:noVBand="0"/>
      </w:tblPr>
      <w:tblGrid>
        <w:gridCol w:w="9039"/>
      </w:tblGrid>
      <w:tr w:rsidR="00634CDF" w14:paraId="0DEF2B73" w14:textId="77777777">
        <w:trPr>
          <w:trHeight w:val="226"/>
        </w:trPr>
        <w:tc>
          <w:tcPr>
            <w:tcW w:w="9039" w:type="dxa"/>
          </w:tcPr>
          <w:p w14:paraId="472EC362"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rPr>
                <w:rFonts w:ascii="Arial" w:eastAsia="Arial" w:hAnsi="Arial" w:cs="Arial"/>
                <w:color w:val="000000"/>
                <w:sz w:val="20"/>
                <w:szCs w:val="20"/>
                <w:vertAlign w:val="baseline"/>
              </w:rPr>
            </w:pPr>
          </w:p>
          <w:tbl>
            <w:tblPr>
              <w:tblStyle w:val="aff9"/>
              <w:tblW w:w="8898" w:type="dxa"/>
              <w:tblInd w:w="0" w:type="dxa"/>
              <w:tblLayout w:type="fixed"/>
              <w:tblLook w:val="0000" w:firstRow="0" w:lastRow="0" w:firstColumn="0" w:lastColumn="0" w:noHBand="0" w:noVBand="0"/>
            </w:tblPr>
            <w:tblGrid>
              <w:gridCol w:w="5495"/>
              <w:gridCol w:w="1276"/>
              <w:gridCol w:w="1275"/>
              <w:gridCol w:w="852"/>
            </w:tblGrid>
            <w:tr w:rsidR="00634CDF" w14:paraId="69498ABA" w14:textId="77777777">
              <w:tc>
                <w:tcPr>
                  <w:tcW w:w="5495" w:type="dxa"/>
                  <w:tcBorders>
                    <w:top w:val="single" w:sz="4" w:space="0" w:color="000000"/>
                    <w:left w:val="single" w:sz="4" w:space="0" w:color="000000"/>
                    <w:bottom w:val="single" w:sz="4" w:space="0" w:color="000000"/>
                  </w:tcBorders>
                </w:tcPr>
                <w:p w14:paraId="680A5E6A"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6" w:type="dxa"/>
                  <w:tcBorders>
                    <w:top w:val="single" w:sz="4" w:space="0" w:color="000000"/>
                    <w:left w:val="single" w:sz="4" w:space="0" w:color="000000"/>
                    <w:bottom w:val="single" w:sz="4" w:space="0" w:color="000000"/>
                  </w:tcBorders>
                </w:tcPr>
                <w:p w14:paraId="70D50436"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Actividad</w:t>
                  </w:r>
                </w:p>
              </w:tc>
              <w:tc>
                <w:tcPr>
                  <w:tcW w:w="1275" w:type="dxa"/>
                  <w:tcBorders>
                    <w:top w:val="single" w:sz="4" w:space="0" w:color="000000"/>
                    <w:left w:val="single" w:sz="4" w:space="0" w:color="000000"/>
                    <w:bottom w:val="single" w:sz="4" w:space="0" w:color="000000"/>
                  </w:tcBorders>
                </w:tcPr>
                <w:p w14:paraId="370F878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Institución</w:t>
                  </w:r>
                </w:p>
              </w:tc>
              <w:tc>
                <w:tcPr>
                  <w:tcW w:w="852" w:type="dxa"/>
                  <w:tcBorders>
                    <w:top w:val="single" w:sz="4" w:space="0" w:color="000000"/>
                    <w:left w:val="single" w:sz="4" w:space="0" w:color="000000"/>
                    <w:bottom w:val="single" w:sz="4" w:space="0" w:color="000000"/>
                    <w:right w:val="single" w:sz="4" w:space="0" w:color="000000"/>
                  </w:tcBorders>
                </w:tcPr>
                <w:p w14:paraId="69CFF07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Fecha</w:t>
                  </w:r>
                </w:p>
              </w:tc>
            </w:tr>
            <w:tr w:rsidR="00634CDF" w14:paraId="750B5331" w14:textId="77777777">
              <w:tc>
                <w:tcPr>
                  <w:tcW w:w="5495" w:type="dxa"/>
                  <w:tcBorders>
                    <w:top w:val="single" w:sz="4" w:space="0" w:color="000000"/>
                    <w:left w:val="single" w:sz="4" w:space="0" w:color="000000"/>
                    <w:bottom w:val="single" w:sz="4" w:space="0" w:color="000000"/>
                  </w:tcBorders>
                </w:tcPr>
                <w:p w14:paraId="455BFEED"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Financiación o ayudas económicas para la creación de la unidad o servicio</w:t>
                  </w:r>
                </w:p>
              </w:tc>
              <w:tc>
                <w:tcPr>
                  <w:tcW w:w="1276" w:type="dxa"/>
                  <w:tcBorders>
                    <w:top w:val="single" w:sz="4" w:space="0" w:color="000000"/>
                    <w:left w:val="single" w:sz="4" w:space="0" w:color="000000"/>
                    <w:bottom w:val="single" w:sz="4" w:space="0" w:color="000000"/>
                  </w:tcBorders>
                </w:tcPr>
                <w:p w14:paraId="754F9F83"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0AA7677E"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533A0CD6"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634CDF" w14:paraId="56DB78A5" w14:textId="77777777">
              <w:tc>
                <w:tcPr>
                  <w:tcW w:w="5495" w:type="dxa"/>
                  <w:tcBorders>
                    <w:top w:val="single" w:sz="4" w:space="0" w:color="000000"/>
                    <w:left w:val="single" w:sz="4" w:space="0" w:color="000000"/>
                    <w:bottom w:val="single" w:sz="4" w:space="0" w:color="000000"/>
                  </w:tcBorders>
                </w:tcPr>
                <w:p w14:paraId="4E837CC1"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Dotación significativa de material a la unidad o servicio</w:t>
                  </w:r>
                </w:p>
              </w:tc>
              <w:tc>
                <w:tcPr>
                  <w:tcW w:w="1276" w:type="dxa"/>
                  <w:tcBorders>
                    <w:top w:val="single" w:sz="4" w:space="0" w:color="000000"/>
                    <w:left w:val="single" w:sz="4" w:space="0" w:color="000000"/>
                    <w:bottom w:val="single" w:sz="4" w:space="0" w:color="000000"/>
                  </w:tcBorders>
                </w:tcPr>
                <w:p w14:paraId="2555DEFE"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6A5878CF"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5F1F826D"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634CDF" w14:paraId="6B21DFB3" w14:textId="77777777">
              <w:tc>
                <w:tcPr>
                  <w:tcW w:w="5495" w:type="dxa"/>
                  <w:tcBorders>
                    <w:top w:val="single" w:sz="4" w:space="0" w:color="000000"/>
                    <w:left w:val="single" w:sz="4" w:space="0" w:color="000000"/>
                    <w:bottom w:val="single" w:sz="4" w:space="0" w:color="000000"/>
                  </w:tcBorders>
                </w:tcPr>
                <w:p w14:paraId="3CB0451B"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Contratación o ayudas económicas para contratar personal en la unidad o servicio</w:t>
                  </w:r>
                </w:p>
              </w:tc>
              <w:tc>
                <w:tcPr>
                  <w:tcW w:w="1276" w:type="dxa"/>
                  <w:tcBorders>
                    <w:top w:val="single" w:sz="4" w:space="0" w:color="000000"/>
                    <w:left w:val="single" w:sz="4" w:space="0" w:color="000000"/>
                    <w:bottom w:val="single" w:sz="4" w:space="0" w:color="000000"/>
                  </w:tcBorders>
                </w:tcPr>
                <w:p w14:paraId="5157FD9D"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37A963F3"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786C3B0A"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634CDF" w14:paraId="0BDB9599" w14:textId="77777777">
              <w:tc>
                <w:tcPr>
                  <w:tcW w:w="5495" w:type="dxa"/>
                  <w:tcBorders>
                    <w:top w:val="single" w:sz="4" w:space="0" w:color="000000"/>
                    <w:left w:val="single" w:sz="4" w:space="0" w:color="000000"/>
                    <w:bottom w:val="single" w:sz="4" w:space="0" w:color="000000"/>
                  </w:tcBorders>
                </w:tcPr>
                <w:p w14:paraId="0D8FB39E"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Ayuda económica para la financiación de una investigación</w:t>
                  </w:r>
                </w:p>
              </w:tc>
              <w:tc>
                <w:tcPr>
                  <w:tcW w:w="1276" w:type="dxa"/>
                  <w:tcBorders>
                    <w:top w:val="single" w:sz="4" w:space="0" w:color="000000"/>
                    <w:left w:val="single" w:sz="4" w:space="0" w:color="000000"/>
                    <w:bottom w:val="single" w:sz="4" w:space="0" w:color="000000"/>
                  </w:tcBorders>
                </w:tcPr>
                <w:p w14:paraId="5CEA62ED"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26E21696"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4A892EF7"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634CDF" w14:paraId="1D7A5204" w14:textId="77777777">
              <w:tc>
                <w:tcPr>
                  <w:tcW w:w="5495" w:type="dxa"/>
                  <w:tcBorders>
                    <w:top w:val="single" w:sz="4" w:space="0" w:color="000000"/>
                    <w:left w:val="single" w:sz="4" w:space="0" w:color="000000"/>
                    <w:bottom w:val="single" w:sz="4" w:space="0" w:color="000000"/>
                  </w:tcBorders>
                </w:tcPr>
                <w:p w14:paraId="0206B639"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Financiación de programas educativos o cursos para la unidad</w:t>
                  </w:r>
                </w:p>
              </w:tc>
              <w:tc>
                <w:tcPr>
                  <w:tcW w:w="1276" w:type="dxa"/>
                  <w:tcBorders>
                    <w:top w:val="single" w:sz="4" w:space="0" w:color="000000"/>
                    <w:left w:val="single" w:sz="4" w:space="0" w:color="000000"/>
                    <w:bottom w:val="single" w:sz="4" w:space="0" w:color="000000"/>
                  </w:tcBorders>
                </w:tcPr>
                <w:p w14:paraId="56895F8E"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6F23A2ED"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452E54DC"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bl>
          <w:p w14:paraId="78A931FA" w14:textId="77777777" w:rsidR="00634CDF" w:rsidRDefault="00634CDF">
            <w:pPr>
              <w:pBdr>
                <w:top w:val="none" w:sz="0" w:space="0" w:color="000000"/>
                <w:left w:val="none" w:sz="0" w:space="0" w:color="000000"/>
                <w:bottom w:val="none" w:sz="0" w:space="0" w:color="000000"/>
                <w:right w:val="none" w:sz="0" w:space="0" w:color="000000"/>
                <w:between w:val="nil"/>
              </w:pBdr>
              <w:spacing w:line="240" w:lineRule="auto"/>
              <w:ind w:left="0" w:hanging="2"/>
              <w:rPr>
                <w:rFonts w:ascii="Arial" w:eastAsia="Arial" w:hAnsi="Arial" w:cs="Arial"/>
                <w:color w:val="000000"/>
                <w:sz w:val="20"/>
                <w:szCs w:val="20"/>
                <w:vertAlign w:val="baseline"/>
              </w:rPr>
            </w:pPr>
          </w:p>
        </w:tc>
      </w:tr>
    </w:tbl>
    <w:p w14:paraId="2B629659"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002E9752" w14:textId="77777777" w:rsidR="00634CDF" w:rsidRDefault="00F0051D">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 xml:space="preserve">C-Otros posibles conflictos de intereses no señalados en apartados anteriores (especificar) </w:t>
      </w:r>
    </w:p>
    <w:p w14:paraId="166FE71A"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5E01A0C5"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7F8182FB"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268ACC4C" w14:textId="77777777" w:rsidR="00634CDF" w:rsidRDefault="00634CDF">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35CC55DA" w14:textId="56F7688A" w:rsidR="00A4153B" w:rsidRDefault="00F0051D">
      <w:pPr>
        <w:pBdr>
          <w:top w:val="nil"/>
          <w:left w:val="nil"/>
          <w:bottom w:val="nil"/>
          <w:right w:val="nil"/>
          <w:between w:val="nil"/>
        </w:pBdr>
        <w:spacing w:line="240" w:lineRule="auto"/>
        <w:ind w:left="0" w:hanging="2"/>
        <w:rPr>
          <w:rFonts w:ascii="Arial" w:eastAsia="Arial" w:hAnsi="Arial" w:cs="Arial"/>
          <w:b/>
          <w:color w:val="000000"/>
          <w:sz w:val="20"/>
          <w:szCs w:val="20"/>
          <w:vertAlign w:val="baseline"/>
        </w:rPr>
      </w:pPr>
      <w:r>
        <w:rPr>
          <w:rFonts w:ascii="Arial" w:eastAsia="Arial" w:hAnsi="Arial" w:cs="Arial"/>
          <w:b/>
          <w:color w:val="000000"/>
          <w:sz w:val="20"/>
          <w:szCs w:val="20"/>
          <w:vertAlign w:val="baseline"/>
        </w:rPr>
        <w:t>FECHA</w:t>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t>FIRMA</w:t>
      </w:r>
    </w:p>
    <w:p w14:paraId="6C72676C" w14:textId="77777777" w:rsidR="00A4153B" w:rsidRDefault="00A4153B" w:rsidP="00A4153B">
      <w:pPr>
        <w:pStyle w:val="WW-normal"/>
        <w:ind w:left="0" w:hanging="2"/>
        <w:rPr>
          <w:rFonts w:eastAsia="Arial"/>
          <w:vertAlign w:val="baseline"/>
        </w:rPr>
      </w:pPr>
      <w:r>
        <w:rPr>
          <w:rFonts w:eastAsia="Arial"/>
          <w:vertAlign w:val="baseline"/>
        </w:rPr>
        <w:br w:type="page"/>
      </w:r>
    </w:p>
    <w:p w14:paraId="734A72AB" w14:textId="77777777" w:rsidR="00A4153B" w:rsidRDefault="00A4153B" w:rsidP="00A4153B">
      <w:pPr>
        <w:pageBreakBefore/>
        <w:pBdr>
          <w:top w:val="nil"/>
          <w:left w:val="nil"/>
          <w:bottom w:val="nil"/>
          <w:right w:val="nil"/>
          <w:between w:val="nil"/>
        </w:pBdr>
        <w:shd w:val="clear" w:color="auto" w:fill="DBE5F1"/>
        <w:spacing w:line="240" w:lineRule="auto"/>
        <w:ind w:left="0" w:hanging="2"/>
        <w:jc w:val="center"/>
        <w:rPr>
          <w:color w:val="000000"/>
          <w:vertAlign w:val="baseline"/>
        </w:rPr>
      </w:pPr>
      <w:r>
        <w:rPr>
          <w:rFonts w:ascii="Arial" w:eastAsia="Arial" w:hAnsi="Arial" w:cs="Arial"/>
          <w:b/>
          <w:color w:val="000000"/>
          <w:sz w:val="20"/>
          <w:szCs w:val="20"/>
          <w:vertAlign w:val="baseline"/>
        </w:rPr>
        <w:lastRenderedPageBreak/>
        <w:t>Formulario de declaración de conflictos de intereses</w:t>
      </w:r>
    </w:p>
    <w:p w14:paraId="0A1E0947" w14:textId="77777777" w:rsidR="00A4153B" w:rsidRDefault="00A4153B" w:rsidP="00A4153B">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3D56A5B6" w14:textId="77777777" w:rsidR="00A4153B" w:rsidRDefault="00A4153B" w:rsidP="00A4153B">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Los potenciales conflictos de intereses en la elaboración de informes de evaluación se consideran siempre que superen la cantidad de 2.000 euros anuales (últimos 3 años). </w:t>
      </w:r>
    </w:p>
    <w:p w14:paraId="40200472" w14:textId="77777777" w:rsidR="00A4153B" w:rsidRDefault="00A4153B" w:rsidP="00A4153B">
      <w:pPr>
        <w:pBdr>
          <w:top w:val="none" w:sz="0" w:space="0" w:color="000000"/>
          <w:left w:val="none" w:sz="0" w:space="0" w:color="000000"/>
          <w:bottom w:val="none" w:sz="0" w:space="0" w:color="000000"/>
          <w:right w:val="none" w:sz="0" w:space="0" w:color="000000"/>
          <w:between w:val="nil"/>
        </w:pBdr>
        <w:spacing w:line="240" w:lineRule="auto"/>
        <w:ind w:left="0" w:hanging="2"/>
        <w:rPr>
          <w:rFonts w:ascii="Arial" w:eastAsia="Arial" w:hAnsi="Arial" w:cs="Arial"/>
          <w:color w:val="000080"/>
          <w:sz w:val="20"/>
          <w:szCs w:val="20"/>
          <w:vertAlign w:val="baseline"/>
        </w:rPr>
      </w:pPr>
    </w:p>
    <w:p w14:paraId="27574E46" w14:textId="1E2FED82" w:rsidR="00A4153B" w:rsidRDefault="00A4153B" w:rsidP="00A4153B">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 xml:space="preserve">– Nombre y apellidos: </w:t>
      </w:r>
      <w:r>
        <w:rPr>
          <w:rFonts w:ascii="Arial" w:eastAsia="Arial" w:hAnsi="Arial" w:cs="Arial"/>
          <w:color w:val="000000"/>
          <w:sz w:val="20"/>
          <w:szCs w:val="20"/>
          <w:vertAlign w:val="baseline"/>
        </w:rPr>
        <w:t>Noemí Martínez López de Castro</w:t>
      </w:r>
    </w:p>
    <w:p w14:paraId="5B62AA7F" w14:textId="77777777" w:rsidR="00A4153B" w:rsidRDefault="00A4153B" w:rsidP="00A4153B">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7333A685" w14:textId="6E1FC681" w:rsidR="00A4153B" w:rsidRDefault="00A4153B" w:rsidP="00A4153B">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 xml:space="preserve">– Institución en la que trabaja: </w:t>
      </w:r>
      <w:r>
        <w:rPr>
          <w:rFonts w:ascii="Arial" w:eastAsia="Arial" w:hAnsi="Arial" w:cs="Arial"/>
          <w:color w:val="000000"/>
          <w:sz w:val="20"/>
          <w:szCs w:val="20"/>
          <w:vertAlign w:val="baseline"/>
        </w:rPr>
        <w:t>Servicio de Farmacia Hospitalaria. Área Sanitaria de Vigo.</w:t>
      </w:r>
    </w:p>
    <w:p w14:paraId="1F883B19" w14:textId="77777777" w:rsidR="00A4153B" w:rsidRDefault="00A4153B" w:rsidP="00A4153B">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484FEE72" w14:textId="77777777" w:rsidR="00A4153B" w:rsidRDefault="00A4153B" w:rsidP="00A4153B">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 xml:space="preserve">– Institución que le vincula al informe. </w:t>
      </w:r>
      <w:r>
        <w:rPr>
          <w:rFonts w:ascii="Arial" w:eastAsia="Arial" w:hAnsi="Arial" w:cs="Arial"/>
          <w:color w:val="000000"/>
          <w:sz w:val="20"/>
          <w:szCs w:val="20"/>
          <w:vertAlign w:val="baseline"/>
        </w:rPr>
        <w:t>Grupo GENESIS de la SEFH</w:t>
      </w:r>
    </w:p>
    <w:p w14:paraId="3D7B6661" w14:textId="77777777" w:rsidR="00A4153B" w:rsidRDefault="00A4153B" w:rsidP="00A4153B">
      <w:pPr>
        <w:pBdr>
          <w:top w:val="nil"/>
          <w:left w:val="nil"/>
          <w:bottom w:val="nil"/>
          <w:right w:val="nil"/>
          <w:between w:val="nil"/>
        </w:pBdr>
        <w:spacing w:after="40" w:line="240" w:lineRule="auto"/>
        <w:ind w:left="0" w:hanging="2"/>
        <w:rPr>
          <w:rFonts w:ascii="Arial" w:eastAsia="Arial" w:hAnsi="Arial" w:cs="Arial"/>
          <w:color w:val="000000"/>
          <w:sz w:val="20"/>
          <w:szCs w:val="20"/>
          <w:vertAlign w:val="baseline"/>
        </w:rPr>
      </w:pPr>
    </w:p>
    <w:p w14:paraId="42135E58" w14:textId="77777777" w:rsidR="00A4153B" w:rsidRDefault="00A4153B" w:rsidP="00A4153B">
      <w:pPr>
        <w:pBdr>
          <w:top w:val="nil"/>
          <w:left w:val="nil"/>
          <w:bottom w:val="nil"/>
          <w:right w:val="nil"/>
          <w:between w:val="nil"/>
        </w:pBdr>
        <w:spacing w:after="40" w:line="240" w:lineRule="auto"/>
        <w:ind w:left="0" w:hanging="2"/>
        <w:rPr>
          <w:color w:val="000000"/>
          <w:vertAlign w:val="baseline"/>
        </w:rPr>
      </w:pPr>
      <w:r>
        <w:rPr>
          <w:rFonts w:ascii="Arial" w:eastAsia="Arial" w:hAnsi="Arial" w:cs="Arial"/>
          <w:color w:val="000000"/>
          <w:sz w:val="20"/>
          <w:szCs w:val="20"/>
          <w:vertAlign w:val="baseline"/>
        </w:rPr>
        <w:t>Participación en el informe de evaluación como:</w:t>
      </w:r>
    </w:p>
    <w:p w14:paraId="7C173E44" w14:textId="77777777" w:rsidR="00A4153B" w:rsidRPr="00A4153B" w:rsidRDefault="00A4153B" w:rsidP="00A4153B">
      <w:pPr>
        <w:pBdr>
          <w:top w:val="nil"/>
          <w:left w:val="nil"/>
          <w:bottom w:val="nil"/>
          <w:right w:val="nil"/>
          <w:between w:val="nil"/>
        </w:pBdr>
        <w:spacing w:line="240" w:lineRule="auto"/>
        <w:ind w:left="0" w:hanging="2"/>
        <w:rPr>
          <w:color w:val="000000"/>
          <w:vertAlign w:val="baseline"/>
        </w:rPr>
      </w:pPr>
      <w:r w:rsidRPr="00A4153B">
        <w:rPr>
          <w:rFonts w:ascii="Arial" w:eastAsia="Arial" w:hAnsi="Arial" w:cs="Arial"/>
          <w:color w:val="000000"/>
          <w:sz w:val="20"/>
          <w:szCs w:val="20"/>
          <w:vertAlign w:val="baseline"/>
        </w:rPr>
        <w:t>1-Autor/a</w:t>
      </w:r>
    </w:p>
    <w:p w14:paraId="22BCB0EA" w14:textId="77777777" w:rsidR="00A4153B" w:rsidRPr="00A4153B" w:rsidRDefault="00A4153B" w:rsidP="00A4153B">
      <w:pPr>
        <w:pBdr>
          <w:top w:val="nil"/>
          <w:left w:val="nil"/>
          <w:bottom w:val="nil"/>
          <w:right w:val="nil"/>
          <w:between w:val="nil"/>
        </w:pBdr>
        <w:spacing w:line="240" w:lineRule="auto"/>
        <w:ind w:left="0" w:hanging="2"/>
        <w:rPr>
          <w:color w:val="000000"/>
          <w:u w:val="single"/>
          <w:vertAlign w:val="baseline"/>
        </w:rPr>
      </w:pPr>
      <w:r w:rsidRPr="00A4153B">
        <w:rPr>
          <w:rFonts w:ascii="Arial" w:eastAsia="Arial" w:hAnsi="Arial" w:cs="Arial"/>
          <w:color w:val="000000"/>
          <w:sz w:val="20"/>
          <w:szCs w:val="20"/>
          <w:u w:val="single"/>
          <w:vertAlign w:val="baseline"/>
        </w:rPr>
        <w:t>2-Tutor/a</w:t>
      </w:r>
    </w:p>
    <w:p w14:paraId="3BDBBE60" w14:textId="77777777" w:rsidR="00A4153B" w:rsidRDefault="00A4153B" w:rsidP="00A4153B">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20"/>
          <w:szCs w:val="20"/>
          <w:vertAlign w:val="baseline"/>
        </w:rPr>
        <w:t>3-Revisor/a externo/a</w:t>
      </w:r>
    </w:p>
    <w:p w14:paraId="782339A5" w14:textId="77777777" w:rsidR="00A4153B" w:rsidRDefault="00A4153B" w:rsidP="00A4153B">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7A6767CC" w14:textId="77777777" w:rsidR="00A4153B" w:rsidRDefault="00A4153B" w:rsidP="00A4153B">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Tras haber y leído y comprendido la información remitida sobre la declaración de conflictos para el presente informe, formulo la siguiente declaración:</w:t>
      </w:r>
    </w:p>
    <w:p w14:paraId="6C05FCDC" w14:textId="77777777" w:rsidR="00A4153B" w:rsidRDefault="00A4153B" w:rsidP="00A4153B">
      <w:pPr>
        <w:pBdr>
          <w:top w:val="nil"/>
          <w:left w:val="nil"/>
          <w:bottom w:val="nil"/>
          <w:right w:val="nil"/>
          <w:between w:val="nil"/>
        </w:pBdr>
        <w:spacing w:after="40" w:line="240" w:lineRule="auto"/>
        <w:ind w:left="0" w:hanging="2"/>
        <w:rPr>
          <w:rFonts w:ascii="Arial" w:eastAsia="Arial" w:hAnsi="Arial" w:cs="Arial"/>
          <w:color w:val="000000"/>
          <w:sz w:val="20"/>
          <w:szCs w:val="20"/>
          <w:vertAlign w:val="baseline"/>
        </w:rPr>
      </w:pPr>
    </w:p>
    <w:p w14:paraId="3CC27896" w14:textId="77777777" w:rsidR="00A4153B" w:rsidRDefault="00A4153B" w:rsidP="00A4153B">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A- Intereses personales (</w:t>
      </w:r>
      <w:r>
        <w:rPr>
          <w:rFonts w:ascii="Arial" w:eastAsia="Arial" w:hAnsi="Arial" w:cs="Arial"/>
          <w:color w:val="000000"/>
          <w:sz w:val="20"/>
          <w:szCs w:val="20"/>
          <w:vertAlign w:val="baseline"/>
        </w:rPr>
        <w:t>En caso afirmativo especificar</w:t>
      </w:r>
      <w:r>
        <w:rPr>
          <w:rFonts w:ascii="Arial" w:eastAsia="Arial" w:hAnsi="Arial" w:cs="Arial"/>
          <w:b/>
          <w:color w:val="000000"/>
          <w:sz w:val="20"/>
          <w:szCs w:val="20"/>
          <w:vertAlign w:val="baseline"/>
        </w:rPr>
        <w:t xml:space="preserve">): </w:t>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Noto Sans Symbols" w:eastAsia="Noto Sans Symbols" w:hAnsi="Noto Sans Symbols" w:cs="Noto Sans Symbols"/>
          <w:b/>
          <w:color w:val="000000"/>
          <w:sz w:val="20"/>
          <w:szCs w:val="20"/>
          <w:vertAlign w:val="baseline"/>
        </w:rPr>
        <w:sym w:font="Symbol" w:char="F07F"/>
      </w:r>
      <w:r>
        <w:rPr>
          <w:rFonts w:ascii="Arial" w:eastAsia="Arial" w:hAnsi="Arial" w:cs="Arial"/>
          <w:b/>
          <w:color w:val="000000"/>
          <w:sz w:val="20"/>
          <w:szCs w:val="20"/>
          <w:vertAlign w:val="baseline"/>
        </w:rPr>
        <w:t>SI</w:t>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Noto Sans Symbols" w:eastAsia="Noto Sans Symbols" w:hAnsi="Noto Sans Symbols" w:cs="Noto Sans Symbols"/>
          <w:b/>
          <w:color w:val="000000"/>
          <w:sz w:val="20"/>
          <w:szCs w:val="20"/>
          <w:vertAlign w:val="baseline"/>
        </w:rPr>
        <w:sym w:font="Wingdings" w:char="F078"/>
      </w:r>
      <w:r>
        <w:rPr>
          <w:rFonts w:ascii="Arial" w:eastAsia="Arial" w:hAnsi="Arial" w:cs="Arial"/>
          <w:b/>
          <w:color w:val="000000"/>
          <w:sz w:val="20"/>
          <w:szCs w:val="20"/>
          <w:vertAlign w:val="baseline"/>
        </w:rPr>
        <w:t xml:space="preserve">NO </w:t>
      </w:r>
    </w:p>
    <w:p w14:paraId="0B98E54B" w14:textId="77777777" w:rsidR="00A4153B" w:rsidRDefault="00A4153B" w:rsidP="00A4153B">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tbl>
      <w:tblPr>
        <w:tblStyle w:val="aff7"/>
        <w:tblW w:w="8898" w:type="dxa"/>
        <w:tblInd w:w="-5" w:type="dxa"/>
        <w:tblLayout w:type="fixed"/>
        <w:tblLook w:val="0000" w:firstRow="0" w:lastRow="0" w:firstColumn="0" w:lastColumn="0" w:noHBand="0" w:noVBand="0"/>
      </w:tblPr>
      <w:tblGrid>
        <w:gridCol w:w="5495"/>
        <w:gridCol w:w="1276"/>
        <w:gridCol w:w="1275"/>
        <w:gridCol w:w="852"/>
      </w:tblGrid>
      <w:tr w:rsidR="00A4153B" w14:paraId="08B69A7F" w14:textId="77777777" w:rsidTr="002D328A">
        <w:tc>
          <w:tcPr>
            <w:tcW w:w="5495" w:type="dxa"/>
            <w:tcBorders>
              <w:top w:val="single" w:sz="4" w:space="0" w:color="000000"/>
              <w:left w:val="single" w:sz="4" w:space="0" w:color="000000"/>
              <w:bottom w:val="single" w:sz="4" w:space="0" w:color="000000"/>
            </w:tcBorders>
          </w:tcPr>
          <w:p w14:paraId="03A116B6"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6" w:type="dxa"/>
            <w:tcBorders>
              <w:top w:val="single" w:sz="4" w:space="0" w:color="000000"/>
              <w:left w:val="single" w:sz="4" w:space="0" w:color="000000"/>
              <w:bottom w:val="single" w:sz="4" w:space="0" w:color="000000"/>
            </w:tcBorders>
          </w:tcPr>
          <w:p w14:paraId="55F0FAE4"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Actividad</w:t>
            </w:r>
          </w:p>
        </w:tc>
        <w:tc>
          <w:tcPr>
            <w:tcW w:w="1275" w:type="dxa"/>
            <w:tcBorders>
              <w:top w:val="single" w:sz="4" w:space="0" w:color="000000"/>
              <w:left w:val="single" w:sz="4" w:space="0" w:color="000000"/>
              <w:bottom w:val="single" w:sz="4" w:space="0" w:color="000000"/>
            </w:tcBorders>
          </w:tcPr>
          <w:p w14:paraId="18D5CE34"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Institución</w:t>
            </w:r>
          </w:p>
        </w:tc>
        <w:tc>
          <w:tcPr>
            <w:tcW w:w="852" w:type="dxa"/>
            <w:tcBorders>
              <w:top w:val="single" w:sz="4" w:space="0" w:color="000000"/>
              <w:left w:val="single" w:sz="4" w:space="0" w:color="000000"/>
              <w:bottom w:val="single" w:sz="4" w:space="0" w:color="000000"/>
              <w:right w:val="single" w:sz="4" w:space="0" w:color="000000"/>
            </w:tcBorders>
          </w:tcPr>
          <w:p w14:paraId="5D545E68"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Fecha</w:t>
            </w:r>
          </w:p>
        </w:tc>
      </w:tr>
      <w:tr w:rsidR="00A4153B" w14:paraId="774E3A1F" w14:textId="77777777" w:rsidTr="002D328A">
        <w:tc>
          <w:tcPr>
            <w:tcW w:w="5495" w:type="dxa"/>
            <w:tcBorders>
              <w:top w:val="single" w:sz="4" w:space="0" w:color="000000"/>
              <w:left w:val="single" w:sz="4" w:space="0" w:color="000000"/>
              <w:bottom w:val="single" w:sz="4" w:space="0" w:color="000000"/>
            </w:tcBorders>
          </w:tcPr>
          <w:p w14:paraId="60519E07"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Financiación para reuniones y congresos, asistencia a cursos (inscripciones, bolsas de viajes, alojamiento…)</w:t>
            </w:r>
          </w:p>
        </w:tc>
        <w:tc>
          <w:tcPr>
            <w:tcW w:w="1276" w:type="dxa"/>
            <w:tcBorders>
              <w:top w:val="single" w:sz="4" w:space="0" w:color="000000"/>
              <w:left w:val="single" w:sz="4" w:space="0" w:color="000000"/>
              <w:bottom w:val="single" w:sz="4" w:space="0" w:color="000000"/>
            </w:tcBorders>
          </w:tcPr>
          <w:p w14:paraId="36284C9C"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430FBCE3"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4DCE1D7E"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A4153B" w14:paraId="3996CFEF" w14:textId="77777777" w:rsidTr="002D328A">
        <w:tc>
          <w:tcPr>
            <w:tcW w:w="5495" w:type="dxa"/>
            <w:tcBorders>
              <w:top w:val="single" w:sz="4" w:space="0" w:color="000000"/>
              <w:left w:val="single" w:sz="4" w:space="0" w:color="000000"/>
              <w:bottom w:val="single" w:sz="4" w:space="0" w:color="000000"/>
            </w:tcBorders>
          </w:tcPr>
          <w:p w14:paraId="0F189ED1"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Honorarios como ponente (conferencias, cursos…)</w:t>
            </w:r>
          </w:p>
        </w:tc>
        <w:tc>
          <w:tcPr>
            <w:tcW w:w="1276" w:type="dxa"/>
            <w:tcBorders>
              <w:top w:val="single" w:sz="4" w:space="0" w:color="000000"/>
              <w:left w:val="single" w:sz="4" w:space="0" w:color="000000"/>
              <w:bottom w:val="single" w:sz="4" w:space="0" w:color="000000"/>
            </w:tcBorders>
          </w:tcPr>
          <w:p w14:paraId="3E916C9A"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6C001E05"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5B8C89FF"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A4153B" w14:paraId="1821D7E0" w14:textId="77777777" w:rsidTr="002D328A">
        <w:tc>
          <w:tcPr>
            <w:tcW w:w="5495" w:type="dxa"/>
            <w:tcBorders>
              <w:top w:val="single" w:sz="4" w:space="0" w:color="000000"/>
              <w:left w:val="single" w:sz="4" w:space="0" w:color="000000"/>
              <w:bottom w:val="single" w:sz="4" w:space="0" w:color="000000"/>
            </w:tcBorders>
          </w:tcPr>
          <w:p w14:paraId="69B3C48F"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Financiación de programas educativos o cursos (contratación de personal, alquiler de instalaciones…)</w:t>
            </w:r>
          </w:p>
        </w:tc>
        <w:tc>
          <w:tcPr>
            <w:tcW w:w="1276" w:type="dxa"/>
            <w:tcBorders>
              <w:top w:val="single" w:sz="4" w:space="0" w:color="000000"/>
              <w:left w:val="single" w:sz="4" w:space="0" w:color="000000"/>
              <w:bottom w:val="single" w:sz="4" w:space="0" w:color="000000"/>
            </w:tcBorders>
          </w:tcPr>
          <w:p w14:paraId="30889FC1"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046587FB"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461E6BFE"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A4153B" w14:paraId="49BBED6C" w14:textId="77777777" w:rsidTr="002D328A">
        <w:tc>
          <w:tcPr>
            <w:tcW w:w="5495" w:type="dxa"/>
            <w:tcBorders>
              <w:top w:val="single" w:sz="4" w:space="0" w:color="000000"/>
              <w:left w:val="single" w:sz="4" w:space="0" w:color="000000"/>
              <w:bottom w:val="single" w:sz="4" w:space="0" w:color="000000"/>
            </w:tcBorders>
          </w:tcPr>
          <w:p w14:paraId="656375BA"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Financiación por participar en una investigación</w:t>
            </w:r>
          </w:p>
        </w:tc>
        <w:tc>
          <w:tcPr>
            <w:tcW w:w="1276" w:type="dxa"/>
            <w:tcBorders>
              <w:top w:val="single" w:sz="4" w:space="0" w:color="000000"/>
              <w:left w:val="single" w:sz="4" w:space="0" w:color="000000"/>
              <w:bottom w:val="single" w:sz="4" w:space="0" w:color="000000"/>
            </w:tcBorders>
          </w:tcPr>
          <w:p w14:paraId="33A85A1B"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5C95891C"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6FB9E610"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A4153B" w14:paraId="29C1A450" w14:textId="77777777" w:rsidTr="002D328A">
        <w:tc>
          <w:tcPr>
            <w:tcW w:w="5495" w:type="dxa"/>
            <w:tcBorders>
              <w:top w:val="single" w:sz="4" w:space="0" w:color="000000"/>
              <w:left w:val="single" w:sz="4" w:space="0" w:color="000000"/>
              <w:bottom w:val="single" w:sz="4" w:space="0" w:color="000000"/>
            </w:tcBorders>
          </w:tcPr>
          <w:p w14:paraId="49901A95"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Consultoría para una compañía farmacéutica/otras tecnologías</w:t>
            </w:r>
          </w:p>
        </w:tc>
        <w:tc>
          <w:tcPr>
            <w:tcW w:w="1276" w:type="dxa"/>
            <w:tcBorders>
              <w:top w:val="single" w:sz="4" w:space="0" w:color="000000"/>
              <w:left w:val="single" w:sz="4" w:space="0" w:color="000000"/>
              <w:bottom w:val="single" w:sz="4" w:space="0" w:color="000000"/>
            </w:tcBorders>
          </w:tcPr>
          <w:p w14:paraId="38589182"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38D2F7BA"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107669B3"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A4153B" w14:paraId="6BEF6069" w14:textId="77777777" w:rsidTr="002D328A">
        <w:tc>
          <w:tcPr>
            <w:tcW w:w="5495" w:type="dxa"/>
            <w:tcBorders>
              <w:top w:val="single" w:sz="4" w:space="0" w:color="000000"/>
              <w:left w:val="single" w:sz="4" w:space="0" w:color="000000"/>
              <w:bottom w:val="single" w:sz="4" w:space="0" w:color="000000"/>
            </w:tcBorders>
          </w:tcPr>
          <w:p w14:paraId="04C951F4"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Accionista o con intereses comerciales en una compañía</w:t>
            </w:r>
          </w:p>
        </w:tc>
        <w:tc>
          <w:tcPr>
            <w:tcW w:w="1276" w:type="dxa"/>
            <w:tcBorders>
              <w:top w:val="single" w:sz="4" w:space="0" w:color="000000"/>
              <w:left w:val="single" w:sz="4" w:space="0" w:color="000000"/>
              <w:bottom w:val="single" w:sz="4" w:space="0" w:color="000000"/>
            </w:tcBorders>
          </w:tcPr>
          <w:p w14:paraId="3A59BCA8"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1FA749A8"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6FC17697"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A4153B" w14:paraId="3BC2B419" w14:textId="77777777" w:rsidTr="002D328A">
        <w:tc>
          <w:tcPr>
            <w:tcW w:w="5495" w:type="dxa"/>
            <w:tcBorders>
              <w:top w:val="single" w:sz="4" w:space="0" w:color="000000"/>
              <w:left w:val="single" w:sz="4" w:space="0" w:color="000000"/>
              <w:bottom w:val="single" w:sz="4" w:space="0" w:color="000000"/>
            </w:tcBorders>
          </w:tcPr>
          <w:p w14:paraId="5952892A"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Intereses económicos en una empresa privada relacionada con la salud (propietario, empleado, accionista, consulta privada…), que puede ser significativo en relación a la autoría del informe</w:t>
            </w:r>
          </w:p>
        </w:tc>
        <w:tc>
          <w:tcPr>
            <w:tcW w:w="1276" w:type="dxa"/>
            <w:tcBorders>
              <w:top w:val="single" w:sz="4" w:space="0" w:color="000000"/>
              <w:left w:val="single" w:sz="4" w:space="0" w:color="000000"/>
              <w:bottom w:val="single" w:sz="4" w:space="0" w:color="000000"/>
            </w:tcBorders>
          </w:tcPr>
          <w:p w14:paraId="4E64F530"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121EFF9E"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4A410752"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A4153B" w14:paraId="606CF039" w14:textId="77777777" w:rsidTr="002D328A">
        <w:tc>
          <w:tcPr>
            <w:tcW w:w="5495" w:type="dxa"/>
            <w:tcBorders>
              <w:top w:val="single" w:sz="4" w:space="0" w:color="000000"/>
              <w:left w:val="single" w:sz="4" w:space="0" w:color="000000"/>
              <w:bottom w:val="single" w:sz="4" w:space="0" w:color="000000"/>
            </w:tcBorders>
          </w:tcPr>
          <w:p w14:paraId="3783FEB8"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Conflictos de intereses de índole no económico que pueden ser significativos en relación a la autoría en la guía</w:t>
            </w:r>
          </w:p>
        </w:tc>
        <w:tc>
          <w:tcPr>
            <w:tcW w:w="1276" w:type="dxa"/>
            <w:tcBorders>
              <w:top w:val="single" w:sz="4" w:space="0" w:color="000000"/>
              <w:left w:val="single" w:sz="4" w:space="0" w:color="000000"/>
              <w:bottom w:val="single" w:sz="4" w:space="0" w:color="000000"/>
            </w:tcBorders>
          </w:tcPr>
          <w:p w14:paraId="5DCFB84D"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04DE4B8D"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5F051113"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A4153B" w14:paraId="55C47F00" w14:textId="77777777" w:rsidTr="002D328A">
        <w:trPr>
          <w:trHeight w:val="226"/>
        </w:trPr>
        <w:tc>
          <w:tcPr>
            <w:tcW w:w="8898" w:type="dxa"/>
            <w:gridSpan w:val="4"/>
            <w:tcBorders>
              <w:top w:val="single" w:sz="4" w:space="0" w:color="000000"/>
              <w:left w:val="single" w:sz="4" w:space="0" w:color="000000"/>
              <w:bottom w:val="single" w:sz="4" w:space="0" w:color="000000"/>
              <w:right w:val="single" w:sz="4" w:space="0" w:color="000000"/>
            </w:tcBorders>
          </w:tcPr>
          <w:p w14:paraId="4E48B13E" w14:textId="77777777" w:rsidR="00A4153B" w:rsidRDefault="00A4153B" w:rsidP="002D328A">
            <w:pPr>
              <w:pBdr>
                <w:top w:val="nil"/>
                <w:left w:val="nil"/>
                <w:bottom w:val="nil"/>
                <w:right w:val="nil"/>
                <w:between w:val="nil"/>
              </w:pBdr>
              <w:spacing w:line="240" w:lineRule="auto"/>
              <w:ind w:left="0" w:hanging="2"/>
              <w:jc w:val="both"/>
              <w:rPr>
                <w:rFonts w:ascii="Arial" w:eastAsia="Arial" w:hAnsi="Arial" w:cs="Arial"/>
                <w:color w:val="FF0000"/>
                <w:sz w:val="18"/>
                <w:szCs w:val="18"/>
                <w:vertAlign w:val="baseline"/>
              </w:rPr>
            </w:pPr>
          </w:p>
        </w:tc>
      </w:tr>
    </w:tbl>
    <w:p w14:paraId="6E48F6EB" w14:textId="77777777" w:rsidR="00A4153B" w:rsidRDefault="00A4153B" w:rsidP="00A4153B">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B- Intereses no personales (</w:t>
      </w:r>
      <w:r>
        <w:rPr>
          <w:rFonts w:ascii="Arial" w:eastAsia="Arial" w:hAnsi="Arial" w:cs="Arial"/>
          <w:color w:val="000000"/>
          <w:sz w:val="20"/>
          <w:szCs w:val="20"/>
          <w:vertAlign w:val="baseline"/>
        </w:rPr>
        <w:t>En caso afirmativo especificar</w:t>
      </w:r>
      <w:r>
        <w:rPr>
          <w:rFonts w:ascii="Arial" w:eastAsia="Arial" w:hAnsi="Arial" w:cs="Arial"/>
          <w:b/>
          <w:color w:val="000000"/>
          <w:sz w:val="20"/>
          <w:szCs w:val="20"/>
          <w:vertAlign w:val="baseline"/>
        </w:rPr>
        <w:t xml:space="preserve">): </w:t>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Noto Sans Symbols" w:eastAsia="Noto Sans Symbols" w:hAnsi="Noto Sans Symbols" w:cs="Noto Sans Symbols"/>
          <w:b/>
          <w:color w:val="000000"/>
          <w:sz w:val="20"/>
          <w:szCs w:val="20"/>
          <w:vertAlign w:val="baseline"/>
        </w:rPr>
        <w:sym w:font="Symbol" w:char="F07F"/>
      </w:r>
      <w:r>
        <w:rPr>
          <w:rFonts w:ascii="Arial" w:eastAsia="Arial" w:hAnsi="Arial" w:cs="Arial"/>
          <w:b/>
          <w:color w:val="000000"/>
          <w:sz w:val="20"/>
          <w:szCs w:val="20"/>
          <w:vertAlign w:val="baseline"/>
        </w:rPr>
        <w:t>SI</w:t>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Noto Sans Symbols" w:eastAsia="Noto Sans Symbols" w:hAnsi="Noto Sans Symbols" w:cs="Noto Sans Symbols"/>
          <w:b/>
          <w:color w:val="000000"/>
          <w:sz w:val="20"/>
          <w:szCs w:val="20"/>
          <w:vertAlign w:val="baseline"/>
        </w:rPr>
        <w:sym w:font="Wingdings" w:char="F078"/>
      </w:r>
      <w:r>
        <w:rPr>
          <w:rFonts w:ascii="Arial" w:eastAsia="Arial" w:hAnsi="Arial" w:cs="Arial"/>
          <w:b/>
          <w:color w:val="000000"/>
          <w:sz w:val="20"/>
          <w:szCs w:val="20"/>
          <w:vertAlign w:val="baseline"/>
        </w:rPr>
        <w:t>NO</w:t>
      </w:r>
    </w:p>
    <w:p w14:paraId="00358000" w14:textId="77777777" w:rsidR="00A4153B" w:rsidRDefault="00A4153B" w:rsidP="00A4153B">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 xml:space="preserve"> </w:t>
      </w:r>
    </w:p>
    <w:tbl>
      <w:tblPr>
        <w:tblStyle w:val="aff8"/>
        <w:tblW w:w="9039" w:type="dxa"/>
        <w:tblInd w:w="0" w:type="dxa"/>
        <w:tblLayout w:type="fixed"/>
        <w:tblLook w:val="0000" w:firstRow="0" w:lastRow="0" w:firstColumn="0" w:lastColumn="0" w:noHBand="0" w:noVBand="0"/>
      </w:tblPr>
      <w:tblGrid>
        <w:gridCol w:w="9039"/>
      </w:tblGrid>
      <w:tr w:rsidR="00A4153B" w14:paraId="27A4B359" w14:textId="77777777" w:rsidTr="002D328A">
        <w:trPr>
          <w:trHeight w:val="226"/>
        </w:trPr>
        <w:tc>
          <w:tcPr>
            <w:tcW w:w="9039" w:type="dxa"/>
          </w:tcPr>
          <w:p w14:paraId="1F7C1F66" w14:textId="77777777" w:rsidR="00A4153B" w:rsidRDefault="00A4153B" w:rsidP="002D328A">
            <w:pPr>
              <w:pBdr>
                <w:top w:val="none" w:sz="0" w:space="0" w:color="000000"/>
                <w:left w:val="none" w:sz="0" w:space="0" w:color="000000"/>
                <w:bottom w:val="none" w:sz="0" w:space="0" w:color="000000"/>
                <w:right w:val="none" w:sz="0" w:space="0" w:color="000000"/>
                <w:between w:val="nil"/>
              </w:pBdr>
              <w:spacing w:line="240" w:lineRule="auto"/>
              <w:ind w:left="0" w:hanging="2"/>
              <w:rPr>
                <w:rFonts w:ascii="Arial" w:eastAsia="Arial" w:hAnsi="Arial" w:cs="Arial"/>
                <w:color w:val="000000"/>
                <w:sz w:val="20"/>
                <w:szCs w:val="20"/>
                <w:vertAlign w:val="baseline"/>
              </w:rPr>
            </w:pPr>
          </w:p>
          <w:tbl>
            <w:tblPr>
              <w:tblStyle w:val="aff9"/>
              <w:tblW w:w="8898" w:type="dxa"/>
              <w:tblInd w:w="0" w:type="dxa"/>
              <w:tblLayout w:type="fixed"/>
              <w:tblLook w:val="0000" w:firstRow="0" w:lastRow="0" w:firstColumn="0" w:lastColumn="0" w:noHBand="0" w:noVBand="0"/>
            </w:tblPr>
            <w:tblGrid>
              <w:gridCol w:w="5495"/>
              <w:gridCol w:w="1276"/>
              <w:gridCol w:w="1275"/>
              <w:gridCol w:w="852"/>
            </w:tblGrid>
            <w:tr w:rsidR="00A4153B" w14:paraId="4C85BAD8" w14:textId="77777777" w:rsidTr="002D328A">
              <w:tc>
                <w:tcPr>
                  <w:tcW w:w="5495" w:type="dxa"/>
                  <w:tcBorders>
                    <w:top w:val="single" w:sz="4" w:space="0" w:color="000000"/>
                    <w:left w:val="single" w:sz="4" w:space="0" w:color="000000"/>
                    <w:bottom w:val="single" w:sz="4" w:space="0" w:color="000000"/>
                  </w:tcBorders>
                </w:tcPr>
                <w:p w14:paraId="77CD43A6"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6" w:type="dxa"/>
                  <w:tcBorders>
                    <w:top w:val="single" w:sz="4" w:space="0" w:color="000000"/>
                    <w:left w:val="single" w:sz="4" w:space="0" w:color="000000"/>
                    <w:bottom w:val="single" w:sz="4" w:space="0" w:color="000000"/>
                  </w:tcBorders>
                </w:tcPr>
                <w:p w14:paraId="18A93D5B"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Actividad</w:t>
                  </w:r>
                </w:p>
              </w:tc>
              <w:tc>
                <w:tcPr>
                  <w:tcW w:w="1275" w:type="dxa"/>
                  <w:tcBorders>
                    <w:top w:val="single" w:sz="4" w:space="0" w:color="000000"/>
                    <w:left w:val="single" w:sz="4" w:space="0" w:color="000000"/>
                    <w:bottom w:val="single" w:sz="4" w:space="0" w:color="000000"/>
                  </w:tcBorders>
                </w:tcPr>
                <w:p w14:paraId="2FA37DE3"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Institución</w:t>
                  </w:r>
                </w:p>
              </w:tc>
              <w:tc>
                <w:tcPr>
                  <w:tcW w:w="852" w:type="dxa"/>
                  <w:tcBorders>
                    <w:top w:val="single" w:sz="4" w:space="0" w:color="000000"/>
                    <w:left w:val="single" w:sz="4" w:space="0" w:color="000000"/>
                    <w:bottom w:val="single" w:sz="4" w:space="0" w:color="000000"/>
                    <w:right w:val="single" w:sz="4" w:space="0" w:color="000000"/>
                  </w:tcBorders>
                </w:tcPr>
                <w:p w14:paraId="2E213F4A"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Fecha</w:t>
                  </w:r>
                </w:p>
              </w:tc>
            </w:tr>
            <w:tr w:rsidR="00A4153B" w14:paraId="78DC0E55" w14:textId="77777777" w:rsidTr="002D328A">
              <w:tc>
                <w:tcPr>
                  <w:tcW w:w="5495" w:type="dxa"/>
                  <w:tcBorders>
                    <w:top w:val="single" w:sz="4" w:space="0" w:color="000000"/>
                    <w:left w:val="single" w:sz="4" w:space="0" w:color="000000"/>
                    <w:bottom w:val="single" w:sz="4" w:space="0" w:color="000000"/>
                  </w:tcBorders>
                </w:tcPr>
                <w:p w14:paraId="415DDCD1"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Financiación o ayudas económicas para la creación de la unidad o servicio</w:t>
                  </w:r>
                </w:p>
              </w:tc>
              <w:tc>
                <w:tcPr>
                  <w:tcW w:w="1276" w:type="dxa"/>
                  <w:tcBorders>
                    <w:top w:val="single" w:sz="4" w:space="0" w:color="000000"/>
                    <w:left w:val="single" w:sz="4" w:space="0" w:color="000000"/>
                    <w:bottom w:val="single" w:sz="4" w:space="0" w:color="000000"/>
                  </w:tcBorders>
                </w:tcPr>
                <w:p w14:paraId="48ED0A6D"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48B5E2E5"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04CE493B"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A4153B" w14:paraId="690C9EE1" w14:textId="77777777" w:rsidTr="002D328A">
              <w:tc>
                <w:tcPr>
                  <w:tcW w:w="5495" w:type="dxa"/>
                  <w:tcBorders>
                    <w:top w:val="single" w:sz="4" w:space="0" w:color="000000"/>
                    <w:left w:val="single" w:sz="4" w:space="0" w:color="000000"/>
                    <w:bottom w:val="single" w:sz="4" w:space="0" w:color="000000"/>
                  </w:tcBorders>
                </w:tcPr>
                <w:p w14:paraId="2D1ED209"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Dotación significativa de material a la unidad o servicio</w:t>
                  </w:r>
                </w:p>
              </w:tc>
              <w:tc>
                <w:tcPr>
                  <w:tcW w:w="1276" w:type="dxa"/>
                  <w:tcBorders>
                    <w:top w:val="single" w:sz="4" w:space="0" w:color="000000"/>
                    <w:left w:val="single" w:sz="4" w:space="0" w:color="000000"/>
                    <w:bottom w:val="single" w:sz="4" w:space="0" w:color="000000"/>
                  </w:tcBorders>
                </w:tcPr>
                <w:p w14:paraId="126C6030"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62B2DEC3"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0318CA11"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A4153B" w14:paraId="2902C353" w14:textId="77777777" w:rsidTr="002D328A">
              <w:tc>
                <w:tcPr>
                  <w:tcW w:w="5495" w:type="dxa"/>
                  <w:tcBorders>
                    <w:top w:val="single" w:sz="4" w:space="0" w:color="000000"/>
                    <w:left w:val="single" w:sz="4" w:space="0" w:color="000000"/>
                    <w:bottom w:val="single" w:sz="4" w:space="0" w:color="000000"/>
                  </w:tcBorders>
                </w:tcPr>
                <w:p w14:paraId="2437FA21"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Contratación o ayudas económicas para contratar personal en la unidad o servicio</w:t>
                  </w:r>
                </w:p>
              </w:tc>
              <w:tc>
                <w:tcPr>
                  <w:tcW w:w="1276" w:type="dxa"/>
                  <w:tcBorders>
                    <w:top w:val="single" w:sz="4" w:space="0" w:color="000000"/>
                    <w:left w:val="single" w:sz="4" w:space="0" w:color="000000"/>
                    <w:bottom w:val="single" w:sz="4" w:space="0" w:color="000000"/>
                  </w:tcBorders>
                </w:tcPr>
                <w:p w14:paraId="12838D0C"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5BC6BCA8"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724054D1"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A4153B" w14:paraId="5966D40A" w14:textId="77777777" w:rsidTr="002D328A">
              <w:tc>
                <w:tcPr>
                  <w:tcW w:w="5495" w:type="dxa"/>
                  <w:tcBorders>
                    <w:top w:val="single" w:sz="4" w:space="0" w:color="000000"/>
                    <w:left w:val="single" w:sz="4" w:space="0" w:color="000000"/>
                    <w:bottom w:val="single" w:sz="4" w:space="0" w:color="000000"/>
                  </w:tcBorders>
                </w:tcPr>
                <w:p w14:paraId="6A0C021E"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Ayuda económica para la financiación de una investigación</w:t>
                  </w:r>
                </w:p>
              </w:tc>
              <w:tc>
                <w:tcPr>
                  <w:tcW w:w="1276" w:type="dxa"/>
                  <w:tcBorders>
                    <w:top w:val="single" w:sz="4" w:space="0" w:color="000000"/>
                    <w:left w:val="single" w:sz="4" w:space="0" w:color="000000"/>
                    <w:bottom w:val="single" w:sz="4" w:space="0" w:color="000000"/>
                  </w:tcBorders>
                </w:tcPr>
                <w:p w14:paraId="69BA373A"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27E58F5A"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2CB93D06"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A4153B" w14:paraId="2B4E2CD5" w14:textId="77777777" w:rsidTr="002D328A">
              <w:tc>
                <w:tcPr>
                  <w:tcW w:w="5495" w:type="dxa"/>
                  <w:tcBorders>
                    <w:top w:val="single" w:sz="4" w:space="0" w:color="000000"/>
                    <w:left w:val="single" w:sz="4" w:space="0" w:color="000000"/>
                    <w:bottom w:val="single" w:sz="4" w:space="0" w:color="000000"/>
                  </w:tcBorders>
                </w:tcPr>
                <w:p w14:paraId="58E15AB3" w14:textId="77777777" w:rsidR="00A4153B" w:rsidRDefault="00A4153B"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Financiación de programas educativos o cursos para la unidad</w:t>
                  </w:r>
                </w:p>
              </w:tc>
              <w:tc>
                <w:tcPr>
                  <w:tcW w:w="1276" w:type="dxa"/>
                  <w:tcBorders>
                    <w:top w:val="single" w:sz="4" w:space="0" w:color="000000"/>
                    <w:left w:val="single" w:sz="4" w:space="0" w:color="000000"/>
                    <w:bottom w:val="single" w:sz="4" w:space="0" w:color="000000"/>
                  </w:tcBorders>
                </w:tcPr>
                <w:p w14:paraId="5861616A"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2AE2F7ED"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604DFF76" w14:textId="77777777" w:rsidR="00A4153B" w:rsidRDefault="00A4153B"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bl>
          <w:p w14:paraId="711AAE7C" w14:textId="77777777" w:rsidR="00A4153B" w:rsidRDefault="00A4153B" w:rsidP="002D328A">
            <w:pPr>
              <w:pBdr>
                <w:top w:val="none" w:sz="0" w:space="0" w:color="000000"/>
                <w:left w:val="none" w:sz="0" w:space="0" w:color="000000"/>
                <w:bottom w:val="none" w:sz="0" w:space="0" w:color="000000"/>
                <w:right w:val="none" w:sz="0" w:space="0" w:color="000000"/>
                <w:between w:val="nil"/>
              </w:pBdr>
              <w:spacing w:line="240" w:lineRule="auto"/>
              <w:ind w:left="0" w:hanging="2"/>
              <w:rPr>
                <w:rFonts w:ascii="Arial" w:eastAsia="Arial" w:hAnsi="Arial" w:cs="Arial"/>
                <w:color w:val="000000"/>
                <w:sz w:val="20"/>
                <w:szCs w:val="20"/>
                <w:vertAlign w:val="baseline"/>
              </w:rPr>
            </w:pPr>
          </w:p>
        </w:tc>
      </w:tr>
    </w:tbl>
    <w:p w14:paraId="7481312D" w14:textId="77777777" w:rsidR="00A4153B" w:rsidRDefault="00A4153B" w:rsidP="00A4153B">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1B486F01" w14:textId="77777777" w:rsidR="00A4153B" w:rsidRDefault="00A4153B" w:rsidP="00A4153B">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 xml:space="preserve">C-Otros posibles conflictos de intereses no señalados en apartados anteriores (especificar) </w:t>
      </w:r>
    </w:p>
    <w:p w14:paraId="44D74351" w14:textId="77777777" w:rsidR="00A4153B" w:rsidRDefault="00A4153B" w:rsidP="00A4153B">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113E5EFC" w14:textId="77777777" w:rsidR="00A4153B" w:rsidRDefault="00A4153B" w:rsidP="00A4153B">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20CE93E2" w14:textId="77777777" w:rsidR="00A4153B" w:rsidRDefault="00A4153B" w:rsidP="00A4153B">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300C10A1" w14:textId="77777777" w:rsidR="00A4153B" w:rsidRDefault="00A4153B" w:rsidP="00A4153B">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59E6CDEC" w14:textId="01C99E1E" w:rsidR="00F02F27" w:rsidRDefault="00A4153B" w:rsidP="00A4153B">
      <w:pPr>
        <w:pBdr>
          <w:top w:val="nil"/>
          <w:left w:val="nil"/>
          <w:bottom w:val="nil"/>
          <w:right w:val="nil"/>
          <w:between w:val="nil"/>
        </w:pBdr>
        <w:spacing w:line="240" w:lineRule="auto"/>
        <w:ind w:left="0" w:hanging="2"/>
        <w:rPr>
          <w:rFonts w:ascii="Arial" w:eastAsia="Arial" w:hAnsi="Arial" w:cs="Arial"/>
          <w:b/>
          <w:color w:val="000000"/>
          <w:sz w:val="20"/>
          <w:szCs w:val="20"/>
          <w:vertAlign w:val="baseline"/>
        </w:rPr>
      </w:pPr>
      <w:r>
        <w:rPr>
          <w:rFonts w:ascii="Arial" w:eastAsia="Arial" w:hAnsi="Arial" w:cs="Arial"/>
          <w:b/>
          <w:color w:val="000000"/>
          <w:sz w:val="20"/>
          <w:szCs w:val="20"/>
          <w:vertAlign w:val="baseline"/>
        </w:rPr>
        <w:t>FECHA</w:t>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t>FIRMA</w:t>
      </w:r>
    </w:p>
    <w:p w14:paraId="2EC398FA" w14:textId="77777777" w:rsidR="00F02F27" w:rsidRDefault="00F02F27" w:rsidP="00F02F27">
      <w:pPr>
        <w:pStyle w:val="WW-normal"/>
        <w:ind w:left="0" w:hanging="2"/>
        <w:rPr>
          <w:rFonts w:eastAsia="Arial"/>
          <w:vertAlign w:val="baseline"/>
        </w:rPr>
      </w:pPr>
      <w:r>
        <w:rPr>
          <w:rFonts w:eastAsia="Arial"/>
          <w:vertAlign w:val="baseline"/>
        </w:rPr>
        <w:br w:type="page"/>
      </w:r>
    </w:p>
    <w:p w14:paraId="681C91E4" w14:textId="77777777" w:rsidR="00CD49E1" w:rsidRDefault="00CD49E1" w:rsidP="00CD49E1">
      <w:pPr>
        <w:pageBreakBefore/>
        <w:pBdr>
          <w:top w:val="nil"/>
          <w:left w:val="nil"/>
          <w:bottom w:val="nil"/>
          <w:right w:val="nil"/>
          <w:between w:val="nil"/>
        </w:pBdr>
        <w:shd w:val="clear" w:color="auto" w:fill="DBE5F1"/>
        <w:spacing w:line="240" w:lineRule="auto"/>
        <w:ind w:left="0" w:hanging="2"/>
        <w:jc w:val="center"/>
        <w:rPr>
          <w:color w:val="000000"/>
          <w:vertAlign w:val="baseline"/>
        </w:rPr>
      </w:pPr>
      <w:r>
        <w:rPr>
          <w:rFonts w:ascii="Arial" w:eastAsia="Arial" w:hAnsi="Arial" w:cs="Arial"/>
          <w:b/>
          <w:color w:val="000000"/>
          <w:sz w:val="20"/>
          <w:szCs w:val="20"/>
          <w:vertAlign w:val="baseline"/>
        </w:rPr>
        <w:lastRenderedPageBreak/>
        <w:t>Formulario de declaración de conflictos de intereses</w:t>
      </w:r>
    </w:p>
    <w:p w14:paraId="2B15CF6A" w14:textId="77777777" w:rsidR="00CD49E1" w:rsidRDefault="00CD49E1" w:rsidP="00CD49E1">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7EC2EB72" w14:textId="77777777" w:rsidR="00CD49E1" w:rsidRDefault="00CD49E1" w:rsidP="00CD49E1">
      <w:pPr>
        <w:pBdr>
          <w:top w:val="none" w:sz="0" w:space="0" w:color="000000"/>
          <w:left w:val="none" w:sz="0" w:space="0" w:color="000000"/>
          <w:bottom w:val="none" w:sz="0" w:space="0" w:color="000000"/>
          <w:right w:val="none" w:sz="0" w:space="0" w:color="000000"/>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 xml:space="preserve">Los potenciales conflictos de intereses en la elaboración de informes de evaluación se consideran siempre que superen la cantidad de 2.000 euros anuales (últimos 3 años). </w:t>
      </w:r>
    </w:p>
    <w:p w14:paraId="16CF81BB" w14:textId="77777777" w:rsidR="00CD49E1" w:rsidRDefault="00CD49E1" w:rsidP="00CD49E1">
      <w:pPr>
        <w:pBdr>
          <w:top w:val="none" w:sz="0" w:space="0" w:color="000000"/>
          <w:left w:val="none" w:sz="0" w:space="0" w:color="000000"/>
          <w:bottom w:val="none" w:sz="0" w:space="0" w:color="000000"/>
          <w:right w:val="none" w:sz="0" w:space="0" w:color="000000"/>
          <w:between w:val="nil"/>
        </w:pBdr>
        <w:spacing w:line="240" w:lineRule="auto"/>
        <w:ind w:left="0" w:hanging="2"/>
        <w:rPr>
          <w:rFonts w:ascii="Arial" w:eastAsia="Arial" w:hAnsi="Arial" w:cs="Arial"/>
          <w:color w:val="000080"/>
          <w:sz w:val="20"/>
          <w:szCs w:val="20"/>
          <w:vertAlign w:val="baseline"/>
        </w:rPr>
      </w:pPr>
    </w:p>
    <w:p w14:paraId="31B0AC97" w14:textId="2B5E000F" w:rsidR="00CD49E1" w:rsidRDefault="00CD49E1" w:rsidP="00CD49E1">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 xml:space="preserve">– Nombre y apellidos: </w:t>
      </w:r>
      <w:r>
        <w:rPr>
          <w:rFonts w:ascii="Arial" w:eastAsia="Arial" w:hAnsi="Arial" w:cs="Arial"/>
          <w:color w:val="000000"/>
          <w:sz w:val="20"/>
          <w:szCs w:val="20"/>
          <w:vertAlign w:val="baseline"/>
        </w:rPr>
        <w:t>Pelayo Nieto Gómez</w:t>
      </w:r>
    </w:p>
    <w:p w14:paraId="61D9E589" w14:textId="77777777" w:rsidR="00CD49E1" w:rsidRDefault="00CD49E1" w:rsidP="00CD49E1">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5930706C" w14:textId="7722E4B9" w:rsidR="00CD49E1" w:rsidRDefault="00CD49E1" w:rsidP="00CD49E1">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 xml:space="preserve">– Institución en la que trabaja: </w:t>
      </w:r>
      <w:r w:rsidRPr="00A4153B">
        <w:rPr>
          <w:rFonts w:ascii="Arial" w:eastAsia="Arial" w:hAnsi="Arial" w:cs="Arial"/>
          <w:color w:val="000000"/>
          <w:sz w:val="20"/>
          <w:szCs w:val="20"/>
          <w:vertAlign w:val="baseline"/>
        </w:rPr>
        <w:t xml:space="preserve">Hospital </w:t>
      </w:r>
      <w:r w:rsidR="00D16A81">
        <w:rPr>
          <w:rFonts w:ascii="Arial" w:eastAsia="Arial" w:hAnsi="Arial" w:cs="Arial"/>
          <w:color w:val="000000"/>
          <w:sz w:val="20"/>
          <w:szCs w:val="20"/>
          <w:vertAlign w:val="baseline"/>
        </w:rPr>
        <w:t>Santa Bárbara. Puertollano. Ciudad Real.</w:t>
      </w:r>
    </w:p>
    <w:p w14:paraId="78E9EFAB" w14:textId="3255CA75" w:rsidR="00CD49E1" w:rsidRDefault="00CD49E1" w:rsidP="00CD49E1">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419C5EA5" w14:textId="77777777" w:rsidR="00CD49E1" w:rsidRDefault="00CD49E1" w:rsidP="00CD49E1">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 xml:space="preserve">– Institución que le vincula al informe. </w:t>
      </w:r>
      <w:r>
        <w:rPr>
          <w:rFonts w:ascii="Arial" w:eastAsia="Arial" w:hAnsi="Arial" w:cs="Arial"/>
          <w:color w:val="000000"/>
          <w:sz w:val="20"/>
          <w:szCs w:val="20"/>
          <w:vertAlign w:val="baseline"/>
        </w:rPr>
        <w:t>Grupo GENESIS de la SEFH</w:t>
      </w:r>
    </w:p>
    <w:p w14:paraId="26E7AC98" w14:textId="77777777" w:rsidR="00CD49E1" w:rsidRDefault="00CD49E1" w:rsidP="00CD49E1">
      <w:pPr>
        <w:pBdr>
          <w:top w:val="nil"/>
          <w:left w:val="nil"/>
          <w:bottom w:val="nil"/>
          <w:right w:val="nil"/>
          <w:between w:val="nil"/>
        </w:pBdr>
        <w:spacing w:after="40" w:line="240" w:lineRule="auto"/>
        <w:ind w:left="0" w:hanging="2"/>
        <w:rPr>
          <w:rFonts w:ascii="Arial" w:eastAsia="Arial" w:hAnsi="Arial" w:cs="Arial"/>
          <w:color w:val="000000"/>
          <w:sz w:val="20"/>
          <w:szCs w:val="20"/>
          <w:vertAlign w:val="baseline"/>
        </w:rPr>
      </w:pPr>
    </w:p>
    <w:p w14:paraId="20D51617" w14:textId="77777777" w:rsidR="00CD49E1" w:rsidRDefault="00CD49E1" w:rsidP="00CD49E1">
      <w:pPr>
        <w:pBdr>
          <w:top w:val="nil"/>
          <w:left w:val="nil"/>
          <w:bottom w:val="nil"/>
          <w:right w:val="nil"/>
          <w:between w:val="nil"/>
        </w:pBdr>
        <w:spacing w:after="40" w:line="240" w:lineRule="auto"/>
        <w:ind w:left="0" w:hanging="2"/>
        <w:rPr>
          <w:color w:val="000000"/>
          <w:vertAlign w:val="baseline"/>
        </w:rPr>
      </w:pPr>
      <w:r>
        <w:rPr>
          <w:rFonts w:ascii="Arial" w:eastAsia="Arial" w:hAnsi="Arial" w:cs="Arial"/>
          <w:color w:val="000000"/>
          <w:sz w:val="20"/>
          <w:szCs w:val="20"/>
          <w:vertAlign w:val="baseline"/>
        </w:rPr>
        <w:t>Participación en el informe de evaluación como:</w:t>
      </w:r>
    </w:p>
    <w:p w14:paraId="29BD4626" w14:textId="77777777" w:rsidR="00CD49E1" w:rsidRPr="00CD49E1" w:rsidRDefault="00CD49E1" w:rsidP="00CD49E1">
      <w:pPr>
        <w:pBdr>
          <w:top w:val="nil"/>
          <w:left w:val="nil"/>
          <w:bottom w:val="nil"/>
          <w:right w:val="nil"/>
          <w:between w:val="nil"/>
        </w:pBdr>
        <w:spacing w:line="240" w:lineRule="auto"/>
        <w:ind w:left="0" w:hanging="2"/>
        <w:rPr>
          <w:color w:val="000000"/>
          <w:u w:val="single"/>
          <w:vertAlign w:val="baseline"/>
        </w:rPr>
      </w:pPr>
      <w:r w:rsidRPr="00CD49E1">
        <w:rPr>
          <w:rFonts w:ascii="Arial" w:eastAsia="Arial" w:hAnsi="Arial" w:cs="Arial"/>
          <w:color w:val="000000"/>
          <w:sz w:val="20"/>
          <w:szCs w:val="20"/>
          <w:u w:val="single"/>
          <w:vertAlign w:val="baseline"/>
        </w:rPr>
        <w:t>1-Autor/a</w:t>
      </w:r>
    </w:p>
    <w:p w14:paraId="5D38F8D1" w14:textId="77777777" w:rsidR="00CD49E1" w:rsidRPr="00CD49E1" w:rsidRDefault="00CD49E1" w:rsidP="00CD49E1">
      <w:pPr>
        <w:pBdr>
          <w:top w:val="nil"/>
          <w:left w:val="nil"/>
          <w:bottom w:val="nil"/>
          <w:right w:val="nil"/>
          <w:between w:val="nil"/>
        </w:pBdr>
        <w:spacing w:line="240" w:lineRule="auto"/>
        <w:ind w:left="0" w:hanging="2"/>
        <w:rPr>
          <w:color w:val="000000"/>
          <w:vertAlign w:val="baseline"/>
        </w:rPr>
      </w:pPr>
      <w:r w:rsidRPr="00CD49E1">
        <w:rPr>
          <w:rFonts w:ascii="Arial" w:eastAsia="Arial" w:hAnsi="Arial" w:cs="Arial"/>
          <w:color w:val="000000"/>
          <w:sz w:val="20"/>
          <w:szCs w:val="20"/>
          <w:vertAlign w:val="baseline"/>
        </w:rPr>
        <w:t>2-Tutor/a</w:t>
      </w:r>
    </w:p>
    <w:p w14:paraId="6DAE6209" w14:textId="77777777" w:rsidR="00CD49E1" w:rsidRDefault="00CD49E1" w:rsidP="00CD49E1">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20"/>
          <w:szCs w:val="20"/>
          <w:vertAlign w:val="baseline"/>
        </w:rPr>
        <w:t>3-Revisor/a externo/a</w:t>
      </w:r>
    </w:p>
    <w:p w14:paraId="55F3D3A0" w14:textId="77777777" w:rsidR="00CD49E1" w:rsidRDefault="00CD49E1" w:rsidP="00CD49E1">
      <w:pPr>
        <w:pBdr>
          <w:top w:val="nil"/>
          <w:left w:val="nil"/>
          <w:bottom w:val="nil"/>
          <w:right w:val="nil"/>
          <w:between w:val="nil"/>
        </w:pBdr>
        <w:spacing w:line="240" w:lineRule="auto"/>
        <w:ind w:left="0" w:hanging="2"/>
        <w:jc w:val="both"/>
        <w:rPr>
          <w:rFonts w:ascii="Arial" w:eastAsia="Arial" w:hAnsi="Arial" w:cs="Arial"/>
          <w:color w:val="000000"/>
          <w:sz w:val="20"/>
          <w:szCs w:val="20"/>
          <w:vertAlign w:val="baseline"/>
        </w:rPr>
      </w:pPr>
    </w:p>
    <w:p w14:paraId="060A91BF" w14:textId="77777777" w:rsidR="00CD49E1" w:rsidRDefault="00CD49E1" w:rsidP="00CD49E1">
      <w:pPr>
        <w:pBdr>
          <w:top w:val="nil"/>
          <w:left w:val="nil"/>
          <w:bottom w:val="nil"/>
          <w:right w:val="nil"/>
          <w:between w:val="nil"/>
        </w:pBdr>
        <w:spacing w:line="240" w:lineRule="auto"/>
        <w:ind w:left="0" w:hanging="2"/>
        <w:jc w:val="both"/>
        <w:rPr>
          <w:color w:val="000000"/>
          <w:vertAlign w:val="baseline"/>
        </w:rPr>
      </w:pPr>
      <w:r>
        <w:rPr>
          <w:rFonts w:ascii="Arial" w:eastAsia="Arial" w:hAnsi="Arial" w:cs="Arial"/>
          <w:color w:val="000000"/>
          <w:sz w:val="20"/>
          <w:szCs w:val="20"/>
          <w:vertAlign w:val="baseline"/>
        </w:rPr>
        <w:t>Tras haber y leído y comprendido la información remitida sobre la declaración de conflictos para el presente informe, formulo la siguiente declaración:</w:t>
      </w:r>
    </w:p>
    <w:p w14:paraId="5E860016" w14:textId="77777777" w:rsidR="00CD49E1" w:rsidRDefault="00CD49E1" w:rsidP="00CD49E1">
      <w:pPr>
        <w:pBdr>
          <w:top w:val="nil"/>
          <w:left w:val="nil"/>
          <w:bottom w:val="nil"/>
          <w:right w:val="nil"/>
          <w:between w:val="nil"/>
        </w:pBdr>
        <w:spacing w:after="40" w:line="240" w:lineRule="auto"/>
        <w:ind w:left="0" w:hanging="2"/>
        <w:rPr>
          <w:rFonts w:ascii="Arial" w:eastAsia="Arial" w:hAnsi="Arial" w:cs="Arial"/>
          <w:color w:val="000000"/>
          <w:sz w:val="20"/>
          <w:szCs w:val="20"/>
          <w:vertAlign w:val="baseline"/>
        </w:rPr>
      </w:pPr>
    </w:p>
    <w:p w14:paraId="55BE3291" w14:textId="77777777" w:rsidR="00CD49E1" w:rsidRDefault="00CD49E1" w:rsidP="00CD49E1">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A- Intereses personales (</w:t>
      </w:r>
      <w:r>
        <w:rPr>
          <w:rFonts w:ascii="Arial" w:eastAsia="Arial" w:hAnsi="Arial" w:cs="Arial"/>
          <w:color w:val="000000"/>
          <w:sz w:val="20"/>
          <w:szCs w:val="20"/>
          <w:vertAlign w:val="baseline"/>
        </w:rPr>
        <w:t>En caso afirmativo especificar</w:t>
      </w:r>
      <w:r>
        <w:rPr>
          <w:rFonts w:ascii="Arial" w:eastAsia="Arial" w:hAnsi="Arial" w:cs="Arial"/>
          <w:b/>
          <w:color w:val="000000"/>
          <w:sz w:val="20"/>
          <w:szCs w:val="20"/>
          <w:vertAlign w:val="baseline"/>
        </w:rPr>
        <w:t xml:space="preserve">): </w:t>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Noto Sans Symbols" w:eastAsia="Noto Sans Symbols" w:hAnsi="Noto Sans Symbols" w:cs="Noto Sans Symbols"/>
          <w:b/>
          <w:color w:val="000000"/>
          <w:sz w:val="20"/>
          <w:szCs w:val="20"/>
          <w:vertAlign w:val="baseline"/>
        </w:rPr>
        <w:sym w:font="Symbol" w:char="F07F"/>
      </w:r>
      <w:r>
        <w:rPr>
          <w:rFonts w:ascii="Arial" w:eastAsia="Arial" w:hAnsi="Arial" w:cs="Arial"/>
          <w:b/>
          <w:color w:val="000000"/>
          <w:sz w:val="20"/>
          <w:szCs w:val="20"/>
          <w:vertAlign w:val="baseline"/>
        </w:rPr>
        <w:t>SI</w:t>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Noto Sans Symbols" w:eastAsia="Noto Sans Symbols" w:hAnsi="Noto Sans Symbols" w:cs="Noto Sans Symbols"/>
          <w:b/>
          <w:color w:val="000000"/>
          <w:sz w:val="20"/>
          <w:szCs w:val="20"/>
          <w:vertAlign w:val="baseline"/>
        </w:rPr>
        <w:sym w:font="Wingdings" w:char="F078"/>
      </w:r>
      <w:r>
        <w:rPr>
          <w:rFonts w:ascii="Arial" w:eastAsia="Arial" w:hAnsi="Arial" w:cs="Arial"/>
          <w:b/>
          <w:color w:val="000000"/>
          <w:sz w:val="20"/>
          <w:szCs w:val="20"/>
          <w:vertAlign w:val="baseline"/>
        </w:rPr>
        <w:t xml:space="preserve">NO </w:t>
      </w:r>
    </w:p>
    <w:p w14:paraId="7CA6D810" w14:textId="77777777" w:rsidR="00CD49E1" w:rsidRDefault="00CD49E1" w:rsidP="00CD49E1">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tbl>
      <w:tblPr>
        <w:tblStyle w:val="aff7"/>
        <w:tblW w:w="8898" w:type="dxa"/>
        <w:tblInd w:w="-5" w:type="dxa"/>
        <w:tblLayout w:type="fixed"/>
        <w:tblLook w:val="0000" w:firstRow="0" w:lastRow="0" w:firstColumn="0" w:lastColumn="0" w:noHBand="0" w:noVBand="0"/>
      </w:tblPr>
      <w:tblGrid>
        <w:gridCol w:w="5495"/>
        <w:gridCol w:w="1276"/>
        <w:gridCol w:w="1275"/>
        <w:gridCol w:w="852"/>
      </w:tblGrid>
      <w:tr w:rsidR="00CD49E1" w14:paraId="2CE47440" w14:textId="77777777" w:rsidTr="002D328A">
        <w:tc>
          <w:tcPr>
            <w:tcW w:w="5495" w:type="dxa"/>
            <w:tcBorders>
              <w:top w:val="single" w:sz="4" w:space="0" w:color="000000"/>
              <w:left w:val="single" w:sz="4" w:space="0" w:color="000000"/>
              <w:bottom w:val="single" w:sz="4" w:space="0" w:color="000000"/>
            </w:tcBorders>
          </w:tcPr>
          <w:p w14:paraId="27BBD387"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6" w:type="dxa"/>
            <w:tcBorders>
              <w:top w:val="single" w:sz="4" w:space="0" w:color="000000"/>
              <w:left w:val="single" w:sz="4" w:space="0" w:color="000000"/>
              <w:bottom w:val="single" w:sz="4" w:space="0" w:color="000000"/>
            </w:tcBorders>
          </w:tcPr>
          <w:p w14:paraId="6BAEA34E"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Actividad</w:t>
            </w:r>
          </w:p>
        </w:tc>
        <w:tc>
          <w:tcPr>
            <w:tcW w:w="1275" w:type="dxa"/>
            <w:tcBorders>
              <w:top w:val="single" w:sz="4" w:space="0" w:color="000000"/>
              <w:left w:val="single" w:sz="4" w:space="0" w:color="000000"/>
              <w:bottom w:val="single" w:sz="4" w:space="0" w:color="000000"/>
            </w:tcBorders>
          </w:tcPr>
          <w:p w14:paraId="25BBC932"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Institución</w:t>
            </w:r>
          </w:p>
        </w:tc>
        <w:tc>
          <w:tcPr>
            <w:tcW w:w="852" w:type="dxa"/>
            <w:tcBorders>
              <w:top w:val="single" w:sz="4" w:space="0" w:color="000000"/>
              <w:left w:val="single" w:sz="4" w:space="0" w:color="000000"/>
              <w:bottom w:val="single" w:sz="4" w:space="0" w:color="000000"/>
              <w:right w:val="single" w:sz="4" w:space="0" w:color="000000"/>
            </w:tcBorders>
          </w:tcPr>
          <w:p w14:paraId="30223F55"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Fecha</w:t>
            </w:r>
          </w:p>
        </w:tc>
      </w:tr>
      <w:tr w:rsidR="00CD49E1" w14:paraId="042AB02F" w14:textId="77777777" w:rsidTr="002D328A">
        <w:tc>
          <w:tcPr>
            <w:tcW w:w="5495" w:type="dxa"/>
            <w:tcBorders>
              <w:top w:val="single" w:sz="4" w:space="0" w:color="000000"/>
              <w:left w:val="single" w:sz="4" w:space="0" w:color="000000"/>
              <w:bottom w:val="single" w:sz="4" w:space="0" w:color="000000"/>
            </w:tcBorders>
          </w:tcPr>
          <w:p w14:paraId="534C82F5"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Financiación para reuniones y congresos, asistencia a cursos (inscripciones, bolsas de viajes, alojamiento…)</w:t>
            </w:r>
          </w:p>
        </w:tc>
        <w:tc>
          <w:tcPr>
            <w:tcW w:w="1276" w:type="dxa"/>
            <w:tcBorders>
              <w:top w:val="single" w:sz="4" w:space="0" w:color="000000"/>
              <w:left w:val="single" w:sz="4" w:space="0" w:color="000000"/>
              <w:bottom w:val="single" w:sz="4" w:space="0" w:color="000000"/>
            </w:tcBorders>
          </w:tcPr>
          <w:p w14:paraId="3948C453"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37A07D65"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22F74BFB"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CD49E1" w14:paraId="33C7C79F" w14:textId="77777777" w:rsidTr="002D328A">
        <w:tc>
          <w:tcPr>
            <w:tcW w:w="5495" w:type="dxa"/>
            <w:tcBorders>
              <w:top w:val="single" w:sz="4" w:space="0" w:color="000000"/>
              <w:left w:val="single" w:sz="4" w:space="0" w:color="000000"/>
              <w:bottom w:val="single" w:sz="4" w:space="0" w:color="000000"/>
            </w:tcBorders>
          </w:tcPr>
          <w:p w14:paraId="74B59FF0"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Honorarios como ponente (conferencias, cursos…)</w:t>
            </w:r>
          </w:p>
        </w:tc>
        <w:tc>
          <w:tcPr>
            <w:tcW w:w="1276" w:type="dxa"/>
            <w:tcBorders>
              <w:top w:val="single" w:sz="4" w:space="0" w:color="000000"/>
              <w:left w:val="single" w:sz="4" w:space="0" w:color="000000"/>
              <w:bottom w:val="single" w:sz="4" w:space="0" w:color="000000"/>
            </w:tcBorders>
          </w:tcPr>
          <w:p w14:paraId="76C5A21C"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16E909FB"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053094C4"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CD49E1" w14:paraId="4EFEF40C" w14:textId="77777777" w:rsidTr="002D328A">
        <w:tc>
          <w:tcPr>
            <w:tcW w:w="5495" w:type="dxa"/>
            <w:tcBorders>
              <w:top w:val="single" w:sz="4" w:space="0" w:color="000000"/>
              <w:left w:val="single" w:sz="4" w:space="0" w:color="000000"/>
              <w:bottom w:val="single" w:sz="4" w:space="0" w:color="000000"/>
            </w:tcBorders>
          </w:tcPr>
          <w:p w14:paraId="1241DCE1"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Financiación de programas educativos o cursos (contratación de personal, alquiler de instalaciones…)</w:t>
            </w:r>
          </w:p>
        </w:tc>
        <w:tc>
          <w:tcPr>
            <w:tcW w:w="1276" w:type="dxa"/>
            <w:tcBorders>
              <w:top w:val="single" w:sz="4" w:space="0" w:color="000000"/>
              <w:left w:val="single" w:sz="4" w:space="0" w:color="000000"/>
              <w:bottom w:val="single" w:sz="4" w:space="0" w:color="000000"/>
            </w:tcBorders>
          </w:tcPr>
          <w:p w14:paraId="03C36D79"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7B4B643D"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16517B96"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CD49E1" w14:paraId="6D2D25C8" w14:textId="77777777" w:rsidTr="002D328A">
        <w:tc>
          <w:tcPr>
            <w:tcW w:w="5495" w:type="dxa"/>
            <w:tcBorders>
              <w:top w:val="single" w:sz="4" w:space="0" w:color="000000"/>
              <w:left w:val="single" w:sz="4" w:space="0" w:color="000000"/>
              <w:bottom w:val="single" w:sz="4" w:space="0" w:color="000000"/>
            </w:tcBorders>
          </w:tcPr>
          <w:p w14:paraId="25E53FEF"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Financiación por participar en una investigación</w:t>
            </w:r>
          </w:p>
        </w:tc>
        <w:tc>
          <w:tcPr>
            <w:tcW w:w="1276" w:type="dxa"/>
            <w:tcBorders>
              <w:top w:val="single" w:sz="4" w:space="0" w:color="000000"/>
              <w:left w:val="single" w:sz="4" w:space="0" w:color="000000"/>
              <w:bottom w:val="single" w:sz="4" w:space="0" w:color="000000"/>
            </w:tcBorders>
          </w:tcPr>
          <w:p w14:paraId="66D289EA"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3601CAE6"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7DD19AD0"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CD49E1" w14:paraId="52C9B326" w14:textId="77777777" w:rsidTr="002D328A">
        <w:tc>
          <w:tcPr>
            <w:tcW w:w="5495" w:type="dxa"/>
            <w:tcBorders>
              <w:top w:val="single" w:sz="4" w:space="0" w:color="000000"/>
              <w:left w:val="single" w:sz="4" w:space="0" w:color="000000"/>
              <w:bottom w:val="single" w:sz="4" w:space="0" w:color="000000"/>
            </w:tcBorders>
          </w:tcPr>
          <w:p w14:paraId="780F4C2F"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Consultoría para una compañía farmacéutica/otras tecnologías</w:t>
            </w:r>
          </w:p>
        </w:tc>
        <w:tc>
          <w:tcPr>
            <w:tcW w:w="1276" w:type="dxa"/>
            <w:tcBorders>
              <w:top w:val="single" w:sz="4" w:space="0" w:color="000000"/>
              <w:left w:val="single" w:sz="4" w:space="0" w:color="000000"/>
              <w:bottom w:val="single" w:sz="4" w:space="0" w:color="000000"/>
            </w:tcBorders>
          </w:tcPr>
          <w:p w14:paraId="7DEAA1E1"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2D5129DA"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1DBF6671"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CD49E1" w14:paraId="4874ABB6" w14:textId="77777777" w:rsidTr="002D328A">
        <w:tc>
          <w:tcPr>
            <w:tcW w:w="5495" w:type="dxa"/>
            <w:tcBorders>
              <w:top w:val="single" w:sz="4" w:space="0" w:color="000000"/>
              <w:left w:val="single" w:sz="4" w:space="0" w:color="000000"/>
              <w:bottom w:val="single" w:sz="4" w:space="0" w:color="000000"/>
            </w:tcBorders>
          </w:tcPr>
          <w:p w14:paraId="1EEA9831"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Accionista o con intereses comerciales en una compañía</w:t>
            </w:r>
          </w:p>
        </w:tc>
        <w:tc>
          <w:tcPr>
            <w:tcW w:w="1276" w:type="dxa"/>
            <w:tcBorders>
              <w:top w:val="single" w:sz="4" w:space="0" w:color="000000"/>
              <w:left w:val="single" w:sz="4" w:space="0" w:color="000000"/>
              <w:bottom w:val="single" w:sz="4" w:space="0" w:color="000000"/>
            </w:tcBorders>
          </w:tcPr>
          <w:p w14:paraId="28DD4C0B"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4CBB1D55"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41612FD4"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CD49E1" w14:paraId="711A026B" w14:textId="77777777" w:rsidTr="002D328A">
        <w:tc>
          <w:tcPr>
            <w:tcW w:w="5495" w:type="dxa"/>
            <w:tcBorders>
              <w:top w:val="single" w:sz="4" w:space="0" w:color="000000"/>
              <w:left w:val="single" w:sz="4" w:space="0" w:color="000000"/>
              <w:bottom w:val="single" w:sz="4" w:space="0" w:color="000000"/>
            </w:tcBorders>
          </w:tcPr>
          <w:p w14:paraId="3EEC3AD6"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Intereses económicos en una empresa privada relacionada con la salud (propietario, empleado, accionista, consulta privada…), que puede ser significativo en relación a la autoría del informe</w:t>
            </w:r>
          </w:p>
        </w:tc>
        <w:tc>
          <w:tcPr>
            <w:tcW w:w="1276" w:type="dxa"/>
            <w:tcBorders>
              <w:top w:val="single" w:sz="4" w:space="0" w:color="000000"/>
              <w:left w:val="single" w:sz="4" w:space="0" w:color="000000"/>
              <w:bottom w:val="single" w:sz="4" w:space="0" w:color="000000"/>
            </w:tcBorders>
          </w:tcPr>
          <w:p w14:paraId="0799F5CB"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38771C40"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4C83A33C"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CD49E1" w14:paraId="7534EC5C" w14:textId="77777777" w:rsidTr="002D328A">
        <w:tc>
          <w:tcPr>
            <w:tcW w:w="5495" w:type="dxa"/>
            <w:tcBorders>
              <w:top w:val="single" w:sz="4" w:space="0" w:color="000000"/>
              <w:left w:val="single" w:sz="4" w:space="0" w:color="000000"/>
              <w:bottom w:val="single" w:sz="4" w:space="0" w:color="000000"/>
            </w:tcBorders>
          </w:tcPr>
          <w:p w14:paraId="0DDBC9F8"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Conflictos de intereses de índole no económico que pueden ser significativos en relación a la autoría en la guía</w:t>
            </w:r>
          </w:p>
        </w:tc>
        <w:tc>
          <w:tcPr>
            <w:tcW w:w="1276" w:type="dxa"/>
            <w:tcBorders>
              <w:top w:val="single" w:sz="4" w:space="0" w:color="000000"/>
              <w:left w:val="single" w:sz="4" w:space="0" w:color="000000"/>
              <w:bottom w:val="single" w:sz="4" w:space="0" w:color="000000"/>
            </w:tcBorders>
          </w:tcPr>
          <w:p w14:paraId="43DFF5C0"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01E3AB9C"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163B1F85"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CD49E1" w14:paraId="18F54EAB" w14:textId="77777777" w:rsidTr="002D328A">
        <w:trPr>
          <w:trHeight w:val="226"/>
        </w:trPr>
        <w:tc>
          <w:tcPr>
            <w:tcW w:w="8898" w:type="dxa"/>
            <w:gridSpan w:val="4"/>
            <w:tcBorders>
              <w:top w:val="single" w:sz="4" w:space="0" w:color="000000"/>
              <w:left w:val="single" w:sz="4" w:space="0" w:color="000000"/>
              <w:bottom w:val="single" w:sz="4" w:space="0" w:color="000000"/>
              <w:right w:val="single" w:sz="4" w:space="0" w:color="000000"/>
            </w:tcBorders>
          </w:tcPr>
          <w:p w14:paraId="0A5C7B5D" w14:textId="77777777" w:rsidR="00CD49E1" w:rsidRDefault="00CD49E1" w:rsidP="002D328A">
            <w:pPr>
              <w:pBdr>
                <w:top w:val="nil"/>
                <w:left w:val="nil"/>
                <w:bottom w:val="nil"/>
                <w:right w:val="nil"/>
                <w:between w:val="nil"/>
              </w:pBdr>
              <w:spacing w:line="240" w:lineRule="auto"/>
              <w:ind w:left="0" w:hanging="2"/>
              <w:jc w:val="both"/>
              <w:rPr>
                <w:rFonts w:ascii="Arial" w:eastAsia="Arial" w:hAnsi="Arial" w:cs="Arial"/>
                <w:color w:val="FF0000"/>
                <w:sz w:val="18"/>
                <w:szCs w:val="18"/>
                <w:vertAlign w:val="baseline"/>
              </w:rPr>
            </w:pPr>
          </w:p>
        </w:tc>
      </w:tr>
    </w:tbl>
    <w:p w14:paraId="15D7AC39" w14:textId="77777777" w:rsidR="00CD49E1" w:rsidRDefault="00CD49E1" w:rsidP="00CD49E1">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B- Intereses no personales (</w:t>
      </w:r>
      <w:r>
        <w:rPr>
          <w:rFonts w:ascii="Arial" w:eastAsia="Arial" w:hAnsi="Arial" w:cs="Arial"/>
          <w:color w:val="000000"/>
          <w:sz w:val="20"/>
          <w:szCs w:val="20"/>
          <w:vertAlign w:val="baseline"/>
        </w:rPr>
        <w:t>En caso afirmativo especificar</w:t>
      </w:r>
      <w:r>
        <w:rPr>
          <w:rFonts w:ascii="Arial" w:eastAsia="Arial" w:hAnsi="Arial" w:cs="Arial"/>
          <w:b/>
          <w:color w:val="000000"/>
          <w:sz w:val="20"/>
          <w:szCs w:val="20"/>
          <w:vertAlign w:val="baseline"/>
        </w:rPr>
        <w:t xml:space="preserve">): </w:t>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Noto Sans Symbols" w:eastAsia="Noto Sans Symbols" w:hAnsi="Noto Sans Symbols" w:cs="Noto Sans Symbols"/>
          <w:b/>
          <w:color w:val="000000"/>
          <w:sz w:val="20"/>
          <w:szCs w:val="20"/>
          <w:vertAlign w:val="baseline"/>
        </w:rPr>
        <w:sym w:font="Symbol" w:char="F07F"/>
      </w:r>
      <w:r>
        <w:rPr>
          <w:rFonts w:ascii="Arial" w:eastAsia="Arial" w:hAnsi="Arial" w:cs="Arial"/>
          <w:b/>
          <w:color w:val="000000"/>
          <w:sz w:val="20"/>
          <w:szCs w:val="20"/>
          <w:vertAlign w:val="baseline"/>
        </w:rPr>
        <w:t>SI</w:t>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Noto Sans Symbols" w:eastAsia="Noto Sans Symbols" w:hAnsi="Noto Sans Symbols" w:cs="Noto Sans Symbols"/>
          <w:b/>
          <w:color w:val="000000"/>
          <w:sz w:val="20"/>
          <w:szCs w:val="20"/>
          <w:vertAlign w:val="baseline"/>
        </w:rPr>
        <w:sym w:font="Wingdings" w:char="F078"/>
      </w:r>
      <w:r>
        <w:rPr>
          <w:rFonts w:ascii="Arial" w:eastAsia="Arial" w:hAnsi="Arial" w:cs="Arial"/>
          <w:b/>
          <w:color w:val="000000"/>
          <w:sz w:val="20"/>
          <w:szCs w:val="20"/>
          <w:vertAlign w:val="baseline"/>
        </w:rPr>
        <w:t>NO</w:t>
      </w:r>
    </w:p>
    <w:p w14:paraId="0DF6BFBB" w14:textId="77777777" w:rsidR="00CD49E1" w:rsidRDefault="00CD49E1" w:rsidP="00CD49E1">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 xml:space="preserve"> </w:t>
      </w:r>
    </w:p>
    <w:tbl>
      <w:tblPr>
        <w:tblStyle w:val="aff8"/>
        <w:tblW w:w="9039" w:type="dxa"/>
        <w:tblInd w:w="0" w:type="dxa"/>
        <w:tblLayout w:type="fixed"/>
        <w:tblLook w:val="0000" w:firstRow="0" w:lastRow="0" w:firstColumn="0" w:lastColumn="0" w:noHBand="0" w:noVBand="0"/>
      </w:tblPr>
      <w:tblGrid>
        <w:gridCol w:w="9039"/>
      </w:tblGrid>
      <w:tr w:rsidR="00CD49E1" w14:paraId="2DCFC4E0" w14:textId="77777777" w:rsidTr="002D328A">
        <w:trPr>
          <w:trHeight w:val="226"/>
        </w:trPr>
        <w:tc>
          <w:tcPr>
            <w:tcW w:w="9039" w:type="dxa"/>
          </w:tcPr>
          <w:p w14:paraId="4E26252D" w14:textId="77777777" w:rsidR="00CD49E1" w:rsidRDefault="00CD49E1" w:rsidP="002D328A">
            <w:pPr>
              <w:pBdr>
                <w:top w:val="none" w:sz="0" w:space="0" w:color="000000"/>
                <w:left w:val="none" w:sz="0" w:space="0" w:color="000000"/>
                <w:bottom w:val="none" w:sz="0" w:space="0" w:color="000000"/>
                <w:right w:val="none" w:sz="0" w:space="0" w:color="000000"/>
                <w:between w:val="nil"/>
              </w:pBdr>
              <w:spacing w:line="240" w:lineRule="auto"/>
              <w:ind w:left="0" w:hanging="2"/>
              <w:rPr>
                <w:rFonts w:ascii="Arial" w:eastAsia="Arial" w:hAnsi="Arial" w:cs="Arial"/>
                <w:color w:val="000000"/>
                <w:sz w:val="20"/>
                <w:szCs w:val="20"/>
                <w:vertAlign w:val="baseline"/>
              </w:rPr>
            </w:pPr>
          </w:p>
          <w:tbl>
            <w:tblPr>
              <w:tblStyle w:val="aff9"/>
              <w:tblW w:w="8898" w:type="dxa"/>
              <w:tblInd w:w="0" w:type="dxa"/>
              <w:tblLayout w:type="fixed"/>
              <w:tblLook w:val="0000" w:firstRow="0" w:lastRow="0" w:firstColumn="0" w:lastColumn="0" w:noHBand="0" w:noVBand="0"/>
            </w:tblPr>
            <w:tblGrid>
              <w:gridCol w:w="5495"/>
              <w:gridCol w:w="1276"/>
              <w:gridCol w:w="1275"/>
              <w:gridCol w:w="852"/>
            </w:tblGrid>
            <w:tr w:rsidR="00CD49E1" w14:paraId="429ED236" w14:textId="77777777" w:rsidTr="002D328A">
              <w:tc>
                <w:tcPr>
                  <w:tcW w:w="5495" w:type="dxa"/>
                  <w:tcBorders>
                    <w:top w:val="single" w:sz="4" w:space="0" w:color="000000"/>
                    <w:left w:val="single" w:sz="4" w:space="0" w:color="000000"/>
                    <w:bottom w:val="single" w:sz="4" w:space="0" w:color="000000"/>
                  </w:tcBorders>
                </w:tcPr>
                <w:p w14:paraId="286D0AB0"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6" w:type="dxa"/>
                  <w:tcBorders>
                    <w:top w:val="single" w:sz="4" w:space="0" w:color="000000"/>
                    <w:left w:val="single" w:sz="4" w:space="0" w:color="000000"/>
                    <w:bottom w:val="single" w:sz="4" w:space="0" w:color="000000"/>
                  </w:tcBorders>
                </w:tcPr>
                <w:p w14:paraId="7A3FC585"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Actividad</w:t>
                  </w:r>
                </w:p>
              </w:tc>
              <w:tc>
                <w:tcPr>
                  <w:tcW w:w="1275" w:type="dxa"/>
                  <w:tcBorders>
                    <w:top w:val="single" w:sz="4" w:space="0" w:color="000000"/>
                    <w:left w:val="single" w:sz="4" w:space="0" w:color="000000"/>
                    <w:bottom w:val="single" w:sz="4" w:space="0" w:color="000000"/>
                  </w:tcBorders>
                </w:tcPr>
                <w:p w14:paraId="7B89795F"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Institución</w:t>
                  </w:r>
                </w:p>
              </w:tc>
              <w:tc>
                <w:tcPr>
                  <w:tcW w:w="852" w:type="dxa"/>
                  <w:tcBorders>
                    <w:top w:val="single" w:sz="4" w:space="0" w:color="000000"/>
                    <w:left w:val="single" w:sz="4" w:space="0" w:color="000000"/>
                    <w:bottom w:val="single" w:sz="4" w:space="0" w:color="000000"/>
                    <w:right w:val="single" w:sz="4" w:space="0" w:color="000000"/>
                  </w:tcBorders>
                </w:tcPr>
                <w:p w14:paraId="64022DAB"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Fecha</w:t>
                  </w:r>
                </w:p>
              </w:tc>
            </w:tr>
            <w:tr w:rsidR="00CD49E1" w14:paraId="32874DC2" w14:textId="77777777" w:rsidTr="002D328A">
              <w:tc>
                <w:tcPr>
                  <w:tcW w:w="5495" w:type="dxa"/>
                  <w:tcBorders>
                    <w:top w:val="single" w:sz="4" w:space="0" w:color="000000"/>
                    <w:left w:val="single" w:sz="4" w:space="0" w:color="000000"/>
                    <w:bottom w:val="single" w:sz="4" w:space="0" w:color="000000"/>
                  </w:tcBorders>
                </w:tcPr>
                <w:p w14:paraId="61F33A55"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Financiación o ayudas económicas para la creación de la unidad o servicio</w:t>
                  </w:r>
                </w:p>
              </w:tc>
              <w:tc>
                <w:tcPr>
                  <w:tcW w:w="1276" w:type="dxa"/>
                  <w:tcBorders>
                    <w:top w:val="single" w:sz="4" w:space="0" w:color="000000"/>
                    <w:left w:val="single" w:sz="4" w:space="0" w:color="000000"/>
                    <w:bottom w:val="single" w:sz="4" w:space="0" w:color="000000"/>
                  </w:tcBorders>
                </w:tcPr>
                <w:p w14:paraId="4B11AB1E"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7FDE6860"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125719D9"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CD49E1" w14:paraId="4E7C1C94" w14:textId="77777777" w:rsidTr="002D328A">
              <w:tc>
                <w:tcPr>
                  <w:tcW w:w="5495" w:type="dxa"/>
                  <w:tcBorders>
                    <w:top w:val="single" w:sz="4" w:space="0" w:color="000000"/>
                    <w:left w:val="single" w:sz="4" w:space="0" w:color="000000"/>
                    <w:bottom w:val="single" w:sz="4" w:space="0" w:color="000000"/>
                  </w:tcBorders>
                </w:tcPr>
                <w:p w14:paraId="0BBEE099"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Dotación significativa de material a la unidad o servicio</w:t>
                  </w:r>
                </w:p>
              </w:tc>
              <w:tc>
                <w:tcPr>
                  <w:tcW w:w="1276" w:type="dxa"/>
                  <w:tcBorders>
                    <w:top w:val="single" w:sz="4" w:space="0" w:color="000000"/>
                    <w:left w:val="single" w:sz="4" w:space="0" w:color="000000"/>
                    <w:bottom w:val="single" w:sz="4" w:space="0" w:color="000000"/>
                  </w:tcBorders>
                </w:tcPr>
                <w:p w14:paraId="34BB0E3F"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071E575D"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320A4169"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CD49E1" w14:paraId="4FA01346" w14:textId="77777777" w:rsidTr="002D328A">
              <w:tc>
                <w:tcPr>
                  <w:tcW w:w="5495" w:type="dxa"/>
                  <w:tcBorders>
                    <w:top w:val="single" w:sz="4" w:space="0" w:color="000000"/>
                    <w:left w:val="single" w:sz="4" w:space="0" w:color="000000"/>
                    <w:bottom w:val="single" w:sz="4" w:space="0" w:color="000000"/>
                  </w:tcBorders>
                </w:tcPr>
                <w:p w14:paraId="0A6145E4"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Contratación o ayudas económicas para contratar personal en la unidad o servicio</w:t>
                  </w:r>
                </w:p>
              </w:tc>
              <w:tc>
                <w:tcPr>
                  <w:tcW w:w="1276" w:type="dxa"/>
                  <w:tcBorders>
                    <w:top w:val="single" w:sz="4" w:space="0" w:color="000000"/>
                    <w:left w:val="single" w:sz="4" w:space="0" w:color="000000"/>
                    <w:bottom w:val="single" w:sz="4" w:space="0" w:color="000000"/>
                  </w:tcBorders>
                </w:tcPr>
                <w:p w14:paraId="50C2F36D"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62016DE5"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6BE1C71A"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CD49E1" w14:paraId="19414ABB" w14:textId="77777777" w:rsidTr="002D328A">
              <w:tc>
                <w:tcPr>
                  <w:tcW w:w="5495" w:type="dxa"/>
                  <w:tcBorders>
                    <w:top w:val="single" w:sz="4" w:space="0" w:color="000000"/>
                    <w:left w:val="single" w:sz="4" w:space="0" w:color="000000"/>
                    <w:bottom w:val="single" w:sz="4" w:space="0" w:color="000000"/>
                  </w:tcBorders>
                </w:tcPr>
                <w:p w14:paraId="4B1054BF"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Ayuda económica para la financiación de una investigación</w:t>
                  </w:r>
                </w:p>
              </w:tc>
              <w:tc>
                <w:tcPr>
                  <w:tcW w:w="1276" w:type="dxa"/>
                  <w:tcBorders>
                    <w:top w:val="single" w:sz="4" w:space="0" w:color="000000"/>
                    <w:left w:val="single" w:sz="4" w:space="0" w:color="000000"/>
                    <w:bottom w:val="single" w:sz="4" w:space="0" w:color="000000"/>
                  </w:tcBorders>
                </w:tcPr>
                <w:p w14:paraId="4C9007F1"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4C8D7940"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6A7157C7"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r w:rsidR="00CD49E1" w14:paraId="2B96BCE2" w14:textId="77777777" w:rsidTr="002D328A">
              <w:tc>
                <w:tcPr>
                  <w:tcW w:w="5495" w:type="dxa"/>
                  <w:tcBorders>
                    <w:top w:val="single" w:sz="4" w:space="0" w:color="000000"/>
                    <w:left w:val="single" w:sz="4" w:space="0" w:color="000000"/>
                    <w:bottom w:val="single" w:sz="4" w:space="0" w:color="000000"/>
                  </w:tcBorders>
                </w:tcPr>
                <w:p w14:paraId="78DCAED0" w14:textId="77777777" w:rsidR="00CD49E1" w:rsidRDefault="00CD49E1" w:rsidP="002D328A">
                  <w:pPr>
                    <w:pBdr>
                      <w:top w:val="nil"/>
                      <w:left w:val="nil"/>
                      <w:bottom w:val="nil"/>
                      <w:right w:val="nil"/>
                      <w:between w:val="nil"/>
                    </w:pBdr>
                    <w:spacing w:line="240" w:lineRule="auto"/>
                    <w:ind w:left="0" w:hanging="2"/>
                    <w:rPr>
                      <w:color w:val="000000"/>
                      <w:vertAlign w:val="baseline"/>
                    </w:rPr>
                  </w:pPr>
                  <w:r>
                    <w:rPr>
                      <w:rFonts w:ascii="Arial" w:eastAsia="Arial" w:hAnsi="Arial" w:cs="Arial"/>
                      <w:color w:val="000000"/>
                      <w:sz w:val="18"/>
                      <w:szCs w:val="18"/>
                      <w:vertAlign w:val="baseline"/>
                    </w:rPr>
                    <w:t>Financiación de programas educativos o cursos para la unidad</w:t>
                  </w:r>
                </w:p>
              </w:tc>
              <w:tc>
                <w:tcPr>
                  <w:tcW w:w="1276" w:type="dxa"/>
                  <w:tcBorders>
                    <w:top w:val="single" w:sz="4" w:space="0" w:color="000000"/>
                    <w:left w:val="single" w:sz="4" w:space="0" w:color="000000"/>
                    <w:bottom w:val="single" w:sz="4" w:space="0" w:color="000000"/>
                  </w:tcBorders>
                </w:tcPr>
                <w:p w14:paraId="452B5B52"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1275" w:type="dxa"/>
                  <w:tcBorders>
                    <w:top w:val="single" w:sz="4" w:space="0" w:color="000000"/>
                    <w:left w:val="single" w:sz="4" w:space="0" w:color="000000"/>
                    <w:bottom w:val="single" w:sz="4" w:space="0" w:color="000000"/>
                  </w:tcBorders>
                </w:tcPr>
                <w:p w14:paraId="2B5B3913"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c>
                <w:tcPr>
                  <w:tcW w:w="852" w:type="dxa"/>
                  <w:tcBorders>
                    <w:top w:val="single" w:sz="4" w:space="0" w:color="000000"/>
                    <w:left w:val="single" w:sz="4" w:space="0" w:color="000000"/>
                    <w:bottom w:val="single" w:sz="4" w:space="0" w:color="000000"/>
                    <w:right w:val="single" w:sz="4" w:space="0" w:color="000000"/>
                  </w:tcBorders>
                </w:tcPr>
                <w:p w14:paraId="65A95109" w14:textId="77777777" w:rsidR="00CD49E1" w:rsidRDefault="00CD49E1" w:rsidP="002D328A">
                  <w:pPr>
                    <w:pBdr>
                      <w:top w:val="nil"/>
                      <w:left w:val="nil"/>
                      <w:bottom w:val="nil"/>
                      <w:right w:val="nil"/>
                      <w:between w:val="nil"/>
                    </w:pBdr>
                    <w:spacing w:line="240" w:lineRule="auto"/>
                    <w:ind w:left="0" w:hanging="2"/>
                    <w:rPr>
                      <w:rFonts w:ascii="Arial" w:eastAsia="Arial" w:hAnsi="Arial" w:cs="Arial"/>
                      <w:color w:val="000000"/>
                      <w:sz w:val="18"/>
                      <w:szCs w:val="18"/>
                      <w:vertAlign w:val="baseline"/>
                    </w:rPr>
                  </w:pPr>
                </w:p>
              </w:tc>
            </w:tr>
          </w:tbl>
          <w:p w14:paraId="50D8F22F" w14:textId="77777777" w:rsidR="00CD49E1" w:rsidRDefault="00CD49E1" w:rsidP="002D328A">
            <w:pPr>
              <w:pBdr>
                <w:top w:val="none" w:sz="0" w:space="0" w:color="000000"/>
                <w:left w:val="none" w:sz="0" w:space="0" w:color="000000"/>
                <w:bottom w:val="none" w:sz="0" w:space="0" w:color="000000"/>
                <w:right w:val="none" w:sz="0" w:space="0" w:color="000000"/>
                <w:between w:val="nil"/>
              </w:pBdr>
              <w:spacing w:line="240" w:lineRule="auto"/>
              <w:ind w:left="0" w:hanging="2"/>
              <w:rPr>
                <w:rFonts w:ascii="Arial" w:eastAsia="Arial" w:hAnsi="Arial" w:cs="Arial"/>
                <w:color w:val="000000"/>
                <w:sz w:val="20"/>
                <w:szCs w:val="20"/>
                <w:vertAlign w:val="baseline"/>
              </w:rPr>
            </w:pPr>
          </w:p>
        </w:tc>
      </w:tr>
    </w:tbl>
    <w:p w14:paraId="16C08A03" w14:textId="77777777" w:rsidR="00CD49E1" w:rsidRDefault="00CD49E1" w:rsidP="00CD49E1">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737B5740" w14:textId="77777777" w:rsidR="00CD49E1" w:rsidRDefault="00CD49E1" w:rsidP="00CD49E1">
      <w:pPr>
        <w:pBdr>
          <w:top w:val="nil"/>
          <w:left w:val="nil"/>
          <w:bottom w:val="nil"/>
          <w:right w:val="nil"/>
          <w:between w:val="nil"/>
        </w:pBdr>
        <w:spacing w:line="240" w:lineRule="auto"/>
        <w:ind w:left="0" w:hanging="2"/>
        <w:rPr>
          <w:color w:val="000000"/>
          <w:vertAlign w:val="baseline"/>
        </w:rPr>
      </w:pPr>
      <w:r>
        <w:rPr>
          <w:rFonts w:ascii="Arial" w:eastAsia="Arial" w:hAnsi="Arial" w:cs="Arial"/>
          <w:b/>
          <w:color w:val="000000"/>
          <w:sz w:val="20"/>
          <w:szCs w:val="20"/>
          <w:vertAlign w:val="baseline"/>
        </w:rPr>
        <w:t xml:space="preserve">C-Otros posibles conflictos de intereses no señalados en apartados anteriores (especificar) </w:t>
      </w:r>
    </w:p>
    <w:p w14:paraId="5DCF1B00" w14:textId="77777777" w:rsidR="00CD49E1" w:rsidRDefault="00CD49E1" w:rsidP="00CD49E1">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6D4BA670" w14:textId="77777777" w:rsidR="00CD49E1" w:rsidRDefault="00CD49E1" w:rsidP="00CD49E1">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0A3D15EB" w14:textId="77777777" w:rsidR="00CD49E1" w:rsidRDefault="00CD49E1" w:rsidP="00CD49E1">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647E9C54" w14:textId="77777777" w:rsidR="00CD49E1" w:rsidRDefault="00CD49E1" w:rsidP="00CD49E1">
      <w:pPr>
        <w:pBdr>
          <w:top w:val="nil"/>
          <w:left w:val="nil"/>
          <w:bottom w:val="nil"/>
          <w:right w:val="nil"/>
          <w:between w:val="nil"/>
        </w:pBdr>
        <w:spacing w:line="240" w:lineRule="auto"/>
        <w:ind w:left="0" w:hanging="2"/>
        <w:rPr>
          <w:rFonts w:ascii="Arial" w:eastAsia="Arial" w:hAnsi="Arial" w:cs="Arial"/>
          <w:color w:val="000000"/>
          <w:sz w:val="20"/>
          <w:szCs w:val="20"/>
          <w:vertAlign w:val="baseline"/>
        </w:rPr>
      </w:pPr>
    </w:p>
    <w:p w14:paraId="6840390D" w14:textId="77777777" w:rsidR="00CD49E1" w:rsidRDefault="00CD49E1" w:rsidP="00CD49E1">
      <w:pPr>
        <w:pBdr>
          <w:top w:val="nil"/>
          <w:left w:val="nil"/>
          <w:bottom w:val="nil"/>
          <w:right w:val="nil"/>
          <w:between w:val="nil"/>
        </w:pBdr>
        <w:spacing w:line="240" w:lineRule="auto"/>
        <w:ind w:left="0" w:hanging="2"/>
        <w:rPr>
          <w:rFonts w:ascii="Arial" w:eastAsia="Arial" w:hAnsi="Arial" w:cs="Arial"/>
          <w:b/>
          <w:color w:val="000000"/>
          <w:sz w:val="20"/>
          <w:szCs w:val="20"/>
          <w:vertAlign w:val="baseline"/>
        </w:rPr>
      </w:pPr>
      <w:r>
        <w:rPr>
          <w:rFonts w:ascii="Arial" w:eastAsia="Arial" w:hAnsi="Arial" w:cs="Arial"/>
          <w:b/>
          <w:color w:val="000000"/>
          <w:sz w:val="20"/>
          <w:szCs w:val="20"/>
          <w:vertAlign w:val="baseline"/>
        </w:rPr>
        <w:t>FECHA</w:t>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r>
      <w:r>
        <w:rPr>
          <w:rFonts w:ascii="Arial" w:eastAsia="Arial" w:hAnsi="Arial" w:cs="Arial"/>
          <w:b/>
          <w:color w:val="000000"/>
          <w:sz w:val="20"/>
          <w:szCs w:val="20"/>
          <w:vertAlign w:val="baseline"/>
        </w:rPr>
        <w:tab/>
        <w:t>FIRMA</w:t>
      </w:r>
    </w:p>
    <w:p w14:paraId="4D4195CC" w14:textId="02D98F34" w:rsidR="00CD49E1" w:rsidRDefault="00CD49E1" w:rsidP="00F02F27">
      <w:pPr>
        <w:pStyle w:val="Textoindependiente"/>
        <w:ind w:left="0" w:hanging="2"/>
        <w:jc w:val="both"/>
        <w:rPr>
          <w:rFonts w:ascii="Arial" w:hAnsi="Arial" w:cs="Arial"/>
          <w:b/>
          <w:color w:val="000080"/>
          <w:sz w:val="20"/>
          <w:szCs w:val="20"/>
        </w:rPr>
      </w:pPr>
    </w:p>
    <w:p w14:paraId="6F576B72" w14:textId="07C1DF0B" w:rsidR="00CD49E1" w:rsidRDefault="00CD49E1" w:rsidP="00F02F27">
      <w:pPr>
        <w:pStyle w:val="Textoindependiente"/>
        <w:ind w:left="0" w:hanging="2"/>
        <w:jc w:val="both"/>
        <w:rPr>
          <w:rFonts w:ascii="Arial" w:hAnsi="Arial" w:cs="Arial"/>
          <w:b/>
          <w:color w:val="000080"/>
          <w:sz w:val="20"/>
          <w:szCs w:val="20"/>
        </w:rPr>
      </w:pPr>
    </w:p>
    <w:p w14:paraId="33965F52" w14:textId="77777777" w:rsidR="00CD49E1" w:rsidRDefault="00CD49E1" w:rsidP="00F02F27">
      <w:pPr>
        <w:pStyle w:val="Textoindependiente"/>
        <w:ind w:left="0" w:hanging="2"/>
        <w:jc w:val="both"/>
        <w:rPr>
          <w:rFonts w:ascii="Arial" w:hAnsi="Arial" w:cs="Arial"/>
          <w:b/>
          <w:color w:val="000080"/>
          <w:sz w:val="20"/>
          <w:szCs w:val="20"/>
        </w:rPr>
      </w:pPr>
    </w:p>
    <w:p w14:paraId="744CD4B8" w14:textId="3DBB15D6" w:rsidR="00F02F27" w:rsidRPr="00AF2224" w:rsidRDefault="00F02F27" w:rsidP="00F02F27">
      <w:pPr>
        <w:pStyle w:val="Textoindependiente"/>
        <w:ind w:left="0" w:hanging="2"/>
        <w:jc w:val="both"/>
        <w:rPr>
          <w:rFonts w:ascii="Arial" w:hAnsi="Arial" w:cs="Arial"/>
          <w:b/>
          <w:color w:val="000080"/>
          <w:sz w:val="20"/>
          <w:szCs w:val="20"/>
        </w:rPr>
      </w:pPr>
      <w:r w:rsidRPr="00AF2224">
        <w:rPr>
          <w:rFonts w:ascii="Arial" w:hAnsi="Arial" w:cs="Arial"/>
          <w:b/>
          <w:color w:val="000080"/>
          <w:sz w:val="20"/>
          <w:szCs w:val="20"/>
        </w:rPr>
        <w:lastRenderedPageBreak/>
        <w:t>ANEXO 2</w:t>
      </w:r>
      <w:r w:rsidRPr="00AF2224">
        <w:rPr>
          <w:rFonts w:ascii="Arial" w:hAnsi="Arial" w:cs="Arial"/>
          <w:color w:val="000080"/>
          <w:sz w:val="20"/>
          <w:szCs w:val="20"/>
        </w:rPr>
        <w:t xml:space="preserve">. </w:t>
      </w:r>
      <w:hyperlink r:id="rId59" w:history="1"/>
      <w:hyperlink r:id="rId60" w:history="1"/>
      <w:hyperlink r:id="rId61" w:history="1"/>
      <w:hyperlink r:id="rId62" w:history="1"/>
      <w:r w:rsidRPr="00AF2224">
        <w:rPr>
          <w:rFonts w:ascii="Arial" w:hAnsi="Arial" w:cs="Arial"/>
          <w:b/>
          <w:color w:val="000080"/>
          <w:sz w:val="20"/>
          <w:szCs w:val="20"/>
        </w:rPr>
        <w:t xml:space="preserve">HOJA DE INSTRUCCIONES PARA ALEGACIONES/PROPUESTAS AL BORRADOR DE INFORME DE EVALUACIÓN DE </w:t>
      </w:r>
      <w:r w:rsidRPr="001D659C">
        <w:rPr>
          <w:rFonts w:ascii="Arial" w:hAnsi="Arial" w:cs="Arial"/>
          <w:b/>
          <w:color w:val="000080"/>
          <w:sz w:val="20"/>
          <w:szCs w:val="20"/>
        </w:rPr>
        <w:t>INCLISIRAN</w:t>
      </w:r>
      <w:r w:rsidRPr="00AF2224">
        <w:rPr>
          <w:rFonts w:ascii="Arial" w:hAnsi="Arial" w:cs="Arial"/>
          <w:b/>
          <w:color w:val="000080"/>
          <w:sz w:val="20"/>
          <w:szCs w:val="20"/>
        </w:rPr>
        <w:t xml:space="preserve"> _ </w:t>
      </w:r>
      <w:r w:rsidRPr="001D659C">
        <w:rPr>
          <w:rFonts w:ascii="Arial" w:hAnsi="Arial" w:cs="Arial"/>
          <w:b/>
          <w:color w:val="000080"/>
          <w:sz w:val="20"/>
          <w:szCs w:val="20"/>
        </w:rPr>
        <w:t>HIPERCOLESTEROLEMIA PRIMARIA Y DISLIPEMIA MIXTA</w:t>
      </w:r>
      <w:r w:rsidRPr="00AF2224">
        <w:rPr>
          <w:rFonts w:ascii="Arial" w:hAnsi="Arial" w:cs="Arial"/>
          <w:b/>
          <w:color w:val="000080"/>
          <w:sz w:val="20"/>
          <w:szCs w:val="20"/>
        </w:rPr>
        <w:t xml:space="preserve">.  </w:t>
      </w:r>
    </w:p>
    <w:p w14:paraId="4289830A" w14:textId="77777777" w:rsidR="00F02F27" w:rsidRPr="00AF2224" w:rsidRDefault="00F02F27" w:rsidP="00F02F27">
      <w:pPr>
        <w:ind w:left="0" w:hanging="2"/>
        <w:jc w:val="both"/>
        <w:rPr>
          <w:rFonts w:ascii="Arial" w:hAnsi="Arial" w:cs="Arial"/>
          <w:b/>
          <w:color w:val="000080"/>
          <w:sz w:val="20"/>
          <w:szCs w:val="20"/>
        </w:rPr>
      </w:pPr>
    </w:p>
    <w:p w14:paraId="3074FB90" w14:textId="77777777" w:rsidR="00F02F27" w:rsidRPr="00AF2224" w:rsidRDefault="00F02F27" w:rsidP="00F02F27">
      <w:pPr>
        <w:ind w:left="0" w:hanging="2"/>
        <w:jc w:val="both"/>
        <w:rPr>
          <w:rFonts w:ascii="Arial" w:hAnsi="Arial" w:cs="Arial"/>
          <w:color w:val="000080"/>
          <w:sz w:val="20"/>
          <w:szCs w:val="20"/>
        </w:rPr>
      </w:pPr>
      <w:r w:rsidRPr="00AF2224">
        <w:rPr>
          <w:rFonts w:ascii="Arial" w:hAnsi="Arial" w:cs="Arial"/>
          <w:color w:val="000080"/>
          <w:sz w:val="20"/>
          <w:szCs w:val="20"/>
        </w:rPr>
        <w:t xml:space="preserve">Nombre persona que hace la alegación propuesta: </w:t>
      </w:r>
      <w:r>
        <w:rPr>
          <w:rFonts w:ascii="Arial" w:hAnsi="Arial" w:cs="Arial"/>
          <w:color w:val="000080"/>
          <w:sz w:val="20"/>
          <w:szCs w:val="20"/>
        </w:rPr>
        <w:t>Javier Parrondo</w:t>
      </w:r>
    </w:p>
    <w:p w14:paraId="12E3907E" w14:textId="77777777" w:rsidR="00F02F27" w:rsidRPr="00AF2224" w:rsidRDefault="00F02F27" w:rsidP="00F02F27">
      <w:pPr>
        <w:ind w:left="0" w:hanging="2"/>
        <w:jc w:val="both"/>
        <w:rPr>
          <w:rFonts w:ascii="Arial" w:hAnsi="Arial" w:cs="Arial"/>
          <w:color w:val="000080"/>
          <w:sz w:val="20"/>
          <w:szCs w:val="20"/>
        </w:rPr>
      </w:pPr>
      <w:r w:rsidRPr="00AF2224">
        <w:rPr>
          <w:rFonts w:ascii="Arial" w:hAnsi="Arial" w:cs="Arial"/>
          <w:color w:val="000080"/>
          <w:sz w:val="20"/>
          <w:szCs w:val="20"/>
        </w:rPr>
        <w:t>Cargo que ocupa:</w:t>
      </w:r>
      <w:r>
        <w:rPr>
          <w:rFonts w:ascii="Arial" w:hAnsi="Arial" w:cs="Arial"/>
          <w:color w:val="000080"/>
          <w:sz w:val="20"/>
          <w:szCs w:val="20"/>
        </w:rPr>
        <w:t xml:space="preserve"> Health Economics &amp; Evidence Estrategy</w:t>
      </w:r>
    </w:p>
    <w:p w14:paraId="3F2AE8B2" w14:textId="77777777" w:rsidR="00F02F27" w:rsidRPr="00AF2224" w:rsidRDefault="00F02F27" w:rsidP="00F02F27">
      <w:pPr>
        <w:ind w:left="0" w:hanging="2"/>
        <w:jc w:val="both"/>
        <w:rPr>
          <w:rFonts w:ascii="Arial" w:hAnsi="Arial" w:cs="Arial"/>
          <w:color w:val="000080"/>
          <w:sz w:val="20"/>
          <w:szCs w:val="20"/>
        </w:rPr>
      </w:pPr>
      <w:r w:rsidRPr="00AF2224">
        <w:rPr>
          <w:rFonts w:ascii="Arial" w:hAnsi="Arial" w:cs="Arial"/>
          <w:color w:val="000080"/>
          <w:sz w:val="20"/>
          <w:szCs w:val="20"/>
        </w:rPr>
        <w:t xml:space="preserve">Centro, sociedad o empresa: </w:t>
      </w:r>
      <w:r>
        <w:rPr>
          <w:rFonts w:ascii="Arial" w:hAnsi="Arial" w:cs="Arial"/>
          <w:color w:val="000080"/>
          <w:sz w:val="20"/>
          <w:szCs w:val="20"/>
        </w:rPr>
        <w:t xml:space="preserve"> Novartis</w:t>
      </w:r>
    </w:p>
    <w:p w14:paraId="6C2DD3F8" w14:textId="77777777" w:rsidR="00F02F27" w:rsidRDefault="00F02F27" w:rsidP="00F02F27">
      <w:pPr>
        <w:ind w:left="0" w:hanging="2"/>
        <w:jc w:val="both"/>
        <w:rPr>
          <w:rFonts w:ascii="Arial" w:hAnsi="Arial" w:cs="Arial"/>
          <w:color w:val="000080"/>
          <w:sz w:val="20"/>
          <w:szCs w:val="20"/>
        </w:rPr>
      </w:pPr>
      <w:r w:rsidRPr="00AF2224">
        <w:rPr>
          <w:rFonts w:ascii="Arial" w:hAnsi="Arial" w:cs="Arial"/>
          <w:color w:val="000080"/>
          <w:sz w:val="20"/>
          <w:szCs w:val="20"/>
        </w:rPr>
        <w:t>Teléfono de contacto:</w:t>
      </w:r>
      <w:r>
        <w:rPr>
          <w:rFonts w:ascii="Arial" w:hAnsi="Arial" w:cs="Arial"/>
          <w:color w:val="000080"/>
          <w:sz w:val="20"/>
          <w:szCs w:val="20"/>
        </w:rPr>
        <w:t xml:space="preserve"> 663239219</w:t>
      </w:r>
    </w:p>
    <w:p w14:paraId="3529D318" w14:textId="77777777" w:rsidR="00F02F27" w:rsidRDefault="00F02F27" w:rsidP="00F02F27">
      <w:pPr>
        <w:ind w:left="0" w:hanging="2"/>
        <w:jc w:val="both"/>
        <w:rPr>
          <w:rFonts w:ascii="Arial" w:hAnsi="Arial" w:cs="Arial"/>
          <w:color w:val="000080"/>
          <w:sz w:val="20"/>
          <w:szCs w:val="20"/>
        </w:rPr>
      </w:pPr>
    </w:p>
    <w:p w14:paraId="20941F41" w14:textId="77777777" w:rsidR="00F02F27" w:rsidRDefault="00F02F27" w:rsidP="00F02F27">
      <w:pPr>
        <w:ind w:left="0" w:hanging="2"/>
        <w:jc w:val="both"/>
        <w:rPr>
          <w:rFonts w:ascii="Arial" w:hAnsi="Arial" w:cs="Arial"/>
          <w:b/>
          <w:bCs/>
          <w:sz w:val="20"/>
          <w:szCs w:val="20"/>
        </w:rPr>
      </w:pPr>
      <w:r>
        <w:rPr>
          <w:rFonts w:ascii="Arial" w:hAnsi="Arial" w:cs="Arial"/>
          <w:color w:val="000080"/>
          <w:sz w:val="20"/>
          <w:szCs w:val="20"/>
        </w:rPr>
        <w:t>FÁRMACO</w:t>
      </w:r>
      <w:r w:rsidRPr="009A50FF">
        <w:rPr>
          <w:rFonts w:ascii="Arial" w:hAnsi="Arial" w:cs="Arial"/>
          <w:color w:val="000080"/>
          <w:sz w:val="20"/>
          <w:szCs w:val="20"/>
        </w:rPr>
        <w:t xml:space="preserve">: </w:t>
      </w:r>
      <w:r>
        <w:rPr>
          <w:rFonts w:ascii="Arial" w:hAnsi="Arial" w:cs="Arial"/>
          <w:color w:val="000080"/>
          <w:sz w:val="20"/>
          <w:szCs w:val="20"/>
        </w:rPr>
        <w:t>INCLISIRAN</w:t>
      </w:r>
    </w:p>
    <w:p w14:paraId="6D7FCACA" w14:textId="77777777" w:rsidR="00F02F27" w:rsidRDefault="00F02F27" w:rsidP="00F02F27">
      <w:pPr>
        <w:ind w:left="0" w:hanging="2"/>
        <w:jc w:val="both"/>
        <w:rPr>
          <w:rFonts w:ascii="Arial" w:hAnsi="Arial" w:cs="Arial"/>
          <w:b/>
          <w:bCs/>
          <w:sz w:val="20"/>
          <w:szCs w:val="20"/>
        </w:rPr>
      </w:pPr>
    </w:p>
    <w:p w14:paraId="5A93A0D7" w14:textId="77777777" w:rsidR="00F02F27" w:rsidRPr="00D04BE1" w:rsidRDefault="00F02F27" w:rsidP="00F02F27">
      <w:pPr>
        <w:ind w:left="0" w:hanging="2"/>
        <w:jc w:val="both"/>
        <w:rPr>
          <w:rFonts w:ascii="Arial" w:hAnsi="Arial" w:cs="Arial"/>
          <w:b/>
          <w:bCs/>
          <w:sz w:val="20"/>
          <w:szCs w:val="20"/>
        </w:rPr>
      </w:pPr>
      <w:r>
        <w:rPr>
          <w:rFonts w:ascii="Arial" w:hAnsi="Arial" w:cs="Arial"/>
          <w:color w:val="000080"/>
          <w:sz w:val="20"/>
          <w:szCs w:val="20"/>
        </w:rPr>
        <w:t>INDICACIÓN/ES:  HIPERCOLESTEROLEMIA PRIMARIA Y DISLIPEMIA MIXTA</w:t>
      </w:r>
    </w:p>
    <w:p w14:paraId="6C8E42E0" w14:textId="77777777" w:rsidR="00F02F27" w:rsidRDefault="00F02F27" w:rsidP="00F02F27">
      <w:pPr>
        <w:ind w:left="0" w:hanging="2"/>
        <w:jc w:val="both"/>
        <w:rPr>
          <w:rFonts w:ascii="Arial" w:hAnsi="Arial" w:cs="Arial"/>
        </w:rPr>
      </w:pPr>
    </w:p>
    <w:p w14:paraId="79785450" w14:textId="77777777" w:rsidR="00F02F27" w:rsidRDefault="00F02F27" w:rsidP="00F02F27">
      <w:pPr>
        <w:ind w:left="0" w:hanging="2"/>
        <w:jc w:val="both"/>
        <w:rPr>
          <w:rFonts w:ascii="Tahoma" w:hAnsi="Tahoma"/>
          <w:b/>
          <w:color w:val="000080"/>
          <w:sz w:val="20"/>
        </w:rPr>
      </w:pPr>
    </w:p>
    <w:p w14:paraId="18478709" w14:textId="77777777" w:rsidR="00F02F27" w:rsidRDefault="00F02F27" w:rsidP="00F02F27">
      <w:pPr>
        <w:ind w:left="0" w:hanging="2"/>
        <w:jc w:val="both"/>
        <w:rPr>
          <w:rFonts w:ascii="Arial" w:hAnsi="Arial" w:cs="Arial"/>
          <w:b/>
          <w:color w:val="000080"/>
          <w:sz w:val="20"/>
        </w:rPr>
      </w:pPr>
      <w:r w:rsidRPr="00F06E7B">
        <w:rPr>
          <w:rFonts w:ascii="Arial" w:hAnsi="Arial" w:cs="Arial"/>
          <w:b/>
          <w:color w:val="000080"/>
          <w:sz w:val="20"/>
        </w:rPr>
        <w:t xml:space="preserve">ANEXO 3: </w:t>
      </w:r>
      <w:r>
        <w:rPr>
          <w:rFonts w:ascii="Arial" w:hAnsi="Arial" w:cs="Arial"/>
          <w:b/>
          <w:color w:val="000080"/>
          <w:sz w:val="20"/>
        </w:rPr>
        <w:t xml:space="preserve">IMPRESO DE </w:t>
      </w:r>
      <w:r w:rsidRPr="00F06E7B">
        <w:rPr>
          <w:rFonts w:ascii="Arial" w:hAnsi="Arial" w:cs="Arial"/>
          <w:b/>
          <w:color w:val="000080"/>
          <w:sz w:val="20"/>
        </w:rPr>
        <w:t>PROPUESTAS Y ALEGACIONES AL</w:t>
      </w:r>
      <w:r>
        <w:rPr>
          <w:rFonts w:ascii="Arial" w:hAnsi="Arial" w:cs="Arial"/>
          <w:b/>
          <w:color w:val="000080"/>
          <w:sz w:val="20"/>
        </w:rPr>
        <w:t xml:space="preserve"> BORRADOR PÚBLICO. </w:t>
      </w:r>
    </w:p>
    <w:p w14:paraId="0B14356C" w14:textId="77777777" w:rsidR="00F02F27" w:rsidRPr="00F06E7B" w:rsidRDefault="00F02F27" w:rsidP="00F02F27">
      <w:pPr>
        <w:ind w:left="0" w:hanging="2"/>
        <w:jc w:val="both"/>
        <w:rPr>
          <w:rFonts w:ascii="Arial" w:hAnsi="Arial" w:cs="Arial"/>
          <w:b/>
          <w:color w:val="000080"/>
          <w:sz w:val="20"/>
        </w:rPr>
      </w:pPr>
    </w:p>
    <w:p w14:paraId="215218D9" w14:textId="77777777" w:rsidR="00F02F27" w:rsidRDefault="00F02F27" w:rsidP="00F02F27">
      <w:pPr>
        <w:ind w:left="0" w:hanging="2"/>
        <w:jc w:val="both"/>
        <w:rPr>
          <w:rFonts w:ascii="Arial" w:hAnsi="Arial" w:cs="Arial"/>
          <w:b/>
          <w:color w:val="000080"/>
          <w:sz w:val="20"/>
        </w:rPr>
      </w:pPr>
      <w:r w:rsidRPr="00F06E7B">
        <w:rPr>
          <w:rFonts w:ascii="Arial" w:hAnsi="Arial" w:cs="Arial"/>
          <w:b/>
          <w:color w:val="000080"/>
          <w:sz w:val="20"/>
        </w:rPr>
        <w:t xml:space="preserve">Tutor: </w:t>
      </w:r>
      <w:r>
        <w:rPr>
          <w:rFonts w:ascii="Arial" w:hAnsi="Arial" w:cs="Arial"/>
          <w:b/>
          <w:color w:val="000080"/>
          <w:sz w:val="20"/>
        </w:rPr>
        <w:t>Noemí Martínez López de Castro</w:t>
      </w:r>
    </w:p>
    <w:p w14:paraId="6590018A" w14:textId="77777777" w:rsidR="00F02F27" w:rsidRPr="00F06E7B" w:rsidRDefault="00F02F27" w:rsidP="00F02F27">
      <w:pPr>
        <w:ind w:left="0" w:hanging="2"/>
        <w:jc w:val="both"/>
        <w:rPr>
          <w:rFonts w:ascii="Arial" w:hAnsi="Arial" w:cs="Arial"/>
          <w:b/>
          <w:color w:val="000080"/>
          <w:sz w:val="20"/>
        </w:rPr>
      </w:pPr>
    </w:p>
    <w:tbl>
      <w:tblPr>
        <w:tblW w:w="10676" w:type="dxa"/>
        <w:tblInd w:w="-650" w:type="dxa"/>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70" w:type="dxa"/>
          <w:right w:w="70" w:type="dxa"/>
        </w:tblCellMar>
        <w:tblLook w:val="01E0" w:firstRow="1" w:lastRow="1" w:firstColumn="1" w:lastColumn="1" w:noHBand="0" w:noVBand="0"/>
      </w:tblPr>
      <w:tblGrid>
        <w:gridCol w:w="1080"/>
        <w:gridCol w:w="7920"/>
        <w:gridCol w:w="1676"/>
      </w:tblGrid>
      <w:tr w:rsidR="00F02F27" w14:paraId="4176B0C1" w14:textId="77777777" w:rsidTr="002D328A">
        <w:tc>
          <w:tcPr>
            <w:tcW w:w="10676" w:type="dxa"/>
            <w:gridSpan w:val="3"/>
          </w:tcPr>
          <w:p w14:paraId="6097FAA0" w14:textId="77777777" w:rsidR="00F02F27" w:rsidRDefault="00F02F27" w:rsidP="002D328A">
            <w:pPr>
              <w:ind w:left="0" w:hanging="2"/>
              <w:jc w:val="both"/>
              <w:rPr>
                <w:rFonts w:ascii="Arial" w:hAnsi="Arial"/>
                <w:color w:val="000080"/>
                <w:sz w:val="20"/>
              </w:rPr>
            </w:pPr>
            <w:r>
              <w:rPr>
                <w:rFonts w:ascii="Arial" w:hAnsi="Arial"/>
                <w:color w:val="000080"/>
                <w:sz w:val="20"/>
              </w:rPr>
              <w:t xml:space="preserve"> Alegaciones al borrador público (MAXIMO 3 IMPRESOS)</w:t>
            </w:r>
          </w:p>
        </w:tc>
      </w:tr>
      <w:tr w:rsidR="00F02F27" w14:paraId="22D39448" w14:textId="77777777" w:rsidTr="002D328A">
        <w:tc>
          <w:tcPr>
            <w:tcW w:w="1080" w:type="dxa"/>
          </w:tcPr>
          <w:p w14:paraId="0167B3C9"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Javier</w:t>
            </w:r>
          </w:p>
          <w:p w14:paraId="0268C711" w14:textId="77777777" w:rsidR="00F02F2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08A98EA1" w14:textId="77777777" w:rsidR="00F02F27" w:rsidRDefault="00F02F27" w:rsidP="002D328A">
            <w:pPr>
              <w:ind w:left="0" w:hanging="2"/>
              <w:jc w:val="both"/>
              <w:rPr>
                <w:rFonts w:ascii="Arial" w:hAnsi="Arial"/>
                <w:color w:val="000080"/>
                <w:sz w:val="20"/>
              </w:rPr>
            </w:pPr>
            <w:r>
              <w:rPr>
                <w:rFonts w:ascii="Arial" w:hAnsi="Arial"/>
                <w:color w:val="000080"/>
                <w:sz w:val="20"/>
              </w:rPr>
              <w:t xml:space="preserve">Comentario general: </w:t>
            </w:r>
          </w:p>
          <w:p w14:paraId="6BD15EFB" w14:textId="77777777" w:rsidR="00F02F27" w:rsidRDefault="00F02F27" w:rsidP="002D328A">
            <w:pPr>
              <w:ind w:left="0" w:hanging="2"/>
              <w:jc w:val="both"/>
              <w:rPr>
                <w:rFonts w:ascii="Arial" w:hAnsi="Arial"/>
                <w:color w:val="000080"/>
                <w:sz w:val="20"/>
              </w:rPr>
            </w:pPr>
            <w:r>
              <w:rPr>
                <w:rFonts w:ascii="Arial" w:hAnsi="Arial"/>
                <w:color w:val="000080"/>
                <w:sz w:val="20"/>
              </w:rPr>
              <w:t>A lo largo del documento existen una serie de frases/párrafos resaltados en negrita y/o mayúsculas. Estos resaltados suelen coincidir con valoraciones negativas de los autores hacia el fármaco evaluado y no se aplican para aquellas de caracter positivo en el caso de que en el mismo apartado haya valoraciones en ambos sentidos. Consideramos que este resaltado le resta objetividad al informe por lo que proponemos sea eliminado.</w:t>
            </w:r>
          </w:p>
        </w:tc>
        <w:tc>
          <w:tcPr>
            <w:tcW w:w="1676" w:type="dxa"/>
          </w:tcPr>
          <w:p w14:paraId="5A35C65B" w14:textId="77777777" w:rsidR="00F02F27" w:rsidRDefault="00F02F27" w:rsidP="002D328A">
            <w:pPr>
              <w:ind w:left="0" w:hanging="2"/>
              <w:jc w:val="both"/>
              <w:rPr>
                <w:rFonts w:ascii="Tahoma" w:hAnsi="Tahoma"/>
                <w:color w:val="000080"/>
                <w:sz w:val="18"/>
              </w:rPr>
            </w:pPr>
            <w:r>
              <w:rPr>
                <w:rFonts w:ascii="Tahoma" w:hAnsi="Tahoma"/>
                <w:color w:val="000080"/>
                <w:sz w:val="18"/>
              </w:rPr>
              <w:t>Respuesta Tutor</w:t>
            </w:r>
          </w:p>
          <w:p w14:paraId="5C0765A7" w14:textId="77777777" w:rsidR="00F02F27" w:rsidRDefault="00F02F27" w:rsidP="002D328A">
            <w:pPr>
              <w:ind w:left="0" w:hanging="2"/>
              <w:jc w:val="both"/>
              <w:rPr>
                <w:rFonts w:ascii="Tahoma" w:hAnsi="Tahoma"/>
                <w:color w:val="000080"/>
                <w:sz w:val="18"/>
              </w:rPr>
            </w:pPr>
            <w:r>
              <w:rPr>
                <w:rFonts w:ascii="Tahoma" w:hAnsi="Tahoma"/>
                <w:color w:val="000080"/>
                <w:sz w:val="18"/>
              </w:rPr>
              <w:t>Se acepta. Se modifica el formato en el texto.</w:t>
            </w:r>
          </w:p>
        </w:tc>
      </w:tr>
      <w:tr w:rsidR="00F02F27" w14:paraId="733FA3A7" w14:textId="77777777" w:rsidTr="002D328A">
        <w:tc>
          <w:tcPr>
            <w:tcW w:w="1080" w:type="dxa"/>
          </w:tcPr>
          <w:p w14:paraId="29EC551D"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Javier</w:t>
            </w:r>
          </w:p>
          <w:p w14:paraId="6A8A13E5" w14:textId="77777777" w:rsidR="00F02F2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4E2A3AA4" w14:textId="77777777" w:rsidR="00F02F27" w:rsidRDefault="00F02F27" w:rsidP="002D328A">
            <w:pPr>
              <w:ind w:left="0" w:hanging="2"/>
              <w:jc w:val="both"/>
              <w:rPr>
                <w:rFonts w:ascii="Arial" w:hAnsi="Arial"/>
                <w:color w:val="000080"/>
                <w:sz w:val="20"/>
              </w:rPr>
            </w:pPr>
            <w:r>
              <w:rPr>
                <w:rFonts w:ascii="Arial" w:hAnsi="Arial"/>
                <w:color w:val="000080"/>
                <w:sz w:val="20"/>
              </w:rPr>
              <w:t>Punto 3.1 Tipo de dispensación (página 3):</w:t>
            </w:r>
          </w:p>
          <w:p w14:paraId="4518887C" w14:textId="77777777" w:rsidR="00F02F27" w:rsidRDefault="00F02F27" w:rsidP="002D328A">
            <w:pPr>
              <w:ind w:left="0" w:hanging="2"/>
              <w:jc w:val="both"/>
              <w:rPr>
                <w:rFonts w:ascii="Arial" w:hAnsi="Arial"/>
                <w:color w:val="000080"/>
                <w:sz w:val="20"/>
              </w:rPr>
            </w:pPr>
            <w:r>
              <w:rPr>
                <w:rFonts w:ascii="Arial" w:hAnsi="Arial"/>
                <w:color w:val="000080"/>
                <w:sz w:val="20"/>
              </w:rPr>
              <w:t>Consideramos que como la calificación que le ha otorgado la AEMPS es la de “</w:t>
            </w:r>
            <w:bookmarkStart w:id="98" w:name="_Hlk115023848"/>
            <w:r>
              <w:rPr>
                <w:rFonts w:ascii="Arial" w:hAnsi="Arial"/>
                <w:color w:val="000080"/>
                <w:sz w:val="20"/>
              </w:rPr>
              <w:t>Medicamento sujeto a prescripción médica; con receta médica</w:t>
            </w:r>
            <w:bookmarkEnd w:id="98"/>
            <w:r>
              <w:rPr>
                <w:rFonts w:ascii="Arial" w:hAnsi="Arial"/>
                <w:color w:val="000080"/>
                <w:sz w:val="20"/>
              </w:rPr>
              <w:t>” debería ser este el tipo de dispensación del informe.</w:t>
            </w:r>
          </w:p>
        </w:tc>
        <w:tc>
          <w:tcPr>
            <w:tcW w:w="1676" w:type="dxa"/>
          </w:tcPr>
          <w:p w14:paraId="5938CDE5" w14:textId="77777777" w:rsidR="00F02F27" w:rsidRDefault="00F02F27" w:rsidP="002D328A">
            <w:pPr>
              <w:ind w:left="0" w:hanging="2"/>
              <w:jc w:val="both"/>
              <w:rPr>
                <w:rFonts w:ascii="Tahoma" w:hAnsi="Tahoma"/>
                <w:color w:val="000080"/>
                <w:sz w:val="18"/>
              </w:rPr>
            </w:pPr>
            <w:r>
              <w:rPr>
                <w:rFonts w:ascii="Tahoma" w:hAnsi="Tahoma"/>
                <w:color w:val="000080"/>
                <w:sz w:val="18"/>
              </w:rPr>
              <w:t>Conforme. Se modifica.</w:t>
            </w:r>
          </w:p>
        </w:tc>
      </w:tr>
      <w:tr w:rsidR="00F02F27" w14:paraId="5CFDF3D3" w14:textId="77777777" w:rsidTr="002D328A">
        <w:tc>
          <w:tcPr>
            <w:tcW w:w="1080" w:type="dxa"/>
          </w:tcPr>
          <w:p w14:paraId="6B763939"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Javier</w:t>
            </w:r>
          </w:p>
          <w:p w14:paraId="317E2DC7" w14:textId="77777777" w:rsidR="00F02F2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50AEFEB0" w14:textId="77777777" w:rsidR="00F02F27" w:rsidRDefault="00F02F27" w:rsidP="002D328A">
            <w:pPr>
              <w:ind w:left="0" w:hanging="2"/>
              <w:jc w:val="both"/>
              <w:rPr>
                <w:rFonts w:ascii="Arial" w:hAnsi="Arial"/>
                <w:color w:val="000080"/>
                <w:sz w:val="20"/>
              </w:rPr>
            </w:pPr>
            <w:r>
              <w:rPr>
                <w:rFonts w:ascii="Arial" w:hAnsi="Arial"/>
                <w:color w:val="000080"/>
                <w:sz w:val="20"/>
              </w:rPr>
              <w:t>Punto 3.2.b Tratamiento actual (página 9 – apartado HFhe)</w:t>
            </w:r>
          </w:p>
          <w:p w14:paraId="646D8625" w14:textId="77777777" w:rsidR="00F02F27" w:rsidRPr="0054459F" w:rsidRDefault="00F02F27" w:rsidP="002D328A">
            <w:pPr>
              <w:ind w:left="0" w:hanging="2"/>
              <w:jc w:val="both"/>
              <w:rPr>
                <w:rFonts w:ascii="Arial" w:hAnsi="Arial"/>
                <w:color w:val="FF0000"/>
                <w:sz w:val="20"/>
              </w:rPr>
            </w:pPr>
            <w:r w:rsidRPr="00B0441A">
              <w:rPr>
                <w:rFonts w:ascii="Arial" w:hAnsi="Arial"/>
                <w:color w:val="000080"/>
                <w:sz w:val="20"/>
              </w:rPr>
              <w:t>El informe comenta que la SEA propone un umbral de efectividad a 5 años de NNT&lt;25, Este no es un umbral de coste-efectividad ya que el NNT por si mismo no contiene el componente del coste y el artículo citado no hace referencias al coste-efectividad. Consideramos que debería reformularse.</w:t>
            </w:r>
          </w:p>
        </w:tc>
        <w:tc>
          <w:tcPr>
            <w:tcW w:w="1676" w:type="dxa"/>
          </w:tcPr>
          <w:p w14:paraId="58C01BF9" w14:textId="77777777" w:rsidR="00F02F27" w:rsidRDefault="00F02F27" w:rsidP="002D328A">
            <w:pPr>
              <w:ind w:left="0" w:hanging="2"/>
              <w:jc w:val="both"/>
              <w:rPr>
                <w:rFonts w:ascii="Arial" w:hAnsi="Arial"/>
                <w:color w:val="000080"/>
                <w:sz w:val="16"/>
                <w:lang w:val="es-ES_tradnl"/>
              </w:rPr>
            </w:pPr>
            <w:r>
              <w:rPr>
                <w:rFonts w:ascii="Arial" w:hAnsi="Arial"/>
                <w:color w:val="000080"/>
                <w:sz w:val="16"/>
                <w:lang w:val="es-ES_tradnl"/>
              </w:rPr>
              <w:t>Conforme. Se elimina uno de los párrafos y se modifica la redacción de segundo.</w:t>
            </w:r>
          </w:p>
        </w:tc>
      </w:tr>
      <w:tr w:rsidR="00F02F27" w14:paraId="16BF5565" w14:textId="77777777" w:rsidTr="002D328A">
        <w:tc>
          <w:tcPr>
            <w:tcW w:w="1080" w:type="dxa"/>
          </w:tcPr>
          <w:p w14:paraId="157FD3BA"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Javier</w:t>
            </w:r>
          </w:p>
          <w:p w14:paraId="63EA3387" w14:textId="77777777" w:rsidR="00F02F2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2AC79B49" w14:textId="77777777" w:rsidR="00F02F27" w:rsidRDefault="00F02F27" w:rsidP="002D328A">
            <w:pPr>
              <w:ind w:left="0" w:hanging="2"/>
              <w:jc w:val="both"/>
              <w:rPr>
                <w:rFonts w:ascii="Arial" w:hAnsi="Arial"/>
                <w:color w:val="000080"/>
                <w:sz w:val="20"/>
              </w:rPr>
            </w:pPr>
            <w:r>
              <w:rPr>
                <w:rFonts w:ascii="Arial" w:hAnsi="Arial"/>
                <w:color w:val="000080"/>
                <w:sz w:val="20"/>
              </w:rPr>
              <w:t>Punto 4.2 Indicaciones formalmente aprobadas y fechas de aprobación (página 13):</w:t>
            </w:r>
          </w:p>
          <w:p w14:paraId="469CFFCF" w14:textId="77777777" w:rsidR="00F02F27" w:rsidRDefault="00F02F27" w:rsidP="002D328A">
            <w:pPr>
              <w:ind w:left="0" w:hanging="2"/>
              <w:jc w:val="both"/>
              <w:rPr>
                <w:rFonts w:ascii="Arial" w:hAnsi="Arial"/>
                <w:color w:val="000080"/>
                <w:sz w:val="20"/>
              </w:rPr>
            </w:pPr>
            <w:r>
              <w:rPr>
                <w:rFonts w:ascii="Arial" w:hAnsi="Arial"/>
                <w:color w:val="000080"/>
                <w:sz w:val="20"/>
              </w:rPr>
              <w:t>El informe menciona que el fármaco no está aprobado por la FDA. Solicitamos sea modificado ya que el fármaco fue aprobado por la FDA con fecha 22/12/2021 (</w:t>
            </w:r>
            <w:hyperlink r:id="rId63" w:history="1">
              <w:r w:rsidRPr="00A63BA4">
                <w:rPr>
                  <w:rStyle w:val="Hipervnculo"/>
                  <w:rFonts w:ascii="Arial" w:hAnsi="Arial"/>
                  <w:sz w:val="20"/>
                </w:rPr>
                <w:t>https://www.fda.gov/drugs/news-events-human-drugs/fda-approves-add-therapy-lower-cholesterol-among-certain-high-risk-adults</w:t>
              </w:r>
            </w:hyperlink>
            <w:r>
              <w:rPr>
                <w:rFonts w:ascii="Arial" w:hAnsi="Arial"/>
                <w:color w:val="000080"/>
                <w:sz w:val="20"/>
              </w:rPr>
              <w:t xml:space="preserve">) </w:t>
            </w:r>
          </w:p>
        </w:tc>
        <w:tc>
          <w:tcPr>
            <w:tcW w:w="1676" w:type="dxa"/>
          </w:tcPr>
          <w:p w14:paraId="100E7C32" w14:textId="77777777" w:rsidR="00F02F27" w:rsidRDefault="00F02F27" w:rsidP="002D328A">
            <w:pPr>
              <w:ind w:left="0" w:hanging="2"/>
              <w:jc w:val="both"/>
              <w:rPr>
                <w:rFonts w:ascii="Arial Narrow" w:hAnsi="Arial Narrow"/>
                <w:color w:val="000080"/>
                <w:sz w:val="18"/>
              </w:rPr>
            </w:pPr>
            <w:r>
              <w:rPr>
                <w:rFonts w:ascii="Arial Narrow" w:hAnsi="Arial Narrow"/>
                <w:color w:val="000080"/>
                <w:sz w:val="18"/>
              </w:rPr>
              <w:t>Conforme. Modificado.</w:t>
            </w:r>
          </w:p>
        </w:tc>
      </w:tr>
      <w:tr w:rsidR="00F02F27" w14:paraId="657B3E39" w14:textId="77777777" w:rsidTr="002D328A">
        <w:tc>
          <w:tcPr>
            <w:tcW w:w="1080" w:type="dxa"/>
          </w:tcPr>
          <w:p w14:paraId="453BC541"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Javier</w:t>
            </w:r>
          </w:p>
          <w:p w14:paraId="210B25FB" w14:textId="77777777" w:rsidR="00F02F2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43BCE015" w14:textId="77777777" w:rsidR="00F02F27" w:rsidRDefault="00F02F27" w:rsidP="002D328A">
            <w:pPr>
              <w:ind w:left="0" w:hanging="2"/>
              <w:jc w:val="both"/>
              <w:rPr>
                <w:rFonts w:ascii="Arial" w:hAnsi="Arial"/>
                <w:color w:val="000080"/>
                <w:sz w:val="20"/>
              </w:rPr>
            </w:pPr>
            <w:r>
              <w:rPr>
                <w:rFonts w:ascii="Arial" w:hAnsi="Arial"/>
                <w:color w:val="000080"/>
                <w:sz w:val="20"/>
              </w:rPr>
              <w:t xml:space="preserve">Punto 5.1.a Ensayos clínicos disponibles para indicación clínica evaluada (página 15): </w:t>
            </w:r>
          </w:p>
          <w:p w14:paraId="3FED4D8F" w14:textId="77777777" w:rsidR="00F02F27" w:rsidRPr="00496565" w:rsidRDefault="00F02F27" w:rsidP="002D328A">
            <w:pPr>
              <w:ind w:left="0" w:hanging="2"/>
              <w:jc w:val="both"/>
              <w:rPr>
                <w:rFonts w:ascii="Arial" w:hAnsi="Arial"/>
                <w:color w:val="000080"/>
                <w:sz w:val="20"/>
              </w:rPr>
            </w:pPr>
            <w:r>
              <w:rPr>
                <w:rFonts w:ascii="Arial" w:hAnsi="Arial"/>
                <w:color w:val="000080"/>
                <w:sz w:val="20"/>
              </w:rPr>
              <w:t xml:space="preserve">El listado de ensayos en la figura 2 está desactualizado no habiéndose descrito los siguientes ensayos: </w:t>
            </w:r>
            <w:r w:rsidRPr="00496565">
              <w:rPr>
                <w:rFonts w:ascii="Arial" w:hAnsi="Arial"/>
                <w:color w:val="000080"/>
                <w:sz w:val="20"/>
              </w:rPr>
              <w:t>ORION-13</w:t>
            </w:r>
            <w:r>
              <w:rPr>
                <w:rFonts w:ascii="Arial" w:hAnsi="Arial"/>
                <w:color w:val="000080"/>
                <w:sz w:val="20"/>
              </w:rPr>
              <w:t xml:space="preserve"> (</w:t>
            </w:r>
            <w:r w:rsidRPr="00496565">
              <w:rPr>
                <w:rFonts w:ascii="Arial" w:hAnsi="Arial"/>
                <w:color w:val="000080"/>
                <w:sz w:val="20"/>
              </w:rPr>
              <w:t>NCT04659863</w:t>
            </w:r>
            <w:r>
              <w:rPr>
                <w:rFonts w:ascii="Arial" w:hAnsi="Arial"/>
                <w:color w:val="000080"/>
                <w:sz w:val="20"/>
              </w:rPr>
              <w:t xml:space="preserve">); </w:t>
            </w:r>
            <w:r w:rsidRPr="00496565">
              <w:rPr>
                <w:rFonts w:ascii="Arial" w:hAnsi="Arial"/>
                <w:color w:val="000080"/>
                <w:sz w:val="20"/>
              </w:rPr>
              <w:t>ORION-1</w:t>
            </w:r>
            <w:r>
              <w:rPr>
                <w:rFonts w:ascii="Arial" w:hAnsi="Arial"/>
                <w:color w:val="000080"/>
                <w:sz w:val="20"/>
              </w:rPr>
              <w:t>6 (</w:t>
            </w:r>
            <w:r w:rsidRPr="00430A78">
              <w:rPr>
                <w:rFonts w:ascii="Arial" w:hAnsi="Arial"/>
                <w:color w:val="000080"/>
                <w:sz w:val="20"/>
              </w:rPr>
              <w:t>NCT04652726</w:t>
            </w:r>
            <w:r>
              <w:rPr>
                <w:rFonts w:ascii="Arial" w:hAnsi="Arial"/>
                <w:color w:val="000080"/>
                <w:sz w:val="20"/>
              </w:rPr>
              <w:t>);</w:t>
            </w:r>
            <w:r w:rsidRPr="00496565">
              <w:rPr>
                <w:rFonts w:ascii="Arial" w:hAnsi="Arial"/>
                <w:color w:val="000080"/>
                <w:sz w:val="20"/>
              </w:rPr>
              <w:t>ORION-1</w:t>
            </w:r>
            <w:r>
              <w:rPr>
                <w:rFonts w:ascii="Arial" w:hAnsi="Arial"/>
                <w:color w:val="000080"/>
                <w:sz w:val="20"/>
              </w:rPr>
              <w:t>8 (</w:t>
            </w:r>
            <w:r w:rsidRPr="00430A78">
              <w:rPr>
                <w:rFonts w:ascii="Arial" w:hAnsi="Arial"/>
                <w:color w:val="000080"/>
                <w:sz w:val="20"/>
              </w:rPr>
              <w:t>NCT04765657</w:t>
            </w:r>
            <w:r>
              <w:rPr>
                <w:rFonts w:ascii="Arial" w:hAnsi="Arial"/>
                <w:color w:val="000080"/>
                <w:sz w:val="20"/>
              </w:rPr>
              <w:t xml:space="preserve">); </w:t>
            </w:r>
            <w:r w:rsidRPr="00430A78">
              <w:rPr>
                <w:rFonts w:ascii="Arial" w:hAnsi="Arial"/>
                <w:color w:val="000080"/>
                <w:sz w:val="20"/>
              </w:rPr>
              <w:t>VICTORION-2-PREVENT</w:t>
            </w:r>
            <w:r>
              <w:rPr>
                <w:rFonts w:ascii="Arial" w:hAnsi="Arial"/>
                <w:color w:val="000080"/>
                <w:sz w:val="20"/>
              </w:rPr>
              <w:t xml:space="preserve"> (</w:t>
            </w:r>
            <w:r w:rsidRPr="00430A78">
              <w:rPr>
                <w:rFonts w:ascii="Arial" w:hAnsi="Arial"/>
                <w:color w:val="000080"/>
                <w:sz w:val="20"/>
              </w:rPr>
              <w:t>NCT05030428</w:t>
            </w:r>
            <w:r>
              <w:rPr>
                <w:rFonts w:ascii="Arial" w:hAnsi="Arial"/>
                <w:color w:val="000080"/>
                <w:sz w:val="20"/>
              </w:rPr>
              <w:t xml:space="preserve">); </w:t>
            </w:r>
            <w:r w:rsidRPr="00430A78">
              <w:rPr>
                <w:rFonts w:ascii="Arial" w:hAnsi="Arial"/>
                <w:color w:val="000080"/>
                <w:sz w:val="20"/>
              </w:rPr>
              <w:t>VICTORION-PLAQUE</w:t>
            </w:r>
            <w:r>
              <w:rPr>
                <w:rFonts w:ascii="Arial" w:hAnsi="Arial"/>
                <w:color w:val="000080"/>
                <w:sz w:val="20"/>
              </w:rPr>
              <w:t xml:space="preserve"> (</w:t>
            </w:r>
            <w:r w:rsidRPr="00430A78">
              <w:rPr>
                <w:rFonts w:ascii="Arial" w:hAnsi="Arial"/>
                <w:color w:val="000080"/>
                <w:sz w:val="20"/>
              </w:rPr>
              <w:t>NCT05360446</w:t>
            </w:r>
            <w:r>
              <w:rPr>
                <w:rFonts w:ascii="Arial" w:hAnsi="Arial"/>
                <w:color w:val="000080"/>
                <w:sz w:val="20"/>
              </w:rPr>
              <w:t xml:space="preserve">); </w:t>
            </w:r>
            <w:r w:rsidRPr="00430A78">
              <w:rPr>
                <w:rFonts w:ascii="Arial" w:hAnsi="Arial"/>
                <w:color w:val="000080"/>
                <w:sz w:val="20"/>
              </w:rPr>
              <w:t>VICTORION-SPIRIT</w:t>
            </w:r>
            <w:r>
              <w:rPr>
                <w:rFonts w:ascii="Arial" w:hAnsi="Arial"/>
                <w:color w:val="000080"/>
                <w:sz w:val="20"/>
              </w:rPr>
              <w:t xml:space="preserve"> (</w:t>
            </w:r>
            <w:r w:rsidRPr="00430A78">
              <w:rPr>
                <w:rFonts w:ascii="Arial" w:hAnsi="Arial"/>
                <w:color w:val="000080"/>
                <w:sz w:val="20"/>
              </w:rPr>
              <w:t>NCT04807400</w:t>
            </w:r>
            <w:r>
              <w:rPr>
                <w:rFonts w:ascii="Arial" w:hAnsi="Arial"/>
                <w:color w:val="000080"/>
                <w:sz w:val="20"/>
              </w:rPr>
              <w:t xml:space="preserve">); </w:t>
            </w:r>
            <w:r w:rsidRPr="00430A78">
              <w:rPr>
                <w:rFonts w:ascii="Arial" w:hAnsi="Arial"/>
                <w:color w:val="000080"/>
                <w:sz w:val="20"/>
              </w:rPr>
              <w:t>VICTORION-INITIATE</w:t>
            </w:r>
            <w:r>
              <w:rPr>
                <w:rFonts w:ascii="Arial" w:hAnsi="Arial"/>
                <w:color w:val="000080"/>
                <w:sz w:val="20"/>
              </w:rPr>
              <w:t xml:space="preserve"> (</w:t>
            </w:r>
            <w:r w:rsidRPr="00430A78">
              <w:rPr>
                <w:rFonts w:ascii="Arial" w:hAnsi="Arial"/>
                <w:color w:val="000080"/>
                <w:sz w:val="20"/>
              </w:rPr>
              <w:t>NCT04929249</w:t>
            </w:r>
            <w:r>
              <w:rPr>
                <w:rFonts w:ascii="Arial" w:hAnsi="Arial"/>
                <w:color w:val="000080"/>
                <w:sz w:val="20"/>
              </w:rPr>
              <w:t xml:space="preserve">); </w:t>
            </w:r>
            <w:r w:rsidRPr="00430A78">
              <w:rPr>
                <w:rFonts w:ascii="Arial" w:hAnsi="Arial"/>
                <w:color w:val="000080"/>
                <w:sz w:val="20"/>
              </w:rPr>
              <w:t>VICTORION-INCEPTION</w:t>
            </w:r>
            <w:r>
              <w:rPr>
                <w:rFonts w:ascii="Arial" w:hAnsi="Arial"/>
                <w:color w:val="000080"/>
                <w:sz w:val="20"/>
              </w:rPr>
              <w:t xml:space="preserve"> (</w:t>
            </w:r>
            <w:r w:rsidRPr="00430A78">
              <w:rPr>
                <w:rFonts w:ascii="Arial" w:hAnsi="Arial"/>
                <w:color w:val="000080"/>
                <w:sz w:val="20"/>
              </w:rPr>
              <w:t>NCT04873934</w:t>
            </w:r>
            <w:r>
              <w:rPr>
                <w:rFonts w:ascii="Arial" w:hAnsi="Arial"/>
                <w:color w:val="000080"/>
                <w:sz w:val="20"/>
              </w:rPr>
              <w:t xml:space="preserve">) , y </w:t>
            </w:r>
            <w:r w:rsidRPr="00430A78">
              <w:rPr>
                <w:rFonts w:ascii="Arial" w:hAnsi="Arial"/>
                <w:color w:val="000080"/>
                <w:sz w:val="20"/>
              </w:rPr>
              <w:t>VICTORION-DIFFERENCE</w:t>
            </w:r>
            <w:r>
              <w:rPr>
                <w:rFonts w:ascii="Arial" w:hAnsi="Arial"/>
                <w:color w:val="000080"/>
                <w:sz w:val="20"/>
              </w:rPr>
              <w:t xml:space="preserve"> (</w:t>
            </w:r>
            <w:r w:rsidRPr="00430A78">
              <w:rPr>
                <w:rFonts w:ascii="Arial" w:hAnsi="Arial"/>
                <w:color w:val="000080"/>
                <w:sz w:val="20"/>
              </w:rPr>
              <w:t>NCT05192941</w:t>
            </w:r>
            <w:r>
              <w:rPr>
                <w:rFonts w:ascii="Arial" w:hAnsi="Arial"/>
                <w:color w:val="000080"/>
                <w:sz w:val="20"/>
              </w:rPr>
              <w:t>).</w:t>
            </w:r>
          </w:p>
        </w:tc>
        <w:tc>
          <w:tcPr>
            <w:tcW w:w="1676" w:type="dxa"/>
          </w:tcPr>
          <w:p w14:paraId="0DC54F2E" w14:textId="77777777" w:rsidR="00F02F27" w:rsidRDefault="00F02F27" w:rsidP="002D328A">
            <w:pPr>
              <w:ind w:left="0" w:hanging="2"/>
              <w:jc w:val="both"/>
              <w:rPr>
                <w:rFonts w:ascii="Arial Narrow" w:hAnsi="Arial Narrow"/>
                <w:color w:val="000080"/>
                <w:sz w:val="18"/>
              </w:rPr>
            </w:pPr>
            <w:r>
              <w:rPr>
                <w:rFonts w:ascii="Arial Narrow" w:hAnsi="Arial Narrow"/>
                <w:color w:val="000080"/>
                <w:sz w:val="18"/>
              </w:rPr>
              <w:t>No se acepta. Son posteriores a la elaboración del informe.</w:t>
            </w:r>
          </w:p>
        </w:tc>
      </w:tr>
      <w:tr w:rsidR="00F02F27" w14:paraId="64DE8536" w14:textId="77777777" w:rsidTr="002D328A">
        <w:tc>
          <w:tcPr>
            <w:tcW w:w="1080" w:type="dxa"/>
          </w:tcPr>
          <w:p w14:paraId="440EF87C"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sonJavier</w:t>
            </w:r>
          </w:p>
          <w:p w14:paraId="0D5F767B" w14:textId="77777777" w:rsidR="00F02F2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22510076" w14:textId="77777777" w:rsidR="00F02F27" w:rsidRDefault="00F02F27" w:rsidP="002D328A">
            <w:pPr>
              <w:ind w:left="0" w:hanging="2"/>
              <w:jc w:val="both"/>
              <w:rPr>
                <w:rFonts w:ascii="Arial" w:hAnsi="Arial"/>
                <w:color w:val="000080"/>
                <w:sz w:val="20"/>
              </w:rPr>
            </w:pPr>
            <w:r>
              <w:rPr>
                <w:rFonts w:ascii="Arial" w:hAnsi="Arial"/>
                <w:color w:val="000080"/>
                <w:sz w:val="20"/>
              </w:rPr>
              <w:t xml:space="preserve">En los Puntos 5.1.a (página 15); 5.2.b – A (página 30); 5.2.b – C.1 (página 36), y 5.2.b – C.2 (páginas 37 y 40): </w:t>
            </w:r>
          </w:p>
          <w:p w14:paraId="188B760D" w14:textId="77777777" w:rsidR="00F02F27" w:rsidRDefault="00F02F27" w:rsidP="002D328A">
            <w:pPr>
              <w:ind w:left="0" w:hanging="2"/>
              <w:jc w:val="both"/>
              <w:rPr>
                <w:rFonts w:ascii="Arial" w:hAnsi="Arial"/>
                <w:color w:val="000080"/>
                <w:sz w:val="20"/>
              </w:rPr>
            </w:pPr>
            <w:r>
              <w:rPr>
                <w:rFonts w:ascii="Arial" w:hAnsi="Arial"/>
                <w:color w:val="000080"/>
                <w:sz w:val="20"/>
              </w:rPr>
              <w:t>Se menciona al estudio ORION-4 como el único estudio que evalúa eventos cardiovasculares como variable principal. Además de este estudio está en marcha el ensayo VICTORION-2 PREVENT con un estimado de tamaño muestral similar (15.000 pacientes). Las fechas de finalización estimadas de estos estudios son 2026 para el estudio ORION-4 y 2027 para el VICTORION-2 PREVENT.</w:t>
            </w:r>
          </w:p>
        </w:tc>
        <w:tc>
          <w:tcPr>
            <w:tcW w:w="1676" w:type="dxa"/>
          </w:tcPr>
          <w:p w14:paraId="393C99A1" w14:textId="77777777" w:rsidR="00F02F27" w:rsidRDefault="00F02F27" w:rsidP="002D328A">
            <w:pPr>
              <w:ind w:left="0" w:hanging="2"/>
              <w:jc w:val="both"/>
              <w:rPr>
                <w:rFonts w:ascii="Arial Narrow" w:hAnsi="Arial Narrow"/>
                <w:color w:val="000080"/>
                <w:sz w:val="18"/>
              </w:rPr>
            </w:pPr>
            <w:r>
              <w:rPr>
                <w:rFonts w:ascii="Arial Narrow" w:hAnsi="Arial Narrow"/>
                <w:color w:val="000080"/>
                <w:sz w:val="18"/>
              </w:rPr>
              <w:t>No se acepta. Son posteriores a la elaboración del informe.</w:t>
            </w:r>
          </w:p>
        </w:tc>
      </w:tr>
      <w:tr w:rsidR="00F02F27" w14:paraId="58B5F2AC" w14:textId="77777777" w:rsidTr="002D328A">
        <w:tc>
          <w:tcPr>
            <w:tcW w:w="1080" w:type="dxa"/>
          </w:tcPr>
          <w:p w14:paraId="47A94CA5"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Javier</w:t>
            </w:r>
          </w:p>
          <w:p w14:paraId="44EE4296" w14:textId="77777777" w:rsidR="00F02F2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037D5CDF" w14:textId="77777777" w:rsidR="00F02F27" w:rsidRDefault="00F02F27" w:rsidP="002D328A">
            <w:pPr>
              <w:ind w:left="0" w:hanging="2"/>
              <w:jc w:val="both"/>
              <w:rPr>
                <w:rFonts w:ascii="Arial" w:hAnsi="Arial"/>
                <w:color w:val="000080"/>
                <w:sz w:val="20"/>
              </w:rPr>
            </w:pPr>
            <w:r>
              <w:rPr>
                <w:rFonts w:ascii="Arial" w:hAnsi="Arial"/>
                <w:color w:val="000080"/>
                <w:sz w:val="20"/>
              </w:rPr>
              <w:t xml:space="preserve">Punto 5.2.b – C.1 relevancia clínica (página 36)  </w:t>
            </w:r>
          </w:p>
          <w:p w14:paraId="7B608B75" w14:textId="77777777" w:rsidR="00F02F27" w:rsidRDefault="00F02F27" w:rsidP="002D328A">
            <w:pPr>
              <w:ind w:left="0" w:hanging="2"/>
              <w:jc w:val="both"/>
              <w:rPr>
                <w:rFonts w:ascii="Arial" w:hAnsi="Arial"/>
                <w:color w:val="000080"/>
                <w:sz w:val="20"/>
              </w:rPr>
            </w:pPr>
            <w:r>
              <w:rPr>
                <w:rFonts w:ascii="Arial" w:hAnsi="Arial"/>
                <w:color w:val="000080"/>
                <w:sz w:val="20"/>
              </w:rPr>
              <w:t>En el segundo párrafo del apartado aparece resaltado en negrita “Esta reducción de cifras de c-LDL no ha demostrado correlación con una disminución en la morbilidad y mortalidad cardiovascular”. Proponemos eliminar el resalte en negrita y añadir el adverbio “aún” o “todavía” delante de “no ha demostrado...” ya que, esto estaría en línea con la forma de expresarlo de la ficha técnica del producto. De esta forma quedaría de manifiesto que, por un lado, hay dos estudios clínicos en desarrollo con un estimado de 30.000 pacientes. Y que, por otro, es plausible biológicamente que pueda demostrarse (es de esperar que fármacos que actúan sobre la misma vía y que obtienen reducciones de c-LDL similares muestren resultados similares también en cuanto a disminución de eventos CV).</w:t>
            </w:r>
          </w:p>
        </w:tc>
        <w:tc>
          <w:tcPr>
            <w:tcW w:w="1676" w:type="dxa"/>
          </w:tcPr>
          <w:p w14:paraId="41D30D67" w14:textId="77777777" w:rsidR="00F02F27" w:rsidRDefault="00F02F27" w:rsidP="002D328A">
            <w:pPr>
              <w:ind w:left="0" w:hanging="2"/>
              <w:jc w:val="both"/>
              <w:rPr>
                <w:rFonts w:ascii="Arial Narrow" w:hAnsi="Arial Narrow"/>
                <w:color w:val="000080"/>
                <w:sz w:val="18"/>
              </w:rPr>
            </w:pPr>
            <w:r>
              <w:rPr>
                <w:rFonts w:ascii="Arial Narrow" w:hAnsi="Arial Narrow"/>
                <w:color w:val="000080"/>
                <w:sz w:val="18"/>
              </w:rPr>
              <w:t>Se ha eliminado la negrita. No se cambia la redacción.</w:t>
            </w:r>
          </w:p>
        </w:tc>
      </w:tr>
      <w:tr w:rsidR="00F02F27" w14:paraId="1F4A2792" w14:textId="77777777" w:rsidTr="002D328A">
        <w:tc>
          <w:tcPr>
            <w:tcW w:w="1080" w:type="dxa"/>
          </w:tcPr>
          <w:p w14:paraId="572B8A8C"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Javier</w:t>
            </w:r>
          </w:p>
          <w:p w14:paraId="3C6F0370" w14:textId="77777777" w:rsidR="00F02F2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09E3ACB8" w14:textId="77777777" w:rsidR="00F02F27" w:rsidRDefault="00F02F27" w:rsidP="002D328A">
            <w:pPr>
              <w:ind w:left="0" w:hanging="2"/>
              <w:jc w:val="both"/>
              <w:rPr>
                <w:rFonts w:ascii="Arial" w:hAnsi="Arial"/>
                <w:color w:val="000080"/>
                <w:sz w:val="20"/>
              </w:rPr>
            </w:pPr>
            <w:r>
              <w:rPr>
                <w:rFonts w:ascii="Arial" w:hAnsi="Arial"/>
                <w:color w:val="000080"/>
                <w:sz w:val="20"/>
              </w:rPr>
              <w:t>En el penúltimo párrafo del punto 5.2.b – C.2 (página 40) se menciona que, dadas las diferencias entre los ensayos, estos no son metodológicamente aptos para realizar una comparación directa ajustada. Consideramos que, si bien estas diferencias dificultan la realización de una comparación directa ajustada por el método Bucher, existen otras metodologías que permiten llevar a cabo este tipo de comparaciones como pueden ser el empleo de emparejamiento por índices de propensión, el MAIC o el metaanálisis en red bayesiano. Proponemos un cambio de redacción que tenga esto en cuenta.</w:t>
            </w:r>
          </w:p>
        </w:tc>
        <w:tc>
          <w:tcPr>
            <w:tcW w:w="1676" w:type="dxa"/>
          </w:tcPr>
          <w:p w14:paraId="7E65B7D3" w14:textId="77777777" w:rsidR="00F02F27" w:rsidRDefault="00F02F27" w:rsidP="002D328A">
            <w:pPr>
              <w:ind w:left="0" w:hanging="2"/>
              <w:jc w:val="both"/>
              <w:rPr>
                <w:rFonts w:ascii="Arial Narrow" w:hAnsi="Arial Narrow"/>
                <w:color w:val="000080"/>
                <w:sz w:val="18"/>
              </w:rPr>
            </w:pPr>
            <w:r>
              <w:rPr>
                <w:rFonts w:ascii="Arial Narrow" w:hAnsi="Arial Narrow"/>
                <w:color w:val="000080"/>
                <w:sz w:val="18"/>
              </w:rPr>
              <w:t>No se acepta. La metodología GENESIS, y el modelo MADRE propone la elaboración de comparaciones indirectas a través del método Bucher.</w:t>
            </w:r>
          </w:p>
        </w:tc>
      </w:tr>
      <w:tr w:rsidR="00F02F27" w:rsidRPr="00095B15" w14:paraId="18B52628" w14:textId="77777777" w:rsidTr="002D328A">
        <w:tc>
          <w:tcPr>
            <w:tcW w:w="1080" w:type="dxa"/>
          </w:tcPr>
          <w:p w14:paraId="7ADCC0B6"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lastRenderedPageBreak/>
              <w:t>Javier</w:t>
            </w:r>
          </w:p>
          <w:p w14:paraId="01D9FA8F" w14:textId="77777777" w:rsidR="00F02F2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226DFDEB" w14:textId="77777777" w:rsidR="00F02F27" w:rsidRPr="00095B15" w:rsidRDefault="00F02F27" w:rsidP="002D328A">
            <w:pPr>
              <w:ind w:left="0" w:hanging="2"/>
              <w:jc w:val="both"/>
              <w:rPr>
                <w:rFonts w:ascii="Arial" w:hAnsi="Arial"/>
                <w:color w:val="000080"/>
                <w:sz w:val="20"/>
              </w:rPr>
            </w:pPr>
            <w:r w:rsidRPr="00095B15">
              <w:rPr>
                <w:rFonts w:ascii="Arial" w:hAnsi="Arial"/>
                <w:color w:val="000080"/>
                <w:sz w:val="20"/>
              </w:rPr>
              <w:t xml:space="preserve">Punto 5.3.a Revisiones Sistemáticas publicadas – Estimation of the major cardiovascular events prevention with inclisiran (último párrafo </w:t>
            </w:r>
            <w:r>
              <w:rPr>
                <w:rFonts w:ascii="Arial" w:hAnsi="Arial"/>
                <w:color w:val="000080"/>
                <w:sz w:val="20"/>
              </w:rPr>
              <w:t xml:space="preserve">del apartado </w:t>
            </w:r>
            <w:r w:rsidRPr="00095B15">
              <w:rPr>
                <w:rFonts w:ascii="Arial" w:hAnsi="Arial"/>
                <w:color w:val="000080"/>
                <w:sz w:val="20"/>
              </w:rPr>
              <w:t>en página 4</w:t>
            </w:r>
            <w:r>
              <w:rPr>
                <w:rFonts w:ascii="Arial" w:hAnsi="Arial"/>
                <w:color w:val="000080"/>
                <w:sz w:val="20"/>
              </w:rPr>
              <w:t>3</w:t>
            </w:r>
            <w:r w:rsidRPr="00095B15">
              <w:rPr>
                <w:rFonts w:ascii="Arial" w:hAnsi="Arial"/>
                <w:color w:val="000080"/>
                <w:sz w:val="20"/>
              </w:rPr>
              <w:t>). Consideramos</w:t>
            </w:r>
            <w:r>
              <w:rPr>
                <w:rFonts w:ascii="Arial" w:hAnsi="Arial"/>
                <w:color w:val="000080"/>
                <w:sz w:val="20"/>
              </w:rPr>
              <w:t xml:space="preserve"> que el comentario no se ajusta a la realidad y que se ha omitido los resultados de la metarregresión que muestra la relación lineal existente entre la estimación (ajustada por factores de riesgo) de reducción de MACE y la reducción de c-LDL. Proponemos la modificación del comentario y la inclusión de los resultados de la metarregresión en la discusión.</w:t>
            </w:r>
          </w:p>
        </w:tc>
        <w:tc>
          <w:tcPr>
            <w:tcW w:w="1676" w:type="dxa"/>
          </w:tcPr>
          <w:p w14:paraId="70B2DC2A" w14:textId="77777777" w:rsidR="00F02F27" w:rsidRPr="00095B15" w:rsidRDefault="00F02F27" w:rsidP="002D328A">
            <w:pPr>
              <w:ind w:left="0" w:hanging="2"/>
              <w:jc w:val="both"/>
              <w:rPr>
                <w:rFonts w:ascii="Arial Narrow" w:hAnsi="Arial Narrow"/>
                <w:color w:val="000080"/>
                <w:sz w:val="18"/>
              </w:rPr>
            </w:pPr>
            <w:r>
              <w:rPr>
                <w:rFonts w:ascii="Arial Narrow" w:hAnsi="Arial Narrow"/>
                <w:color w:val="000080"/>
                <w:sz w:val="18"/>
              </w:rPr>
              <w:t xml:space="preserve">Se acepta. Se añade un comentario al respecto. </w:t>
            </w:r>
          </w:p>
        </w:tc>
      </w:tr>
      <w:tr w:rsidR="00F02F27" w:rsidRPr="00431137" w14:paraId="21C28F92" w14:textId="77777777" w:rsidTr="002D328A">
        <w:tc>
          <w:tcPr>
            <w:tcW w:w="1080" w:type="dxa"/>
          </w:tcPr>
          <w:p w14:paraId="78857969"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Javier</w:t>
            </w:r>
          </w:p>
          <w:p w14:paraId="338FA9C8" w14:textId="77777777" w:rsidR="00F02F27" w:rsidRPr="00095B15"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29712238" w14:textId="77777777" w:rsidR="00F02F27" w:rsidRDefault="00F02F27" w:rsidP="002D328A">
            <w:pPr>
              <w:ind w:left="0" w:hanging="2"/>
              <w:jc w:val="both"/>
              <w:rPr>
                <w:rFonts w:ascii="Arial" w:hAnsi="Arial"/>
                <w:color w:val="000080"/>
                <w:sz w:val="20"/>
              </w:rPr>
            </w:pPr>
            <w:r>
              <w:rPr>
                <w:rFonts w:ascii="Arial" w:hAnsi="Arial"/>
                <w:color w:val="000080"/>
                <w:sz w:val="20"/>
              </w:rPr>
              <w:t xml:space="preserve">Punto 5.3.b.1 – Comparaciones Indirectas Publicadas (página 43) </w:t>
            </w:r>
          </w:p>
          <w:p w14:paraId="743A7989" w14:textId="77777777" w:rsidR="00F02F27" w:rsidRPr="00431137" w:rsidRDefault="00F02F27" w:rsidP="002D328A">
            <w:pPr>
              <w:ind w:left="0" w:hanging="2"/>
              <w:jc w:val="both"/>
              <w:rPr>
                <w:rFonts w:ascii="Arial" w:hAnsi="Arial"/>
                <w:color w:val="000080"/>
                <w:sz w:val="20"/>
              </w:rPr>
            </w:pPr>
            <w:r>
              <w:rPr>
                <w:rFonts w:ascii="Arial" w:hAnsi="Arial"/>
                <w:color w:val="000080"/>
                <w:sz w:val="20"/>
              </w:rPr>
              <w:t>El informe no localizó ninguna comparación indirecta publicada. Recientemente (marzo 2022) ha sido publicado un metaanálisis en red que ha mostrado que inclisirán</w:t>
            </w:r>
            <w:r w:rsidRPr="00431137">
              <w:rPr>
                <w:rFonts w:ascii="Arial" w:hAnsi="Arial"/>
                <w:color w:val="000080"/>
                <w:sz w:val="20"/>
              </w:rPr>
              <w:t xml:space="preserve"> produce una disminución de los niveles de C-LDL similar a los iPCSK9 (alirocumab y evolocumab) y superior a ezetimiba, ácido bempedoico, ácido bempedo</w:t>
            </w:r>
            <w:r>
              <w:rPr>
                <w:rFonts w:ascii="Arial" w:hAnsi="Arial"/>
                <w:color w:val="000080"/>
                <w:sz w:val="20"/>
              </w:rPr>
              <w:t>i</w:t>
            </w:r>
            <w:r w:rsidRPr="00431137">
              <w:rPr>
                <w:rFonts w:ascii="Arial" w:hAnsi="Arial"/>
                <w:color w:val="000080"/>
                <w:sz w:val="20"/>
              </w:rPr>
              <w:t>co+ezetimiba.</w:t>
            </w:r>
            <w:r>
              <w:rPr>
                <w:rFonts w:ascii="Arial" w:hAnsi="Arial"/>
                <w:color w:val="000080"/>
                <w:sz w:val="20"/>
              </w:rPr>
              <w:t xml:space="preserve"> </w:t>
            </w:r>
            <w:r w:rsidRPr="006444C1">
              <w:rPr>
                <w:rFonts w:ascii="Arial" w:hAnsi="Arial"/>
                <w:color w:val="000080"/>
                <w:sz w:val="20"/>
              </w:rPr>
              <w:t xml:space="preserve">(Burnett et al 2022 - </w:t>
            </w:r>
            <w:hyperlink r:id="rId64" w:history="1">
              <w:r w:rsidRPr="006444C1">
                <w:rPr>
                  <w:rStyle w:val="Hipervnculo"/>
                  <w:rFonts w:ascii="Arial" w:hAnsi="Arial"/>
                  <w:sz w:val="20"/>
                </w:rPr>
                <w:t>https://pubmed.ncbi.nlm.nih.gov/35262430</w:t>
              </w:r>
            </w:hyperlink>
            <w:r w:rsidRPr="006444C1">
              <w:rPr>
                <w:rFonts w:ascii="Arial" w:hAnsi="Arial"/>
                <w:color w:val="000080"/>
                <w:sz w:val="20"/>
              </w:rPr>
              <w:t xml:space="preserve">).  </w:t>
            </w:r>
            <w:r w:rsidRPr="00431137">
              <w:rPr>
                <w:rFonts w:ascii="Arial" w:hAnsi="Arial"/>
                <w:color w:val="000080"/>
                <w:sz w:val="20"/>
              </w:rPr>
              <w:t>Este estudio fue utilizado</w:t>
            </w:r>
            <w:r>
              <w:rPr>
                <w:rFonts w:ascii="Arial" w:hAnsi="Arial"/>
                <w:color w:val="000080"/>
                <w:sz w:val="20"/>
              </w:rPr>
              <w:t>,</w:t>
            </w:r>
            <w:r w:rsidRPr="00431137">
              <w:rPr>
                <w:rFonts w:ascii="Arial" w:hAnsi="Arial"/>
                <w:color w:val="000080"/>
                <w:sz w:val="20"/>
              </w:rPr>
              <w:t xml:space="preserve"> ajustado</w:t>
            </w:r>
            <w:r>
              <w:rPr>
                <w:rFonts w:ascii="Arial" w:hAnsi="Arial"/>
                <w:color w:val="000080"/>
                <w:sz w:val="20"/>
              </w:rPr>
              <w:t xml:space="preserve"> y adaptado</w:t>
            </w:r>
            <w:r w:rsidRPr="00431137">
              <w:rPr>
                <w:rFonts w:ascii="Arial" w:hAnsi="Arial"/>
                <w:color w:val="000080"/>
                <w:sz w:val="20"/>
              </w:rPr>
              <w:t xml:space="preserve"> por el comité d</w:t>
            </w:r>
            <w:r>
              <w:rPr>
                <w:rFonts w:ascii="Arial" w:hAnsi="Arial"/>
                <w:color w:val="000080"/>
                <w:sz w:val="20"/>
              </w:rPr>
              <w:t>e evaluación del NICE en el proceso de evaluación de inclisirán. Proponemos su inclusión en el informe</w:t>
            </w:r>
          </w:p>
        </w:tc>
        <w:tc>
          <w:tcPr>
            <w:tcW w:w="1676" w:type="dxa"/>
          </w:tcPr>
          <w:p w14:paraId="025569A5" w14:textId="77777777" w:rsidR="00F02F27" w:rsidRPr="00431137" w:rsidRDefault="00F02F27" w:rsidP="002D328A">
            <w:pPr>
              <w:ind w:left="0" w:hanging="2"/>
              <w:jc w:val="both"/>
              <w:rPr>
                <w:rFonts w:ascii="Arial Narrow" w:hAnsi="Arial Narrow"/>
                <w:color w:val="000080"/>
                <w:sz w:val="18"/>
              </w:rPr>
            </w:pPr>
            <w:r>
              <w:rPr>
                <w:rFonts w:ascii="Arial Narrow" w:hAnsi="Arial Narrow"/>
                <w:color w:val="000080"/>
                <w:sz w:val="18"/>
              </w:rPr>
              <w:t>No se acepta. La publicación es posterior a la fecha de elaboración del informe.</w:t>
            </w:r>
          </w:p>
        </w:tc>
      </w:tr>
      <w:tr w:rsidR="00F02F27" w:rsidRPr="00431137" w14:paraId="34301696" w14:textId="77777777" w:rsidTr="002D328A">
        <w:tc>
          <w:tcPr>
            <w:tcW w:w="1080" w:type="dxa"/>
          </w:tcPr>
          <w:p w14:paraId="400AA976"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Javier</w:t>
            </w:r>
          </w:p>
          <w:p w14:paraId="7413E10A" w14:textId="77777777" w:rsidR="00F02F27" w:rsidRPr="0043113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39AD4048" w14:textId="77777777" w:rsidR="00F02F27" w:rsidRDefault="00F02F27" w:rsidP="002D328A">
            <w:pPr>
              <w:ind w:left="0" w:hanging="2"/>
              <w:jc w:val="both"/>
              <w:rPr>
                <w:rFonts w:ascii="Arial" w:hAnsi="Arial"/>
                <w:color w:val="000080"/>
                <w:sz w:val="20"/>
              </w:rPr>
            </w:pPr>
            <w:r>
              <w:rPr>
                <w:rFonts w:ascii="Arial" w:hAnsi="Arial"/>
                <w:color w:val="000080"/>
                <w:sz w:val="20"/>
              </w:rPr>
              <w:t xml:space="preserve">Punto 5.4.2 – Evaluaciones previas por organismos independientes (página 45) </w:t>
            </w:r>
          </w:p>
          <w:p w14:paraId="4687E98A" w14:textId="77777777" w:rsidR="00F02F27" w:rsidRDefault="00F02F27" w:rsidP="002D328A">
            <w:pPr>
              <w:ind w:left="0" w:hanging="2"/>
              <w:jc w:val="both"/>
              <w:rPr>
                <w:rFonts w:ascii="Arial" w:hAnsi="Arial"/>
                <w:color w:val="000080"/>
                <w:sz w:val="20"/>
              </w:rPr>
            </w:pPr>
            <w:r>
              <w:rPr>
                <w:rFonts w:ascii="Arial" w:hAnsi="Arial"/>
                <w:color w:val="000080"/>
                <w:sz w:val="20"/>
              </w:rPr>
              <w:t>Respecto a la evaluación canadiense esta se encuentra en proceso de revisión (</w:t>
            </w:r>
            <w:hyperlink r:id="rId65" w:history="1">
              <w:r w:rsidRPr="00A63BA4">
                <w:rPr>
                  <w:rStyle w:val="Hipervnculo"/>
                  <w:rFonts w:ascii="Arial" w:hAnsi="Arial"/>
                  <w:sz w:val="20"/>
                </w:rPr>
                <w:t>www.cadth.ca/inclisiran</w:t>
              </w:r>
            </w:hyperlink>
            <w:r>
              <w:rPr>
                <w:rFonts w:ascii="Arial" w:hAnsi="Arial"/>
                <w:color w:val="000080"/>
                <w:sz w:val="20"/>
              </w:rPr>
              <w:t>) por lo que solicitamos que, o bien sea eliminada de este apartado o bien se haga costar el hecho de que se encuentra en revisión y que la decisión no es firme.</w:t>
            </w:r>
          </w:p>
          <w:p w14:paraId="671735BD" w14:textId="77777777" w:rsidR="00F02F27" w:rsidRPr="00431137" w:rsidRDefault="00F02F27" w:rsidP="002D328A">
            <w:pPr>
              <w:ind w:left="0" w:hanging="2"/>
              <w:jc w:val="both"/>
              <w:rPr>
                <w:rFonts w:ascii="Arial" w:hAnsi="Arial"/>
                <w:color w:val="000080"/>
                <w:sz w:val="20"/>
              </w:rPr>
            </w:pPr>
            <w:r>
              <w:rPr>
                <w:rFonts w:ascii="Arial" w:hAnsi="Arial"/>
                <w:color w:val="000080"/>
                <w:sz w:val="20"/>
              </w:rPr>
              <w:t>Así mismo consideramos que el hecho de resaltar en negrita la no recomendación canadiense no es concordante con no resaltar las recomendaciones del NICE por lo que solicitamos sea eliminado este resaltado.</w:t>
            </w:r>
          </w:p>
        </w:tc>
        <w:tc>
          <w:tcPr>
            <w:tcW w:w="1676" w:type="dxa"/>
          </w:tcPr>
          <w:p w14:paraId="00756F00" w14:textId="77777777" w:rsidR="00F02F27" w:rsidRPr="00431137" w:rsidRDefault="00F02F27" w:rsidP="002D328A">
            <w:pPr>
              <w:ind w:left="0" w:hanging="2"/>
              <w:jc w:val="both"/>
              <w:rPr>
                <w:rFonts w:ascii="Arial Narrow" w:hAnsi="Arial Narrow"/>
                <w:color w:val="000080"/>
                <w:sz w:val="18"/>
              </w:rPr>
            </w:pPr>
            <w:r>
              <w:rPr>
                <w:rFonts w:ascii="Arial Narrow" w:hAnsi="Arial Narrow"/>
                <w:color w:val="000080"/>
                <w:sz w:val="18"/>
              </w:rPr>
              <w:t>Se retira el resalte. No se acepta la modificación del texto.</w:t>
            </w:r>
          </w:p>
        </w:tc>
      </w:tr>
      <w:tr w:rsidR="00F02F27" w:rsidRPr="00431137" w14:paraId="4D6FD54B" w14:textId="77777777" w:rsidTr="002D328A">
        <w:tc>
          <w:tcPr>
            <w:tcW w:w="1080" w:type="dxa"/>
          </w:tcPr>
          <w:p w14:paraId="33DF4C30"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Javier</w:t>
            </w:r>
          </w:p>
          <w:p w14:paraId="187AAEA9" w14:textId="77777777" w:rsidR="00F02F27" w:rsidRPr="0043113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358B43BA" w14:textId="77777777" w:rsidR="00F02F27" w:rsidRDefault="00F02F27" w:rsidP="002D328A">
            <w:pPr>
              <w:ind w:left="0" w:hanging="2"/>
              <w:jc w:val="both"/>
              <w:rPr>
                <w:rFonts w:ascii="Arial" w:hAnsi="Arial"/>
                <w:color w:val="000080"/>
                <w:sz w:val="20"/>
              </w:rPr>
            </w:pPr>
            <w:r>
              <w:rPr>
                <w:rFonts w:ascii="Arial" w:hAnsi="Arial"/>
                <w:color w:val="000080"/>
                <w:sz w:val="20"/>
              </w:rPr>
              <w:t>Punto 7.1 Tabla 22 Coste de terapia con las distintas alternativas (página 52)</w:t>
            </w:r>
          </w:p>
          <w:p w14:paraId="3AB20CDA" w14:textId="77777777" w:rsidR="00F02F27" w:rsidRDefault="00F02F27" w:rsidP="002D328A">
            <w:pPr>
              <w:ind w:left="0" w:hanging="2"/>
              <w:jc w:val="both"/>
              <w:rPr>
                <w:rFonts w:ascii="Arial" w:hAnsi="Arial"/>
                <w:color w:val="000080"/>
                <w:sz w:val="20"/>
              </w:rPr>
            </w:pPr>
            <w:r>
              <w:rPr>
                <w:rFonts w:ascii="Arial" w:hAnsi="Arial"/>
                <w:color w:val="000080"/>
                <w:sz w:val="20"/>
              </w:rPr>
              <w:t>En la 7ª fila: Coste incremental (diferencial) anual **** respecto al medicamento evaluado, los costes deberían incrementales ser 5.171 € (en la tabla 5.175 €). Así mismo y como indica el comentario a pie de tabla, a fecha del informe inclisirán no tiene resolución de precio y financiación por lo que es una asunción realizada igualando el coste de tratamiento anual de alirocumab y evolocumab).</w:t>
            </w:r>
          </w:p>
          <w:p w14:paraId="5BA3D3EC" w14:textId="77777777" w:rsidR="00F02F27" w:rsidRPr="00431137" w:rsidRDefault="00F02F27" w:rsidP="002D328A">
            <w:pPr>
              <w:ind w:left="0" w:hanging="2"/>
              <w:jc w:val="both"/>
              <w:rPr>
                <w:rFonts w:ascii="Arial" w:hAnsi="Arial"/>
                <w:color w:val="000080"/>
                <w:sz w:val="20"/>
              </w:rPr>
            </w:pPr>
            <w:r>
              <w:rPr>
                <w:rFonts w:ascii="Arial" w:hAnsi="Arial"/>
                <w:color w:val="000080"/>
                <w:sz w:val="20"/>
              </w:rPr>
              <w:t>Con respecto a los costes directos asociados, el coste de administración por un profesional sanitario puede ser equiparable al coste de la atención farmacéutica realizada por el farmacéutico en la dispensación de los i-PCSK9 por parte de la Unidad de pacientes externos del servicio de farmacia por lo que no supondría un coste incremental y debería hacerse constar en el informe.</w:t>
            </w:r>
          </w:p>
        </w:tc>
        <w:tc>
          <w:tcPr>
            <w:tcW w:w="1676" w:type="dxa"/>
          </w:tcPr>
          <w:p w14:paraId="3705DE93" w14:textId="77777777" w:rsidR="00F02F27" w:rsidRDefault="00F02F27" w:rsidP="002D328A">
            <w:pPr>
              <w:ind w:left="0" w:hanging="2"/>
              <w:jc w:val="both"/>
              <w:rPr>
                <w:rFonts w:ascii="Arial Narrow" w:hAnsi="Arial Narrow"/>
                <w:color w:val="000080"/>
                <w:sz w:val="18"/>
              </w:rPr>
            </w:pPr>
            <w:r>
              <w:rPr>
                <w:rFonts w:ascii="Arial Narrow" w:hAnsi="Arial Narrow"/>
                <w:color w:val="000080"/>
                <w:sz w:val="18"/>
              </w:rPr>
              <w:t>Se modifica el coste incremental a 5.171 €.</w:t>
            </w:r>
          </w:p>
          <w:p w14:paraId="77387F12" w14:textId="77777777" w:rsidR="00F02F27" w:rsidRPr="00431137" w:rsidRDefault="00F02F27" w:rsidP="002D328A">
            <w:pPr>
              <w:ind w:left="0" w:hanging="2"/>
              <w:jc w:val="both"/>
              <w:rPr>
                <w:rFonts w:ascii="Arial Narrow" w:hAnsi="Arial Narrow"/>
                <w:color w:val="000080"/>
                <w:sz w:val="18"/>
              </w:rPr>
            </w:pPr>
            <w:r>
              <w:rPr>
                <w:rFonts w:ascii="Arial Narrow" w:hAnsi="Arial Narrow"/>
                <w:color w:val="000080"/>
                <w:sz w:val="18"/>
              </w:rPr>
              <w:t xml:space="preserve">No se acepta el resto de lo comentado dado que el coste de la administración puede o no añadirse al de la dispensación y en todo caso es diferente. </w:t>
            </w:r>
          </w:p>
        </w:tc>
      </w:tr>
      <w:tr w:rsidR="00F02F27" w:rsidRPr="00431137" w14:paraId="3CC90A9C" w14:textId="77777777" w:rsidTr="002D328A">
        <w:tc>
          <w:tcPr>
            <w:tcW w:w="1080" w:type="dxa"/>
          </w:tcPr>
          <w:p w14:paraId="56566C8C"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Javier</w:t>
            </w:r>
          </w:p>
          <w:p w14:paraId="4C8F0994" w14:textId="77777777" w:rsidR="00F02F2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266F60FD" w14:textId="77777777" w:rsidR="00F02F27" w:rsidRDefault="00F02F27" w:rsidP="002D328A">
            <w:pPr>
              <w:ind w:left="0" w:hanging="2"/>
              <w:jc w:val="both"/>
              <w:rPr>
                <w:rFonts w:ascii="Arial" w:hAnsi="Arial"/>
                <w:color w:val="000080"/>
                <w:sz w:val="20"/>
              </w:rPr>
            </w:pPr>
            <w:r>
              <w:rPr>
                <w:rFonts w:ascii="Arial" w:hAnsi="Arial"/>
                <w:color w:val="000080"/>
                <w:sz w:val="20"/>
              </w:rPr>
              <w:t xml:space="preserve">Puntos 7.2.a (página 53) y 7.2.b. (página 61) </w:t>
            </w:r>
          </w:p>
          <w:p w14:paraId="19E884CE" w14:textId="77777777" w:rsidR="00F02F27" w:rsidRDefault="00F02F27" w:rsidP="002D328A">
            <w:pPr>
              <w:ind w:left="0" w:hanging="2"/>
              <w:jc w:val="both"/>
              <w:rPr>
                <w:rFonts w:ascii="Arial" w:hAnsi="Arial"/>
                <w:color w:val="000080"/>
                <w:sz w:val="20"/>
              </w:rPr>
            </w:pPr>
            <w:r w:rsidRPr="00A168B1">
              <w:rPr>
                <w:rFonts w:ascii="Arial" w:hAnsi="Arial"/>
                <w:color w:val="000080"/>
                <w:sz w:val="20"/>
              </w:rPr>
              <w:t>Respecto a la evaluación canadiense esta se encuentra en proceso de revisión (</w:t>
            </w:r>
            <w:hyperlink r:id="rId66" w:history="1">
              <w:r w:rsidRPr="00A63BA4">
                <w:rPr>
                  <w:rStyle w:val="Hipervnculo"/>
                  <w:rFonts w:ascii="Arial" w:hAnsi="Arial"/>
                  <w:sz w:val="20"/>
                </w:rPr>
                <w:t>www.cadth.ca/inclisiran</w:t>
              </w:r>
            </w:hyperlink>
            <w:r>
              <w:rPr>
                <w:rFonts w:ascii="Arial" w:hAnsi="Arial"/>
                <w:color w:val="000080"/>
                <w:sz w:val="20"/>
              </w:rPr>
              <w:t>)</w:t>
            </w:r>
            <w:r w:rsidRPr="00A168B1">
              <w:rPr>
                <w:rFonts w:ascii="Arial" w:hAnsi="Arial"/>
                <w:color w:val="000080"/>
                <w:sz w:val="20"/>
              </w:rPr>
              <w:t xml:space="preserve"> por lo que solicitamos que</w:t>
            </w:r>
            <w:r>
              <w:rPr>
                <w:rFonts w:ascii="Arial" w:hAnsi="Arial"/>
                <w:color w:val="000080"/>
                <w:sz w:val="20"/>
              </w:rPr>
              <w:t xml:space="preserve"> su mención </w:t>
            </w:r>
            <w:r w:rsidRPr="00A168B1">
              <w:rPr>
                <w:rFonts w:ascii="Arial" w:hAnsi="Arial"/>
                <w:color w:val="000080"/>
                <w:sz w:val="20"/>
              </w:rPr>
              <w:t>sea eliminada</w:t>
            </w:r>
            <w:r>
              <w:rPr>
                <w:rFonts w:ascii="Arial" w:hAnsi="Arial"/>
                <w:color w:val="000080"/>
                <w:sz w:val="20"/>
              </w:rPr>
              <w:t xml:space="preserve"> ya que además, y como concluye el informe, no permite sacar conclusiones por todos los problemas de transferibilidad que impiden la aplicación de los resultados de un estudio de un entorno a otro.</w:t>
            </w:r>
          </w:p>
          <w:p w14:paraId="083BA3D6" w14:textId="77777777" w:rsidR="00F02F27" w:rsidRDefault="00F02F27" w:rsidP="002D328A">
            <w:pPr>
              <w:ind w:left="0" w:hanging="2"/>
              <w:jc w:val="both"/>
              <w:rPr>
                <w:rFonts w:ascii="Arial" w:hAnsi="Arial"/>
                <w:color w:val="000080"/>
                <w:sz w:val="20"/>
              </w:rPr>
            </w:pPr>
            <w:r>
              <w:rPr>
                <w:rFonts w:ascii="Arial" w:hAnsi="Arial"/>
                <w:color w:val="000080"/>
                <w:sz w:val="20"/>
              </w:rPr>
              <w:t>Los mismos problemas de transferibilidad se producen con el estudio australiano (punto 7.2.b página 53) y el análisis del ICER americano (punto 7.2.b página 55).</w:t>
            </w:r>
          </w:p>
        </w:tc>
        <w:tc>
          <w:tcPr>
            <w:tcW w:w="1676" w:type="dxa"/>
          </w:tcPr>
          <w:p w14:paraId="730909C7" w14:textId="77777777" w:rsidR="00F02F27" w:rsidRPr="00431137" w:rsidRDefault="00F02F27" w:rsidP="002D328A">
            <w:pPr>
              <w:ind w:left="0" w:hanging="2"/>
              <w:jc w:val="both"/>
              <w:rPr>
                <w:rFonts w:ascii="Arial Narrow" w:hAnsi="Arial Narrow"/>
                <w:color w:val="000080"/>
                <w:sz w:val="18"/>
              </w:rPr>
            </w:pPr>
            <w:r>
              <w:rPr>
                <w:rFonts w:ascii="Arial Narrow" w:hAnsi="Arial Narrow"/>
                <w:color w:val="000080"/>
                <w:sz w:val="18"/>
              </w:rPr>
              <w:t>No se acepta.</w:t>
            </w:r>
          </w:p>
        </w:tc>
      </w:tr>
      <w:tr w:rsidR="00F02F27" w:rsidRPr="00431137" w14:paraId="6C4415E0" w14:textId="77777777" w:rsidTr="002D328A">
        <w:tc>
          <w:tcPr>
            <w:tcW w:w="1080" w:type="dxa"/>
          </w:tcPr>
          <w:p w14:paraId="07A8CB22"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Javier</w:t>
            </w:r>
          </w:p>
          <w:p w14:paraId="71857D43" w14:textId="77777777" w:rsidR="00F02F2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29237019" w14:textId="77777777" w:rsidR="00F02F27" w:rsidRDefault="00F02F27" w:rsidP="002D328A">
            <w:pPr>
              <w:ind w:left="0" w:hanging="2"/>
              <w:jc w:val="both"/>
              <w:rPr>
                <w:rFonts w:ascii="Arial" w:hAnsi="Arial"/>
                <w:color w:val="000080"/>
                <w:sz w:val="20"/>
              </w:rPr>
            </w:pPr>
            <w:r>
              <w:rPr>
                <w:rFonts w:ascii="Arial" w:hAnsi="Arial"/>
                <w:color w:val="000080"/>
                <w:sz w:val="20"/>
              </w:rPr>
              <w:t>Punto 7.3.2 Coste-efectividad. Estudios propios (página 62)</w:t>
            </w:r>
          </w:p>
          <w:p w14:paraId="4F903331" w14:textId="77777777" w:rsidR="00F02F27" w:rsidRDefault="00F02F27" w:rsidP="002D328A">
            <w:pPr>
              <w:ind w:left="0" w:hanging="2"/>
              <w:jc w:val="both"/>
              <w:rPr>
                <w:rFonts w:ascii="Arial" w:hAnsi="Arial"/>
                <w:color w:val="000080"/>
                <w:sz w:val="20"/>
              </w:rPr>
            </w:pPr>
            <w:r>
              <w:rPr>
                <w:rFonts w:ascii="Arial" w:hAnsi="Arial"/>
                <w:color w:val="000080"/>
                <w:sz w:val="20"/>
              </w:rPr>
              <w:t>En el párrafo final de este apartado se menciona que la ficha técnica describe que no se encontraron diferencias en los eventos MACE en los estudios exploratorios de los estudios ORION 10 y 11. Revisada la ficha técnica no hemos encontrado dicha mención. Consultados los datos en la tabla 3.3.5.4 (ORION-10) (eventos inclisirán: 7,4% ; eventos placebo 10,2%) y la tabla 3.3.5.5 (ORION-11) (eventos inclisirán: 7,8% ; eventos placebo 10,3%) del informe EPAR podemos concluir que estas diferencias sí se muestran aunque, dada la naturaleza exploratoria del análisis, estas diferencias no son significativas. Proponemos la modificación de la redacción de este párrafo para clarificar es hecho.</w:t>
            </w:r>
          </w:p>
        </w:tc>
        <w:tc>
          <w:tcPr>
            <w:tcW w:w="1676" w:type="dxa"/>
          </w:tcPr>
          <w:p w14:paraId="6A08BCE9" w14:textId="77777777" w:rsidR="00F02F27" w:rsidRPr="00431137" w:rsidRDefault="00F02F27" w:rsidP="002D328A">
            <w:pPr>
              <w:ind w:left="0" w:hanging="2"/>
              <w:jc w:val="both"/>
              <w:rPr>
                <w:rFonts w:ascii="Arial Narrow" w:hAnsi="Arial Narrow"/>
                <w:color w:val="000080"/>
                <w:sz w:val="18"/>
              </w:rPr>
            </w:pPr>
            <w:r>
              <w:rPr>
                <w:rFonts w:ascii="Arial Narrow" w:hAnsi="Arial Narrow"/>
                <w:color w:val="000080"/>
                <w:sz w:val="18"/>
              </w:rPr>
              <w:t xml:space="preserve">Se acepta. Se modifica la redacción. </w:t>
            </w:r>
          </w:p>
        </w:tc>
      </w:tr>
      <w:tr w:rsidR="00F02F27" w:rsidRPr="00431137" w14:paraId="0574345E" w14:textId="77777777" w:rsidTr="002D328A">
        <w:tc>
          <w:tcPr>
            <w:tcW w:w="1080" w:type="dxa"/>
          </w:tcPr>
          <w:p w14:paraId="0B082D69"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Javier</w:t>
            </w:r>
          </w:p>
          <w:p w14:paraId="53C2D283" w14:textId="77777777" w:rsidR="00F02F27" w:rsidRPr="0043113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7412BC5C" w14:textId="77777777" w:rsidR="00F02F27" w:rsidRDefault="00F02F27" w:rsidP="002D328A">
            <w:pPr>
              <w:ind w:left="0" w:hanging="2"/>
              <w:jc w:val="both"/>
              <w:rPr>
                <w:rFonts w:ascii="Arial" w:hAnsi="Arial"/>
                <w:color w:val="000080"/>
                <w:sz w:val="20"/>
              </w:rPr>
            </w:pPr>
            <w:r>
              <w:rPr>
                <w:rFonts w:ascii="Arial" w:hAnsi="Arial"/>
                <w:color w:val="000080"/>
                <w:sz w:val="20"/>
              </w:rPr>
              <w:t>Punto 7.3.2 Coste-efectividad. Estudios propios (página 62)</w:t>
            </w:r>
          </w:p>
          <w:p w14:paraId="0DD10E49" w14:textId="77777777" w:rsidR="00F02F27" w:rsidRDefault="00F02F27" w:rsidP="002D328A">
            <w:pPr>
              <w:ind w:left="0" w:hanging="2"/>
              <w:jc w:val="both"/>
              <w:rPr>
                <w:rFonts w:ascii="Arial" w:hAnsi="Arial"/>
                <w:color w:val="000080"/>
                <w:sz w:val="20"/>
              </w:rPr>
            </w:pPr>
            <w:r>
              <w:rPr>
                <w:rFonts w:ascii="Arial" w:hAnsi="Arial"/>
                <w:color w:val="000080"/>
                <w:sz w:val="20"/>
              </w:rPr>
              <w:t xml:space="preserve">A lo largo del apartado se hace referencia a la decisión de no realizar un coste utilidad utilizando AVAC debido a que los autores del informe consideran no asumibles las asunciones del CTTC que correlacionan reducción de c-LDL con eventos vasculares mayores. Así mismo se justifica la no realización de un coste efectividad con los eventos MACE evitados considerando que los datos exploratorios no son apropiados. </w:t>
            </w:r>
          </w:p>
          <w:p w14:paraId="281DB98C" w14:textId="77777777" w:rsidR="00F02F27" w:rsidRDefault="00F02F27" w:rsidP="002D328A">
            <w:pPr>
              <w:ind w:left="0" w:hanging="2"/>
              <w:jc w:val="both"/>
              <w:rPr>
                <w:rFonts w:ascii="Arial" w:hAnsi="Arial"/>
                <w:color w:val="000080"/>
                <w:sz w:val="20"/>
              </w:rPr>
            </w:pPr>
            <w:r>
              <w:rPr>
                <w:rFonts w:ascii="Arial" w:hAnsi="Arial"/>
                <w:color w:val="000080"/>
                <w:sz w:val="20"/>
              </w:rPr>
              <w:t>Se justifica de esta manera el hecho de realizar el análisis de coste eficacia utilizando el NNT como medida de eficacia.</w:t>
            </w:r>
          </w:p>
          <w:p w14:paraId="1763FE16" w14:textId="77777777" w:rsidR="00F02F27" w:rsidRPr="00431137" w:rsidRDefault="00F02F27" w:rsidP="002D328A">
            <w:pPr>
              <w:ind w:left="0" w:hanging="2"/>
              <w:jc w:val="both"/>
              <w:rPr>
                <w:rFonts w:ascii="Arial" w:hAnsi="Arial"/>
                <w:color w:val="000080"/>
                <w:sz w:val="20"/>
              </w:rPr>
            </w:pPr>
            <w:r>
              <w:rPr>
                <w:rFonts w:ascii="Arial" w:hAnsi="Arial"/>
                <w:color w:val="000080"/>
                <w:sz w:val="20"/>
              </w:rPr>
              <w:t xml:space="preserve">Sobre este aspecto consideramos que esta tabla debería acompañarse de un comentario explicativo ya que la razón de coste efectividad incremental calculada (RCEI) no tiene valor práctico ya que no está definida una disposición a pagar por NNT a 510 días, como es este caso. </w:t>
            </w:r>
          </w:p>
        </w:tc>
        <w:tc>
          <w:tcPr>
            <w:tcW w:w="1676" w:type="dxa"/>
          </w:tcPr>
          <w:p w14:paraId="72175DBE" w14:textId="77777777" w:rsidR="00F02F27" w:rsidRPr="00431137" w:rsidRDefault="00F02F27" w:rsidP="002D328A">
            <w:pPr>
              <w:ind w:left="0" w:hanging="2"/>
              <w:jc w:val="both"/>
              <w:rPr>
                <w:rFonts w:ascii="Arial Narrow" w:hAnsi="Arial Narrow"/>
                <w:color w:val="000080"/>
                <w:sz w:val="18"/>
              </w:rPr>
            </w:pPr>
            <w:r>
              <w:rPr>
                <w:rFonts w:ascii="Arial Narrow" w:hAnsi="Arial Narrow"/>
                <w:color w:val="000080"/>
                <w:sz w:val="18"/>
              </w:rPr>
              <w:t>No se acepta.</w:t>
            </w:r>
          </w:p>
        </w:tc>
      </w:tr>
      <w:tr w:rsidR="00F02F27" w:rsidRPr="00431137" w14:paraId="68EC4938" w14:textId="77777777" w:rsidTr="002D328A">
        <w:tc>
          <w:tcPr>
            <w:tcW w:w="1080" w:type="dxa"/>
          </w:tcPr>
          <w:p w14:paraId="5609B4D1"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Javier</w:t>
            </w:r>
          </w:p>
          <w:p w14:paraId="4D6A9862" w14:textId="77777777" w:rsidR="00F02F2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0D64B502" w14:textId="77777777" w:rsidR="00F02F27" w:rsidRDefault="00F02F27" w:rsidP="002D328A">
            <w:pPr>
              <w:ind w:left="0" w:hanging="2"/>
              <w:jc w:val="both"/>
              <w:rPr>
                <w:rFonts w:ascii="Arial" w:hAnsi="Arial"/>
                <w:color w:val="000080"/>
                <w:sz w:val="20"/>
              </w:rPr>
            </w:pPr>
            <w:r>
              <w:rPr>
                <w:rFonts w:ascii="Arial" w:hAnsi="Arial"/>
                <w:color w:val="000080"/>
                <w:sz w:val="20"/>
              </w:rPr>
              <w:t>Punto 7.4.1. Estimación de la población diana (página 66)</w:t>
            </w:r>
          </w:p>
          <w:p w14:paraId="6B80B330" w14:textId="77777777" w:rsidR="00F02F27" w:rsidRDefault="00F02F27" w:rsidP="002D328A">
            <w:pPr>
              <w:ind w:left="0" w:hanging="2"/>
              <w:jc w:val="both"/>
              <w:rPr>
                <w:rFonts w:ascii="Arial" w:hAnsi="Arial"/>
                <w:color w:val="000080"/>
                <w:sz w:val="20"/>
              </w:rPr>
            </w:pPr>
            <w:r>
              <w:rPr>
                <w:rFonts w:ascii="Arial" w:hAnsi="Arial"/>
                <w:color w:val="000080"/>
                <w:sz w:val="20"/>
              </w:rPr>
              <w:t>En la lista que detalla la posible población candidata se menciona población en tratamiento con “ezetimiba y estatinas”. Dadas las poblaciones de los ensayos clínicos y en línea con la ficha técnica consideramos que es más apropiado “estatinas y/o ezetimiba”.</w:t>
            </w:r>
          </w:p>
        </w:tc>
        <w:tc>
          <w:tcPr>
            <w:tcW w:w="1676" w:type="dxa"/>
          </w:tcPr>
          <w:p w14:paraId="436731BF" w14:textId="77777777" w:rsidR="00F02F27" w:rsidRPr="00431137" w:rsidRDefault="00F02F27" w:rsidP="002D328A">
            <w:pPr>
              <w:ind w:left="0" w:hanging="2"/>
              <w:jc w:val="both"/>
              <w:rPr>
                <w:rFonts w:ascii="Arial Narrow" w:hAnsi="Arial Narrow"/>
                <w:color w:val="000080"/>
                <w:sz w:val="18"/>
              </w:rPr>
            </w:pPr>
            <w:r>
              <w:rPr>
                <w:rFonts w:ascii="Arial Narrow" w:hAnsi="Arial Narrow"/>
                <w:color w:val="000080"/>
                <w:sz w:val="18"/>
              </w:rPr>
              <w:t>Se acepta. Se modifica.</w:t>
            </w:r>
          </w:p>
        </w:tc>
      </w:tr>
      <w:tr w:rsidR="00F02F27" w14:paraId="53550A16" w14:textId="77777777" w:rsidTr="002D328A">
        <w:tc>
          <w:tcPr>
            <w:tcW w:w="1080" w:type="dxa"/>
          </w:tcPr>
          <w:p w14:paraId="4BC1EB92"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Javier</w:t>
            </w:r>
          </w:p>
          <w:p w14:paraId="69770E0A" w14:textId="77777777" w:rsidR="00F02F2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176272D9" w14:textId="77777777" w:rsidR="00F02F27" w:rsidRDefault="00F02F27" w:rsidP="002D328A">
            <w:pPr>
              <w:ind w:left="0" w:hanging="2"/>
              <w:jc w:val="both"/>
              <w:rPr>
                <w:rFonts w:ascii="Arial" w:hAnsi="Arial"/>
                <w:color w:val="000080"/>
                <w:sz w:val="20"/>
              </w:rPr>
            </w:pPr>
            <w:r w:rsidRPr="004A035B">
              <w:rPr>
                <w:rFonts w:ascii="Arial" w:hAnsi="Arial"/>
                <w:color w:val="000080"/>
                <w:sz w:val="20"/>
              </w:rPr>
              <w:t>Punto 7.</w:t>
            </w:r>
            <w:r>
              <w:rPr>
                <w:rFonts w:ascii="Arial" w:hAnsi="Arial"/>
                <w:color w:val="000080"/>
                <w:sz w:val="20"/>
              </w:rPr>
              <w:t>5</w:t>
            </w:r>
            <w:r w:rsidRPr="004A035B">
              <w:rPr>
                <w:rFonts w:ascii="Arial" w:hAnsi="Arial"/>
                <w:color w:val="000080"/>
                <w:sz w:val="20"/>
              </w:rPr>
              <w:t>.1.</w:t>
            </w:r>
            <w:r>
              <w:rPr>
                <w:rFonts w:ascii="Arial" w:hAnsi="Arial"/>
                <w:color w:val="000080"/>
                <w:sz w:val="20"/>
              </w:rPr>
              <w:t xml:space="preserve"> Criterios de precio y financiación: valor añadido (Página 66).</w:t>
            </w:r>
          </w:p>
          <w:p w14:paraId="36DCA0CF" w14:textId="77777777" w:rsidR="00F02F27" w:rsidRDefault="00F02F27" w:rsidP="002D328A">
            <w:pPr>
              <w:ind w:left="0" w:hanging="2"/>
              <w:jc w:val="both"/>
              <w:rPr>
                <w:rFonts w:ascii="Arial" w:hAnsi="Arial"/>
                <w:color w:val="000080"/>
                <w:sz w:val="20"/>
              </w:rPr>
            </w:pPr>
            <w:r>
              <w:rPr>
                <w:rFonts w:ascii="Arial" w:hAnsi="Arial"/>
                <w:color w:val="000080"/>
                <w:sz w:val="20"/>
              </w:rPr>
              <w:t xml:space="preserve">En el apartado se menciona que los ensayos pivotales se realizaron frente a placebo no habiéndose realizado estudios frente a alirocumab y evolocumab. En este sentido nos gustaría manifestarles que la elección del comparador de los estudios pivotales se realizó en base a las indicaciones de la guía para la investigación clínica de fármacos para el tratamiento de dislipemias de la EMA que indican que, cuando la terapia conlleva un tratamiento de base con estatinas el comparador debe ser placebo. Por otro lado consideramos que la publicación reciente del metaanálisis en Red </w:t>
            </w:r>
            <w:r w:rsidRPr="006444C1">
              <w:rPr>
                <w:rFonts w:ascii="Arial" w:hAnsi="Arial"/>
                <w:color w:val="000080"/>
                <w:sz w:val="20"/>
              </w:rPr>
              <w:t xml:space="preserve">(Burnett et al 2022 - </w:t>
            </w:r>
            <w:hyperlink r:id="rId67" w:history="1">
              <w:r w:rsidRPr="006444C1">
                <w:rPr>
                  <w:rStyle w:val="Hipervnculo"/>
                  <w:rFonts w:ascii="Arial" w:hAnsi="Arial"/>
                  <w:sz w:val="20"/>
                </w:rPr>
                <w:t>https://pubmed.ncbi.nlm.nih.gov/35262430</w:t>
              </w:r>
            </w:hyperlink>
            <w:r w:rsidRPr="006444C1">
              <w:rPr>
                <w:rFonts w:ascii="Arial" w:hAnsi="Arial"/>
                <w:color w:val="000080"/>
                <w:sz w:val="20"/>
              </w:rPr>
              <w:t>)</w:t>
            </w:r>
            <w:r>
              <w:rPr>
                <w:rFonts w:ascii="Arial" w:hAnsi="Arial"/>
                <w:color w:val="000080"/>
                <w:sz w:val="20"/>
              </w:rPr>
              <w:t xml:space="preserve"> permite disminuir la incertidumbre en la comparación con estos fármacos mostrando que inclisirán tiene un efecto similar a alirocumab y evolocumab</w:t>
            </w:r>
            <w:r w:rsidRPr="006444C1">
              <w:rPr>
                <w:rFonts w:ascii="Arial" w:hAnsi="Arial"/>
                <w:color w:val="000080"/>
                <w:sz w:val="20"/>
              </w:rPr>
              <w:t>.</w:t>
            </w:r>
            <w:r>
              <w:rPr>
                <w:rFonts w:ascii="Arial" w:hAnsi="Arial"/>
                <w:color w:val="000080"/>
                <w:sz w:val="20"/>
              </w:rPr>
              <w:t xml:space="preserve"> Esto añadido a la mayor conveniencia por una pauta bianual y la conservación a temperatura ambiente podrían suponer que inclisirán mostrara un valor añadido frente a otras alternativas.</w:t>
            </w:r>
          </w:p>
        </w:tc>
        <w:tc>
          <w:tcPr>
            <w:tcW w:w="1676" w:type="dxa"/>
          </w:tcPr>
          <w:p w14:paraId="491204F5" w14:textId="77777777" w:rsidR="00F02F27" w:rsidRDefault="00F02F27" w:rsidP="002D328A">
            <w:pPr>
              <w:ind w:left="0" w:hanging="2"/>
              <w:jc w:val="both"/>
              <w:rPr>
                <w:rFonts w:ascii="Arial Narrow" w:hAnsi="Arial Narrow"/>
                <w:color w:val="000080"/>
                <w:sz w:val="18"/>
              </w:rPr>
            </w:pPr>
            <w:r>
              <w:rPr>
                <w:rFonts w:ascii="Arial Narrow" w:hAnsi="Arial Narrow"/>
                <w:color w:val="000080"/>
                <w:sz w:val="18"/>
              </w:rPr>
              <w:t xml:space="preserve">No se acepta. </w:t>
            </w:r>
          </w:p>
        </w:tc>
      </w:tr>
      <w:tr w:rsidR="00F02F27" w14:paraId="6B3A96AF" w14:textId="77777777" w:rsidTr="002D328A">
        <w:tc>
          <w:tcPr>
            <w:tcW w:w="1080" w:type="dxa"/>
          </w:tcPr>
          <w:p w14:paraId="0070DB18"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lastRenderedPageBreak/>
              <w:t>Javier</w:t>
            </w:r>
          </w:p>
          <w:p w14:paraId="0491C6D1" w14:textId="77777777" w:rsidR="00F02F2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67850203" w14:textId="77777777" w:rsidR="00F02F27" w:rsidRDefault="00F02F27" w:rsidP="002D328A">
            <w:pPr>
              <w:ind w:left="0" w:hanging="2"/>
              <w:jc w:val="both"/>
              <w:rPr>
                <w:rFonts w:ascii="Arial" w:hAnsi="Arial"/>
                <w:color w:val="000080"/>
                <w:sz w:val="20"/>
              </w:rPr>
            </w:pPr>
            <w:r w:rsidRPr="004A035B">
              <w:rPr>
                <w:rFonts w:ascii="Arial" w:hAnsi="Arial"/>
                <w:color w:val="000080"/>
                <w:sz w:val="20"/>
              </w:rPr>
              <w:t>Punto 7.</w:t>
            </w:r>
            <w:r>
              <w:rPr>
                <w:rFonts w:ascii="Arial" w:hAnsi="Arial"/>
                <w:color w:val="000080"/>
                <w:sz w:val="20"/>
              </w:rPr>
              <w:t>5</w:t>
            </w:r>
            <w:r w:rsidRPr="004A035B">
              <w:rPr>
                <w:rFonts w:ascii="Arial" w:hAnsi="Arial"/>
                <w:color w:val="000080"/>
                <w:sz w:val="20"/>
              </w:rPr>
              <w:t>.</w:t>
            </w:r>
            <w:r>
              <w:rPr>
                <w:rFonts w:ascii="Arial" w:hAnsi="Arial"/>
                <w:color w:val="000080"/>
                <w:sz w:val="20"/>
              </w:rPr>
              <w:t>2</w:t>
            </w:r>
            <w:r w:rsidRPr="004A035B">
              <w:rPr>
                <w:rFonts w:ascii="Arial" w:hAnsi="Arial"/>
                <w:color w:val="000080"/>
                <w:sz w:val="20"/>
              </w:rPr>
              <w:t>.</w:t>
            </w:r>
            <w:r>
              <w:rPr>
                <w:rFonts w:ascii="Arial" w:hAnsi="Arial"/>
                <w:color w:val="000080"/>
                <w:sz w:val="20"/>
              </w:rPr>
              <w:t xml:space="preserve"> Criterios de precio y financiación: valor equivalente (Páginas 66 y 67).</w:t>
            </w:r>
          </w:p>
          <w:p w14:paraId="74AB1A5D" w14:textId="77777777" w:rsidR="00F02F27" w:rsidRDefault="00F02F27" w:rsidP="002D328A">
            <w:pPr>
              <w:ind w:left="0" w:hanging="2"/>
              <w:jc w:val="both"/>
              <w:rPr>
                <w:rFonts w:ascii="Arial" w:hAnsi="Arial"/>
                <w:color w:val="000080"/>
                <w:sz w:val="20"/>
              </w:rPr>
            </w:pPr>
            <w:r>
              <w:rPr>
                <w:rFonts w:ascii="Arial" w:hAnsi="Arial"/>
                <w:color w:val="000080"/>
                <w:sz w:val="20"/>
              </w:rPr>
              <w:t xml:space="preserve">Consideramos que utilizar las asunciones de costes de los estudios australiano y americano no es apropiado para nuestro entorno. </w:t>
            </w:r>
          </w:p>
          <w:p w14:paraId="631F6A9A" w14:textId="77777777" w:rsidR="00F02F27" w:rsidRDefault="00F02F27" w:rsidP="002D328A">
            <w:pPr>
              <w:ind w:left="0" w:hanging="2"/>
              <w:jc w:val="both"/>
              <w:rPr>
                <w:rFonts w:ascii="Arial" w:hAnsi="Arial"/>
                <w:color w:val="000080"/>
                <w:sz w:val="20"/>
              </w:rPr>
            </w:pPr>
            <w:r>
              <w:rPr>
                <w:rFonts w:ascii="Arial" w:hAnsi="Arial"/>
                <w:color w:val="000080"/>
                <w:sz w:val="20"/>
              </w:rPr>
              <w:t xml:space="preserve">Así mismo, creemos que la valoración final de este apartado no es apropiada y debería ser modificada dado que los datos exploratorios muestran que puede intuirse una disminución de eventos MACE. Por otro lado, la similar reducción de c-LDL y la actuación sobre la misma vía (PCSK9) parecen indicar que lo más plausible es que esta reducción se vea reflejada en una disminución de eventos MACE similar.  Por último, se hace notar que la fijación de precio de evolocumab y alirocumab se realizó en las mismas condiciones que actualmente se encuentra inclisirán (sin datos maduros de eventos cardiovasculares) y que la aportación de estos datos no les supuso un incremento de precio por lo que no parece un criterio apropiado para determinar el nivel de precio del fármaco. </w:t>
            </w:r>
          </w:p>
        </w:tc>
        <w:tc>
          <w:tcPr>
            <w:tcW w:w="1676" w:type="dxa"/>
          </w:tcPr>
          <w:p w14:paraId="474989DC" w14:textId="77777777" w:rsidR="00F02F27" w:rsidRDefault="00F02F27" w:rsidP="002D328A">
            <w:pPr>
              <w:ind w:left="0" w:hanging="2"/>
              <w:jc w:val="both"/>
              <w:rPr>
                <w:rFonts w:ascii="Arial Narrow" w:hAnsi="Arial Narrow"/>
                <w:color w:val="000080"/>
                <w:sz w:val="18"/>
              </w:rPr>
            </w:pPr>
            <w:r>
              <w:rPr>
                <w:rFonts w:ascii="Arial Narrow" w:hAnsi="Arial Narrow"/>
                <w:color w:val="000080"/>
                <w:sz w:val="18"/>
              </w:rPr>
              <w:t>No se acepta.</w:t>
            </w:r>
          </w:p>
        </w:tc>
      </w:tr>
      <w:tr w:rsidR="00F02F27" w14:paraId="01E54882" w14:textId="77777777" w:rsidTr="002D328A">
        <w:tc>
          <w:tcPr>
            <w:tcW w:w="1080" w:type="dxa"/>
          </w:tcPr>
          <w:p w14:paraId="41B3A8A4"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Javier</w:t>
            </w:r>
          </w:p>
          <w:p w14:paraId="2459792A" w14:textId="77777777" w:rsidR="00F02F2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178A1514" w14:textId="77777777" w:rsidR="00F02F27" w:rsidRDefault="00F02F27" w:rsidP="002D328A">
            <w:pPr>
              <w:ind w:left="0" w:hanging="2"/>
              <w:jc w:val="both"/>
              <w:rPr>
                <w:rFonts w:ascii="Arial" w:hAnsi="Arial"/>
                <w:color w:val="000080"/>
                <w:sz w:val="20"/>
              </w:rPr>
            </w:pPr>
            <w:r>
              <w:rPr>
                <w:rFonts w:ascii="Arial" w:hAnsi="Arial"/>
                <w:color w:val="000080"/>
                <w:sz w:val="20"/>
              </w:rPr>
              <w:t>Punto 9.2. Decisión (página 68)</w:t>
            </w:r>
          </w:p>
          <w:p w14:paraId="27576B6C" w14:textId="77777777" w:rsidR="00F02F27" w:rsidRDefault="00F02F27" w:rsidP="002D328A">
            <w:pPr>
              <w:ind w:left="0" w:hanging="2"/>
              <w:jc w:val="both"/>
              <w:rPr>
                <w:rFonts w:ascii="Arial" w:hAnsi="Arial"/>
                <w:color w:val="000080"/>
                <w:sz w:val="20"/>
              </w:rPr>
            </w:pPr>
            <w:r>
              <w:rPr>
                <w:rFonts w:ascii="Arial" w:hAnsi="Arial"/>
                <w:color w:val="000080"/>
                <w:sz w:val="20"/>
              </w:rPr>
              <w:t>Si bien la decisión final corresponde a lo que determine la resolución de precio y financiación. Atendiendo a la categorización como “Medicamento sujeto a prescripción médica” de la AEMPS y a la clasificación de solicitudes de la guía GINF consideramos que este debería ser clasificado dentro de la Categoría A-2.</w:t>
            </w:r>
          </w:p>
        </w:tc>
        <w:tc>
          <w:tcPr>
            <w:tcW w:w="1676" w:type="dxa"/>
          </w:tcPr>
          <w:p w14:paraId="5FC0C8D4" w14:textId="77777777" w:rsidR="00F02F27" w:rsidRDefault="00F02F27" w:rsidP="002D328A">
            <w:pPr>
              <w:ind w:left="0" w:hanging="2"/>
              <w:jc w:val="both"/>
              <w:rPr>
                <w:rFonts w:ascii="Arial Narrow" w:hAnsi="Arial Narrow"/>
                <w:color w:val="000080"/>
                <w:sz w:val="18"/>
              </w:rPr>
            </w:pPr>
            <w:r>
              <w:rPr>
                <w:rFonts w:ascii="Arial Narrow" w:hAnsi="Arial Narrow"/>
                <w:color w:val="000080"/>
                <w:sz w:val="18"/>
              </w:rPr>
              <w:t>No se acepta. Es decisión del grupo la consideración. De clasificación según guía GINF.</w:t>
            </w:r>
          </w:p>
        </w:tc>
      </w:tr>
      <w:tr w:rsidR="00F02F27" w:rsidRPr="005B1D5C" w14:paraId="2957B4F6" w14:textId="77777777" w:rsidTr="002D328A">
        <w:tc>
          <w:tcPr>
            <w:tcW w:w="1080" w:type="dxa"/>
          </w:tcPr>
          <w:p w14:paraId="541B4E62" w14:textId="77777777" w:rsidR="00F02F27" w:rsidRDefault="00F02F27" w:rsidP="002D328A">
            <w:pPr>
              <w:ind w:left="0" w:hanging="2"/>
              <w:jc w:val="both"/>
              <w:rPr>
                <w:rFonts w:ascii="Arial" w:hAnsi="Arial" w:cs="Arial"/>
                <w:bCs/>
                <w:color w:val="000080"/>
                <w:sz w:val="20"/>
              </w:rPr>
            </w:pPr>
            <w:r>
              <w:rPr>
                <w:rFonts w:ascii="Arial" w:hAnsi="Arial" w:cs="Arial"/>
                <w:bCs/>
                <w:color w:val="000080"/>
                <w:sz w:val="20"/>
              </w:rPr>
              <w:t>Javier</w:t>
            </w:r>
          </w:p>
          <w:p w14:paraId="369AF76C" w14:textId="77777777" w:rsidR="00F02F27" w:rsidRDefault="00F02F27" w:rsidP="002D328A">
            <w:pPr>
              <w:ind w:left="0" w:hanging="2"/>
              <w:jc w:val="both"/>
              <w:rPr>
                <w:rFonts w:ascii="Arial" w:hAnsi="Arial"/>
                <w:color w:val="000080"/>
                <w:sz w:val="20"/>
              </w:rPr>
            </w:pPr>
            <w:r>
              <w:rPr>
                <w:rFonts w:ascii="Arial" w:hAnsi="Arial" w:cs="Arial"/>
                <w:bCs/>
                <w:color w:val="000080"/>
                <w:sz w:val="20"/>
              </w:rPr>
              <w:t xml:space="preserve">Parrondo HEES </w:t>
            </w:r>
            <w:r>
              <w:rPr>
                <w:rFonts w:ascii="Arial" w:hAnsi="Arial"/>
                <w:color w:val="000080"/>
                <w:sz w:val="20"/>
              </w:rPr>
              <w:t>Novartis</w:t>
            </w:r>
          </w:p>
        </w:tc>
        <w:tc>
          <w:tcPr>
            <w:tcW w:w="7920" w:type="dxa"/>
          </w:tcPr>
          <w:p w14:paraId="7212B157" w14:textId="77777777" w:rsidR="00F02F27" w:rsidRDefault="00F02F27" w:rsidP="002D328A">
            <w:pPr>
              <w:ind w:left="0" w:hanging="2"/>
              <w:jc w:val="both"/>
              <w:rPr>
                <w:rFonts w:ascii="Arial" w:hAnsi="Arial"/>
                <w:color w:val="000080"/>
                <w:sz w:val="20"/>
              </w:rPr>
            </w:pPr>
            <w:r>
              <w:rPr>
                <w:rFonts w:ascii="Arial" w:hAnsi="Arial"/>
                <w:color w:val="000080"/>
                <w:sz w:val="20"/>
              </w:rPr>
              <w:t>Punto 10 Bibliografía (página 68)</w:t>
            </w:r>
          </w:p>
          <w:p w14:paraId="522A3EE8" w14:textId="77777777" w:rsidR="00F02F27" w:rsidRPr="005B1D5C" w:rsidRDefault="00F02F27" w:rsidP="002D328A">
            <w:pPr>
              <w:ind w:left="0" w:hanging="2"/>
              <w:jc w:val="both"/>
              <w:rPr>
                <w:rFonts w:ascii="Arial" w:hAnsi="Arial"/>
                <w:color w:val="000080"/>
                <w:sz w:val="20"/>
                <w:lang w:val="en-US"/>
              </w:rPr>
            </w:pPr>
            <w:r>
              <w:rPr>
                <w:rFonts w:ascii="Arial" w:hAnsi="Arial"/>
                <w:color w:val="000080"/>
                <w:sz w:val="20"/>
              </w:rPr>
              <w:t>Dado que a lo largo de estas alegaciones se ha aportado el metaanálisis en red utilizado y ajustado en la evaluación del NICE y recientemente publicado por Burnett et al. (</w:t>
            </w:r>
            <w:hyperlink r:id="rId68" w:history="1">
              <w:r w:rsidRPr="00A668A0">
                <w:rPr>
                  <w:rStyle w:val="Hipervnculo"/>
                  <w:rFonts w:ascii="Arial" w:hAnsi="Arial"/>
                  <w:sz w:val="20"/>
                </w:rPr>
                <w:t>https://pubmed.ncbi.nlm.nih.gov/35262430</w:t>
              </w:r>
            </w:hyperlink>
            <w:r>
              <w:rPr>
                <w:rFonts w:ascii="Arial" w:hAnsi="Arial"/>
                <w:color w:val="000080"/>
                <w:sz w:val="20"/>
              </w:rPr>
              <w:t xml:space="preserve">)   proponemos su inclusión en la bibliografía- Cita: Burnett H, </w:t>
            </w:r>
            <w:r w:rsidRPr="005B1D5C">
              <w:rPr>
                <w:rFonts w:ascii="Arial" w:hAnsi="Arial"/>
                <w:color w:val="000080"/>
                <w:sz w:val="20"/>
              </w:rPr>
              <w:t>Fahrbach</w:t>
            </w:r>
            <w:r>
              <w:rPr>
                <w:rFonts w:ascii="Arial" w:hAnsi="Arial"/>
                <w:color w:val="000080"/>
                <w:sz w:val="20"/>
              </w:rPr>
              <w:t xml:space="preserve"> K</w:t>
            </w:r>
            <w:r w:rsidRPr="005B1D5C">
              <w:rPr>
                <w:rFonts w:ascii="Arial" w:hAnsi="Arial"/>
                <w:color w:val="000080"/>
                <w:sz w:val="20"/>
              </w:rPr>
              <w:t>, Cichewicz</w:t>
            </w:r>
            <w:r>
              <w:rPr>
                <w:rFonts w:ascii="Arial" w:hAnsi="Arial"/>
                <w:color w:val="000080"/>
                <w:sz w:val="20"/>
              </w:rPr>
              <w:t xml:space="preserve"> A</w:t>
            </w:r>
            <w:r w:rsidRPr="005B1D5C">
              <w:rPr>
                <w:rFonts w:ascii="Arial" w:hAnsi="Arial"/>
                <w:color w:val="000080"/>
                <w:sz w:val="20"/>
              </w:rPr>
              <w:t>, Jindal</w:t>
            </w:r>
            <w:r>
              <w:rPr>
                <w:rFonts w:ascii="Arial" w:hAnsi="Arial"/>
                <w:color w:val="000080"/>
                <w:sz w:val="20"/>
              </w:rPr>
              <w:t xml:space="preserve"> R</w:t>
            </w:r>
            <w:r w:rsidRPr="005B1D5C">
              <w:rPr>
                <w:rFonts w:ascii="Arial" w:hAnsi="Arial"/>
                <w:color w:val="000080"/>
                <w:sz w:val="20"/>
              </w:rPr>
              <w:t>, Tarpey</w:t>
            </w:r>
            <w:r>
              <w:rPr>
                <w:rFonts w:ascii="Arial" w:hAnsi="Arial"/>
                <w:color w:val="000080"/>
                <w:sz w:val="20"/>
              </w:rPr>
              <w:t xml:space="preserve"> J</w:t>
            </w:r>
            <w:r w:rsidRPr="005B1D5C">
              <w:rPr>
                <w:rFonts w:ascii="Arial" w:hAnsi="Arial"/>
                <w:color w:val="000080"/>
                <w:sz w:val="20"/>
              </w:rPr>
              <w:t>, Durand</w:t>
            </w:r>
            <w:r>
              <w:rPr>
                <w:rFonts w:ascii="Arial" w:hAnsi="Arial"/>
                <w:color w:val="000080"/>
                <w:sz w:val="20"/>
              </w:rPr>
              <w:t xml:space="preserve"> A</w:t>
            </w:r>
            <w:r w:rsidRPr="005B1D5C">
              <w:rPr>
                <w:rFonts w:ascii="Arial" w:hAnsi="Arial"/>
                <w:color w:val="000080"/>
                <w:sz w:val="20"/>
              </w:rPr>
              <w:t xml:space="preserve"> et al.</w:t>
            </w:r>
            <w:r>
              <w:rPr>
                <w:rFonts w:ascii="Arial" w:hAnsi="Arial"/>
                <w:color w:val="000080"/>
                <w:sz w:val="20"/>
              </w:rPr>
              <w:t xml:space="preserve"> </w:t>
            </w:r>
            <w:r w:rsidRPr="005B1D5C">
              <w:rPr>
                <w:rFonts w:ascii="Arial" w:hAnsi="Arial"/>
                <w:color w:val="000080"/>
                <w:sz w:val="20"/>
                <w:lang w:val="en-US"/>
              </w:rPr>
              <w:t>Comparative efficacy of non-statin lipid-lowering therapies in patients with hypercholesterolemia at increased cardiovascular risk: a network meta-analysis</w:t>
            </w:r>
            <w:r>
              <w:rPr>
                <w:rFonts w:ascii="Arial" w:hAnsi="Arial"/>
                <w:color w:val="000080"/>
                <w:sz w:val="20"/>
                <w:lang w:val="en-US"/>
              </w:rPr>
              <w:t xml:space="preserve">. </w:t>
            </w:r>
            <w:r w:rsidRPr="005B1D5C">
              <w:rPr>
                <w:rFonts w:ascii="Arial" w:hAnsi="Arial"/>
                <w:color w:val="000080"/>
                <w:sz w:val="20"/>
                <w:lang w:val="en-US"/>
              </w:rPr>
              <w:t>Curr Med Res Opin 2022 Pages 1-8</w:t>
            </w:r>
            <w:r>
              <w:rPr>
                <w:rFonts w:ascii="Arial" w:hAnsi="Arial"/>
                <w:color w:val="000080"/>
                <w:sz w:val="20"/>
                <w:lang w:val="en-US"/>
              </w:rPr>
              <w:t xml:space="preserve">. </w:t>
            </w:r>
            <w:r w:rsidRPr="005B1D5C">
              <w:rPr>
                <w:rFonts w:ascii="Arial" w:hAnsi="Arial"/>
                <w:color w:val="000080"/>
                <w:sz w:val="20"/>
                <w:lang w:val="en-US"/>
              </w:rPr>
              <w:t>DOI: 10.1080/03007995.2022.2049164</w:t>
            </w:r>
          </w:p>
          <w:p w14:paraId="39BC1E20" w14:textId="77777777" w:rsidR="00F02F27" w:rsidRPr="005B1D5C" w:rsidRDefault="00F02F27" w:rsidP="002D328A">
            <w:pPr>
              <w:ind w:left="0" w:hanging="2"/>
              <w:jc w:val="both"/>
              <w:rPr>
                <w:rFonts w:ascii="Arial" w:hAnsi="Arial"/>
                <w:color w:val="000080"/>
                <w:sz w:val="20"/>
                <w:lang w:val="en-US"/>
              </w:rPr>
            </w:pPr>
          </w:p>
        </w:tc>
        <w:tc>
          <w:tcPr>
            <w:tcW w:w="1676" w:type="dxa"/>
          </w:tcPr>
          <w:p w14:paraId="00DC9549" w14:textId="77777777" w:rsidR="00F02F27" w:rsidRPr="005B1D5C" w:rsidRDefault="00F02F27" w:rsidP="002D328A">
            <w:pPr>
              <w:ind w:left="0" w:hanging="2"/>
              <w:jc w:val="both"/>
              <w:rPr>
                <w:rFonts w:ascii="Arial Narrow" w:hAnsi="Arial Narrow"/>
                <w:color w:val="000080"/>
                <w:sz w:val="18"/>
                <w:lang w:val="en-US"/>
              </w:rPr>
            </w:pPr>
            <w:r>
              <w:rPr>
                <w:rFonts w:ascii="Arial Narrow" w:hAnsi="Arial Narrow"/>
                <w:color w:val="000080"/>
                <w:sz w:val="18"/>
                <w:lang w:val="en-US"/>
              </w:rPr>
              <w:t>No se acepta.</w:t>
            </w:r>
          </w:p>
        </w:tc>
      </w:tr>
    </w:tbl>
    <w:p w14:paraId="24C617FD" w14:textId="77777777" w:rsidR="00F02F27" w:rsidRDefault="00F02F27" w:rsidP="00F02F27">
      <w:pPr>
        <w:autoSpaceDE w:val="0"/>
        <w:autoSpaceDN w:val="0"/>
        <w:adjustRightInd w:val="0"/>
        <w:ind w:left="0" w:hanging="2"/>
        <w:rPr>
          <w:rFonts w:ascii="Segoe UI" w:hAnsi="Segoe UI" w:cs="Segoe UI"/>
          <w:sz w:val="22"/>
          <w:szCs w:val="22"/>
        </w:rPr>
      </w:pPr>
    </w:p>
    <w:p w14:paraId="5E9302FD" w14:textId="77777777" w:rsidR="00F02F27" w:rsidRDefault="00F02F27" w:rsidP="00F02F27">
      <w:pPr>
        <w:ind w:left="0" w:hanging="2"/>
      </w:pPr>
    </w:p>
    <w:p w14:paraId="0DC96237" w14:textId="77777777" w:rsidR="00A4153B" w:rsidRDefault="00A4153B" w:rsidP="00A4153B">
      <w:pPr>
        <w:pBdr>
          <w:top w:val="nil"/>
          <w:left w:val="nil"/>
          <w:bottom w:val="nil"/>
          <w:right w:val="nil"/>
          <w:between w:val="nil"/>
        </w:pBdr>
        <w:spacing w:line="240" w:lineRule="auto"/>
        <w:ind w:left="0" w:hanging="2"/>
        <w:rPr>
          <w:color w:val="000000"/>
          <w:vertAlign w:val="baseline"/>
        </w:rPr>
      </w:pPr>
    </w:p>
    <w:p w14:paraId="40214240" w14:textId="77777777" w:rsidR="00634CDF" w:rsidRDefault="00634CDF">
      <w:pPr>
        <w:pBdr>
          <w:top w:val="nil"/>
          <w:left w:val="nil"/>
          <w:bottom w:val="nil"/>
          <w:right w:val="nil"/>
          <w:between w:val="nil"/>
        </w:pBdr>
        <w:spacing w:line="240" w:lineRule="auto"/>
        <w:ind w:left="0" w:hanging="2"/>
        <w:rPr>
          <w:color w:val="000000"/>
          <w:vertAlign w:val="baseline"/>
        </w:rPr>
      </w:pPr>
    </w:p>
    <w:sectPr w:rsidR="00634CDF">
      <w:headerReference w:type="even" r:id="rId69"/>
      <w:headerReference w:type="default" r:id="rId70"/>
      <w:footerReference w:type="even" r:id="rId71"/>
      <w:footerReference w:type="default" r:id="rId72"/>
      <w:headerReference w:type="first" r:id="rId73"/>
      <w:footerReference w:type="first" r:id="rId74"/>
      <w:pgSz w:w="11906" w:h="16838"/>
      <w:pgMar w:top="1417" w:right="1466"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E6C4C" w14:textId="77777777" w:rsidR="00782245" w:rsidRDefault="00782245">
      <w:pPr>
        <w:spacing w:line="240" w:lineRule="auto"/>
        <w:ind w:left="0" w:hanging="2"/>
      </w:pPr>
      <w:r>
        <w:separator/>
      </w:r>
    </w:p>
  </w:endnote>
  <w:endnote w:type="continuationSeparator" w:id="0">
    <w:p w14:paraId="59C0A94D" w14:textId="77777777" w:rsidR="00782245" w:rsidRDefault="00782245">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sig w:usb0="00000000"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DZMIPA+HelveticaNeue-Medium">
    <w:altName w:val="Arial"/>
    <w:charset w:val="00"/>
    <w:family w:val="swiss"/>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ZYYKLI+TimesTen-Roman">
    <w:altName w:val="Times New Roman"/>
    <w:charset w:val="00"/>
    <w:family w:val="roman"/>
    <w:pitch w:val="default"/>
    <w:sig w:usb0="00000000"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NBIQZG+HelveticaNeue-Light">
    <w:altName w:val="Calibri"/>
    <w:charset w:val="00"/>
    <w:family w:val="swiss"/>
    <w:pitch w:val="default"/>
    <w:sig w:usb0="00000000" w:usb1="00000000" w:usb2="00000000" w:usb3="00000000" w:csb0="00000001" w:csb1="00000000"/>
  </w:font>
  <w:font w:name="GNQAFU+HelveticaNeue-Black">
    <w:altName w:val="Arial"/>
    <w:charset w:val="00"/>
    <w:family w:val="swiss"/>
    <w:pitch w:val="default"/>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3FA23" w14:textId="77777777" w:rsidR="009F44EF" w:rsidRDefault="009F44EF">
    <w:pPr>
      <w:pStyle w:val="Piedepgina"/>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49F65" w14:textId="0652CFF7" w:rsidR="009F44EF" w:rsidRPr="00BC4682" w:rsidRDefault="009F44EF" w:rsidP="00BC4682">
    <w:pPr>
      <w:pStyle w:val="Piedepgina"/>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29142" w14:textId="77777777" w:rsidR="009F44EF" w:rsidRDefault="009F44EF">
    <w:pPr>
      <w:ind w:left="0" w:hanging="2"/>
      <w:rPr>
        <w:vertAlign w:val="baseline"/>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DAEE37" w14:textId="77777777" w:rsidR="00782245" w:rsidRDefault="00782245">
      <w:pPr>
        <w:spacing w:line="240" w:lineRule="auto"/>
        <w:ind w:left="0" w:hanging="2"/>
      </w:pPr>
      <w:r>
        <w:separator/>
      </w:r>
    </w:p>
  </w:footnote>
  <w:footnote w:type="continuationSeparator" w:id="0">
    <w:p w14:paraId="44448728" w14:textId="77777777" w:rsidR="00782245" w:rsidRDefault="00782245">
      <w:pPr>
        <w:spacing w:line="240" w:lineRule="auto"/>
        <w:ind w:left="0" w:hanging="2"/>
      </w:pPr>
      <w:r>
        <w:continuationSeparator/>
      </w:r>
    </w:p>
  </w:footnote>
  <w:footnote w:id="1">
    <w:p w14:paraId="04C2DE3A" w14:textId="77777777" w:rsidR="009F44EF" w:rsidRPr="00CF5F9F" w:rsidRDefault="009F44EF" w:rsidP="007A1FF3">
      <w:pPr>
        <w:widowControl w:val="0"/>
        <w:suppressAutoHyphens/>
        <w:ind w:left="0" w:hanging="2"/>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b/>
          <w:i/>
          <w:sz w:val="16"/>
          <w:szCs w:val="16"/>
        </w:rPr>
        <w:t>Marín R, Puigventós F, Fraga MD, Ortega A, López-Briz E, Arocas V, Santos B.</w:t>
      </w:r>
      <w:r>
        <w:rPr>
          <w:rFonts w:ascii="Arial" w:hAnsi="Arial" w:cs="Arial"/>
          <w:sz w:val="16"/>
          <w:szCs w:val="16"/>
        </w:rPr>
        <w:t xml:space="preserve"> 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1" w:tgtFrame="_blank" w:history="1">
        <w:r>
          <w:rPr>
            <w:rStyle w:val="Hipervnculo"/>
            <w:rFonts w:ascii="Arial" w:hAnsi="Arial" w:cs="Arial"/>
            <w:sz w:val="16"/>
            <w:szCs w:val="16"/>
          </w:rPr>
          <w:t>http://gruposdetrabajo.sefh.es/genesis/genesis/basesmetodologicas/programamadre/index.html</w:t>
        </w:r>
      </w:hyperlink>
    </w:p>
  </w:footnote>
  <w:footnote w:id="2">
    <w:p w14:paraId="42D40155" w14:textId="77777777" w:rsidR="009F44EF" w:rsidRDefault="009F44EF" w:rsidP="007A1FF3">
      <w:pPr>
        <w:ind w:left="0" w:hanging="2"/>
        <w:jc w:val="both"/>
        <w:rPr>
          <w:b/>
          <w:bCs/>
          <w:sz w:val="22"/>
          <w:szCs w:val="22"/>
        </w:rPr>
      </w:pPr>
      <w:r>
        <w:rPr>
          <w:rStyle w:val="Refdenotaalpie"/>
        </w:rPr>
        <w:footnoteRef/>
      </w:r>
      <w:r>
        <w:t xml:space="preserve"> </w:t>
      </w:r>
      <w:r w:rsidRPr="005B245C">
        <w:rPr>
          <w:rFonts w:ascii="Arial" w:hAnsi="Arial" w:cs="Arial"/>
          <w:b/>
          <w:i/>
          <w:sz w:val="16"/>
          <w:szCs w:val="16"/>
        </w:rPr>
        <w:t>Ortega Eslava A, Marín Gil R, Fraga Fuentes MD, López-Briz E, Puigventós Latorre F (GENESIS-SEFH</w:t>
      </w:r>
      <w:r>
        <w:rPr>
          <w:rFonts w:ascii="Arial" w:hAnsi="Arial" w:cs="Arial"/>
          <w:sz w:val="16"/>
          <w:szCs w:val="16"/>
        </w:rPr>
        <w:t>)</w:t>
      </w:r>
      <w:r w:rsidRPr="005B245C">
        <w:rPr>
          <w:rFonts w:ascii="Arial" w:hAnsi="Arial" w:cs="Arial"/>
          <w:sz w:val="16"/>
          <w:szCs w:val="16"/>
        </w:rPr>
        <w:t>. Guía de evaluación económica e impacto presupuestario en los informes de evaluación de medicamentos. Guía práctica asociada</w:t>
      </w:r>
      <w:r>
        <w:rPr>
          <w:rFonts w:ascii="Arial" w:hAnsi="Arial" w:cs="Arial"/>
          <w:sz w:val="16"/>
          <w:szCs w:val="16"/>
        </w:rPr>
        <w:t xml:space="preserve"> </w:t>
      </w:r>
      <w:r w:rsidRPr="005B245C">
        <w:rPr>
          <w:rFonts w:ascii="Arial" w:hAnsi="Arial" w:cs="Arial"/>
          <w:sz w:val="16"/>
          <w:szCs w:val="16"/>
        </w:rPr>
        <w:t>al programa MADRE v4.0. Madrid: SEFH (e.), 2016 ISBN: 978-84-617-6757-1. Disponible en: http://gruposdetrabajo.sefh.es/genesis</w:t>
      </w:r>
      <w:r>
        <w:rPr>
          <w:sz w:val="22"/>
        </w:rPr>
        <w:t xml:space="preserve"> </w:t>
      </w:r>
    </w:p>
    <w:p w14:paraId="5A43E9EF" w14:textId="77777777" w:rsidR="009F44EF" w:rsidRPr="00092001" w:rsidRDefault="009F44EF" w:rsidP="007A1FF3">
      <w:pPr>
        <w:pStyle w:val="Textonotapie"/>
        <w:ind w:left="0" w:hanging="2"/>
      </w:pPr>
    </w:p>
  </w:footnote>
  <w:footnote w:id="3">
    <w:p w14:paraId="6755CCFD" w14:textId="77777777" w:rsidR="009F44EF" w:rsidRDefault="009F44EF">
      <w:pPr>
        <w:widowControl w:val="0"/>
        <w:pBdr>
          <w:top w:val="nil"/>
          <w:left w:val="nil"/>
          <w:bottom w:val="nil"/>
          <w:right w:val="nil"/>
          <w:between w:val="nil"/>
        </w:pBdr>
        <w:spacing w:line="240" w:lineRule="auto"/>
        <w:ind w:left="0" w:hanging="2"/>
        <w:jc w:val="both"/>
        <w:rPr>
          <w:color w:val="000000"/>
          <w:vertAlign w:val="baseline"/>
        </w:rPr>
      </w:pPr>
      <w:r>
        <w:rPr>
          <w:vertAlign w:val="superscript"/>
        </w:rPr>
        <w:footnoteRef/>
      </w:r>
      <w:r>
        <w:rPr>
          <w:rFonts w:ascii="Arial" w:eastAsia="Arial" w:hAnsi="Arial" w:cs="Arial"/>
          <w:color w:val="000000"/>
          <w:sz w:val="16"/>
          <w:szCs w:val="16"/>
          <w:vertAlign w:val="baseline"/>
        </w:rPr>
        <w:tab/>
        <w:t xml:space="preserve"> </w:t>
      </w:r>
      <w:r>
        <w:rPr>
          <w:rFonts w:ascii="Arial" w:eastAsia="Arial" w:hAnsi="Arial" w:cs="Arial"/>
          <w:b/>
          <w:i/>
          <w:color w:val="000000"/>
          <w:sz w:val="16"/>
          <w:szCs w:val="16"/>
          <w:vertAlign w:val="baseline"/>
        </w:rPr>
        <w:t>Marín R, Puigventós F, Fraga MD, Ortega A, López-Briz E, Arocas V, Santos B.</w:t>
      </w:r>
      <w:r>
        <w:rPr>
          <w:rFonts w:ascii="Arial" w:eastAsia="Arial" w:hAnsi="Arial" w:cs="Arial"/>
          <w:color w:val="000000"/>
          <w:sz w:val="16"/>
          <w:szCs w:val="16"/>
          <w:vertAlign w:val="baseline"/>
        </w:rPr>
        <w:t xml:space="preserve"> Grupo de Evaluación de Novedades y Estandarización e Investigación en Selección de Medicamentos (GENESIS)  de la Sociedad Española de Farmacia Hospitalaria (SEFH). Método de Ayuda para la toma de Decisiones y la Realización de Evaluaciones de medicamentos (MADRE). Versión 4.0. Madrid: SEFH (ed.), 2013. ISBN: 978-84-695-7629-8. Disponible en </w:t>
      </w:r>
      <w:hyperlink r:id="rId2">
        <w:r>
          <w:rPr>
            <w:rFonts w:ascii="Arial" w:eastAsia="Arial" w:hAnsi="Arial" w:cs="Arial"/>
            <w:color w:val="0000FF"/>
            <w:sz w:val="16"/>
            <w:szCs w:val="16"/>
            <w:u w:val="single"/>
            <w:vertAlign w:val="baseline"/>
          </w:rPr>
          <w:t>http://gruposdetrabajo.sefh.es/genesis/genesis/basesmetodologicas/programamadre/index.html</w:t>
        </w:r>
      </w:hyperlink>
    </w:p>
    <w:p w14:paraId="61A5FC72" w14:textId="77777777" w:rsidR="009F44EF" w:rsidRDefault="009F44EF">
      <w:pPr>
        <w:pBdr>
          <w:top w:val="none" w:sz="0" w:space="0" w:color="000000"/>
          <w:left w:val="none" w:sz="0" w:space="0" w:color="000000"/>
          <w:bottom w:val="none" w:sz="0" w:space="0" w:color="000000"/>
          <w:right w:val="none" w:sz="0" w:space="0" w:color="000000"/>
          <w:between w:val="nil"/>
        </w:pBdr>
        <w:spacing w:line="240" w:lineRule="auto"/>
        <w:ind w:left="0" w:hanging="2"/>
        <w:rPr>
          <w:color w:val="000000"/>
          <w:vertAlign w:val="baseline"/>
        </w:rPr>
      </w:pPr>
    </w:p>
  </w:footnote>
  <w:footnote w:id="4">
    <w:p w14:paraId="37D288E4" w14:textId="77777777" w:rsidR="009F44EF" w:rsidRDefault="009F44EF">
      <w:pPr>
        <w:pBdr>
          <w:top w:val="nil"/>
          <w:left w:val="nil"/>
          <w:bottom w:val="nil"/>
          <w:right w:val="nil"/>
          <w:between w:val="nil"/>
        </w:pBdr>
        <w:spacing w:line="240" w:lineRule="auto"/>
        <w:ind w:left="0" w:hanging="2"/>
        <w:jc w:val="both"/>
        <w:rPr>
          <w:color w:val="000000"/>
          <w:vertAlign w:val="baseline"/>
        </w:rPr>
      </w:pPr>
      <w:r>
        <w:rPr>
          <w:vertAlign w:val="superscript"/>
        </w:rPr>
        <w:footnoteRef/>
      </w:r>
      <w:r>
        <w:rPr>
          <w:color w:val="000000"/>
          <w:vertAlign w:val="baseline"/>
        </w:rPr>
        <w:tab/>
        <w:t xml:space="preserve"> </w:t>
      </w:r>
      <w:r>
        <w:rPr>
          <w:rFonts w:ascii="Arial" w:eastAsia="Arial" w:hAnsi="Arial" w:cs="Arial"/>
          <w:b/>
          <w:i/>
          <w:color w:val="000000"/>
          <w:sz w:val="16"/>
          <w:szCs w:val="16"/>
          <w:vertAlign w:val="baseline"/>
        </w:rPr>
        <w:t>Ortega Eslava A, Marín Gil R, Fraga Fuentes MD, López-Briz E, Puigventós Latorre F (GENESIS-SEFH</w:t>
      </w:r>
      <w:r>
        <w:rPr>
          <w:rFonts w:ascii="Arial" w:eastAsia="Arial" w:hAnsi="Arial" w:cs="Arial"/>
          <w:color w:val="000000"/>
          <w:sz w:val="16"/>
          <w:szCs w:val="16"/>
          <w:vertAlign w:val="baseline"/>
        </w:rPr>
        <w:t>). Guía de evaluación económica e impacto presupuestario en los informes de evaluación de medicamentos. Guía práctica asociada al programa MADRE v4.0. Madrid: SEFH (e.), 2016 ISBN: 978-84-617-6757-1. Disponible en: http://gruposdetrabajo.sefh.es/genesis</w:t>
      </w:r>
      <w:r>
        <w:rPr>
          <w:color w:val="000000"/>
          <w:sz w:val="22"/>
          <w:szCs w:val="22"/>
          <w:vertAlign w:val="baseline"/>
        </w:rPr>
        <w:t xml:space="preserve"> </w:t>
      </w:r>
    </w:p>
    <w:p w14:paraId="22DA66C0" w14:textId="77777777" w:rsidR="009F44EF" w:rsidRDefault="009F44EF">
      <w:pPr>
        <w:pBdr>
          <w:top w:val="none" w:sz="0" w:space="0" w:color="000000"/>
          <w:left w:val="none" w:sz="0" w:space="0" w:color="000000"/>
          <w:bottom w:val="none" w:sz="0" w:space="0" w:color="000000"/>
          <w:right w:val="none" w:sz="0" w:space="0" w:color="000000"/>
          <w:between w:val="nil"/>
        </w:pBdr>
        <w:spacing w:line="240" w:lineRule="auto"/>
        <w:ind w:left="0" w:hanging="2"/>
        <w:rPr>
          <w:color w:val="000000"/>
          <w:vertAlign w:val="baseline"/>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D4DD8F" w14:textId="77777777" w:rsidR="009F44EF" w:rsidRDefault="009F44EF">
    <w:pPr>
      <w:pStyle w:val="Encabezad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5168" w14:textId="77777777" w:rsidR="009F44EF" w:rsidRDefault="009F44EF">
    <w:pPr>
      <w:widowControl w:val="0"/>
      <w:pBdr>
        <w:top w:val="none" w:sz="0" w:space="0" w:color="000000"/>
        <w:left w:val="none" w:sz="0" w:space="0" w:color="000000"/>
        <w:bottom w:val="none" w:sz="0" w:space="0" w:color="000000"/>
        <w:right w:val="none" w:sz="0" w:space="0" w:color="000000"/>
        <w:between w:val="nil"/>
      </w:pBdr>
      <w:spacing w:line="276" w:lineRule="auto"/>
      <w:ind w:left="0" w:hanging="2"/>
      <w:rPr>
        <w:rFonts w:ascii="Arial" w:eastAsia="Arial" w:hAnsi="Arial" w:cs="Arial"/>
        <w:color w:val="000000"/>
        <w:sz w:val="16"/>
        <w:szCs w:val="16"/>
        <w:vertAlign w:val="baseline"/>
      </w:rPr>
    </w:pPr>
  </w:p>
  <w:tbl>
    <w:tblPr>
      <w:tblStyle w:val="affa"/>
      <w:tblW w:w="8840" w:type="dxa"/>
      <w:tblInd w:w="-5" w:type="dxa"/>
      <w:tblLayout w:type="fixed"/>
      <w:tblLook w:val="0000" w:firstRow="0" w:lastRow="0" w:firstColumn="0" w:lastColumn="0" w:noHBand="0" w:noVBand="0"/>
    </w:tblPr>
    <w:tblGrid>
      <w:gridCol w:w="6300"/>
      <w:gridCol w:w="1079"/>
      <w:gridCol w:w="1461"/>
    </w:tblGrid>
    <w:tr w:rsidR="009F44EF" w14:paraId="488943B1" w14:textId="77777777">
      <w:trPr>
        <w:cantSplit/>
        <w:trHeight w:val="240"/>
      </w:trPr>
      <w:tc>
        <w:tcPr>
          <w:tcW w:w="6300" w:type="dxa"/>
          <w:vMerge w:val="restart"/>
          <w:tcBorders>
            <w:top w:val="single" w:sz="4" w:space="0" w:color="000000"/>
            <w:left w:val="single" w:sz="4" w:space="0" w:color="000000"/>
          </w:tcBorders>
          <w:shd w:val="clear" w:color="auto" w:fill="000080"/>
          <w:vAlign w:val="center"/>
        </w:tcPr>
        <w:p w14:paraId="790F0FA5" w14:textId="77777777" w:rsidR="009F44EF" w:rsidRDefault="009F44E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rPr>
              <w:color w:val="000000"/>
              <w:vertAlign w:val="baseline"/>
            </w:rPr>
          </w:pPr>
          <w:r>
            <w:rPr>
              <w:rFonts w:ascii="Arial" w:eastAsia="Arial" w:hAnsi="Arial" w:cs="Arial"/>
              <w:color w:val="FFFFFF"/>
              <w:sz w:val="20"/>
              <w:szCs w:val="20"/>
              <w:vertAlign w:val="baseline"/>
            </w:rPr>
            <w:t>GENESIS-SEFH</w:t>
          </w:r>
        </w:p>
        <w:p w14:paraId="51D8195D" w14:textId="77777777" w:rsidR="009F44EF" w:rsidRDefault="009F44E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jc w:val="right"/>
            <w:rPr>
              <w:color w:val="000000"/>
              <w:vertAlign w:val="baseline"/>
            </w:rPr>
          </w:pPr>
          <w:r>
            <w:rPr>
              <w:rFonts w:ascii="Arial" w:eastAsia="Arial" w:hAnsi="Arial" w:cs="Arial"/>
              <w:color w:val="FFFFFF"/>
              <w:sz w:val="20"/>
              <w:szCs w:val="20"/>
              <w:vertAlign w:val="baseline"/>
            </w:rPr>
            <w:t xml:space="preserve">Programa MADRE versión 4.1  </w:t>
          </w:r>
        </w:p>
        <w:p w14:paraId="6A51D854" w14:textId="77777777" w:rsidR="009F44EF" w:rsidRDefault="009F44E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jc w:val="right"/>
            <w:rPr>
              <w:color w:val="000000"/>
              <w:vertAlign w:val="baseline"/>
            </w:rPr>
          </w:pPr>
          <w:r>
            <w:rPr>
              <w:rFonts w:ascii="Arial" w:eastAsia="Arial" w:hAnsi="Arial" w:cs="Arial"/>
              <w:color w:val="FFFFFF"/>
              <w:sz w:val="20"/>
              <w:szCs w:val="20"/>
              <w:vertAlign w:val="baseline"/>
            </w:rPr>
            <w:t xml:space="preserve">Informe base actualizado 2017 </w:t>
          </w:r>
          <w:r>
            <w:rPr>
              <w:rFonts w:ascii="Arial" w:eastAsia="Arial" w:hAnsi="Arial" w:cs="Arial"/>
              <w:b/>
              <w:color w:val="FFFFFF"/>
              <w:sz w:val="22"/>
              <w:szCs w:val="22"/>
              <w:vertAlign w:val="baseline"/>
            </w:rPr>
            <w:t xml:space="preserve">  </w:t>
          </w:r>
        </w:p>
      </w:tc>
      <w:tc>
        <w:tcPr>
          <w:tcW w:w="1079" w:type="dxa"/>
          <w:tcBorders>
            <w:top w:val="single" w:sz="4" w:space="0" w:color="000000"/>
            <w:left w:val="single" w:sz="4" w:space="0" w:color="000000"/>
          </w:tcBorders>
          <w:shd w:val="clear" w:color="auto" w:fill="000080"/>
        </w:tcPr>
        <w:p w14:paraId="60E4FCA9" w14:textId="77777777" w:rsidR="009F44EF" w:rsidRDefault="009F44E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rPr>
              <w:color w:val="000000"/>
              <w:vertAlign w:val="baseline"/>
            </w:rPr>
          </w:pPr>
          <w:r>
            <w:rPr>
              <w:rFonts w:ascii="Arial" w:eastAsia="Arial" w:hAnsi="Arial" w:cs="Arial"/>
              <w:color w:val="FFFFFF"/>
              <w:sz w:val="18"/>
              <w:szCs w:val="18"/>
              <w:vertAlign w:val="baseline"/>
            </w:rPr>
            <w:t>Versión:</w:t>
          </w:r>
        </w:p>
      </w:tc>
      <w:tc>
        <w:tcPr>
          <w:tcW w:w="1461" w:type="dxa"/>
          <w:tcBorders>
            <w:top w:val="single" w:sz="4" w:space="0" w:color="000000"/>
            <w:right w:val="single" w:sz="4" w:space="0" w:color="000000"/>
          </w:tcBorders>
          <w:shd w:val="clear" w:color="auto" w:fill="000080"/>
        </w:tcPr>
        <w:p w14:paraId="4BBDB9AF" w14:textId="77777777" w:rsidR="009F44EF" w:rsidRDefault="009F44EF">
          <w:pPr>
            <w:pBdr>
              <w:top w:val="none" w:sz="0" w:space="0" w:color="000000"/>
              <w:left w:val="none" w:sz="0" w:space="0" w:color="000000"/>
              <w:bottom w:val="none" w:sz="0" w:space="0" w:color="000000"/>
              <w:right w:val="none" w:sz="0" w:space="0" w:color="000000"/>
              <w:between w:val="nil"/>
            </w:pBdr>
            <w:tabs>
              <w:tab w:val="left" w:pos="1206"/>
              <w:tab w:val="center" w:pos="4252"/>
              <w:tab w:val="right" w:pos="8504"/>
            </w:tabs>
            <w:spacing w:line="240" w:lineRule="auto"/>
            <w:ind w:left="0" w:right="71" w:hanging="2"/>
            <w:jc w:val="right"/>
            <w:rPr>
              <w:color w:val="000000"/>
              <w:vertAlign w:val="baseline"/>
            </w:rPr>
          </w:pPr>
          <w:r>
            <w:rPr>
              <w:rFonts w:ascii="Arial" w:eastAsia="Arial" w:hAnsi="Arial" w:cs="Arial"/>
              <w:color w:val="FFFFFF"/>
              <w:sz w:val="18"/>
              <w:szCs w:val="18"/>
              <w:vertAlign w:val="baseline"/>
            </w:rPr>
            <w:t>4.1</w:t>
          </w:r>
        </w:p>
      </w:tc>
    </w:tr>
    <w:tr w:rsidR="009F44EF" w14:paraId="253612FE" w14:textId="77777777">
      <w:trPr>
        <w:cantSplit/>
        <w:trHeight w:val="240"/>
      </w:trPr>
      <w:tc>
        <w:tcPr>
          <w:tcW w:w="6300" w:type="dxa"/>
          <w:vMerge/>
          <w:tcBorders>
            <w:top w:val="single" w:sz="4" w:space="0" w:color="000000"/>
            <w:left w:val="single" w:sz="4" w:space="0" w:color="000000"/>
          </w:tcBorders>
          <w:shd w:val="clear" w:color="auto" w:fill="000080"/>
          <w:vAlign w:val="center"/>
        </w:tcPr>
        <w:p w14:paraId="54F6C454" w14:textId="77777777" w:rsidR="009F44EF" w:rsidRDefault="009F44EF">
          <w:pPr>
            <w:widowControl w:val="0"/>
            <w:pBdr>
              <w:top w:val="nil"/>
              <w:left w:val="nil"/>
              <w:bottom w:val="nil"/>
              <w:right w:val="nil"/>
              <w:between w:val="nil"/>
            </w:pBdr>
            <w:spacing w:line="276" w:lineRule="auto"/>
            <w:ind w:left="0" w:hanging="2"/>
            <w:rPr>
              <w:color w:val="000000"/>
              <w:vertAlign w:val="baseline"/>
            </w:rPr>
          </w:pPr>
        </w:p>
      </w:tc>
      <w:tc>
        <w:tcPr>
          <w:tcW w:w="1079" w:type="dxa"/>
          <w:tcBorders>
            <w:left w:val="single" w:sz="4" w:space="0" w:color="000000"/>
          </w:tcBorders>
          <w:shd w:val="clear" w:color="auto" w:fill="000080"/>
        </w:tcPr>
        <w:p w14:paraId="19D69AFE" w14:textId="77777777" w:rsidR="009F44EF" w:rsidRDefault="009F44E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rPr>
              <w:color w:val="000000"/>
              <w:vertAlign w:val="baseline"/>
            </w:rPr>
          </w:pPr>
          <w:r>
            <w:rPr>
              <w:rFonts w:ascii="Arial" w:eastAsia="Arial" w:hAnsi="Arial" w:cs="Arial"/>
              <w:color w:val="FFFFFF"/>
              <w:sz w:val="18"/>
              <w:szCs w:val="18"/>
              <w:vertAlign w:val="baseline"/>
            </w:rPr>
            <w:t>Fecha:</w:t>
          </w:r>
        </w:p>
      </w:tc>
      <w:tc>
        <w:tcPr>
          <w:tcW w:w="1461" w:type="dxa"/>
          <w:tcBorders>
            <w:right w:val="single" w:sz="4" w:space="0" w:color="000000"/>
          </w:tcBorders>
          <w:shd w:val="clear" w:color="auto" w:fill="000080"/>
        </w:tcPr>
        <w:p w14:paraId="5904B8E5" w14:textId="77777777" w:rsidR="009F44EF" w:rsidRDefault="009F44EF">
          <w:pPr>
            <w:pBdr>
              <w:top w:val="none" w:sz="0" w:space="0" w:color="000000"/>
              <w:left w:val="none" w:sz="0" w:space="0" w:color="000000"/>
              <w:bottom w:val="none" w:sz="0" w:space="0" w:color="000000"/>
              <w:right w:val="none" w:sz="0" w:space="0" w:color="000000"/>
              <w:between w:val="nil"/>
            </w:pBdr>
            <w:tabs>
              <w:tab w:val="left" w:pos="1206"/>
              <w:tab w:val="center" w:pos="4252"/>
              <w:tab w:val="right" w:pos="8504"/>
            </w:tabs>
            <w:spacing w:line="240" w:lineRule="auto"/>
            <w:ind w:left="0" w:right="71" w:hanging="2"/>
            <w:jc w:val="right"/>
            <w:rPr>
              <w:color w:val="000000"/>
              <w:vertAlign w:val="baseline"/>
            </w:rPr>
          </w:pPr>
          <w:r>
            <w:rPr>
              <w:rFonts w:ascii="Arial" w:eastAsia="Arial" w:hAnsi="Arial" w:cs="Arial"/>
              <w:color w:val="FFFFFF"/>
              <w:sz w:val="18"/>
              <w:szCs w:val="18"/>
              <w:vertAlign w:val="baseline"/>
            </w:rPr>
            <w:t>19-01-2017</w:t>
          </w:r>
        </w:p>
      </w:tc>
    </w:tr>
    <w:tr w:rsidR="009F44EF" w14:paraId="657831D3" w14:textId="77777777">
      <w:trPr>
        <w:cantSplit/>
        <w:trHeight w:val="240"/>
      </w:trPr>
      <w:tc>
        <w:tcPr>
          <w:tcW w:w="6300" w:type="dxa"/>
          <w:vMerge/>
          <w:tcBorders>
            <w:top w:val="single" w:sz="4" w:space="0" w:color="000000"/>
            <w:left w:val="single" w:sz="4" w:space="0" w:color="000000"/>
          </w:tcBorders>
          <w:shd w:val="clear" w:color="auto" w:fill="000080"/>
          <w:vAlign w:val="center"/>
        </w:tcPr>
        <w:p w14:paraId="26836009" w14:textId="77777777" w:rsidR="009F44EF" w:rsidRDefault="009F44EF">
          <w:pPr>
            <w:widowControl w:val="0"/>
            <w:pBdr>
              <w:top w:val="nil"/>
              <w:left w:val="nil"/>
              <w:bottom w:val="nil"/>
              <w:right w:val="nil"/>
              <w:between w:val="nil"/>
            </w:pBdr>
            <w:spacing w:line="276" w:lineRule="auto"/>
            <w:ind w:left="0" w:hanging="2"/>
            <w:rPr>
              <w:color w:val="000000"/>
              <w:vertAlign w:val="baseline"/>
            </w:rPr>
          </w:pPr>
        </w:p>
      </w:tc>
      <w:tc>
        <w:tcPr>
          <w:tcW w:w="1079" w:type="dxa"/>
          <w:tcBorders>
            <w:left w:val="single" w:sz="4" w:space="0" w:color="000000"/>
            <w:bottom w:val="single" w:sz="4" w:space="0" w:color="000000"/>
          </w:tcBorders>
          <w:shd w:val="clear" w:color="auto" w:fill="000080"/>
        </w:tcPr>
        <w:p w14:paraId="1907F0DE" w14:textId="77777777" w:rsidR="009F44EF" w:rsidRDefault="009F44E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rPr>
              <w:color w:val="000000"/>
              <w:vertAlign w:val="baseline"/>
            </w:rPr>
          </w:pPr>
          <w:r>
            <w:rPr>
              <w:rFonts w:ascii="Arial" w:eastAsia="Arial" w:hAnsi="Arial" w:cs="Arial"/>
              <w:color w:val="FFFFFF"/>
              <w:sz w:val="18"/>
              <w:szCs w:val="18"/>
              <w:vertAlign w:val="baseline"/>
            </w:rPr>
            <w:t>Página:</w:t>
          </w:r>
        </w:p>
      </w:tc>
      <w:tc>
        <w:tcPr>
          <w:tcW w:w="1461" w:type="dxa"/>
          <w:tcBorders>
            <w:bottom w:val="single" w:sz="4" w:space="0" w:color="000000"/>
            <w:right w:val="single" w:sz="4" w:space="0" w:color="000000"/>
          </w:tcBorders>
          <w:shd w:val="clear" w:color="auto" w:fill="000080"/>
        </w:tcPr>
        <w:p w14:paraId="60B045F2" w14:textId="616DA06F" w:rsidR="009F44EF" w:rsidRDefault="009F44EF">
          <w:pPr>
            <w:pBdr>
              <w:top w:val="none" w:sz="0" w:space="0" w:color="000000"/>
              <w:left w:val="none" w:sz="0" w:space="0" w:color="000000"/>
              <w:bottom w:val="none" w:sz="0" w:space="0" w:color="000000"/>
              <w:right w:val="none" w:sz="0" w:space="0" w:color="000000"/>
              <w:between w:val="nil"/>
            </w:pBdr>
            <w:tabs>
              <w:tab w:val="left" w:pos="1206"/>
              <w:tab w:val="center" w:pos="4252"/>
              <w:tab w:val="right" w:pos="8504"/>
            </w:tabs>
            <w:spacing w:line="240" w:lineRule="auto"/>
            <w:ind w:left="0" w:right="71" w:hanging="2"/>
            <w:jc w:val="right"/>
            <w:rPr>
              <w:color w:val="FFFFFF"/>
              <w:vertAlign w:val="baseline"/>
            </w:rPr>
          </w:pPr>
          <w:r>
            <w:rPr>
              <w:rFonts w:ascii="Arial" w:eastAsia="Arial" w:hAnsi="Arial" w:cs="Arial"/>
              <w:color w:val="FFFFFF"/>
              <w:sz w:val="18"/>
              <w:szCs w:val="18"/>
              <w:vertAlign w:val="baseline"/>
            </w:rPr>
            <w:fldChar w:fldCharType="begin"/>
          </w:r>
          <w:r>
            <w:rPr>
              <w:rFonts w:ascii="Arial" w:eastAsia="Arial" w:hAnsi="Arial" w:cs="Arial"/>
              <w:color w:val="FFFFFF"/>
              <w:sz w:val="18"/>
              <w:szCs w:val="18"/>
              <w:vertAlign w:val="baseline"/>
            </w:rPr>
            <w:instrText>PAGE</w:instrText>
          </w:r>
          <w:r>
            <w:rPr>
              <w:rFonts w:ascii="Arial" w:eastAsia="Arial" w:hAnsi="Arial" w:cs="Arial"/>
              <w:color w:val="FFFFFF"/>
              <w:sz w:val="18"/>
              <w:szCs w:val="18"/>
              <w:vertAlign w:val="baseline"/>
            </w:rPr>
            <w:fldChar w:fldCharType="separate"/>
          </w:r>
          <w:r w:rsidR="00F76F68">
            <w:rPr>
              <w:rFonts w:ascii="Arial" w:eastAsia="Arial" w:hAnsi="Arial" w:cs="Arial"/>
              <w:noProof/>
              <w:color w:val="FFFFFF"/>
              <w:sz w:val="18"/>
              <w:szCs w:val="18"/>
              <w:vertAlign w:val="baseline"/>
            </w:rPr>
            <w:t>65</w:t>
          </w:r>
          <w:r>
            <w:rPr>
              <w:rFonts w:ascii="Arial" w:eastAsia="Arial" w:hAnsi="Arial" w:cs="Arial"/>
              <w:color w:val="FFFFFF"/>
              <w:sz w:val="18"/>
              <w:szCs w:val="18"/>
              <w:vertAlign w:val="baseline"/>
            </w:rPr>
            <w:fldChar w:fldCharType="end"/>
          </w:r>
        </w:p>
      </w:tc>
    </w:tr>
  </w:tbl>
  <w:p w14:paraId="4F1C4E7B" w14:textId="77777777" w:rsidR="009F44EF" w:rsidRDefault="009F44EF">
    <w:pPr>
      <w:pBdr>
        <w:top w:val="none" w:sz="0" w:space="0" w:color="000000"/>
        <w:left w:val="none" w:sz="0" w:space="0" w:color="000000"/>
        <w:bottom w:val="none" w:sz="0" w:space="0" w:color="000000"/>
        <w:right w:val="none" w:sz="0" w:space="0" w:color="000000"/>
        <w:between w:val="nil"/>
      </w:pBdr>
      <w:tabs>
        <w:tab w:val="center" w:pos="4252"/>
        <w:tab w:val="right" w:pos="8504"/>
      </w:tabs>
      <w:spacing w:line="240" w:lineRule="auto"/>
      <w:ind w:left="0" w:hanging="2"/>
      <w:rPr>
        <w:color w:val="FFFFFF"/>
        <w:vertAlign w:val="baseline"/>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42F6E" w14:textId="77777777" w:rsidR="009F44EF" w:rsidRDefault="009F44EF">
    <w:pPr>
      <w:ind w:left="0" w:hanging="2"/>
      <w:rPr>
        <w:vertAlign w:val="baselin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831D0"/>
    <w:multiLevelType w:val="hybridMultilevel"/>
    <w:tmpl w:val="4BCAD60E"/>
    <w:lvl w:ilvl="0" w:tplc="0C0A000F">
      <w:start w:val="1"/>
      <w:numFmt w:val="decimal"/>
      <w:lvlText w:val="%1."/>
      <w:lvlJc w:val="left"/>
      <w:pPr>
        <w:ind w:left="718" w:hanging="360"/>
      </w:pPr>
    </w:lvl>
    <w:lvl w:ilvl="1" w:tplc="0C0A0019" w:tentative="1">
      <w:start w:val="1"/>
      <w:numFmt w:val="lowerLetter"/>
      <w:lvlText w:val="%2."/>
      <w:lvlJc w:val="left"/>
      <w:pPr>
        <w:ind w:left="1438" w:hanging="360"/>
      </w:pPr>
    </w:lvl>
    <w:lvl w:ilvl="2" w:tplc="0C0A001B" w:tentative="1">
      <w:start w:val="1"/>
      <w:numFmt w:val="lowerRoman"/>
      <w:lvlText w:val="%3."/>
      <w:lvlJc w:val="right"/>
      <w:pPr>
        <w:ind w:left="2158" w:hanging="180"/>
      </w:pPr>
    </w:lvl>
    <w:lvl w:ilvl="3" w:tplc="0C0A000F" w:tentative="1">
      <w:start w:val="1"/>
      <w:numFmt w:val="decimal"/>
      <w:lvlText w:val="%4."/>
      <w:lvlJc w:val="left"/>
      <w:pPr>
        <w:ind w:left="2878" w:hanging="360"/>
      </w:pPr>
    </w:lvl>
    <w:lvl w:ilvl="4" w:tplc="0C0A0019" w:tentative="1">
      <w:start w:val="1"/>
      <w:numFmt w:val="lowerLetter"/>
      <w:lvlText w:val="%5."/>
      <w:lvlJc w:val="left"/>
      <w:pPr>
        <w:ind w:left="3598" w:hanging="360"/>
      </w:pPr>
    </w:lvl>
    <w:lvl w:ilvl="5" w:tplc="0C0A001B" w:tentative="1">
      <w:start w:val="1"/>
      <w:numFmt w:val="lowerRoman"/>
      <w:lvlText w:val="%6."/>
      <w:lvlJc w:val="right"/>
      <w:pPr>
        <w:ind w:left="4318" w:hanging="180"/>
      </w:pPr>
    </w:lvl>
    <w:lvl w:ilvl="6" w:tplc="0C0A000F" w:tentative="1">
      <w:start w:val="1"/>
      <w:numFmt w:val="decimal"/>
      <w:lvlText w:val="%7."/>
      <w:lvlJc w:val="left"/>
      <w:pPr>
        <w:ind w:left="5038" w:hanging="360"/>
      </w:pPr>
    </w:lvl>
    <w:lvl w:ilvl="7" w:tplc="0C0A0019" w:tentative="1">
      <w:start w:val="1"/>
      <w:numFmt w:val="lowerLetter"/>
      <w:lvlText w:val="%8."/>
      <w:lvlJc w:val="left"/>
      <w:pPr>
        <w:ind w:left="5758" w:hanging="360"/>
      </w:pPr>
    </w:lvl>
    <w:lvl w:ilvl="8" w:tplc="0C0A001B" w:tentative="1">
      <w:start w:val="1"/>
      <w:numFmt w:val="lowerRoman"/>
      <w:lvlText w:val="%9."/>
      <w:lvlJc w:val="right"/>
      <w:pPr>
        <w:ind w:left="6478" w:hanging="180"/>
      </w:pPr>
    </w:lvl>
  </w:abstractNum>
  <w:abstractNum w:abstractNumId="1" w15:restartNumberingAfterBreak="0">
    <w:nsid w:val="0CF36EEA"/>
    <w:multiLevelType w:val="multilevel"/>
    <w:tmpl w:val="C47C6F6A"/>
    <w:lvl w:ilvl="0">
      <w:start w:val="1"/>
      <w:numFmt w:val="bullet"/>
      <w:lvlText w:val="-"/>
      <w:lvlJc w:val="left"/>
      <w:pPr>
        <w:ind w:left="720" w:hanging="360"/>
      </w:pPr>
      <w:rPr>
        <w:rFonts w:ascii="Noto Sans Symbols" w:eastAsia="Noto Sans Symbols" w:hAnsi="Noto Sans Symbols" w:cs="Noto Sans Symbols"/>
        <w:sz w:val="24"/>
        <w:szCs w:val="24"/>
        <w:u w:val="none"/>
        <w:vertAlign w:val="baseline"/>
      </w:rPr>
    </w:lvl>
    <w:lvl w:ilvl="1">
      <w:start w:val="1"/>
      <w:numFmt w:val="bullet"/>
      <w:lvlText w:val="-"/>
      <w:lvlJc w:val="left"/>
      <w:pPr>
        <w:ind w:left="1440" w:hanging="360"/>
      </w:pPr>
      <w:rPr>
        <w:rFonts w:ascii="Noto Sans Symbols" w:eastAsia="Noto Sans Symbols" w:hAnsi="Noto Sans Symbols" w:cs="Noto Sans Symbols"/>
        <w:sz w:val="24"/>
        <w:szCs w:val="24"/>
        <w:u w:val="none"/>
        <w:vertAlign w:val="baseline"/>
      </w:rPr>
    </w:lvl>
    <w:lvl w:ilvl="2">
      <w:start w:val="1"/>
      <w:numFmt w:val="bullet"/>
      <w:lvlText w:val="-"/>
      <w:lvlJc w:val="left"/>
      <w:pPr>
        <w:ind w:left="2160" w:hanging="360"/>
      </w:pPr>
      <w:rPr>
        <w:rFonts w:ascii="Noto Sans Symbols" w:eastAsia="Noto Sans Symbols" w:hAnsi="Noto Sans Symbols" w:cs="Noto Sans Symbols"/>
        <w:sz w:val="24"/>
        <w:szCs w:val="24"/>
        <w:u w:val="none"/>
        <w:vertAlign w:val="baseline"/>
      </w:rPr>
    </w:lvl>
    <w:lvl w:ilvl="3">
      <w:start w:val="1"/>
      <w:numFmt w:val="bullet"/>
      <w:lvlText w:val="-"/>
      <w:lvlJc w:val="left"/>
      <w:pPr>
        <w:ind w:left="2880" w:hanging="360"/>
      </w:pPr>
      <w:rPr>
        <w:rFonts w:ascii="Noto Sans Symbols" w:eastAsia="Noto Sans Symbols" w:hAnsi="Noto Sans Symbols" w:cs="Noto Sans Symbols"/>
        <w:sz w:val="24"/>
        <w:szCs w:val="24"/>
        <w:u w:val="none"/>
        <w:vertAlign w:val="baseline"/>
      </w:rPr>
    </w:lvl>
    <w:lvl w:ilvl="4">
      <w:start w:val="1"/>
      <w:numFmt w:val="bullet"/>
      <w:lvlText w:val="-"/>
      <w:lvlJc w:val="left"/>
      <w:pPr>
        <w:ind w:left="3600" w:hanging="360"/>
      </w:pPr>
      <w:rPr>
        <w:rFonts w:ascii="Noto Sans Symbols" w:eastAsia="Noto Sans Symbols" w:hAnsi="Noto Sans Symbols" w:cs="Noto Sans Symbols"/>
        <w:sz w:val="24"/>
        <w:szCs w:val="24"/>
        <w:u w:val="none"/>
        <w:vertAlign w:val="baseline"/>
      </w:rPr>
    </w:lvl>
    <w:lvl w:ilvl="5">
      <w:start w:val="1"/>
      <w:numFmt w:val="bullet"/>
      <w:lvlText w:val="-"/>
      <w:lvlJc w:val="left"/>
      <w:pPr>
        <w:ind w:left="4320" w:hanging="360"/>
      </w:pPr>
      <w:rPr>
        <w:rFonts w:ascii="Noto Sans Symbols" w:eastAsia="Noto Sans Symbols" w:hAnsi="Noto Sans Symbols" w:cs="Noto Sans Symbols"/>
        <w:sz w:val="24"/>
        <w:szCs w:val="24"/>
        <w:u w:val="none"/>
        <w:vertAlign w:val="baseline"/>
      </w:rPr>
    </w:lvl>
    <w:lvl w:ilvl="6">
      <w:start w:val="1"/>
      <w:numFmt w:val="bullet"/>
      <w:lvlText w:val="-"/>
      <w:lvlJc w:val="left"/>
      <w:pPr>
        <w:ind w:left="5040" w:hanging="360"/>
      </w:pPr>
      <w:rPr>
        <w:rFonts w:ascii="Noto Sans Symbols" w:eastAsia="Noto Sans Symbols" w:hAnsi="Noto Sans Symbols" w:cs="Noto Sans Symbols"/>
        <w:sz w:val="24"/>
        <w:szCs w:val="24"/>
        <w:u w:val="none"/>
        <w:vertAlign w:val="baseline"/>
      </w:rPr>
    </w:lvl>
    <w:lvl w:ilvl="7">
      <w:start w:val="1"/>
      <w:numFmt w:val="bullet"/>
      <w:lvlText w:val="-"/>
      <w:lvlJc w:val="left"/>
      <w:pPr>
        <w:ind w:left="5760" w:hanging="360"/>
      </w:pPr>
      <w:rPr>
        <w:rFonts w:ascii="Noto Sans Symbols" w:eastAsia="Noto Sans Symbols" w:hAnsi="Noto Sans Symbols" w:cs="Noto Sans Symbols"/>
        <w:sz w:val="24"/>
        <w:szCs w:val="24"/>
        <w:u w:val="none"/>
        <w:vertAlign w:val="baseline"/>
      </w:rPr>
    </w:lvl>
    <w:lvl w:ilvl="8">
      <w:start w:val="1"/>
      <w:numFmt w:val="bullet"/>
      <w:lvlText w:val="-"/>
      <w:lvlJc w:val="left"/>
      <w:pPr>
        <w:ind w:left="6480" w:hanging="360"/>
      </w:pPr>
      <w:rPr>
        <w:rFonts w:ascii="Noto Sans Symbols" w:eastAsia="Noto Sans Symbols" w:hAnsi="Noto Sans Symbols" w:cs="Noto Sans Symbols"/>
        <w:sz w:val="24"/>
        <w:szCs w:val="24"/>
        <w:u w:val="none"/>
        <w:vertAlign w:val="baseline"/>
      </w:rPr>
    </w:lvl>
  </w:abstractNum>
  <w:abstractNum w:abstractNumId="2" w15:restartNumberingAfterBreak="0">
    <w:nsid w:val="115E70FD"/>
    <w:multiLevelType w:val="multilevel"/>
    <w:tmpl w:val="D068B3B6"/>
    <w:lvl w:ilvl="0">
      <w:start w:val="1"/>
      <w:numFmt w:val="bullet"/>
      <w:lvlText w:val="-"/>
      <w:lvlJc w:val="left"/>
      <w:pPr>
        <w:ind w:left="720" w:hanging="360"/>
      </w:pPr>
      <w:rPr>
        <w:rFonts w:ascii="Times New Roman" w:eastAsia="Times New Roman" w:hAnsi="Times New Roman" w:cs="Times New Roman"/>
        <w:sz w:val="24"/>
        <w:szCs w:val="24"/>
        <w:vertAlign w:val="baseline"/>
      </w:rPr>
    </w:lvl>
    <w:lvl w:ilvl="1">
      <w:start w:val="1"/>
      <w:numFmt w:val="bullet"/>
      <w:lvlText w:val="←"/>
      <w:lvlJc w:val="left"/>
      <w:pPr>
        <w:ind w:left="0" w:firstLine="0"/>
      </w:pPr>
      <w:rPr>
        <w:rFonts w:ascii="Noto Sans Symbols" w:eastAsia="Noto Sans Symbols" w:hAnsi="Noto Sans Symbols" w:cs="Noto Sans Symbols"/>
        <w:sz w:val="24"/>
        <w:szCs w:val="24"/>
        <w:vertAlign w:val="baseline"/>
      </w:rPr>
    </w:lvl>
    <w:lvl w:ilvl="2">
      <w:start w:val="1"/>
      <w:numFmt w:val="bullet"/>
      <w:lvlText w:val="←"/>
      <w:lvlJc w:val="left"/>
      <w:pPr>
        <w:ind w:left="0" w:firstLine="0"/>
      </w:pPr>
      <w:rPr>
        <w:rFonts w:ascii="Noto Sans Symbols" w:eastAsia="Noto Sans Symbols" w:hAnsi="Noto Sans Symbols" w:cs="Noto Sans Symbols"/>
        <w:sz w:val="24"/>
        <w:szCs w:val="24"/>
        <w:vertAlign w:val="baseline"/>
      </w:rPr>
    </w:lvl>
    <w:lvl w:ilvl="3">
      <w:start w:val="1"/>
      <w:numFmt w:val="bullet"/>
      <w:lvlText w:val="←"/>
      <w:lvlJc w:val="left"/>
      <w:pPr>
        <w:ind w:left="0" w:firstLine="0"/>
      </w:pPr>
      <w:rPr>
        <w:rFonts w:ascii="Noto Sans Symbols" w:eastAsia="Noto Sans Symbols" w:hAnsi="Noto Sans Symbols" w:cs="Noto Sans Symbols"/>
        <w:sz w:val="24"/>
        <w:szCs w:val="24"/>
        <w:vertAlign w:val="baseline"/>
      </w:rPr>
    </w:lvl>
    <w:lvl w:ilvl="4">
      <w:start w:val="1"/>
      <w:numFmt w:val="bullet"/>
      <w:lvlText w:val="←"/>
      <w:lvlJc w:val="left"/>
      <w:pPr>
        <w:ind w:left="0" w:firstLine="0"/>
      </w:pPr>
      <w:rPr>
        <w:rFonts w:ascii="Noto Sans Symbols" w:eastAsia="Noto Sans Symbols" w:hAnsi="Noto Sans Symbols" w:cs="Noto Sans Symbols"/>
        <w:sz w:val="24"/>
        <w:szCs w:val="24"/>
        <w:vertAlign w:val="baseline"/>
      </w:rPr>
    </w:lvl>
    <w:lvl w:ilvl="5">
      <w:start w:val="1"/>
      <w:numFmt w:val="bullet"/>
      <w:lvlText w:val="←"/>
      <w:lvlJc w:val="left"/>
      <w:pPr>
        <w:ind w:left="0" w:firstLine="0"/>
      </w:pPr>
      <w:rPr>
        <w:rFonts w:ascii="Noto Sans Symbols" w:eastAsia="Noto Sans Symbols" w:hAnsi="Noto Sans Symbols" w:cs="Noto Sans Symbols"/>
        <w:sz w:val="24"/>
        <w:szCs w:val="24"/>
        <w:vertAlign w:val="baseline"/>
      </w:rPr>
    </w:lvl>
    <w:lvl w:ilvl="6">
      <w:start w:val="1"/>
      <w:numFmt w:val="bullet"/>
      <w:lvlText w:val="←"/>
      <w:lvlJc w:val="left"/>
      <w:pPr>
        <w:ind w:left="0" w:firstLine="0"/>
      </w:pPr>
      <w:rPr>
        <w:rFonts w:ascii="Noto Sans Symbols" w:eastAsia="Noto Sans Symbols" w:hAnsi="Noto Sans Symbols" w:cs="Noto Sans Symbols"/>
        <w:sz w:val="24"/>
        <w:szCs w:val="24"/>
        <w:vertAlign w:val="baseline"/>
      </w:rPr>
    </w:lvl>
    <w:lvl w:ilvl="7">
      <w:start w:val="1"/>
      <w:numFmt w:val="bullet"/>
      <w:lvlText w:val="←"/>
      <w:lvlJc w:val="left"/>
      <w:pPr>
        <w:ind w:left="0" w:firstLine="0"/>
      </w:pPr>
      <w:rPr>
        <w:rFonts w:ascii="Noto Sans Symbols" w:eastAsia="Noto Sans Symbols" w:hAnsi="Noto Sans Symbols" w:cs="Noto Sans Symbols"/>
        <w:sz w:val="24"/>
        <w:szCs w:val="24"/>
        <w:vertAlign w:val="baseline"/>
      </w:rPr>
    </w:lvl>
    <w:lvl w:ilvl="8">
      <w:start w:val="1"/>
      <w:numFmt w:val="bullet"/>
      <w:lvlText w:val="←"/>
      <w:lvlJc w:val="left"/>
      <w:pPr>
        <w:ind w:left="0" w:firstLine="0"/>
      </w:pPr>
      <w:rPr>
        <w:rFonts w:ascii="Noto Sans Symbols" w:eastAsia="Noto Sans Symbols" w:hAnsi="Noto Sans Symbols" w:cs="Noto Sans Symbols"/>
        <w:sz w:val="24"/>
        <w:szCs w:val="24"/>
        <w:vertAlign w:val="baseline"/>
      </w:rPr>
    </w:lvl>
  </w:abstractNum>
  <w:abstractNum w:abstractNumId="3" w15:restartNumberingAfterBreak="0">
    <w:nsid w:val="19864E35"/>
    <w:multiLevelType w:val="multilevel"/>
    <w:tmpl w:val="353A8372"/>
    <w:lvl w:ilvl="0">
      <w:start w:val="1"/>
      <w:numFmt w:val="bullet"/>
      <w:lvlText w:val="●"/>
      <w:lvlJc w:val="left"/>
      <w:pPr>
        <w:ind w:left="720" w:hanging="360"/>
      </w:pPr>
      <w:rPr>
        <w:rFonts w:ascii="Liberation Serif" w:eastAsia="Liberation Serif" w:hAnsi="Liberation Serif" w:cs="Liberation Serif"/>
        <w:u w:val="none"/>
        <w:vertAlign w:val="baseline"/>
      </w:rPr>
    </w:lvl>
    <w:lvl w:ilvl="1">
      <w:start w:val="1"/>
      <w:numFmt w:val="bullet"/>
      <w:lvlText w:val="○"/>
      <w:lvlJc w:val="left"/>
      <w:pPr>
        <w:ind w:left="1440" w:hanging="360"/>
      </w:pPr>
      <w:rPr>
        <w:rFonts w:ascii="Liberation Serif" w:eastAsia="Liberation Serif" w:hAnsi="Liberation Serif" w:cs="Liberation Serif"/>
        <w:u w:val="none"/>
        <w:vertAlign w:val="baseline"/>
      </w:rPr>
    </w:lvl>
    <w:lvl w:ilvl="2">
      <w:start w:val="1"/>
      <w:numFmt w:val="bullet"/>
      <w:lvlText w:val="■"/>
      <w:lvlJc w:val="left"/>
      <w:pPr>
        <w:ind w:left="2160" w:hanging="360"/>
      </w:pPr>
      <w:rPr>
        <w:rFonts w:ascii="Liberation Serif" w:eastAsia="Liberation Serif" w:hAnsi="Liberation Serif" w:cs="Liberation Serif"/>
        <w:u w:val="none"/>
        <w:vertAlign w:val="baseline"/>
      </w:rPr>
    </w:lvl>
    <w:lvl w:ilvl="3">
      <w:start w:val="1"/>
      <w:numFmt w:val="bullet"/>
      <w:lvlText w:val="●"/>
      <w:lvlJc w:val="left"/>
      <w:pPr>
        <w:ind w:left="2880" w:hanging="360"/>
      </w:pPr>
      <w:rPr>
        <w:rFonts w:ascii="Liberation Serif" w:eastAsia="Liberation Serif" w:hAnsi="Liberation Serif" w:cs="Liberation Serif"/>
        <w:u w:val="none"/>
        <w:vertAlign w:val="baseline"/>
      </w:rPr>
    </w:lvl>
    <w:lvl w:ilvl="4">
      <w:start w:val="1"/>
      <w:numFmt w:val="bullet"/>
      <w:lvlText w:val="○"/>
      <w:lvlJc w:val="left"/>
      <w:pPr>
        <w:ind w:left="3600" w:hanging="360"/>
      </w:pPr>
      <w:rPr>
        <w:rFonts w:ascii="Liberation Serif" w:eastAsia="Liberation Serif" w:hAnsi="Liberation Serif" w:cs="Liberation Serif"/>
        <w:u w:val="none"/>
        <w:vertAlign w:val="baseline"/>
      </w:rPr>
    </w:lvl>
    <w:lvl w:ilvl="5">
      <w:start w:val="1"/>
      <w:numFmt w:val="bullet"/>
      <w:lvlText w:val="■"/>
      <w:lvlJc w:val="left"/>
      <w:pPr>
        <w:ind w:left="4320" w:hanging="360"/>
      </w:pPr>
      <w:rPr>
        <w:rFonts w:ascii="Liberation Serif" w:eastAsia="Liberation Serif" w:hAnsi="Liberation Serif" w:cs="Liberation Serif"/>
        <w:u w:val="none"/>
        <w:vertAlign w:val="baseline"/>
      </w:rPr>
    </w:lvl>
    <w:lvl w:ilvl="6">
      <w:start w:val="1"/>
      <w:numFmt w:val="bullet"/>
      <w:lvlText w:val="●"/>
      <w:lvlJc w:val="left"/>
      <w:pPr>
        <w:ind w:left="5040" w:hanging="360"/>
      </w:pPr>
      <w:rPr>
        <w:rFonts w:ascii="Liberation Serif" w:eastAsia="Liberation Serif" w:hAnsi="Liberation Serif" w:cs="Liberation Serif"/>
        <w:u w:val="none"/>
        <w:vertAlign w:val="baseline"/>
      </w:rPr>
    </w:lvl>
    <w:lvl w:ilvl="7">
      <w:start w:val="1"/>
      <w:numFmt w:val="bullet"/>
      <w:lvlText w:val="○"/>
      <w:lvlJc w:val="left"/>
      <w:pPr>
        <w:ind w:left="5760" w:hanging="360"/>
      </w:pPr>
      <w:rPr>
        <w:rFonts w:ascii="Liberation Serif" w:eastAsia="Liberation Serif" w:hAnsi="Liberation Serif" w:cs="Liberation Serif"/>
        <w:u w:val="none"/>
        <w:vertAlign w:val="baseline"/>
      </w:rPr>
    </w:lvl>
    <w:lvl w:ilvl="8">
      <w:start w:val="1"/>
      <w:numFmt w:val="bullet"/>
      <w:lvlText w:val="■"/>
      <w:lvlJc w:val="left"/>
      <w:pPr>
        <w:ind w:left="6480" w:hanging="360"/>
      </w:pPr>
      <w:rPr>
        <w:rFonts w:ascii="Liberation Serif" w:eastAsia="Liberation Serif" w:hAnsi="Liberation Serif" w:cs="Liberation Serif"/>
        <w:u w:val="none"/>
        <w:vertAlign w:val="baseline"/>
      </w:rPr>
    </w:lvl>
  </w:abstractNum>
  <w:abstractNum w:abstractNumId="4" w15:restartNumberingAfterBreak="0">
    <w:nsid w:val="1CC9796C"/>
    <w:multiLevelType w:val="hybridMultilevel"/>
    <w:tmpl w:val="CC5A5198"/>
    <w:lvl w:ilvl="0" w:tplc="224C0D0C">
      <w:numFmt w:val="bullet"/>
      <w:lvlText w:val="•"/>
      <w:lvlJc w:val="left"/>
      <w:pPr>
        <w:ind w:left="358" w:hanging="360"/>
      </w:pPr>
      <w:rPr>
        <w:rFonts w:ascii="Arial" w:eastAsia="Arial" w:hAnsi="Arial" w:cs="Arial" w:hint="default"/>
      </w:rPr>
    </w:lvl>
    <w:lvl w:ilvl="1" w:tplc="0C0A0003" w:tentative="1">
      <w:start w:val="1"/>
      <w:numFmt w:val="bullet"/>
      <w:lvlText w:val="o"/>
      <w:lvlJc w:val="left"/>
      <w:pPr>
        <w:ind w:left="1078" w:hanging="360"/>
      </w:pPr>
      <w:rPr>
        <w:rFonts w:ascii="Courier New" w:hAnsi="Courier New" w:cs="Courier New" w:hint="default"/>
      </w:rPr>
    </w:lvl>
    <w:lvl w:ilvl="2" w:tplc="0C0A0005" w:tentative="1">
      <w:start w:val="1"/>
      <w:numFmt w:val="bullet"/>
      <w:lvlText w:val=""/>
      <w:lvlJc w:val="left"/>
      <w:pPr>
        <w:ind w:left="1798" w:hanging="360"/>
      </w:pPr>
      <w:rPr>
        <w:rFonts w:ascii="Wingdings" w:hAnsi="Wingdings" w:hint="default"/>
      </w:rPr>
    </w:lvl>
    <w:lvl w:ilvl="3" w:tplc="0C0A0001" w:tentative="1">
      <w:start w:val="1"/>
      <w:numFmt w:val="bullet"/>
      <w:lvlText w:val=""/>
      <w:lvlJc w:val="left"/>
      <w:pPr>
        <w:ind w:left="2518" w:hanging="360"/>
      </w:pPr>
      <w:rPr>
        <w:rFonts w:ascii="Symbol" w:hAnsi="Symbol" w:hint="default"/>
      </w:rPr>
    </w:lvl>
    <w:lvl w:ilvl="4" w:tplc="0C0A0003" w:tentative="1">
      <w:start w:val="1"/>
      <w:numFmt w:val="bullet"/>
      <w:lvlText w:val="o"/>
      <w:lvlJc w:val="left"/>
      <w:pPr>
        <w:ind w:left="3238" w:hanging="360"/>
      </w:pPr>
      <w:rPr>
        <w:rFonts w:ascii="Courier New" w:hAnsi="Courier New" w:cs="Courier New" w:hint="default"/>
      </w:rPr>
    </w:lvl>
    <w:lvl w:ilvl="5" w:tplc="0C0A0005" w:tentative="1">
      <w:start w:val="1"/>
      <w:numFmt w:val="bullet"/>
      <w:lvlText w:val=""/>
      <w:lvlJc w:val="left"/>
      <w:pPr>
        <w:ind w:left="3958" w:hanging="360"/>
      </w:pPr>
      <w:rPr>
        <w:rFonts w:ascii="Wingdings" w:hAnsi="Wingdings" w:hint="default"/>
      </w:rPr>
    </w:lvl>
    <w:lvl w:ilvl="6" w:tplc="0C0A0001" w:tentative="1">
      <w:start w:val="1"/>
      <w:numFmt w:val="bullet"/>
      <w:lvlText w:val=""/>
      <w:lvlJc w:val="left"/>
      <w:pPr>
        <w:ind w:left="4678" w:hanging="360"/>
      </w:pPr>
      <w:rPr>
        <w:rFonts w:ascii="Symbol" w:hAnsi="Symbol" w:hint="default"/>
      </w:rPr>
    </w:lvl>
    <w:lvl w:ilvl="7" w:tplc="0C0A0003" w:tentative="1">
      <w:start w:val="1"/>
      <w:numFmt w:val="bullet"/>
      <w:lvlText w:val="o"/>
      <w:lvlJc w:val="left"/>
      <w:pPr>
        <w:ind w:left="5398" w:hanging="360"/>
      </w:pPr>
      <w:rPr>
        <w:rFonts w:ascii="Courier New" w:hAnsi="Courier New" w:cs="Courier New" w:hint="default"/>
      </w:rPr>
    </w:lvl>
    <w:lvl w:ilvl="8" w:tplc="0C0A0005" w:tentative="1">
      <w:start w:val="1"/>
      <w:numFmt w:val="bullet"/>
      <w:lvlText w:val=""/>
      <w:lvlJc w:val="left"/>
      <w:pPr>
        <w:ind w:left="6118" w:hanging="360"/>
      </w:pPr>
      <w:rPr>
        <w:rFonts w:ascii="Wingdings" w:hAnsi="Wingdings" w:hint="default"/>
      </w:rPr>
    </w:lvl>
  </w:abstractNum>
  <w:abstractNum w:abstractNumId="5" w15:restartNumberingAfterBreak="0">
    <w:nsid w:val="27813EB9"/>
    <w:multiLevelType w:val="hybridMultilevel"/>
    <w:tmpl w:val="761C6B98"/>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6" w15:restartNumberingAfterBreak="0">
    <w:nsid w:val="31D902E2"/>
    <w:multiLevelType w:val="multilevel"/>
    <w:tmpl w:val="799A6ED8"/>
    <w:lvl w:ilvl="0">
      <w:start w:val="1"/>
      <w:numFmt w:val="bullet"/>
      <w:lvlText w:val="●"/>
      <w:lvlJc w:val="left"/>
      <w:pPr>
        <w:ind w:left="724" w:hanging="360"/>
      </w:pPr>
      <w:rPr>
        <w:rFonts w:ascii="Noto Sans Symbols" w:eastAsia="Noto Sans Symbols" w:hAnsi="Noto Sans Symbols" w:cs="Noto Sans Symbols"/>
        <w:sz w:val="20"/>
        <w:szCs w:val="20"/>
        <w:u w:val="none"/>
        <w:vertAlign w:val="baseline"/>
      </w:rPr>
    </w:lvl>
    <w:lvl w:ilvl="1">
      <w:start w:val="1"/>
      <w:numFmt w:val="bullet"/>
      <w:lvlText w:val="?"/>
      <w:lvlJc w:val="left"/>
      <w:pPr>
        <w:ind w:left="1444" w:hanging="360"/>
      </w:pPr>
      <w:rPr>
        <w:rFonts w:ascii="Noto Sans Symbols" w:eastAsia="Noto Sans Symbols" w:hAnsi="Noto Sans Symbols" w:cs="Noto Sans Symbols"/>
        <w:sz w:val="20"/>
        <w:szCs w:val="20"/>
        <w:u w:val="none"/>
        <w:vertAlign w:val="baseline"/>
      </w:rPr>
    </w:lvl>
    <w:lvl w:ilvl="2">
      <w:start w:val="1"/>
      <w:numFmt w:val="bullet"/>
      <w:lvlText w:val="■"/>
      <w:lvlJc w:val="left"/>
      <w:pPr>
        <w:ind w:left="2164" w:hanging="360"/>
      </w:pPr>
      <w:rPr>
        <w:rFonts w:ascii="Noto Sans Symbols" w:eastAsia="Noto Sans Symbols" w:hAnsi="Noto Sans Symbols" w:cs="Noto Sans Symbols"/>
        <w:sz w:val="20"/>
        <w:szCs w:val="20"/>
        <w:u w:val="none"/>
        <w:vertAlign w:val="baseline"/>
      </w:rPr>
    </w:lvl>
    <w:lvl w:ilvl="3">
      <w:start w:val="1"/>
      <w:numFmt w:val="bullet"/>
      <w:lvlText w:val="●"/>
      <w:lvlJc w:val="left"/>
      <w:pPr>
        <w:ind w:left="2884" w:hanging="360"/>
      </w:pPr>
      <w:rPr>
        <w:rFonts w:ascii="Noto Sans Symbols" w:eastAsia="Noto Sans Symbols" w:hAnsi="Noto Sans Symbols" w:cs="Noto Sans Symbols"/>
        <w:sz w:val="20"/>
        <w:szCs w:val="20"/>
        <w:u w:val="none"/>
        <w:vertAlign w:val="baseline"/>
      </w:rPr>
    </w:lvl>
    <w:lvl w:ilvl="4">
      <w:start w:val="1"/>
      <w:numFmt w:val="bullet"/>
      <w:lvlText w:val="?"/>
      <w:lvlJc w:val="left"/>
      <w:pPr>
        <w:ind w:left="3604" w:hanging="360"/>
      </w:pPr>
      <w:rPr>
        <w:rFonts w:ascii="Noto Sans Symbols" w:eastAsia="Noto Sans Symbols" w:hAnsi="Noto Sans Symbols" w:cs="Noto Sans Symbols"/>
        <w:sz w:val="20"/>
        <w:szCs w:val="20"/>
        <w:u w:val="none"/>
        <w:vertAlign w:val="baseline"/>
      </w:rPr>
    </w:lvl>
    <w:lvl w:ilvl="5">
      <w:start w:val="1"/>
      <w:numFmt w:val="bullet"/>
      <w:lvlText w:val="■"/>
      <w:lvlJc w:val="left"/>
      <w:pPr>
        <w:ind w:left="4324" w:hanging="360"/>
      </w:pPr>
      <w:rPr>
        <w:rFonts w:ascii="Noto Sans Symbols" w:eastAsia="Noto Sans Symbols" w:hAnsi="Noto Sans Symbols" w:cs="Noto Sans Symbols"/>
        <w:sz w:val="20"/>
        <w:szCs w:val="20"/>
        <w:u w:val="none"/>
        <w:vertAlign w:val="baseline"/>
      </w:rPr>
    </w:lvl>
    <w:lvl w:ilvl="6">
      <w:start w:val="1"/>
      <w:numFmt w:val="bullet"/>
      <w:lvlText w:val="●"/>
      <w:lvlJc w:val="left"/>
      <w:pPr>
        <w:ind w:left="5044" w:hanging="360"/>
      </w:pPr>
      <w:rPr>
        <w:rFonts w:ascii="Noto Sans Symbols" w:eastAsia="Noto Sans Symbols" w:hAnsi="Noto Sans Symbols" w:cs="Noto Sans Symbols"/>
        <w:sz w:val="20"/>
        <w:szCs w:val="20"/>
        <w:u w:val="none"/>
        <w:vertAlign w:val="baseline"/>
      </w:rPr>
    </w:lvl>
    <w:lvl w:ilvl="7">
      <w:start w:val="1"/>
      <w:numFmt w:val="bullet"/>
      <w:lvlText w:val="?"/>
      <w:lvlJc w:val="left"/>
      <w:pPr>
        <w:ind w:left="5764" w:hanging="360"/>
      </w:pPr>
      <w:rPr>
        <w:rFonts w:ascii="Noto Sans Symbols" w:eastAsia="Noto Sans Symbols" w:hAnsi="Noto Sans Symbols" w:cs="Noto Sans Symbols"/>
        <w:sz w:val="20"/>
        <w:szCs w:val="20"/>
        <w:u w:val="none"/>
        <w:vertAlign w:val="baseline"/>
      </w:rPr>
    </w:lvl>
    <w:lvl w:ilvl="8">
      <w:start w:val="1"/>
      <w:numFmt w:val="bullet"/>
      <w:lvlText w:val="■"/>
      <w:lvlJc w:val="left"/>
      <w:pPr>
        <w:ind w:left="6484" w:hanging="360"/>
      </w:pPr>
      <w:rPr>
        <w:rFonts w:ascii="Noto Sans Symbols" w:eastAsia="Noto Sans Symbols" w:hAnsi="Noto Sans Symbols" w:cs="Noto Sans Symbols"/>
        <w:sz w:val="20"/>
        <w:szCs w:val="20"/>
        <w:u w:val="none"/>
        <w:vertAlign w:val="baseline"/>
      </w:rPr>
    </w:lvl>
  </w:abstractNum>
  <w:abstractNum w:abstractNumId="7" w15:restartNumberingAfterBreak="0">
    <w:nsid w:val="3FD50C82"/>
    <w:multiLevelType w:val="multilevel"/>
    <w:tmpl w:val="2A6242DE"/>
    <w:lvl w:ilvl="0">
      <w:start w:val="1"/>
      <w:numFmt w:val="bullet"/>
      <w:lvlText w:val="●"/>
      <w:lvlJc w:val="left"/>
      <w:pPr>
        <w:ind w:left="720" w:hanging="360"/>
      </w:pPr>
      <w:rPr>
        <w:rFonts w:ascii="Noto Sans Symbols" w:eastAsia="Noto Sans Symbols" w:hAnsi="Noto Sans Symbols" w:cs="Noto Sans Symbols"/>
        <w:sz w:val="24"/>
        <w:szCs w:val="24"/>
        <w:u w:val="none"/>
        <w:vertAlign w:val="baseline"/>
      </w:rPr>
    </w:lvl>
    <w:lvl w:ilvl="1">
      <w:start w:val="1"/>
      <w:numFmt w:val="bullet"/>
      <w:lvlText w:val="?"/>
      <w:lvlJc w:val="left"/>
      <w:pPr>
        <w:ind w:left="1440" w:hanging="360"/>
      </w:pPr>
      <w:rPr>
        <w:rFonts w:ascii="Noto Sans Symbols" w:eastAsia="Noto Sans Symbols" w:hAnsi="Noto Sans Symbols" w:cs="Noto Sans Symbols"/>
        <w:sz w:val="24"/>
        <w:szCs w:val="24"/>
        <w:u w:val="none"/>
        <w:vertAlign w:val="baseline"/>
      </w:rPr>
    </w:lvl>
    <w:lvl w:ilvl="2">
      <w:start w:val="1"/>
      <w:numFmt w:val="bullet"/>
      <w:lvlText w:val="■"/>
      <w:lvlJc w:val="left"/>
      <w:pPr>
        <w:ind w:left="2160" w:hanging="360"/>
      </w:pPr>
      <w:rPr>
        <w:rFonts w:ascii="Noto Sans Symbols" w:eastAsia="Noto Sans Symbols" w:hAnsi="Noto Sans Symbols" w:cs="Noto Sans Symbols"/>
        <w:sz w:val="24"/>
        <w:szCs w:val="24"/>
        <w:u w:val="none"/>
        <w:vertAlign w:val="baseline"/>
      </w:rPr>
    </w:lvl>
    <w:lvl w:ilvl="3">
      <w:start w:val="1"/>
      <w:numFmt w:val="bullet"/>
      <w:lvlText w:val="●"/>
      <w:lvlJc w:val="left"/>
      <w:pPr>
        <w:ind w:left="2880" w:hanging="360"/>
      </w:pPr>
      <w:rPr>
        <w:rFonts w:ascii="Noto Sans Symbols" w:eastAsia="Noto Sans Symbols" w:hAnsi="Noto Sans Symbols" w:cs="Noto Sans Symbols"/>
        <w:sz w:val="24"/>
        <w:szCs w:val="24"/>
        <w:u w:val="none"/>
        <w:vertAlign w:val="baseline"/>
      </w:rPr>
    </w:lvl>
    <w:lvl w:ilvl="4">
      <w:start w:val="1"/>
      <w:numFmt w:val="bullet"/>
      <w:lvlText w:val="?"/>
      <w:lvlJc w:val="left"/>
      <w:pPr>
        <w:ind w:left="3600" w:hanging="360"/>
      </w:pPr>
      <w:rPr>
        <w:rFonts w:ascii="Noto Sans Symbols" w:eastAsia="Noto Sans Symbols" w:hAnsi="Noto Sans Symbols" w:cs="Noto Sans Symbols"/>
        <w:sz w:val="24"/>
        <w:szCs w:val="24"/>
        <w:u w:val="none"/>
        <w:vertAlign w:val="baseline"/>
      </w:rPr>
    </w:lvl>
    <w:lvl w:ilvl="5">
      <w:start w:val="1"/>
      <w:numFmt w:val="bullet"/>
      <w:lvlText w:val="■"/>
      <w:lvlJc w:val="left"/>
      <w:pPr>
        <w:ind w:left="4320" w:hanging="360"/>
      </w:pPr>
      <w:rPr>
        <w:rFonts w:ascii="Noto Sans Symbols" w:eastAsia="Noto Sans Symbols" w:hAnsi="Noto Sans Symbols" w:cs="Noto Sans Symbols"/>
        <w:sz w:val="24"/>
        <w:szCs w:val="24"/>
        <w:u w:val="none"/>
        <w:vertAlign w:val="baseline"/>
      </w:rPr>
    </w:lvl>
    <w:lvl w:ilvl="6">
      <w:start w:val="1"/>
      <w:numFmt w:val="bullet"/>
      <w:lvlText w:val="●"/>
      <w:lvlJc w:val="left"/>
      <w:pPr>
        <w:ind w:left="5040" w:hanging="360"/>
      </w:pPr>
      <w:rPr>
        <w:rFonts w:ascii="Noto Sans Symbols" w:eastAsia="Noto Sans Symbols" w:hAnsi="Noto Sans Symbols" w:cs="Noto Sans Symbols"/>
        <w:sz w:val="24"/>
        <w:szCs w:val="24"/>
        <w:u w:val="none"/>
        <w:vertAlign w:val="baseline"/>
      </w:rPr>
    </w:lvl>
    <w:lvl w:ilvl="7">
      <w:start w:val="1"/>
      <w:numFmt w:val="bullet"/>
      <w:lvlText w:val="?"/>
      <w:lvlJc w:val="left"/>
      <w:pPr>
        <w:ind w:left="5760" w:hanging="360"/>
      </w:pPr>
      <w:rPr>
        <w:rFonts w:ascii="Noto Sans Symbols" w:eastAsia="Noto Sans Symbols" w:hAnsi="Noto Sans Symbols" w:cs="Noto Sans Symbols"/>
        <w:sz w:val="24"/>
        <w:szCs w:val="24"/>
        <w:u w:val="none"/>
        <w:vertAlign w:val="baseline"/>
      </w:rPr>
    </w:lvl>
    <w:lvl w:ilvl="8">
      <w:start w:val="1"/>
      <w:numFmt w:val="bullet"/>
      <w:lvlText w:val="■"/>
      <w:lvlJc w:val="left"/>
      <w:pPr>
        <w:ind w:left="6480" w:hanging="360"/>
      </w:pPr>
      <w:rPr>
        <w:rFonts w:ascii="Noto Sans Symbols" w:eastAsia="Noto Sans Symbols" w:hAnsi="Noto Sans Symbols" w:cs="Noto Sans Symbols"/>
        <w:sz w:val="24"/>
        <w:szCs w:val="24"/>
        <w:u w:val="none"/>
        <w:vertAlign w:val="baseline"/>
      </w:rPr>
    </w:lvl>
  </w:abstractNum>
  <w:abstractNum w:abstractNumId="8" w15:restartNumberingAfterBreak="0">
    <w:nsid w:val="40A95EF8"/>
    <w:multiLevelType w:val="multilevel"/>
    <w:tmpl w:val="55701E38"/>
    <w:lvl w:ilvl="0">
      <w:start w:val="1"/>
      <w:numFmt w:val="bullet"/>
      <w:lvlText w:val="●"/>
      <w:lvlJc w:val="left"/>
      <w:pPr>
        <w:ind w:left="720" w:hanging="360"/>
      </w:pPr>
      <w:rPr>
        <w:rFonts w:ascii="Noto Sans Symbols" w:eastAsia="Noto Sans Symbols" w:hAnsi="Noto Sans Symbols" w:cs="Noto Sans Symbols"/>
        <w:sz w:val="20"/>
        <w:szCs w:val="20"/>
        <w:u w:val="none"/>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u w:val="none"/>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u w:val="none"/>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u w:val="none"/>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u w:val="none"/>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u w:val="none"/>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u w:val="none"/>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u w:val="none"/>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u w:val="none"/>
        <w:vertAlign w:val="baseline"/>
      </w:rPr>
    </w:lvl>
  </w:abstractNum>
  <w:abstractNum w:abstractNumId="9" w15:restartNumberingAfterBreak="0">
    <w:nsid w:val="45632B52"/>
    <w:multiLevelType w:val="multilevel"/>
    <w:tmpl w:val="66B47154"/>
    <w:lvl w:ilvl="0">
      <w:start w:val="1"/>
      <w:numFmt w:val="bullet"/>
      <w:lvlText w:val="●"/>
      <w:lvlJc w:val="left"/>
      <w:pPr>
        <w:ind w:left="720" w:hanging="360"/>
      </w:pPr>
      <w:rPr>
        <w:rFonts w:ascii="Noto Sans Symbols" w:eastAsia="Noto Sans Symbols" w:hAnsi="Noto Sans Symbols" w:cs="Noto Sans Symbols"/>
        <w:sz w:val="24"/>
        <w:szCs w:val="24"/>
        <w:u w:val="none"/>
        <w:vertAlign w:val="baseline"/>
      </w:rPr>
    </w:lvl>
    <w:lvl w:ilvl="1">
      <w:start w:val="1"/>
      <w:numFmt w:val="bullet"/>
      <w:lvlText w:val="?"/>
      <w:lvlJc w:val="left"/>
      <w:pPr>
        <w:ind w:left="1440" w:hanging="360"/>
      </w:pPr>
      <w:rPr>
        <w:rFonts w:ascii="Noto Sans Symbols" w:eastAsia="Noto Sans Symbols" w:hAnsi="Noto Sans Symbols" w:cs="Noto Sans Symbols"/>
        <w:sz w:val="24"/>
        <w:szCs w:val="24"/>
        <w:u w:val="none"/>
        <w:vertAlign w:val="baseline"/>
      </w:rPr>
    </w:lvl>
    <w:lvl w:ilvl="2">
      <w:start w:val="1"/>
      <w:numFmt w:val="bullet"/>
      <w:lvlText w:val="■"/>
      <w:lvlJc w:val="left"/>
      <w:pPr>
        <w:ind w:left="2160" w:hanging="360"/>
      </w:pPr>
      <w:rPr>
        <w:rFonts w:ascii="Noto Sans Symbols" w:eastAsia="Noto Sans Symbols" w:hAnsi="Noto Sans Symbols" w:cs="Noto Sans Symbols"/>
        <w:sz w:val="24"/>
        <w:szCs w:val="24"/>
        <w:u w:val="none"/>
        <w:vertAlign w:val="baseline"/>
      </w:rPr>
    </w:lvl>
    <w:lvl w:ilvl="3">
      <w:start w:val="1"/>
      <w:numFmt w:val="bullet"/>
      <w:lvlText w:val="●"/>
      <w:lvlJc w:val="left"/>
      <w:pPr>
        <w:ind w:left="2880" w:hanging="360"/>
      </w:pPr>
      <w:rPr>
        <w:rFonts w:ascii="Noto Sans Symbols" w:eastAsia="Noto Sans Symbols" w:hAnsi="Noto Sans Symbols" w:cs="Noto Sans Symbols"/>
        <w:sz w:val="24"/>
        <w:szCs w:val="24"/>
        <w:u w:val="none"/>
        <w:vertAlign w:val="baseline"/>
      </w:rPr>
    </w:lvl>
    <w:lvl w:ilvl="4">
      <w:start w:val="1"/>
      <w:numFmt w:val="bullet"/>
      <w:lvlText w:val="?"/>
      <w:lvlJc w:val="left"/>
      <w:pPr>
        <w:ind w:left="3600" w:hanging="360"/>
      </w:pPr>
      <w:rPr>
        <w:rFonts w:ascii="Noto Sans Symbols" w:eastAsia="Noto Sans Symbols" w:hAnsi="Noto Sans Symbols" w:cs="Noto Sans Symbols"/>
        <w:sz w:val="24"/>
        <w:szCs w:val="24"/>
        <w:u w:val="none"/>
        <w:vertAlign w:val="baseline"/>
      </w:rPr>
    </w:lvl>
    <w:lvl w:ilvl="5">
      <w:start w:val="1"/>
      <w:numFmt w:val="bullet"/>
      <w:lvlText w:val="■"/>
      <w:lvlJc w:val="left"/>
      <w:pPr>
        <w:ind w:left="4320" w:hanging="360"/>
      </w:pPr>
      <w:rPr>
        <w:rFonts w:ascii="Noto Sans Symbols" w:eastAsia="Noto Sans Symbols" w:hAnsi="Noto Sans Symbols" w:cs="Noto Sans Symbols"/>
        <w:sz w:val="24"/>
        <w:szCs w:val="24"/>
        <w:u w:val="none"/>
        <w:vertAlign w:val="baseline"/>
      </w:rPr>
    </w:lvl>
    <w:lvl w:ilvl="6">
      <w:start w:val="1"/>
      <w:numFmt w:val="bullet"/>
      <w:lvlText w:val="●"/>
      <w:lvlJc w:val="left"/>
      <w:pPr>
        <w:ind w:left="5040" w:hanging="360"/>
      </w:pPr>
      <w:rPr>
        <w:rFonts w:ascii="Noto Sans Symbols" w:eastAsia="Noto Sans Symbols" w:hAnsi="Noto Sans Symbols" w:cs="Noto Sans Symbols"/>
        <w:sz w:val="24"/>
        <w:szCs w:val="24"/>
        <w:u w:val="none"/>
        <w:vertAlign w:val="baseline"/>
      </w:rPr>
    </w:lvl>
    <w:lvl w:ilvl="7">
      <w:start w:val="1"/>
      <w:numFmt w:val="bullet"/>
      <w:lvlText w:val="?"/>
      <w:lvlJc w:val="left"/>
      <w:pPr>
        <w:ind w:left="5760" w:hanging="360"/>
      </w:pPr>
      <w:rPr>
        <w:rFonts w:ascii="Noto Sans Symbols" w:eastAsia="Noto Sans Symbols" w:hAnsi="Noto Sans Symbols" w:cs="Noto Sans Symbols"/>
        <w:sz w:val="24"/>
        <w:szCs w:val="24"/>
        <w:u w:val="none"/>
        <w:vertAlign w:val="baseline"/>
      </w:rPr>
    </w:lvl>
    <w:lvl w:ilvl="8">
      <w:start w:val="1"/>
      <w:numFmt w:val="bullet"/>
      <w:lvlText w:val="■"/>
      <w:lvlJc w:val="left"/>
      <w:pPr>
        <w:ind w:left="6480" w:hanging="360"/>
      </w:pPr>
      <w:rPr>
        <w:rFonts w:ascii="Noto Sans Symbols" w:eastAsia="Noto Sans Symbols" w:hAnsi="Noto Sans Symbols" w:cs="Noto Sans Symbols"/>
        <w:sz w:val="24"/>
        <w:szCs w:val="24"/>
        <w:u w:val="none"/>
        <w:vertAlign w:val="baseline"/>
      </w:rPr>
    </w:lvl>
  </w:abstractNum>
  <w:abstractNum w:abstractNumId="10" w15:restartNumberingAfterBreak="0">
    <w:nsid w:val="46670E1F"/>
    <w:multiLevelType w:val="hybridMultilevel"/>
    <w:tmpl w:val="0126632A"/>
    <w:lvl w:ilvl="0" w:tplc="D3645BF4">
      <w:start w:val="1"/>
      <w:numFmt w:val="bullet"/>
      <w:lvlText w:val="-"/>
      <w:lvlJc w:val="left"/>
      <w:pPr>
        <w:ind w:left="720" w:hanging="360"/>
      </w:pPr>
      <w:rPr>
        <w:rFonts w:ascii="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E45175"/>
    <w:multiLevelType w:val="multilevel"/>
    <w:tmpl w:val="895C130A"/>
    <w:lvl w:ilvl="0">
      <w:start w:val="1"/>
      <w:numFmt w:val="bullet"/>
      <w:lvlText w:val="●"/>
      <w:lvlJc w:val="left"/>
      <w:pPr>
        <w:ind w:left="720" w:hanging="360"/>
      </w:pPr>
      <w:rPr>
        <w:rFonts w:ascii="Noto Sans Symbols" w:eastAsia="Noto Sans Symbols" w:hAnsi="Noto Sans Symbols" w:cs="Noto Sans Symbols"/>
        <w:sz w:val="24"/>
        <w:szCs w:val="24"/>
        <w:u w:val="none"/>
        <w:vertAlign w:val="baseline"/>
      </w:rPr>
    </w:lvl>
    <w:lvl w:ilvl="1">
      <w:start w:val="1"/>
      <w:numFmt w:val="bullet"/>
      <w:lvlText w:val="?"/>
      <w:lvlJc w:val="left"/>
      <w:pPr>
        <w:ind w:left="1440" w:hanging="360"/>
      </w:pPr>
      <w:rPr>
        <w:rFonts w:ascii="Noto Sans Symbols" w:eastAsia="Noto Sans Symbols" w:hAnsi="Noto Sans Symbols" w:cs="Noto Sans Symbols"/>
        <w:sz w:val="24"/>
        <w:szCs w:val="24"/>
        <w:u w:val="none"/>
        <w:vertAlign w:val="baseline"/>
      </w:rPr>
    </w:lvl>
    <w:lvl w:ilvl="2">
      <w:start w:val="1"/>
      <w:numFmt w:val="bullet"/>
      <w:lvlText w:val="■"/>
      <w:lvlJc w:val="left"/>
      <w:pPr>
        <w:ind w:left="2160" w:hanging="360"/>
      </w:pPr>
      <w:rPr>
        <w:rFonts w:ascii="Noto Sans Symbols" w:eastAsia="Noto Sans Symbols" w:hAnsi="Noto Sans Symbols" w:cs="Noto Sans Symbols"/>
        <w:sz w:val="24"/>
        <w:szCs w:val="24"/>
        <w:u w:val="none"/>
        <w:vertAlign w:val="baseline"/>
      </w:rPr>
    </w:lvl>
    <w:lvl w:ilvl="3">
      <w:start w:val="1"/>
      <w:numFmt w:val="bullet"/>
      <w:lvlText w:val="●"/>
      <w:lvlJc w:val="left"/>
      <w:pPr>
        <w:ind w:left="2880" w:hanging="360"/>
      </w:pPr>
      <w:rPr>
        <w:rFonts w:ascii="Noto Sans Symbols" w:eastAsia="Noto Sans Symbols" w:hAnsi="Noto Sans Symbols" w:cs="Noto Sans Symbols"/>
        <w:sz w:val="24"/>
        <w:szCs w:val="24"/>
        <w:u w:val="none"/>
        <w:vertAlign w:val="baseline"/>
      </w:rPr>
    </w:lvl>
    <w:lvl w:ilvl="4">
      <w:start w:val="1"/>
      <w:numFmt w:val="bullet"/>
      <w:lvlText w:val="?"/>
      <w:lvlJc w:val="left"/>
      <w:pPr>
        <w:ind w:left="3600" w:hanging="360"/>
      </w:pPr>
      <w:rPr>
        <w:rFonts w:ascii="Noto Sans Symbols" w:eastAsia="Noto Sans Symbols" w:hAnsi="Noto Sans Symbols" w:cs="Noto Sans Symbols"/>
        <w:sz w:val="24"/>
        <w:szCs w:val="24"/>
        <w:u w:val="none"/>
        <w:vertAlign w:val="baseline"/>
      </w:rPr>
    </w:lvl>
    <w:lvl w:ilvl="5">
      <w:start w:val="1"/>
      <w:numFmt w:val="bullet"/>
      <w:lvlText w:val="■"/>
      <w:lvlJc w:val="left"/>
      <w:pPr>
        <w:ind w:left="4320" w:hanging="360"/>
      </w:pPr>
      <w:rPr>
        <w:rFonts w:ascii="Noto Sans Symbols" w:eastAsia="Noto Sans Symbols" w:hAnsi="Noto Sans Symbols" w:cs="Noto Sans Symbols"/>
        <w:sz w:val="24"/>
        <w:szCs w:val="24"/>
        <w:u w:val="none"/>
        <w:vertAlign w:val="baseline"/>
      </w:rPr>
    </w:lvl>
    <w:lvl w:ilvl="6">
      <w:start w:val="1"/>
      <w:numFmt w:val="bullet"/>
      <w:lvlText w:val="●"/>
      <w:lvlJc w:val="left"/>
      <w:pPr>
        <w:ind w:left="5040" w:hanging="360"/>
      </w:pPr>
      <w:rPr>
        <w:rFonts w:ascii="Noto Sans Symbols" w:eastAsia="Noto Sans Symbols" w:hAnsi="Noto Sans Symbols" w:cs="Noto Sans Symbols"/>
        <w:sz w:val="24"/>
        <w:szCs w:val="24"/>
        <w:u w:val="none"/>
        <w:vertAlign w:val="baseline"/>
      </w:rPr>
    </w:lvl>
    <w:lvl w:ilvl="7">
      <w:start w:val="1"/>
      <w:numFmt w:val="bullet"/>
      <w:lvlText w:val="?"/>
      <w:lvlJc w:val="left"/>
      <w:pPr>
        <w:ind w:left="5760" w:hanging="360"/>
      </w:pPr>
      <w:rPr>
        <w:rFonts w:ascii="Noto Sans Symbols" w:eastAsia="Noto Sans Symbols" w:hAnsi="Noto Sans Symbols" w:cs="Noto Sans Symbols"/>
        <w:sz w:val="24"/>
        <w:szCs w:val="24"/>
        <w:u w:val="none"/>
        <w:vertAlign w:val="baseline"/>
      </w:rPr>
    </w:lvl>
    <w:lvl w:ilvl="8">
      <w:start w:val="1"/>
      <w:numFmt w:val="bullet"/>
      <w:lvlText w:val="■"/>
      <w:lvlJc w:val="left"/>
      <w:pPr>
        <w:ind w:left="6480" w:hanging="360"/>
      </w:pPr>
      <w:rPr>
        <w:rFonts w:ascii="Noto Sans Symbols" w:eastAsia="Noto Sans Symbols" w:hAnsi="Noto Sans Symbols" w:cs="Noto Sans Symbols"/>
        <w:sz w:val="24"/>
        <w:szCs w:val="24"/>
        <w:u w:val="none"/>
        <w:vertAlign w:val="baseline"/>
      </w:rPr>
    </w:lvl>
  </w:abstractNum>
  <w:abstractNum w:abstractNumId="12" w15:restartNumberingAfterBreak="0">
    <w:nsid w:val="4E18420D"/>
    <w:multiLevelType w:val="multilevel"/>
    <w:tmpl w:val="59B62212"/>
    <w:lvl w:ilvl="0">
      <w:start w:val="1"/>
      <w:numFmt w:val="decimal"/>
      <w:lvlText w:val="(%1)"/>
      <w:lvlJc w:val="left"/>
      <w:pPr>
        <w:ind w:left="720" w:hanging="360"/>
      </w:pPr>
      <w:rPr>
        <w:rFonts w:ascii="Calibri" w:eastAsia="Calibri" w:hAnsi="Calibri" w:cs="Calibri"/>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58448E2"/>
    <w:multiLevelType w:val="hybridMultilevel"/>
    <w:tmpl w:val="A2C4C716"/>
    <w:lvl w:ilvl="0" w:tplc="0C0A0001">
      <w:start w:val="1"/>
      <w:numFmt w:val="bullet"/>
      <w:lvlText w:val=""/>
      <w:lvlJc w:val="left"/>
      <w:pPr>
        <w:ind w:left="718" w:hanging="360"/>
      </w:pPr>
      <w:rPr>
        <w:rFonts w:ascii="Symbol" w:hAnsi="Symbol" w:hint="default"/>
      </w:rPr>
    </w:lvl>
    <w:lvl w:ilvl="1" w:tplc="0C0A0003" w:tentative="1">
      <w:start w:val="1"/>
      <w:numFmt w:val="bullet"/>
      <w:lvlText w:val="o"/>
      <w:lvlJc w:val="left"/>
      <w:pPr>
        <w:ind w:left="1438" w:hanging="360"/>
      </w:pPr>
      <w:rPr>
        <w:rFonts w:ascii="Courier New" w:hAnsi="Courier New" w:cs="Courier New" w:hint="default"/>
      </w:rPr>
    </w:lvl>
    <w:lvl w:ilvl="2" w:tplc="0C0A0005" w:tentative="1">
      <w:start w:val="1"/>
      <w:numFmt w:val="bullet"/>
      <w:lvlText w:val=""/>
      <w:lvlJc w:val="left"/>
      <w:pPr>
        <w:ind w:left="2158" w:hanging="360"/>
      </w:pPr>
      <w:rPr>
        <w:rFonts w:ascii="Wingdings" w:hAnsi="Wingdings" w:hint="default"/>
      </w:rPr>
    </w:lvl>
    <w:lvl w:ilvl="3" w:tplc="0C0A0001" w:tentative="1">
      <w:start w:val="1"/>
      <w:numFmt w:val="bullet"/>
      <w:lvlText w:val=""/>
      <w:lvlJc w:val="left"/>
      <w:pPr>
        <w:ind w:left="2878" w:hanging="360"/>
      </w:pPr>
      <w:rPr>
        <w:rFonts w:ascii="Symbol" w:hAnsi="Symbol" w:hint="default"/>
      </w:rPr>
    </w:lvl>
    <w:lvl w:ilvl="4" w:tplc="0C0A0003" w:tentative="1">
      <w:start w:val="1"/>
      <w:numFmt w:val="bullet"/>
      <w:lvlText w:val="o"/>
      <w:lvlJc w:val="left"/>
      <w:pPr>
        <w:ind w:left="3598" w:hanging="360"/>
      </w:pPr>
      <w:rPr>
        <w:rFonts w:ascii="Courier New" w:hAnsi="Courier New" w:cs="Courier New" w:hint="default"/>
      </w:rPr>
    </w:lvl>
    <w:lvl w:ilvl="5" w:tplc="0C0A0005" w:tentative="1">
      <w:start w:val="1"/>
      <w:numFmt w:val="bullet"/>
      <w:lvlText w:val=""/>
      <w:lvlJc w:val="left"/>
      <w:pPr>
        <w:ind w:left="4318" w:hanging="360"/>
      </w:pPr>
      <w:rPr>
        <w:rFonts w:ascii="Wingdings" w:hAnsi="Wingdings" w:hint="default"/>
      </w:rPr>
    </w:lvl>
    <w:lvl w:ilvl="6" w:tplc="0C0A0001" w:tentative="1">
      <w:start w:val="1"/>
      <w:numFmt w:val="bullet"/>
      <w:lvlText w:val=""/>
      <w:lvlJc w:val="left"/>
      <w:pPr>
        <w:ind w:left="5038" w:hanging="360"/>
      </w:pPr>
      <w:rPr>
        <w:rFonts w:ascii="Symbol" w:hAnsi="Symbol" w:hint="default"/>
      </w:rPr>
    </w:lvl>
    <w:lvl w:ilvl="7" w:tplc="0C0A0003" w:tentative="1">
      <w:start w:val="1"/>
      <w:numFmt w:val="bullet"/>
      <w:lvlText w:val="o"/>
      <w:lvlJc w:val="left"/>
      <w:pPr>
        <w:ind w:left="5758" w:hanging="360"/>
      </w:pPr>
      <w:rPr>
        <w:rFonts w:ascii="Courier New" w:hAnsi="Courier New" w:cs="Courier New" w:hint="default"/>
      </w:rPr>
    </w:lvl>
    <w:lvl w:ilvl="8" w:tplc="0C0A0005" w:tentative="1">
      <w:start w:val="1"/>
      <w:numFmt w:val="bullet"/>
      <w:lvlText w:val=""/>
      <w:lvlJc w:val="left"/>
      <w:pPr>
        <w:ind w:left="6478" w:hanging="360"/>
      </w:pPr>
      <w:rPr>
        <w:rFonts w:ascii="Wingdings" w:hAnsi="Wingdings" w:hint="default"/>
      </w:rPr>
    </w:lvl>
  </w:abstractNum>
  <w:abstractNum w:abstractNumId="14" w15:restartNumberingAfterBreak="0">
    <w:nsid w:val="69250C7F"/>
    <w:multiLevelType w:val="multilevel"/>
    <w:tmpl w:val="4C3628EA"/>
    <w:lvl w:ilvl="0">
      <w:start w:val="1"/>
      <w:numFmt w:val="bullet"/>
      <w:lvlText w:val="●"/>
      <w:lvlJc w:val="left"/>
      <w:pPr>
        <w:ind w:left="720" w:hanging="360"/>
      </w:pPr>
      <w:rPr>
        <w:rFonts w:ascii="Noto Sans Symbols" w:eastAsia="Noto Sans Symbols" w:hAnsi="Noto Sans Symbols" w:cs="Noto Sans Symbols"/>
        <w:sz w:val="24"/>
        <w:szCs w:val="24"/>
        <w:u w:val="none"/>
        <w:vertAlign w:val="baseline"/>
      </w:rPr>
    </w:lvl>
    <w:lvl w:ilvl="1">
      <w:start w:val="1"/>
      <w:numFmt w:val="bullet"/>
      <w:lvlText w:val="?"/>
      <w:lvlJc w:val="left"/>
      <w:pPr>
        <w:ind w:left="1440" w:hanging="360"/>
      </w:pPr>
      <w:rPr>
        <w:rFonts w:ascii="Noto Sans Symbols" w:eastAsia="Noto Sans Symbols" w:hAnsi="Noto Sans Symbols" w:cs="Noto Sans Symbols"/>
        <w:sz w:val="24"/>
        <w:szCs w:val="24"/>
        <w:u w:val="none"/>
        <w:vertAlign w:val="baseline"/>
      </w:rPr>
    </w:lvl>
    <w:lvl w:ilvl="2">
      <w:start w:val="1"/>
      <w:numFmt w:val="bullet"/>
      <w:lvlText w:val="■"/>
      <w:lvlJc w:val="left"/>
      <w:pPr>
        <w:ind w:left="2160" w:hanging="360"/>
      </w:pPr>
      <w:rPr>
        <w:rFonts w:ascii="Noto Sans Symbols" w:eastAsia="Noto Sans Symbols" w:hAnsi="Noto Sans Symbols" w:cs="Noto Sans Symbols"/>
        <w:sz w:val="24"/>
        <w:szCs w:val="24"/>
        <w:u w:val="none"/>
        <w:vertAlign w:val="baseline"/>
      </w:rPr>
    </w:lvl>
    <w:lvl w:ilvl="3">
      <w:start w:val="1"/>
      <w:numFmt w:val="bullet"/>
      <w:lvlText w:val="●"/>
      <w:lvlJc w:val="left"/>
      <w:pPr>
        <w:ind w:left="2880" w:hanging="360"/>
      </w:pPr>
      <w:rPr>
        <w:rFonts w:ascii="Noto Sans Symbols" w:eastAsia="Noto Sans Symbols" w:hAnsi="Noto Sans Symbols" w:cs="Noto Sans Symbols"/>
        <w:sz w:val="24"/>
        <w:szCs w:val="24"/>
        <w:u w:val="none"/>
        <w:vertAlign w:val="baseline"/>
      </w:rPr>
    </w:lvl>
    <w:lvl w:ilvl="4">
      <w:start w:val="1"/>
      <w:numFmt w:val="bullet"/>
      <w:lvlText w:val="?"/>
      <w:lvlJc w:val="left"/>
      <w:pPr>
        <w:ind w:left="3600" w:hanging="360"/>
      </w:pPr>
      <w:rPr>
        <w:rFonts w:ascii="Noto Sans Symbols" w:eastAsia="Noto Sans Symbols" w:hAnsi="Noto Sans Symbols" w:cs="Noto Sans Symbols"/>
        <w:sz w:val="24"/>
        <w:szCs w:val="24"/>
        <w:u w:val="none"/>
        <w:vertAlign w:val="baseline"/>
      </w:rPr>
    </w:lvl>
    <w:lvl w:ilvl="5">
      <w:start w:val="1"/>
      <w:numFmt w:val="bullet"/>
      <w:lvlText w:val="■"/>
      <w:lvlJc w:val="left"/>
      <w:pPr>
        <w:ind w:left="4320" w:hanging="360"/>
      </w:pPr>
      <w:rPr>
        <w:rFonts w:ascii="Noto Sans Symbols" w:eastAsia="Noto Sans Symbols" w:hAnsi="Noto Sans Symbols" w:cs="Noto Sans Symbols"/>
        <w:sz w:val="24"/>
        <w:szCs w:val="24"/>
        <w:u w:val="none"/>
        <w:vertAlign w:val="baseline"/>
      </w:rPr>
    </w:lvl>
    <w:lvl w:ilvl="6">
      <w:start w:val="1"/>
      <w:numFmt w:val="bullet"/>
      <w:lvlText w:val="●"/>
      <w:lvlJc w:val="left"/>
      <w:pPr>
        <w:ind w:left="5040" w:hanging="360"/>
      </w:pPr>
      <w:rPr>
        <w:rFonts w:ascii="Noto Sans Symbols" w:eastAsia="Noto Sans Symbols" w:hAnsi="Noto Sans Symbols" w:cs="Noto Sans Symbols"/>
        <w:sz w:val="24"/>
        <w:szCs w:val="24"/>
        <w:u w:val="none"/>
        <w:vertAlign w:val="baseline"/>
      </w:rPr>
    </w:lvl>
    <w:lvl w:ilvl="7">
      <w:start w:val="1"/>
      <w:numFmt w:val="bullet"/>
      <w:lvlText w:val="?"/>
      <w:lvlJc w:val="left"/>
      <w:pPr>
        <w:ind w:left="5760" w:hanging="360"/>
      </w:pPr>
      <w:rPr>
        <w:rFonts w:ascii="Noto Sans Symbols" w:eastAsia="Noto Sans Symbols" w:hAnsi="Noto Sans Symbols" w:cs="Noto Sans Symbols"/>
        <w:sz w:val="24"/>
        <w:szCs w:val="24"/>
        <w:u w:val="none"/>
        <w:vertAlign w:val="baseline"/>
      </w:rPr>
    </w:lvl>
    <w:lvl w:ilvl="8">
      <w:start w:val="1"/>
      <w:numFmt w:val="bullet"/>
      <w:lvlText w:val="■"/>
      <w:lvlJc w:val="left"/>
      <w:pPr>
        <w:ind w:left="6480" w:hanging="360"/>
      </w:pPr>
      <w:rPr>
        <w:rFonts w:ascii="Noto Sans Symbols" w:eastAsia="Noto Sans Symbols" w:hAnsi="Noto Sans Symbols" w:cs="Noto Sans Symbols"/>
        <w:sz w:val="24"/>
        <w:szCs w:val="24"/>
        <w:u w:val="none"/>
        <w:vertAlign w:val="baseline"/>
      </w:rPr>
    </w:lvl>
  </w:abstractNum>
  <w:abstractNum w:abstractNumId="15" w15:restartNumberingAfterBreak="0">
    <w:nsid w:val="6F2A768A"/>
    <w:multiLevelType w:val="multilevel"/>
    <w:tmpl w:val="B9A452EA"/>
    <w:lvl w:ilvl="0">
      <w:start w:val="1"/>
      <w:numFmt w:val="bullet"/>
      <w:lvlText w:val="●"/>
      <w:lvlJc w:val="left"/>
      <w:pPr>
        <w:ind w:left="720" w:hanging="360"/>
      </w:pPr>
      <w:rPr>
        <w:rFonts w:ascii="Liberation Serif" w:eastAsia="Liberation Serif" w:hAnsi="Liberation Serif" w:cs="Liberation Serif"/>
        <w:u w:val="none"/>
        <w:vertAlign w:val="baseline"/>
      </w:rPr>
    </w:lvl>
    <w:lvl w:ilvl="1">
      <w:start w:val="1"/>
      <w:numFmt w:val="bullet"/>
      <w:lvlText w:val="○"/>
      <w:lvlJc w:val="left"/>
      <w:pPr>
        <w:ind w:left="1440" w:hanging="360"/>
      </w:pPr>
      <w:rPr>
        <w:rFonts w:ascii="Liberation Serif" w:eastAsia="Liberation Serif" w:hAnsi="Liberation Serif" w:cs="Liberation Serif"/>
        <w:u w:val="none"/>
        <w:vertAlign w:val="baseline"/>
      </w:rPr>
    </w:lvl>
    <w:lvl w:ilvl="2">
      <w:start w:val="1"/>
      <w:numFmt w:val="bullet"/>
      <w:lvlText w:val="■"/>
      <w:lvlJc w:val="left"/>
      <w:pPr>
        <w:ind w:left="2160" w:hanging="360"/>
      </w:pPr>
      <w:rPr>
        <w:rFonts w:ascii="Liberation Serif" w:eastAsia="Liberation Serif" w:hAnsi="Liberation Serif" w:cs="Liberation Serif"/>
        <w:u w:val="none"/>
        <w:vertAlign w:val="baseline"/>
      </w:rPr>
    </w:lvl>
    <w:lvl w:ilvl="3">
      <w:start w:val="1"/>
      <w:numFmt w:val="bullet"/>
      <w:lvlText w:val="●"/>
      <w:lvlJc w:val="left"/>
      <w:pPr>
        <w:ind w:left="2880" w:hanging="360"/>
      </w:pPr>
      <w:rPr>
        <w:rFonts w:ascii="Liberation Serif" w:eastAsia="Liberation Serif" w:hAnsi="Liberation Serif" w:cs="Liberation Serif"/>
        <w:u w:val="none"/>
        <w:vertAlign w:val="baseline"/>
      </w:rPr>
    </w:lvl>
    <w:lvl w:ilvl="4">
      <w:start w:val="1"/>
      <w:numFmt w:val="bullet"/>
      <w:lvlText w:val="○"/>
      <w:lvlJc w:val="left"/>
      <w:pPr>
        <w:ind w:left="3600" w:hanging="360"/>
      </w:pPr>
      <w:rPr>
        <w:rFonts w:ascii="Liberation Serif" w:eastAsia="Liberation Serif" w:hAnsi="Liberation Serif" w:cs="Liberation Serif"/>
        <w:u w:val="none"/>
        <w:vertAlign w:val="baseline"/>
      </w:rPr>
    </w:lvl>
    <w:lvl w:ilvl="5">
      <w:start w:val="1"/>
      <w:numFmt w:val="bullet"/>
      <w:lvlText w:val="■"/>
      <w:lvlJc w:val="left"/>
      <w:pPr>
        <w:ind w:left="4320" w:hanging="360"/>
      </w:pPr>
      <w:rPr>
        <w:rFonts w:ascii="Liberation Serif" w:eastAsia="Liberation Serif" w:hAnsi="Liberation Serif" w:cs="Liberation Serif"/>
        <w:u w:val="none"/>
        <w:vertAlign w:val="baseline"/>
      </w:rPr>
    </w:lvl>
    <w:lvl w:ilvl="6">
      <w:start w:val="1"/>
      <w:numFmt w:val="bullet"/>
      <w:lvlText w:val="●"/>
      <w:lvlJc w:val="left"/>
      <w:pPr>
        <w:ind w:left="5040" w:hanging="360"/>
      </w:pPr>
      <w:rPr>
        <w:rFonts w:ascii="Liberation Serif" w:eastAsia="Liberation Serif" w:hAnsi="Liberation Serif" w:cs="Liberation Serif"/>
        <w:u w:val="none"/>
        <w:vertAlign w:val="baseline"/>
      </w:rPr>
    </w:lvl>
    <w:lvl w:ilvl="7">
      <w:start w:val="1"/>
      <w:numFmt w:val="bullet"/>
      <w:lvlText w:val="○"/>
      <w:lvlJc w:val="left"/>
      <w:pPr>
        <w:ind w:left="5760" w:hanging="360"/>
      </w:pPr>
      <w:rPr>
        <w:rFonts w:ascii="Liberation Serif" w:eastAsia="Liberation Serif" w:hAnsi="Liberation Serif" w:cs="Liberation Serif"/>
        <w:u w:val="none"/>
        <w:vertAlign w:val="baseline"/>
      </w:rPr>
    </w:lvl>
    <w:lvl w:ilvl="8">
      <w:start w:val="1"/>
      <w:numFmt w:val="bullet"/>
      <w:lvlText w:val="■"/>
      <w:lvlJc w:val="left"/>
      <w:pPr>
        <w:ind w:left="6480" w:hanging="360"/>
      </w:pPr>
      <w:rPr>
        <w:rFonts w:ascii="Liberation Serif" w:eastAsia="Liberation Serif" w:hAnsi="Liberation Serif" w:cs="Liberation Serif"/>
        <w:u w:val="none"/>
        <w:vertAlign w:val="baseline"/>
      </w:rPr>
    </w:lvl>
  </w:abstractNum>
  <w:abstractNum w:abstractNumId="16" w15:restartNumberingAfterBreak="0">
    <w:nsid w:val="701D4E76"/>
    <w:multiLevelType w:val="multilevel"/>
    <w:tmpl w:val="B394ACCE"/>
    <w:lvl w:ilvl="0">
      <w:start w:val="1"/>
      <w:numFmt w:val="bullet"/>
      <w:lvlText w:val="●"/>
      <w:lvlJc w:val="left"/>
      <w:pPr>
        <w:ind w:left="720" w:hanging="360"/>
      </w:pPr>
      <w:rPr>
        <w:rFonts w:ascii="Noto Sans Symbols" w:eastAsia="Noto Sans Symbols" w:hAnsi="Noto Sans Symbols" w:cs="Noto Sans Symbols"/>
        <w:sz w:val="20"/>
        <w:szCs w:val="20"/>
        <w:u w:val="none"/>
        <w:vertAlign w:val="baseline"/>
      </w:rPr>
    </w:lvl>
    <w:lvl w:ilvl="1">
      <w:start w:val="1"/>
      <w:numFmt w:val="bullet"/>
      <w:lvlText w:val="?"/>
      <w:lvlJc w:val="left"/>
      <w:pPr>
        <w:ind w:left="1440" w:hanging="360"/>
      </w:pPr>
      <w:rPr>
        <w:rFonts w:ascii="Noto Sans Symbols" w:eastAsia="Noto Sans Symbols" w:hAnsi="Noto Sans Symbols" w:cs="Noto Sans Symbols"/>
        <w:sz w:val="20"/>
        <w:szCs w:val="20"/>
        <w:u w:val="none"/>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u w:val="none"/>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u w:val="none"/>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u w:val="none"/>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u w:val="none"/>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u w:val="none"/>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u w:val="none"/>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u w:val="none"/>
        <w:vertAlign w:val="baseline"/>
      </w:rPr>
    </w:lvl>
  </w:abstractNum>
  <w:abstractNum w:abstractNumId="17" w15:restartNumberingAfterBreak="0">
    <w:nsid w:val="723F3A56"/>
    <w:multiLevelType w:val="multilevel"/>
    <w:tmpl w:val="780A97FA"/>
    <w:lvl w:ilvl="0">
      <w:start w:val="1"/>
      <w:numFmt w:val="bullet"/>
      <w:pStyle w:val="Ttulo1"/>
      <w:lvlText w:val="●"/>
      <w:lvlJc w:val="left"/>
      <w:pPr>
        <w:ind w:left="1440" w:hanging="360"/>
      </w:pPr>
      <w:rPr>
        <w:rFonts w:ascii="Noto Sans Symbols" w:eastAsia="Noto Sans Symbols" w:hAnsi="Noto Sans Symbols" w:cs="Noto Sans Symbols"/>
        <w:sz w:val="20"/>
        <w:szCs w:val="20"/>
        <w:u w:val="none"/>
        <w:vertAlign w:val="baseline"/>
      </w:rPr>
    </w:lvl>
    <w:lvl w:ilvl="1">
      <w:start w:val="1"/>
      <w:numFmt w:val="bullet"/>
      <w:pStyle w:val="Ttulo2"/>
      <w:lvlText w:val="?"/>
      <w:lvlJc w:val="left"/>
      <w:pPr>
        <w:ind w:left="2160" w:hanging="360"/>
      </w:pPr>
      <w:rPr>
        <w:rFonts w:ascii="Noto Sans Symbols" w:eastAsia="Noto Sans Symbols" w:hAnsi="Noto Sans Symbols" w:cs="Noto Sans Symbols"/>
        <w:sz w:val="20"/>
        <w:szCs w:val="20"/>
        <w:u w:val="none"/>
        <w:vertAlign w:val="baseline"/>
      </w:rPr>
    </w:lvl>
    <w:lvl w:ilvl="2">
      <w:start w:val="1"/>
      <w:numFmt w:val="bullet"/>
      <w:pStyle w:val="Ttulo3"/>
      <w:lvlText w:val="■"/>
      <w:lvlJc w:val="left"/>
      <w:pPr>
        <w:ind w:left="2880" w:hanging="360"/>
      </w:pPr>
      <w:rPr>
        <w:rFonts w:ascii="Noto Sans Symbols" w:eastAsia="Noto Sans Symbols" w:hAnsi="Noto Sans Symbols" w:cs="Noto Sans Symbols"/>
        <w:sz w:val="20"/>
        <w:szCs w:val="20"/>
        <w:u w:val="none"/>
        <w:vertAlign w:val="baseline"/>
      </w:rPr>
    </w:lvl>
    <w:lvl w:ilvl="3">
      <w:start w:val="1"/>
      <w:numFmt w:val="bullet"/>
      <w:pStyle w:val="Ttulo4"/>
      <w:lvlText w:val="●"/>
      <w:lvlJc w:val="left"/>
      <w:pPr>
        <w:ind w:left="3600" w:hanging="360"/>
      </w:pPr>
      <w:rPr>
        <w:rFonts w:ascii="Noto Sans Symbols" w:eastAsia="Noto Sans Symbols" w:hAnsi="Noto Sans Symbols" w:cs="Noto Sans Symbols"/>
        <w:sz w:val="20"/>
        <w:szCs w:val="20"/>
        <w:u w:val="none"/>
        <w:vertAlign w:val="baseline"/>
      </w:rPr>
    </w:lvl>
    <w:lvl w:ilvl="4">
      <w:start w:val="1"/>
      <w:numFmt w:val="bullet"/>
      <w:pStyle w:val="Ttulo5"/>
      <w:lvlText w:val="?"/>
      <w:lvlJc w:val="left"/>
      <w:pPr>
        <w:ind w:left="4320" w:hanging="360"/>
      </w:pPr>
      <w:rPr>
        <w:rFonts w:ascii="Noto Sans Symbols" w:eastAsia="Noto Sans Symbols" w:hAnsi="Noto Sans Symbols" w:cs="Noto Sans Symbols"/>
        <w:sz w:val="20"/>
        <w:szCs w:val="20"/>
        <w:u w:val="none"/>
        <w:vertAlign w:val="baseline"/>
      </w:rPr>
    </w:lvl>
    <w:lvl w:ilvl="5">
      <w:start w:val="1"/>
      <w:numFmt w:val="bullet"/>
      <w:pStyle w:val="Ttulo6"/>
      <w:lvlText w:val="■"/>
      <w:lvlJc w:val="left"/>
      <w:pPr>
        <w:ind w:left="5040" w:hanging="360"/>
      </w:pPr>
      <w:rPr>
        <w:rFonts w:ascii="Noto Sans Symbols" w:eastAsia="Noto Sans Symbols" w:hAnsi="Noto Sans Symbols" w:cs="Noto Sans Symbols"/>
        <w:sz w:val="20"/>
        <w:szCs w:val="20"/>
        <w:u w:val="none"/>
        <w:vertAlign w:val="baseline"/>
      </w:rPr>
    </w:lvl>
    <w:lvl w:ilvl="6">
      <w:start w:val="1"/>
      <w:numFmt w:val="bullet"/>
      <w:pStyle w:val="Ttulo7"/>
      <w:lvlText w:val="●"/>
      <w:lvlJc w:val="left"/>
      <w:pPr>
        <w:ind w:left="5760" w:hanging="360"/>
      </w:pPr>
      <w:rPr>
        <w:rFonts w:ascii="Noto Sans Symbols" w:eastAsia="Noto Sans Symbols" w:hAnsi="Noto Sans Symbols" w:cs="Noto Sans Symbols"/>
        <w:sz w:val="20"/>
        <w:szCs w:val="20"/>
        <w:u w:val="none"/>
        <w:vertAlign w:val="baseline"/>
      </w:rPr>
    </w:lvl>
    <w:lvl w:ilvl="7">
      <w:start w:val="1"/>
      <w:numFmt w:val="bullet"/>
      <w:pStyle w:val="Ttulo8"/>
      <w:lvlText w:val="?"/>
      <w:lvlJc w:val="left"/>
      <w:pPr>
        <w:ind w:left="6480" w:hanging="360"/>
      </w:pPr>
      <w:rPr>
        <w:rFonts w:ascii="Noto Sans Symbols" w:eastAsia="Noto Sans Symbols" w:hAnsi="Noto Sans Symbols" w:cs="Noto Sans Symbols"/>
        <w:sz w:val="20"/>
        <w:szCs w:val="20"/>
        <w:u w:val="none"/>
        <w:vertAlign w:val="baseline"/>
      </w:rPr>
    </w:lvl>
    <w:lvl w:ilvl="8">
      <w:start w:val="1"/>
      <w:numFmt w:val="bullet"/>
      <w:pStyle w:val="Ttulo9"/>
      <w:lvlText w:val="■"/>
      <w:lvlJc w:val="left"/>
      <w:pPr>
        <w:ind w:left="7200" w:hanging="360"/>
      </w:pPr>
      <w:rPr>
        <w:rFonts w:ascii="Noto Sans Symbols" w:eastAsia="Noto Sans Symbols" w:hAnsi="Noto Sans Symbols" w:cs="Noto Sans Symbols"/>
        <w:sz w:val="20"/>
        <w:szCs w:val="20"/>
        <w:u w:val="none"/>
        <w:vertAlign w:val="baseline"/>
      </w:rPr>
    </w:lvl>
  </w:abstractNum>
  <w:abstractNum w:abstractNumId="18" w15:restartNumberingAfterBreak="0">
    <w:nsid w:val="737929CD"/>
    <w:multiLevelType w:val="multilevel"/>
    <w:tmpl w:val="BD4A30E8"/>
    <w:lvl w:ilvl="0">
      <w:start w:val="1"/>
      <w:numFmt w:val="bullet"/>
      <w:lvlText w:val="●"/>
      <w:lvlJc w:val="left"/>
      <w:pPr>
        <w:ind w:left="720" w:hanging="360"/>
      </w:pPr>
      <w:rPr>
        <w:rFonts w:ascii="Liberation Serif" w:eastAsia="Liberation Serif" w:hAnsi="Liberation Serif" w:cs="Liberation Serif"/>
        <w:u w:val="none"/>
        <w:vertAlign w:val="baseline"/>
      </w:rPr>
    </w:lvl>
    <w:lvl w:ilvl="1">
      <w:start w:val="1"/>
      <w:numFmt w:val="bullet"/>
      <w:lvlText w:val="○"/>
      <w:lvlJc w:val="left"/>
      <w:pPr>
        <w:ind w:left="1440" w:hanging="360"/>
      </w:pPr>
      <w:rPr>
        <w:rFonts w:ascii="Liberation Serif" w:eastAsia="Liberation Serif" w:hAnsi="Liberation Serif" w:cs="Liberation Serif"/>
        <w:u w:val="none"/>
        <w:vertAlign w:val="baseline"/>
      </w:rPr>
    </w:lvl>
    <w:lvl w:ilvl="2">
      <w:start w:val="1"/>
      <w:numFmt w:val="bullet"/>
      <w:lvlText w:val="■"/>
      <w:lvlJc w:val="left"/>
      <w:pPr>
        <w:ind w:left="2160" w:hanging="360"/>
      </w:pPr>
      <w:rPr>
        <w:rFonts w:ascii="Liberation Serif" w:eastAsia="Liberation Serif" w:hAnsi="Liberation Serif" w:cs="Liberation Serif"/>
        <w:u w:val="none"/>
        <w:vertAlign w:val="baseline"/>
      </w:rPr>
    </w:lvl>
    <w:lvl w:ilvl="3">
      <w:start w:val="1"/>
      <w:numFmt w:val="bullet"/>
      <w:lvlText w:val="●"/>
      <w:lvlJc w:val="left"/>
      <w:pPr>
        <w:ind w:left="2880" w:hanging="360"/>
      </w:pPr>
      <w:rPr>
        <w:rFonts w:ascii="Liberation Serif" w:eastAsia="Liberation Serif" w:hAnsi="Liberation Serif" w:cs="Liberation Serif"/>
        <w:u w:val="none"/>
        <w:vertAlign w:val="baseline"/>
      </w:rPr>
    </w:lvl>
    <w:lvl w:ilvl="4">
      <w:start w:val="1"/>
      <w:numFmt w:val="bullet"/>
      <w:lvlText w:val="○"/>
      <w:lvlJc w:val="left"/>
      <w:pPr>
        <w:ind w:left="3600" w:hanging="360"/>
      </w:pPr>
      <w:rPr>
        <w:rFonts w:ascii="Liberation Serif" w:eastAsia="Liberation Serif" w:hAnsi="Liberation Serif" w:cs="Liberation Serif"/>
        <w:u w:val="none"/>
        <w:vertAlign w:val="baseline"/>
      </w:rPr>
    </w:lvl>
    <w:lvl w:ilvl="5">
      <w:start w:val="1"/>
      <w:numFmt w:val="bullet"/>
      <w:lvlText w:val="■"/>
      <w:lvlJc w:val="left"/>
      <w:pPr>
        <w:ind w:left="4320" w:hanging="360"/>
      </w:pPr>
      <w:rPr>
        <w:rFonts w:ascii="Liberation Serif" w:eastAsia="Liberation Serif" w:hAnsi="Liberation Serif" w:cs="Liberation Serif"/>
        <w:u w:val="none"/>
        <w:vertAlign w:val="baseline"/>
      </w:rPr>
    </w:lvl>
    <w:lvl w:ilvl="6">
      <w:start w:val="1"/>
      <w:numFmt w:val="bullet"/>
      <w:lvlText w:val="●"/>
      <w:lvlJc w:val="left"/>
      <w:pPr>
        <w:ind w:left="5040" w:hanging="360"/>
      </w:pPr>
      <w:rPr>
        <w:rFonts w:ascii="Liberation Serif" w:eastAsia="Liberation Serif" w:hAnsi="Liberation Serif" w:cs="Liberation Serif"/>
        <w:u w:val="none"/>
        <w:vertAlign w:val="baseline"/>
      </w:rPr>
    </w:lvl>
    <w:lvl w:ilvl="7">
      <w:start w:val="1"/>
      <w:numFmt w:val="bullet"/>
      <w:lvlText w:val="○"/>
      <w:lvlJc w:val="left"/>
      <w:pPr>
        <w:ind w:left="5760" w:hanging="360"/>
      </w:pPr>
      <w:rPr>
        <w:rFonts w:ascii="Liberation Serif" w:eastAsia="Liberation Serif" w:hAnsi="Liberation Serif" w:cs="Liberation Serif"/>
        <w:u w:val="none"/>
        <w:vertAlign w:val="baseline"/>
      </w:rPr>
    </w:lvl>
    <w:lvl w:ilvl="8">
      <w:start w:val="1"/>
      <w:numFmt w:val="bullet"/>
      <w:lvlText w:val="■"/>
      <w:lvlJc w:val="left"/>
      <w:pPr>
        <w:ind w:left="6480" w:hanging="360"/>
      </w:pPr>
      <w:rPr>
        <w:rFonts w:ascii="Liberation Serif" w:eastAsia="Liberation Serif" w:hAnsi="Liberation Serif" w:cs="Liberation Serif"/>
        <w:u w:val="none"/>
        <w:vertAlign w:val="baseline"/>
      </w:rPr>
    </w:lvl>
  </w:abstractNum>
  <w:abstractNum w:abstractNumId="19" w15:restartNumberingAfterBreak="0">
    <w:nsid w:val="76421910"/>
    <w:multiLevelType w:val="multilevel"/>
    <w:tmpl w:val="5F546CCA"/>
    <w:lvl w:ilvl="0">
      <w:start w:val="1"/>
      <w:numFmt w:val="decimal"/>
      <w:lvlText w:val="%1."/>
      <w:lvlJc w:val="left"/>
      <w:pPr>
        <w:ind w:left="718" w:hanging="360"/>
      </w:pPr>
      <w:rPr>
        <w:rFonts w:ascii="Arial" w:eastAsia="Arial" w:hAnsi="Arial" w:cs="Arial"/>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7"/>
  </w:num>
  <w:num w:numId="2">
    <w:abstractNumId w:val="16"/>
  </w:num>
  <w:num w:numId="3">
    <w:abstractNumId w:val="15"/>
  </w:num>
  <w:num w:numId="4">
    <w:abstractNumId w:val="6"/>
  </w:num>
  <w:num w:numId="5">
    <w:abstractNumId w:val="18"/>
  </w:num>
  <w:num w:numId="6">
    <w:abstractNumId w:val="8"/>
  </w:num>
  <w:num w:numId="7">
    <w:abstractNumId w:val="9"/>
  </w:num>
  <w:num w:numId="8">
    <w:abstractNumId w:val="3"/>
  </w:num>
  <w:num w:numId="9">
    <w:abstractNumId w:val="2"/>
  </w:num>
  <w:num w:numId="10">
    <w:abstractNumId w:val="14"/>
  </w:num>
  <w:num w:numId="11">
    <w:abstractNumId w:val="1"/>
  </w:num>
  <w:num w:numId="12">
    <w:abstractNumId w:val="12"/>
  </w:num>
  <w:num w:numId="13">
    <w:abstractNumId w:val="7"/>
  </w:num>
  <w:num w:numId="14">
    <w:abstractNumId w:val="11"/>
  </w:num>
  <w:num w:numId="15">
    <w:abstractNumId w:val="19"/>
  </w:num>
  <w:num w:numId="16">
    <w:abstractNumId w:val="13"/>
  </w:num>
  <w:num w:numId="17">
    <w:abstractNumId w:val="5"/>
  </w:num>
  <w:num w:numId="18">
    <w:abstractNumId w:val="0"/>
  </w:num>
  <w:num w:numId="19">
    <w:abstractNumId w:val="4"/>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CDF"/>
    <w:rsid w:val="0002297F"/>
    <w:rsid w:val="00031C53"/>
    <w:rsid w:val="000345B6"/>
    <w:rsid w:val="000416B6"/>
    <w:rsid w:val="00050558"/>
    <w:rsid w:val="00071A64"/>
    <w:rsid w:val="000B43E3"/>
    <w:rsid w:val="000C6624"/>
    <w:rsid w:val="000D6498"/>
    <w:rsid w:val="00102A89"/>
    <w:rsid w:val="00157C43"/>
    <w:rsid w:val="00162CF2"/>
    <w:rsid w:val="00162E37"/>
    <w:rsid w:val="001779CA"/>
    <w:rsid w:val="0021315C"/>
    <w:rsid w:val="00214F3F"/>
    <w:rsid w:val="002151E8"/>
    <w:rsid w:val="00215BE3"/>
    <w:rsid w:val="00240263"/>
    <w:rsid w:val="00244778"/>
    <w:rsid w:val="00251F35"/>
    <w:rsid w:val="00297FB7"/>
    <w:rsid w:val="002B19B7"/>
    <w:rsid w:val="002D328A"/>
    <w:rsid w:val="00317572"/>
    <w:rsid w:val="00381EE9"/>
    <w:rsid w:val="003A3CED"/>
    <w:rsid w:val="003B77DC"/>
    <w:rsid w:val="003C1839"/>
    <w:rsid w:val="003F55D3"/>
    <w:rsid w:val="00400E38"/>
    <w:rsid w:val="00416411"/>
    <w:rsid w:val="00472A70"/>
    <w:rsid w:val="00485F8B"/>
    <w:rsid w:val="004C735A"/>
    <w:rsid w:val="004D6234"/>
    <w:rsid w:val="004E4268"/>
    <w:rsid w:val="00522B05"/>
    <w:rsid w:val="00522D0D"/>
    <w:rsid w:val="005266D7"/>
    <w:rsid w:val="00574FA1"/>
    <w:rsid w:val="00575EC5"/>
    <w:rsid w:val="005C3503"/>
    <w:rsid w:val="005D7324"/>
    <w:rsid w:val="005F54C3"/>
    <w:rsid w:val="0060020F"/>
    <w:rsid w:val="006161B8"/>
    <w:rsid w:val="0061635C"/>
    <w:rsid w:val="00627F02"/>
    <w:rsid w:val="00634CDF"/>
    <w:rsid w:val="00694D71"/>
    <w:rsid w:val="006D6E1E"/>
    <w:rsid w:val="00722B68"/>
    <w:rsid w:val="00753242"/>
    <w:rsid w:val="00782245"/>
    <w:rsid w:val="007A1FF3"/>
    <w:rsid w:val="007A7B93"/>
    <w:rsid w:val="007E773F"/>
    <w:rsid w:val="00815F9E"/>
    <w:rsid w:val="00816ACC"/>
    <w:rsid w:val="00831C52"/>
    <w:rsid w:val="00843381"/>
    <w:rsid w:val="0086410D"/>
    <w:rsid w:val="008A0596"/>
    <w:rsid w:val="008A7DB9"/>
    <w:rsid w:val="008E7FEC"/>
    <w:rsid w:val="008F3E9C"/>
    <w:rsid w:val="009014F0"/>
    <w:rsid w:val="00922D3D"/>
    <w:rsid w:val="0098706D"/>
    <w:rsid w:val="00987270"/>
    <w:rsid w:val="00987F44"/>
    <w:rsid w:val="009F44EF"/>
    <w:rsid w:val="00A04028"/>
    <w:rsid w:val="00A35C57"/>
    <w:rsid w:val="00A4153B"/>
    <w:rsid w:val="00A549E3"/>
    <w:rsid w:val="00A72032"/>
    <w:rsid w:val="00A864B6"/>
    <w:rsid w:val="00A92C33"/>
    <w:rsid w:val="00AA6707"/>
    <w:rsid w:val="00AA6B39"/>
    <w:rsid w:val="00AD2EC6"/>
    <w:rsid w:val="00AE47B1"/>
    <w:rsid w:val="00B00408"/>
    <w:rsid w:val="00B17FBF"/>
    <w:rsid w:val="00B21025"/>
    <w:rsid w:val="00B21A97"/>
    <w:rsid w:val="00B25C98"/>
    <w:rsid w:val="00B54AC0"/>
    <w:rsid w:val="00B56B27"/>
    <w:rsid w:val="00B64F19"/>
    <w:rsid w:val="00BA340B"/>
    <w:rsid w:val="00BC4682"/>
    <w:rsid w:val="00BD2D8A"/>
    <w:rsid w:val="00BE6062"/>
    <w:rsid w:val="00C10C33"/>
    <w:rsid w:val="00C15C1A"/>
    <w:rsid w:val="00C16299"/>
    <w:rsid w:val="00C2216F"/>
    <w:rsid w:val="00C22A9C"/>
    <w:rsid w:val="00C23897"/>
    <w:rsid w:val="00C93110"/>
    <w:rsid w:val="00CB6B28"/>
    <w:rsid w:val="00CD49E1"/>
    <w:rsid w:val="00CD6C94"/>
    <w:rsid w:val="00CF633D"/>
    <w:rsid w:val="00D066FB"/>
    <w:rsid w:val="00D0777F"/>
    <w:rsid w:val="00D16A81"/>
    <w:rsid w:val="00D27B65"/>
    <w:rsid w:val="00D30540"/>
    <w:rsid w:val="00D33EB1"/>
    <w:rsid w:val="00D473F0"/>
    <w:rsid w:val="00D51BAD"/>
    <w:rsid w:val="00D61B84"/>
    <w:rsid w:val="00D66FD9"/>
    <w:rsid w:val="00D8470B"/>
    <w:rsid w:val="00DA3DD1"/>
    <w:rsid w:val="00DC2999"/>
    <w:rsid w:val="00DE5678"/>
    <w:rsid w:val="00E2604B"/>
    <w:rsid w:val="00E537AC"/>
    <w:rsid w:val="00E753D7"/>
    <w:rsid w:val="00E87974"/>
    <w:rsid w:val="00EA0EE3"/>
    <w:rsid w:val="00EA2E57"/>
    <w:rsid w:val="00EB2088"/>
    <w:rsid w:val="00EC24C1"/>
    <w:rsid w:val="00EC5687"/>
    <w:rsid w:val="00ED3253"/>
    <w:rsid w:val="00EF3B28"/>
    <w:rsid w:val="00F0051D"/>
    <w:rsid w:val="00F02F27"/>
    <w:rsid w:val="00F20431"/>
    <w:rsid w:val="00F44233"/>
    <w:rsid w:val="00F50F8D"/>
    <w:rsid w:val="00F55F7D"/>
    <w:rsid w:val="00F76F68"/>
    <w:rsid w:val="00F77731"/>
    <w:rsid w:val="00FC0611"/>
    <w:rsid w:val="00FD1DC0"/>
    <w:rsid w:val="00FD3B1C"/>
    <w:rsid w:val="00FF46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B32EC"/>
  <w15:docId w15:val="{BA27B779-5E66-472E-954B-4C484AB99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vertAlign w:val="subscript"/>
        <w:lang w:val="es-ES" w:eastAsia="es-ES" w:bidi="ar-SA"/>
      </w:rPr>
    </w:rPrDefault>
    <w:pPrDefault>
      <w:pPr>
        <w:ind w:left="-1"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next w:val="WW-normal"/>
    <w:qFormat/>
    <w:pPr>
      <w:spacing w:line="1" w:lineRule="atLeast"/>
      <w:ind w:leftChars="-1" w:hangingChars="1"/>
      <w:textDirection w:val="btLr"/>
      <w:textAlignment w:val="top"/>
      <w:outlineLvl w:val="0"/>
    </w:pPr>
    <w:rPr>
      <w:position w:val="-1"/>
      <w:lang w:eastAsia="zh-CN"/>
    </w:rPr>
  </w:style>
  <w:style w:type="paragraph" w:styleId="Ttulo1">
    <w:name w:val="heading 1"/>
    <w:basedOn w:val="Normal"/>
    <w:next w:val="Normal"/>
    <w:uiPriority w:val="9"/>
    <w:qFormat/>
    <w:pPr>
      <w:keepNext/>
      <w:numPr>
        <w:numId w:val="1"/>
      </w:numPr>
      <w:ind w:left="-1" w:hanging="1"/>
    </w:pPr>
    <w:rPr>
      <w:rFonts w:ascii="Cambria" w:hAnsi="Cambria" w:cs="Cambria"/>
      <w:b/>
      <w:bCs/>
      <w:kern w:val="2"/>
      <w:sz w:val="32"/>
      <w:szCs w:val="32"/>
    </w:rPr>
  </w:style>
  <w:style w:type="paragraph" w:styleId="Ttulo2">
    <w:name w:val="heading 2"/>
    <w:basedOn w:val="Normal"/>
    <w:next w:val="Normal"/>
    <w:uiPriority w:val="9"/>
    <w:semiHidden/>
    <w:unhideWhenUsed/>
    <w:qFormat/>
    <w:pPr>
      <w:keepNext/>
      <w:numPr>
        <w:ilvl w:val="1"/>
        <w:numId w:val="1"/>
      </w:numPr>
      <w:shd w:val="clear" w:color="auto" w:fill="FFFFFF"/>
      <w:ind w:left="-1" w:hanging="1"/>
      <w:jc w:val="both"/>
      <w:outlineLvl w:val="1"/>
    </w:pPr>
    <w:rPr>
      <w:rFonts w:ascii="Cambria" w:hAnsi="Cambria" w:cs="Cambria"/>
      <w:b/>
      <w:bCs/>
      <w:i/>
      <w:iCs/>
      <w:sz w:val="28"/>
      <w:szCs w:val="28"/>
    </w:rPr>
  </w:style>
  <w:style w:type="paragraph" w:styleId="Ttulo3">
    <w:name w:val="heading 3"/>
    <w:basedOn w:val="Normal"/>
    <w:next w:val="Normal"/>
    <w:uiPriority w:val="9"/>
    <w:semiHidden/>
    <w:unhideWhenUsed/>
    <w:qFormat/>
    <w:pPr>
      <w:keepNext/>
      <w:numPr>
        <w:ilvl w:val="2"/>
        <w:numId w:val="1"/>
      </w:numPr>
      <w:ind w:left="-1" w:hanging="1"/>
      <w:jc w:val="center"/>
      <w:outlineLvl w:val="2"/>
    </w:pPr>
    <w:rPr>
      <w:rFonts w:ascii="Cambria" w:hAnsi="Cambria" w:cs="Cambria"/>
      <w:b/>
      <w:bCs/>
      <w:sz w:val="26"/>
      <w:szCs w:val="26"/>
    </w:rPr>
  </w:style>
  <w:style w:type="paragraph" w:styleId="Ttulo4">
    <w:name w:val="heading 4"/>
    <w:basedOn w:val="Normal"/>
    <w:next w:val="Normal"/>
    <w:uiPriority w:val="9"/>
    <w:semiHidden/>
    <w:unhideWhenUsed/>
    <w:qFormat/>
    <w:pPr>
      <w:keepNext/>
      <w:numPr>
        <w:ilvl w:val="3"/>
        <w:numId w:val="1"/>
      </w:numPr>
      <w:ind w:left="-1" w:hanging="1"/>
      <w:jc w:val="both"/>
      <w:outlineLvl w:val="3"/>
    </w:pPr>
    <w:rPr>
      <w:rFonts w:ascii="Calibri" w:hAnsi="Calibri" w:cs="Calibri"/>
      <w:b/>
      <w:bCs/>
      <w:sz w:val="28"/>
      <w:szCs w:val="28"/>
    </w:rPr>
  </w:style>
  <w:style w:type="paragraph" w:styleId="Ttulo5">
    <w:name w:val="heading 5"/>
    <w:basedOn w:val="Normal"/>
    <w:next w:val="Normal"/>
    <w:uiPriority w:val="9"/>
    <w:semiHidden/>
    <w:unhideWhenUsed/>
    <w:qFormat/>
    <w:pPr>
      <w:keepNext/>
      <w:numPr>
        <w:ilvl w:val="4"/>
        <w:numId w:val="1"/>
      </w:numPr>
      <w:shd w:val="clear" w:color="auto" w:fill="FFCC99"/>
      <w:ind w:left="-1" w:hanging="1"/>
      <w:outlineLvl w:val="4"/>
    </w:pPr>
    <w:rPr>
      <w:rFonts w:ascii="Calibri" w:hAnsi="Calibri" w:cs="Calibri"/>
      <w:b/>
      <w:bCs/>
      <w:i/>
      <w:iCs/>
      <w:sz w:val="26"/>
      <w:szCs w:val="26"/>
    </w:rPr>
  </w:style>
  <w:style w:type="paragraph" w:styleId="Ttulo6">
    <w:name w:val="heading 6"/>
    <w:basedOn w:val="Normal"/>
    <w:next w:val="Normal"/>
    <w:uiPriority w:val="9"/>
    <w:semiHidden/>
    <w:unhideWhenUsed/>
    <w:qFormat/>
    <w:pPr>
      <w:keepNext/>
      <w:numPr>
        <w:ilvl w:val="5"/>
        <w:numId w:val="1"/>
      </w:numPr>
      <w:ind w:left="-1" w:hanging="1"/>
      <w:outlineLvl w:val="5"/>
    </w:pPr>
    <w:rPr>
      <w:rFonts w:ascii="Calibri" w:hAnsi="Calibri" w:cs="Calibri"/>
      <w:b/>
      <w:bCs/>
      <w:sz w:val="22"/>
      <w:szCs w:val="22"/>
    </w:rPr>
  </w:style>
  <w:style w:type="paragraph" w:styleId="Ttulo7">
    <w:name w:val="heading 7"/>
    <w:basedOn w:val="Normal"/>
    <w:next w:val="Normal"/>
    <w:pPr>
      <w:keepNext/>
      <w:numPr>
        <w:ilvl w:val="6"/>
        <w:numId w:val="1"/>
      </w:numPr>
      <w:ind w:left="-1" w:hanging="1"/>
      <w:jc w:val="center"/>
      <w:outlineLvl w:val="6"/>
    </w:pPr>
    <w:rPr>
      <w:rFonts w:ascii="Calibri" w:hAnsi="Calibri" w:cs="Calibri"/>
    </w:rPr>
  </w:style>
  <w:style w:type="paragraph" w:styleId="Ttulo8">
    <w:name w:val="heading 8"/>
    <w:basedOn w:val="Normal"/>
    <w:next w:val="Normal"/>
    <w:pPr>
      <w:keepNext/>
      <w:numPr>
        <w:ilvl w:val="7"/>
        <w:numId w:val="1"/>
      </w:numPr>
      <w:ind w:left="-1" w:hanging="1"/>
      <w:jc w:val="both"/>
      <w:outlineLvl w:val="7"/>
    </w:pPr>
    <w:rPr>
      <w:rFonts w:ascii="Calibri" w:hAnsi="Calibri" w:cs="Calibri"/>
      <w:i/>
      <w:iCs/>
    </w:rPr>
  </w:style>
  <w:style w:type="paragraph" w:styleId="Ttulo9">
    <w:name w:val="heading 9"/>
    <w:basedOn w:val="Normal"/>
    <w:next w:val="Normal"/>
    <w:pPr>
      <w:keepNext/>
      <w:numPr>
        <w:ilvl w:val="8"/>
        <w:numId w:val="1"/>
      </w:numPr>
      <w:ind w:left="-1" w:hanging="1"/>
      <w:jc w:val="both"/>
      <w:outlineLvl w:val="8"/>
    </w:pPr>
    <w:rPr>
      <w:rFonts w:ascii="Cambria" w:hAnsi="Cambria" w:cs="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WW8Num1z0">
    <w:name w:val="WW8Num1z0"/>
    <w:rPr>
      <w:rFonts w:ascii="Noto Sans Symbols" w:eastAsia="Noto Sans Symbols" w:hAnsi="Noto Sans Symbols" w:cs="Noto Sans Symbols"/>
      <w:w w:val="100"/>
      <w:position w:val="0"/>
      <w:sz w:val="24"/>
      <w:u w:val="none"/>
      <w:effect w:val="none"/>
      <w:vertAlign w:val="baseline"/>
      <w:cs w:val="0"/>
      <w:em w:val="none"/>
    </w:rPr>
  </w:style>
  <w:style w:type="character" w:customStyle="1" w:styleId="WW8Num2z0">
    <w:name w:val="WW8Num2z0"/>
    <w:rPr>
      <w:rFonts w:ascii="Noto Sans Symbols" w:eastAsia="Noto Sans Symbols" w:hAnsi="Noto Sans Symbols" w:cs="Noto Sans Symbols"/>
      <w:w w:val="100"/>
      <w:position w:val="0"/>
      <w:sz w:val="24"/>
      <w:u w:val="none"/>
      <w:effect w:val="none"/>
      <w:vertAlign w:val="baseline"/>
      <w:cs w:val="0"/>
      <w:em w:val="none"/>
    </w:rPr>
  </w:style>
  <w:style w:type="character" w:customStyle="1" w:styleId="WW8Num3z0">
    <w:name w:val="WW8Num3z0"/>
    <w:rPr>
      <w:w w:val="100"/>
      <w:position w:val="0"/>
      <w:sz w:val="24"/>
      <w:u w:val="none"/>
      <w:effect w:val="none"/>
      <w:vertAlign w:val="baseline"/>
      <w:cs w:val="0"/>
      <w:em w:val="none"/>
    </w:rPr>
  </w:style>
  <w:style w:type="character" w:customStyle="1" w:styleId="WW8Num4z0">
    <w:name w:val="WW8Num4z0"/>
    <w:rPr>
      <w:rFonts w:ascii="Noto Sans Symbols" w:eastAsia="Noto Sans Symbols" w:hAnsi="Noto Sans Symbols" w:cs="Noto Sans Symbols"/>
      <w:w w:val="100"/>
      <w:position w:val="0"/>
      <w:sz w:val="20"/>
      <w:szCs w:val="20"/>
      <w:u w:val="none"/>
      <w:effect w:val="none"/>
      <w:vertAlign w:val="baseline"/>
      <w:cs w:val="0"/>
      <w:em w:val="none"/>
    </w:rPr>
  </w:style>
  <w:style w:type="character" w:customStyle="1" w:styleId="WW8Num5z0">
    <w:name w:val="WW8Num5z0"/>
    <w:rPr>
      <w:rFonts w:ascii="Noto Sans Symbols" w:eastAsia="Noto Sans Symbols" w:hAnsi="Noto Sans Symbols" w:cs="Noto Sans Symbols"/>
      <w:w w:val="100"/>
      <w:position w:val="0"/>
      <w:sz w:val="24"/>
      <w:u w:val="none"/>
      <w:effect w:val="none"/>
      <w:vertAlign w:val="baseline"/>
      <w:cs w:val="0"/>
      <w:em w:val="none"/>
    </w:rPr>
  </w:style>
  <w:style w:type="character" w:customStyle="1" w:styleId="WW8Num6z0">
    <w:name w:val="WW8Num6z0"/>
    <w:rPr>
      <w:rFonts w:ascii="Noto Sans Symbols" w:eastAsia="Noto Sans Symbols" w:hAnsi="Noto Sans Symbols" w:cs="Noto Sans Symbols"/>
      <w:w w:val="100"/>
      <w:position w:val="0"/>
      <w:sz w:val="20"/>
      <w:szCs w:val="20"/>
      <w:u w:val="none"/>
      <w:effect w:val="none"/>
      <w:vertAlign w:val="baseline"/>
      <w:cs w:val="0"/>
      <w:em w:val="none"/>
    </w:rPr>
  </w:style>
  <w:style w:type="character" w:customStyle="1" w:styleId="WW8Num7z0">
    <w:name w:val="WW8Num7z0"/>
    <w:rPr>
      <w:rFonts w:ascii="Noto Sans Symbols" w:eastAsia="Noto Sans Symbols" w:hAnsi="Noto Sans Symbols" w:cs="Noto Sans Symbols"/>
      <w:w w:val="100"/>
      <w:position w:val="0"/>
      <w:sz w:val="20"/>
      <w:szCs w:val="20"/>
      <w:u w:val="none"/>
      <w:effect w:val="none"/>
      <w:vertAlign w:val="baseline"/>
      <w:cs w:val="0"/>
      <w:em w:val="none"/>
    </w:rPr>
  </w:style>
  <w:style w:type="character" w:customStyle="1" w:styleId="WW8Num8z0">
    <w:name w:val="WW8Num8z0"/>
    <w:rPr>
      <w:rFonts w:ascii="Noto Sans Symbols" w:eastAsia="Noto Sans Symbols" w:hAnsi="Noto Sans Symbols" w:cs="Noto Sans Symbols"/>
      <w:w w:val="100"/>
      <w:position w:val="0"/>
      <w:sz w:val="24"/>
      <w:u w:val="none"/>
      <w:effect w:val="none"/>
      <w:vertAlign w:val="baseline"/>
      <w:cs w:val="0"/>
      <w:em w:val="none"/>
    </w:rPr>
  </w:style>
  <w:style w:type="character" w:customStyle="1" w:styleId="WW8Num9z0">
    <w:name w:val="WW8Num9z0"/>
    <w:rPr>
      <w:w w:val="100"/>
      <w:position w:val="-1"/>
      <w:u w:val="none"/>
      <w:effect w:val="none"/>
      <w:vertAlign w:val="baseline"/>
      <w:cs w:val="0"/>
      <w:em w:val="none"/>
    </w:rPr>
  </w:style>
  <w:style w:type="character" w:customStyle="1" w:styleId="WW8Num10z0">
    <w:name w:val="WW8Num10z0"/>
    <w:rPr>
      <w:w w:val="100"/>
      <w:position w:val="-1"/>
      <w:u w:val="none"/>
      <w:effect w:val="none"/>
      <w:vertAlign w:val="baseline"/>
      <w:cs w:val="0"/>
      <w:em w:val="none"/>
    </w:rPr>
  </w:style>
  <w:style w:type="character" w:customStyle="1" w:styleId="WW8Num11z0">
    <w:name w:val="WW8Num11z0"/>
    <w:rPr>
      <w:rFonts w:ascii="Noto Sans Symbols" w:eastAsia="Noto Sans Symbols" w:hAnsi="Noto Sans Symbols" w:cs="Noto Sans Symbols"/>
      <w:w w:val="100"/>
      <w:position w:val="0"/>
      <w:sz w:val="20"/>
      <w:szCs w:val="20"/>
      <w:u w:val="none"/>
      <w:effect w:val="none"/>
      <w:vertAlign w:val="baseline"/>
      <w:cs w:val="0"/>
      <w:em w:val="none"/>
    </w:rPr>
  </w:style>
  <w:style w:type="character" w:customStyle="1" w:styleId="WW8Num12z0">
    <w:name w:val="WW8Num12z0"/>
    <w:rPr>
      <w:w w:val="100"/>
      <w:position w:val="-1"/>
      <w:u w:val="none"/>
      <w:effect w:val="none"/>
      <w:vertAlign w:val="baseline"/>
      <w:cs w:val="0"/>
      <w:em w:val="none"/>
    </w:rPr>
  </w:style>
  <w:style w:type="character" w:customStyle="1" w:styleId="WW8Num13z0">
    <w:name w:val="WW8Num13z0"/>
    <w:rPr>
      <w:rFonts w:ascii="Times New Roman" w:eastAsia="Times New Roman" w:hAnsi="Times New Roman" w:cs="Times New Roman"/>
      <w:w w:val="100"/>
      <w:position w:val="0"/>
      <w:sz w:val="24"/>
      <w:szCs w:val="24"/>
      <w:effect w:val="none"/>
      <w:vertAlign w:val="baseline"/>
      <w:cs w:val="0"/>
      <w:em w:val="none"/>
    </w:rPr>
  </w:style>
  <w:style w:type="character" w:customStyle="1" w:styleId="WW8Num13z1">
    <w:name w:val="WW8Num13z1"/>
    <w:rPr>
      <w:rFonts w:ascii="Noto Sans Symbols" w:eastAsia="Noto Sans Symbols" w:hAnsi="Noto Sans Symbols" w:cs="Noto Sans Symbols"/>
      <w:w w:val="100"/>
      <w:position w:val="0"/>
      <w:sz w:val="24"/>
      <w:effect w:val="none"/>
      <w:vertAlign w:val="baseline"/>
      <w:cs w:val="0"/>
      <w:em w:val="none"/>
    </w:rPr>
  </w:style>
  <w:style w:type="character" w:customStyle="1" w:styleId="WW8Num14z0">
    <w:name w:val="WW8Num14z0"/>
    <w:rPr>
      <w:rFonts w:ascii="Noto Sans Symbols" w:eastAsia="Noto Sans Symbols" w:hAnsi="Noto Sans Symbols" w:cs="Noto Sans Symbols"/>
      <w:w w:val="100"/>
      <w:position w:val="0"/>
      <w:sz w:val="24"/>
      <w:u w:val="none"/>
      <w:effect w:val="none"/>
      <w:vertAlign w:val="baseline"/>
      <w:cs w:val="0"/>
      <w:em w:val="none"/>
    </w:rPr>
  </w:style>
  <w:style w:type="character" w:customStyle="1" w:styleId="WW8Num15z0">
    <w:name w:val="WW8Num15z0"/>
    <w:rPr>
      <w:rFonts w:ascii="Noto Sans Symbols" w:eastAsia="Noto Sans Symbols" w:hAnsi="Noto Sans Symbols" w:cs="Noto Sans Symbols"/>
      <w:w w:val="100"/>
      <w:position w:val="0"/>
      <w:sz w:val="24"/>
      <w:u w:val="none"/>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WW8Num1z1">
    <w:name w:val="WW8Num1z1"/>
    <w:rPr>
      <w:rFonts w:ascii="Wingdings 2" w:hAnsi="Wingdings 2" w:cs="Wingdings 2"/>
      <w:w w:val="100"/>
      <w:position w:val="0"/>
      <w:sz w:val="24"/>
      <w:u w:val="none"/>
      <w:effect w:val="none"/>
      <w:vertAlign w:val="baseline"/>
      <w:cs w:val="0"/>
      <w:em w:val="none"/>
    </w:rPr>
  </w:style>
  <w:style w:type="character" w:customStyle="1" w:styleId="WW8Num1z2">
    <w:name w:val="WW8Num1z2"/>
    <w:rPr>
      <w:rFonts w:ascii="OpenSymbol" w:hAnsi="OpenSymbol" w:cs="OpenSymbol"/>
      <w:w w:val="100"/>
      <w:position w:val="0"/>
      <w:sz w:val="24"/>
      <w:u w:val="none"/>
      <w:effect w:val="none"/>
      <w:vertAlign w:val="baseline"/>
      <w:cs w:val="0"/>
      <w:em w:val="none"/>
    </w:rPr>
  </w:style>
  <w:style w:type="character" w:customStyle="1" w:styleId="WW8Num2z1">
    <w:name w:val="WW8Num2z1"/>
    <w:rPr>
      <w:rFonts w:ascii="OpenSymbol" w:hAnsi="OpenSymbol" w:cs="OpenSymbol"/>
      <w:w w:val="100"/>
      <w:position w:val="0"/>
      <w:sz w:val="24"/>
      <w:effect w:val="none"/>
      <w:vertAlign w:val="baseline"/>
      <w:cs w:val="0"/>
      <w:em w:val="none"/>
    </w:rPr>
  </w:style>
  <w:style w:type="character" w:customStyle="1" w:styleId="WW8Num3z1">
    <w:name w:val="WW8Num3z1"/>
    <w:rPr>
      <w:rFonts w:ascii="Wingdings 2" w:hAnsi="Wingdings 2" w:cs="Wingdings 2"/>
      <w:w w:val="100"/>
      <w:position w:val="0"/>
      <w:sz w:val="24"/>
      <w:u w:val="none"/>
      <w:effect w:val="none"/>
      <w:vertAlign w:val="baseline"/>
      <w:cs w:val="0"/>
      <w:em w:val="none"/>
    </w:rPr>
  </w:style>
  <w:style w:type="character" w:customStyle="1" w:styleId="WW8Num3z2">
    <w:name w:val="WW8Num3z2"/>
    <w:rPr>
      <w:rFonts w:ascii="OpenSymbol" w:hAnsi="OpenSymbol" w:cs="OpenSymbol"/>
      <w:w w:val="100"/>
      <w:position w:val="0"/>
      <w:sz w:val="24"/>
      <w:u w:val="none"/>
      <w:effect w:val="none"/>
      <w:vertAlign w:val="baseline"/>
      <w:cs w:val="0"/>
      <w:em w:val="none"/>
    </w:rPr>
  </w:style>
  <w:style w:type="character" w:customStyle="1" w:styleId="WW8Num6z1">
    <w:name w:val="WW8Num6z1"/>
    <w:rPr>
      <w:rFonts w:ascii="Wingdings 2" w:hAnsi="Wingdings 2" w:cs="Wingdings 2"/>
      <w:w w:val="100"/>
      <w:position w:val="0"/>
      <w:sz w:val="24"/>
      <w:u w:val="none"/>
      <w:effect w:val="none"/>
      <w:vertAlign w:val="baseline"/>
      <w:cs w:val="0"/>
      <w:em w:val="none"/>
    </w:rPr>
  </w:style>
  <w:style w:type="character" w:customStyle="1" w:styleId="WW8Num6z2">
    <w:name w:val="WW8Num6z2"/>
    <w:rPr>
      <w:rFonts w:ascii="OpenSymbol" w:hAnsi="OpenSymbol" w:cs="OpenSymbol"/>
      <w:w w:val="100"/>
      <w:position w:val="0"/>
      <w:sz w:val="24"/>
      <w:u w:val="none"/>
      <w:effect w:val="none"/>
      <w:vertAlign w:val="baseline"/>
      <w:cs w:val="0"/>
      <w:em w:val="none"/>
    </w:rPr>
  </w:style>
  <w:style w:type="character" w:customStyle="1" w:styleId="WW8Num9z1">
    <w:name w:val="WW8Num9z1"/>
    <w:rPr>
      <w:rFonts w:ascii="Wingdings 2" w:hAnsi="Wingdings 2" w:cs="Wingdings 2"/>
      <w:w w:val="100"/>
      <w:position w:val="0"/>
      <w:sz w:val="24"/>
      <w:u w:val="none"/>
      <w:effect w:val="none"/>
      <w:vertAlign w:val="baseline"/>
      <w:cs w:val="0"/>
      <w:em w:val="none"/>
    </w:rPr>
  </w:style>
  <w:style w:type="character" w:customStyle="1" w:styleId="WW8Num9z2">
    <w:name w:val="WW8Num9z2"/>
    <w:rPr>
      <w:rFonts w:ascii="OpenSymbol" w:hAnsi="OpenSymbol" w:cs="OpenSymbol"/>
      <w:w w:val="100"/>
      <w:position w:val="0"/>
      <w:sz w:val="24"/>
      <w:u w:val="none"/>
      <w:effect w:val="none"/>
      <w:vertAlign w:val="baseline"/>
      <w:cs w:val="0"/>
      <w:em w:val="none"/>
    </w:rPr>
  </w:style>
  <w:style w:type="character" w:customStyle="1" w:styleId="WW8Num10z1">
    <w:name w:val="WW8Num10z1"/>
    <w:rPr>
      <w:rFonts w:ascii="Wingdings 2" w:hAnsi="Wingdings 2" w:cs="Wingdings 2"/>
      <w:w w:val="100"/>
      <w:position w:val="0"/>
      <w:sz w:val="24"/>
      <w:u w:val="none"/>
      <w:effect w:val="none"/>
      <w:vertAlign w:val="baseline"/>
      <w:cs w:val="0"/>
      <w:em w:val="none"/>
    </w:rPr>
  </w:style>
  <w:style w:type="character" w:customStyle="1" w:styleId="WW8Num10z2">
    <w:name w:val="WW8Num10z2"/>
    <w:rPr>
      <w:rFonts w:ascii="OpenSymbol" w:hAnsi="OpenSymbol" w:cs="OpenSymbol"/>
      <w:w w:val="100"/>
      <w:position w:val="0"/>
      <w:sz w:val="24"/>
      <w:u w:val="none"/>
      <w:effect w:val="none"/>
      <w:vertAlign w:val="baseline"/>
      <w:cs w:val="0"/>
      <w:em w:val="none"/>
    </w:rPr>
  </w:style>
  <w:style w:type="character" w:customStyle="1" w:styleId="WW8Num11z1">
    <w:name w:val="WW8Num11z1"/>
    <w:rPr>
      <w:rFonts w:ascii="Wingdings 2" w:hAnsi="Wingdings 2" w:cs="Wingdings 2"/>
      <w:w w:val="100"/>
      <w:position w:val="0"/>
      <w:sz w:val="24"/>
      <w:u w:val="none"/>
      <w:effect w:val="none"/>
      <w:vertAlign w:val="baseline"/>
      <w:cs w:val="0"/>
      <w:em w:val="none"/>
    </w:rPr>
  </w:style>
  <w:style w:type="character" w:customStyle="1" w:styleId="WW8Num11z2">
    <w:name w:val="WW8Num11z2"/>
    <w:rPr>
      <w:rFonts w:ascii="OpenSymbol" w:hAnsi="OpenSymbol" w:cs="OpenSymbol"/>
      <w:w w:val="100"/>
      <w:position w:val="0"/>
      <w:sz w:val="24"/>
      <w:u w:val="none"/>
      <w:effect w:val="none"/>
      <w:vertAlign w:val="baseline"/>
      <w:cs w:val="0"/>
      <w:em w:val="none"/>
    </w:rPr>
  </w:style>
  <w:style w:type="character" w:customStyle="1" w:styleId="WW8Num12z1">
    <w:name w:val="WW8Num12z1"/>
    <w:rPr>
      <w:rFonts w:ascii="Wingdings 2" w:hAnsi="Wingdings 2" w:cs="Wingdings 2"/>
      <w:w w:val="100"/>
      <w:position w:val="0"/>
      <w:sz w:val="24"/>
      <w:u w:val="none"/>
      <w:effect w:val="none"/>
      <w:vertAlign w:val="baseline"/>
      <w:cs w:val="0"/>
      <w:em w:val="none"/>
    </w:rPr>
  </w:style>
  <w:style w:type="character" w:customStyle="1" w:styleId="WW8Num12z2">
    <w:name w:val="WW8Num12z2"/>
    <w:rPr>
      <w:rFonts w:ascii="OpenSymbol" w:hAnsi="OpenSymbol" w:cs="OpenSymbol"/>
      <w:w w:val="100"/>
      <w:position w:val="0"/>
      <w:sz w:val="24"/>
      <w:u w:val="none"/>
      <w:effect w:val="none"/>
      <w:vertAlign w:val="baseline"/>
      <w:cs w:val="0"/>
      <w:em w:val="none"/>
    </w:rPr>
  </w:style>
  <w:style w:type="character" w:customStyle="1" w:styleId="WW8Num13z2">
    <w:name w:val="WW8Num13z2"/>
    <w:rPr>
      <w:rFonts w:ascii="OpenSymbol" w:hAnsi="OpenSymbol" w:cs="OpenSymbol"/>
      <w:w w:val="100"/>
      <w:position w:val="0"/>
      <w:sz w:val="24"/>
      <w:u w:val="none"/>
      <w:effect w:val="none"/>
      <w:vertAlign w:val="baseline"/>
      <w:cs w:val="0"/>
      <w:em w:val="none"/>
    </w:rPr>
  </w:style>
  <w:style w:type="character" w:customStyle="1" w:styleId="WW8Num14z1">
    <w:name w:val="WW8Num14z1"/>
    <w:rPr>
      <w:w w:val="100"/>
      <w:position w:val="0"/>
      <w:sz w:val="24"/>
      <w:effect w:val="none"/>
      <w:vertAlign w:val="baseline"/>
      <w:cs w:val="0"/>
      <w:em w:val="none"/>
    </w:rPr>
  </w:style>
  <w:style w:type="character" w:customStyle="1" w:styleId="WW8Num14z2">
    <w:name w:val="WW8Num14z2"/>
    <w:rPr>
      <w:w w:val="100"/>
      <w:position w:val="0"/>
      <w:sz w:val="24"/>
      <w:effect w:val="none"/>
      <w:vertAlign w:val="baseline"/>
      <w:cs w:val="0"/>
      <w:em w:val="none"/>
    </w:rPr>
  </w:style>
  <w:style w:type="character" w:customStyle="1" w:styleId="WW8Num14z3">
    <w:name w:val="WW8Num14z3"/>
    <w:rPr>
      <w:w w:val="100"/>
      <w:position w:val="0"/>
      <w:sz w:val="24"/>
      <w:effect w:val="none"/>
      <w:vertAlign w:val="baseline"/>
      <w:cs w:val="0"/>
      <w:em w:val="none"/>
    </w:rPr>
  </w:style>
  <w:style w:type="character" w:customStyle="1" w:styleId="WW8Num14z4">
    <w:name w:val="WW8Num14z4"/>
    <w:rPr>
      <w:w w:val="100"/>
      <w:position w:val="0"/>
      <w:sz w:val="24"/>
      <w:effect w:val="none"/>
      <w:vertAlign w:val="baseline"/>
      <w:cs w:val="0"/>
      <w:em w:val="none"/>
    </w:rPr>
  </w:style>
  <w:style w:type="character" w:customStyle="1" w:styleId="WW8Num14z5">
    <w:name w:val="WW8Num14z5"/>
    <w:rPr>
      <w:w w:val="100"/>
      <w:position w:val="0"/>
      <w:sz w:val="24"/>
      <w:effect w:val="none"/>
      <w:vertAlign w:val="baseline"/>
      <w:cs w:val="0"/>
      <w:em w:val="none"/>
    </w:rPr>
  </w:style>
  <w:style w:type="character" w:customStyle="1" w:styleId="WW8Num14z6">
    <w:name w:val="WW8Num14z6"/>
    <w:rPr>
      <w:w w:val="100"/>
      <w:position w:val="0"/>
      <w:sz w:val="24"/>
      <w:effect w:val="none"/>
      <w:vertAlign w:val="baseline"/>
      <w:cs w:val="0"/>
      <w:em w:val="none"/>
    </w:rPr>
  </w:style>
  <w:style w:type="character" w:customStyle="1" w:styleId="WW8Num14z7">
    <w:name w:val="WW8Num14z7"/>
    <w:rPr>
      <w:w w:val="100"/>
      <w:position w:val="0"/>
      <w:sz w:val="24"/>
      <w:effect w:val="none"/>
      <w:vertAlign w:val="baseline"/>
      <w:cs w:val="0"/>
      <w:em w:val="none"/>
    </w:rPr>
  </w:style>
  <w:style w:type="character" w:customStyle="1" w:styleId="WW8Num14z8">
    <w:name w:val="WW8Num14z8"/>
    <w:rPr>
      <w:w w:val="100"/>
      <w:position w:val="0"/>
      <w:sz w:val="24"/>
      <w:effect w:val="none"/>
      <w:vertAlign w:val="baseline"/>
      <w:cs w:val="0"/>
      <w:em w:val="none"/>
    </w:rPr>
  </w:style>
  <w:style w:type="character" w:customStyle="1" w:styleId="Ttulo1Car">
    <w:name w:val="Título 1 Car"/>
    <w:rPr>
      <w:rFonts w:ascii="Cambria" w:hAnsi="Cambria" w:cs="Times New Roman"/>
      <w:b/>
      <w:bCs/>
      <w:w w:val="100"/>
      <w:kern w:val="2"/>
      <w:position w:val="0"/>
      <w:sz w:val="32"/>
      <w:szCs w:val="32"/>
      <w:effect w:val="none"/>
      <w:vertAlign w:val="baseline"/>
      <w:cs w:val="0"/>
      <w:em w:val="none"/>
    </w:rPr>
  </w:style>
  <w:style w:type="character" w:customStyle="1" w:styleId="Ttulo2Car">
    <w:name w:val="Título 2 Car"/>
    <w:rPr>
      <w:rFonts w:ascii="Cambria" w:hAnsi="Cambria" w:cs="Times New Roman"/>
      <w:b/>
      <w:bCs/>
      <w:i/>
      <w:iCs/>
      <w:w w:val="100"/>
      <w:position w:val="0"/>
      <w:sz w:val="28"/>
      <w:szCs w:val="28"/>
      <w:effect w:val="none"/>
      <w:vertAlign w:val="baseline"/>
      <w:cs w:val="0"/>
      <w:em w:val="none"/>
    </w:rPr>
  </w:style>
  <w:style w:type="character" w:customStyle="1" w:styleId="Ttulo3Car">
    <w:name w:val="Título 3 Car"/>
    <w:rPr>
      <w:rFonts w:ascii="Cambria" w:hAnsi="Cambria" w:cs="Times New Roman"/>
      <w:b/>
      <w:bCs/>
      <w:w w:val="100"/>
      <w:position w:val="0"/>
      <w:sz w:val="26"/>
      <w:szCs w:val="26"/>
      <w:effect w:val="none"/>
      <w:vertAlign w:val="baseline"/>
      <w:cs w:val="0"/>
      <w:em w:val="none"/>
    </w:rPr>
  </w:style>
  <w:style w:type="character" w:customStyle="1" w:styleId="Ttulo4Car">
    <w:name w:val="Título 4 Car"/>
    <w:rPr>
      <w:rFonts w:ascii="Calibri" w:hAnsi="Calibri" w:cs="Times New Roman"/>
      <w:b/>
      <w:bCs/>
      <w:w w:val="100"/>
      <w:position w:val="0"/>
      <w:sz w:val="28"/>
      <w:szCs w:val="28"/>
      <w:effect w:val="none"/>
      <w:vertAlign w:val="baseline"/>
      <w:cs w:val="0"/>
      <w:em w:val="none"/>
    </w:rPr>
  </w:style>
  <w:style w:type="character" w:customStyle="1" w:styleId="Ttulo5Car">
    <w:name w:val="Título 5 Car"/>
    <w:rPr>
      <w:rFonts w:ascii="Calibri" w:hAnsi="Calibri" w:cs="Times New Roman"/>
      <w:b/>
      <w:bCs/>
      <w:i/>
      <w:iCs/>
      <w:w w:val="100"/>
      <w:position w:val="0"/>
      <w:sz w:val="26"/>
      <w:szCs w:val="26"/>
      <w:effect w:val="none"/>
      <w:vertAlign w:val="baseline"/>
      <w:cs w:val="0"/>
      <w:em w:val="none"/>
    </w:rPr>
  </w:style>
  <w:style w:type="character" w:customStyle="1" w:styleId="Ttulo6Car">
    <w:name w:val="Título 6 Car"/>
    <w:rPr>
      <w:rFonts w:ascii="Calibri" w:hAnsi="Calibri" w:cs="Times New Roman"/>
      <w:b/>
      <w:bCs/>
      <w:w w:val="100"/>
      <w:position w:val="0"/>
      <w:sz w:val="22"/>
      <w:szCs w:val="22"/>
      <w:effect w:val="none"/>
      <w:vertAlign w:val="baseline"/>
      <w:cs w:val="0"/>
      <w:em w:val="none"/>
    </w:rPr>
  </w:style>
  <w:style w:type="character" w:customStyle="1" w:styleId="Ttulo7Car">
    <w:name w:val="Título 7 Car"/>
    <w:rPr>
      <w:rFonts w:ascii="Calibri" w:hAnsi="Calibri" w:cs="Times New Roman"/>
      <w:w w:val="100"/>
      <w:position w:val="0"/>
      <w:sz w:val="24"/>
      <w:szCs w:val="24"/>
      <w:effect w:val="none"/>
      <w:vertAlign w:val="baseline"/>
      <w:cs w:val="0"/>
      <w:em w:val="none"/>
    </w:rPr>
  </w:style>
  <w:style w:type="character" w:customStyle="1" w:styleId="Ttulo8Car">
    <w:name w:val="Título 8 Car"/>
    <w:rPr>
      <w:rFonts w:ascii="Calibri" w:hAnsi="Calibri" w:cs="Times New Roman"/>
      <w:i/>
      <w:iCs/>
      <w:w w:val="100"/>
      <w:position w:val="0"/>
      <w:sz w:val="24"/>
      <w:szCs w:val="24"/>
      <w:effect w:val="none"/>
      <w:vertAlign w:val="baseline"/>
      <w:cs w:val="0"/>
      <w:em w:val="none"/>
    </w:rPr>
  </w:style>
  <w:style w:type="character" w:customStyle="1" w:styleId="Ttulo9Car">
    <w:name w:val="Título 9 Car"/>
    <w:rPr>
      <w:rFonts w:ascii="Cambria" w:hAnsi="Cambria" w:cs="Times New Roman"/>
      <w:w w:val="100"/>
      <w:position w:val="0"/>
      <w:sz w:val="22"/>
      <w:szCs w:val="22"/>
      <w:effect w:val="none"/>
      <w:vertAlign w:val="baseline"/>
      <w:cs w:val="0"/>
      <w:em w:val="none"/>
    </w:rPr>
  </w:style>
  <w:style w:type="character" w:customStyle="1" w:styleId="TextodegloboCar">
    <w:name w:val="Texto de globo Car"/>
    <w:rPr>
      <w:w w:val="100"/>
      <w:position w:val="0"/>
      <w:sz w:val="2"/>
      <w:effect w:val="none"/>
      <w:vertAlign w:val="baseline"/>
      <w:cs w:val="0"/>
      <w:em w:val="none"/>
    </w:rPr>
  </w:style>
  <w:style w:type="character" w:styleId="Hipervnculo">
    <w:name w:val="Hyperlink"/>
    <w:rPr>
      <w:color w:val="0000FF"/>
      <w:w w:val="100"/>
      <w:position w:val="0"/>
      <w:sz w:val="24"/>
      <w:u w:val="single"/>
      <w:effect w:val="none"/>
      <w:vertAlign w:val="baseline"/>
      <w:cs w:val="0"/>
      <w:em w:val="none"/>
    </w:rPr>
  </w:style>
  <w:style w:type="character" w:customStyle="1" w:styleId="TtuloCar">
    <w:name w:val="Título Car"/>
    <w:rPr>
      <w:rFonts w:ascii="Cambria" w:hAnsi="Cambria" w:cs="Times New Roman"/>
      <w:b/>
      <w:bCs/>
      <w:w w:val="100"/>
      <w:kern w:val="2"/>
      <w:position w:val="0"/>
      <w:sz w:val="32"/>
      <w:szCs w:val="32"/>
      <w:effect w:val="none"/>
      <w:vertAlign w:val="baseline"/>
      <w:cs w:val="0"/>
      <w:em w:val="none"/>
    </w:rPr>
  </w:style>
  <w:style w:type="character" w:customStyle="1" w:styleId="SangradetextonormalCar">
    <w:name w:val="Sangría de texto normal Car"/>
    <w:rPr>
      <w:w w:val="100"/>
      <w:position w:val="0"/>
      <w:sz w:val="24"/>
      <w:szCs w:val="24"/>
      <w:effect w:val="none"/>
      <w:vertAlign w:val="baseline"/>
      <w:cs w:val="0"/>
      <w:em w:val="none"/>
    </w:rPr>
  </w:style>
  <w:style w:type="character" w:customStyle="1" w:styleId="TextoindependienteCar">
    <w:name w:val="Texto independiente Car"/>
    <w:rPr>
      <w:w w:val="100"/>
      <w:position w:val="0"/>
      <w:sz w:val="24"/>
      <w:szCs w:val="24"/>
      <w:effect w:val="none"/>
      <w:vertAlign w:val="baseline"/>
      <w:cs w:val="0"/>
      <w:em w:val="none"/>
    </w:rPr>
  </w:style>
  <w:style w:type="character" w:customStyle="1" w:styleId="EncabezadoCar">
    <w:name w:val="Encabezado Car"/>
    <w:rPr>
      <w:w w:val="100"/>
      <w:position w:val="0"/>
      <w:sz w:val="24"/>
      <w:szCs w:val="24"/>
      <w:effect w:val="none"/>
      <w:vertAlign w:val="baseline"/>
      <w:cs w:val="0"/>
      <w:em w:val="none"/>
    </w:rPr>
  </w:style>
  <w:style w:type="character" w:customStyle="1" w:styleId="PiedepginaCar">
    <w:name w:val="Pie de página Car"/>
    <w:rPr>
      <w:w w:val="100"/>
      <w:position w:val="0"/>
      <w:sz w:val="24"/>
      <w:szCs w:val="24"/>
      <w:effect w:val="none"/>
      <w:vertAlign w:val="baseline"/>
      <w:cs w:val="0"/>
      <w:em w:val="none"/>
    </w:rPr>
  </w:style>
  <w:style w:type="character" w:styleId="Nmerodepgina">
    <w:name w:val="page number"/>
    <w:rPr>
      <w:w w:val="100"/>
      <w:position w:val="0"/>
      <w:sz w:val="24"/>
      <w:effect w:val="none"/>
      <w:vertAlign w:val="baseline"/>
      <w:cs w:val="0"/>
      <w:em w:val="none"/>
    </w:rPr>
  </w:style>
  <w:style w:type="character" w:customStyle="1" w:styleId="Textoindependiente2Car">
    <w:name w:val="Texto independiente 2 Car"/>
    <w:rPr>
      <w:w w:val="100"/>
      <w:position w:val="0"/>
      <w:sz w:val="24"/>
      <w:szCs w:val="24"/>
      <w:effect w:val="none"/>
      <w:vertAlign w:val="baseline"/>
      <w:cs w:val="0"/>
      <w:em w:val="none"/>
    </w:rPr>
  </w:style>
  <w:style w:type="character" w:styleId="Hipervnculovisitado">
    <w:name w:val="FollowedHyperlink"/>
    <w:rPr>
      <w:color w:val="800080"/>
      <w:w w:val="100"/>
      <w:position w:val="0"/>
      <w:sz w:val="24"/>
      <w:u w:val="single"/>
      <w:effect w:val="none"/>
      <w:vertAlign w:val="baseline"/>
      <w:cs w:val="0"/>
      <w:em w:val="none"/>
    </w:rPr>
  </w:style>
  <w:style w:type="character" w:customStyle="1" w:styleId="Textoindependiente3Car">
    <w:name w:val="Texto independiente 3 Car"/>
    <w:rPr>
      <w:w w:val="100"/>
      <w:position w:val="0"/>
      <w:sz w:val="16"/>
      <w:szCs w:val="16"/>
      <w:effect w:val="none"/>
      <w:vertAlign w:val="baseline"/>
      <w:cs w:val="0"/>
      <w:em w:val="none"/>
    </w:rPr>
  </w:style>
  <w:style w:type="character" w:customStyle="1" w:styleId="t101">
    <w:name w:val="t101"/>
    <w:rPr>
      <w:rFonts w:ascii="Arial" w:hAnsi="Arial" w:cs="Arial"/>
      <w:w w:val="100"/>
      <w:position w:val="0"/>
      <w:sz w:val="24"/>
      <w:szCs w:val="24"/>
      <w:effect w:val="none"/>
      <w:vertAlign w:val="baseline"/>
      <w:cs w:val="0"/>
      <w:em w:val="none"/>
    </w:rPr>
  </w:style>
  <w:style w:type="character" w:styleId="Textoennegrita">
    <w:name w:val="Strong"/>
    <w:rPr>
      <w:b/>
      <w:bCs/>
      <w:w w:val="100"/>
      <w:position w:val="0"/>
      <w:sz w:val="24"/>
      <w:effect w:val="none"/>
      <w:vertAlign w:val="baseline"/>
      <w:cs w:val="0"/>
      <w:em w:val="none"/>
    </w:rPr>
  </w:style>
  <w:style w:type="character" w:customStyle="1" w:styleId="para1">
    <w:name w:val="para1"/>
    <w:rPr>
      <w:rFonts w:ascii="Arial" w:hAnsi="Arial" w:cs="Arial"/>
      <w:w w:val="100"/>
      <w:position w:val="0"/>
      <w:sz w:val="19"/>
      <w:szCs w:val="19"/>
      <w:effect w:val="none"/>
      <w:vertAlign w:val="baseline"/>
      <w:cs w:val="0"/>
      <w:em w:val="none"/>
    </w:rPr>
  </w:style>
  <w:style w:type="character" w:customStyle="1" w:styleId="z-PrincipiodelformularioCar">
    <w:name w:val="z-Principio del formulario Car"/>
    <w:rPr>
      <w:rFonts w:ascii="Arial" w:hAnsi="Arial" w:cs="Arial"/>
      <w:vanish/>
      <w:w w:val="100"/>
      <w:position w:val="0"/>
      <w:sz w:val="16"/>
      <w:szCs w:val="16"/>
      <w:effect w:val="none"/>
      <w:vertAlign w:val="baseline"/>
      <w:cs w:val="0"/>
      <w:em w:val="none"/>
    </w:rPr>
  </w:style>
  <w:style w:type="character" w:customStyle="1" w:styleId="Sangra3detindependienteCar">
    <w:name w:val="Sangría 3 de t. independiente Car"/>
    <w:rPr>
      <w:w w:val="100"/>
      <w:position w:val="0"/>
      <w:sz w:val="16"/>
      <w:szCs w:val="16"/>
      <w:effect w:val="none"/>
      <w:vertAlign w:val="baseline"/>
      <w:cs w:val="0"/>
      <w:em w:val="none"/>
    </w:rPr>
  </w:style>
  <w:style w:type="character" w:customStyle="1" w:styleId="TextosinformatoCar">
    <w:name w:val="Texto sin formato Car"/>
    <w:rPr>
      <w:rFonts w:ascii="Courier New" w:hAnsi="Courier New" w:cs="Courier New"/>
      <w:w w:val="100"/>
      <w:position w:val="0"/>
      <w:sz w:val="24"/>
      <w:effect w:val="none"/>
      <w:vertAlign w:val="baseline"/>
      <w:cs w:val="0"/>
      <w:em w:val="none"/>
    </w:rPr>
  </w:style>
  <w:style w:type="character" w:styleId="nfasis">
    <w:name w:val="Emphasis"/>
    <w:rPr>
      <w:i/>
      <w:iCs/>
      <w:w w:val="100"/>
      <w:position w:val="0"/>
      <w:sz w:val="24"/>
      <w:effect w:val="none"/>
      <w:vertAlign w:val="baseline"/>
      <w:cs w:val="0"/>
      <w:em w:val="none"/>
    </w:rPr>
  </w:style>
  <w:style w:type="character" w:customStyle="1" w:styleId="CitadestacadaCar">
    <w:name w:val="Cita destacada Car"/>
    <w:rPr>
      <w:b/>
      <w:bCs/>
      <w:i/>
      <w:iCs/>
      <w:color w:val="4F81BD"/>
      <w:w w:val="100"/>
      <w:position w:val="0"/>
      <w:sz w:val="24"/>
      <w:szCs w:val="24"/>
      <w:effect w:val="none"/>
      <w:vertAlign w:val="baseline"/>
      <w:cs w:val="0"/>
      <w:em w:val="none"/>
      <w:lang w:val="es-ES" w:bidi="ar-SA"/>
    </w:rPr>
  </w:style>
  <w:style w:type="character" w:customStyle="1" w:styleId="st1">
    <w:name w:val="st1"/>
    <w:rPr>
      <w:w w:val="100"/>
      <w:position w:val="0"/>
      <w:sz w:val="24"/>
      <w:effect w:val="none"/>
      <w:vertAlign w:val="baseline"/>
      <w:cs w:val="0"/>
      <w:em w:val="none"/>
    </w:rPr>
  </w:style>
  <w:style w:type="character" w:customStyle="1" w:styleId="A6">
    <w:name w:val="A6"/>
    <w:rPr>
      <w:color w:val="000000"/>
      <w:w w:val="100"/>
      <w:position w:val="0"/>
      <w:sz w:val="18"/>
      <w:szCs w:val="18"/>
      <w:effect w:val="none"/>
      <w:vertAlign w:val="baseline"/>
      <w:cs w:val="0"/>
      <w:em w:val="none"/>
    </w:rPr>
  </w:style>
  <w:style w:type="character" w:customStyle="1" w:styleId="Caracteresdenotafinal">
    <w:name w:val="Caracteres de nota final"/>
    <w:rPr>
      <w:w w:val="100"/>
      <w:position w:val="-1"/>
      <w:effect w:val="none"/>
      <w:vertAlign w:val="superscript"/>
      <w:cs w:val="0"/>
      <w:em w:val="none"/>
    </w:rPr>
  </w:style>
  <w:style w:type="character" w:customStyle="1" w:styleId="EndnoteCharacters">
    <w:name w:val="Endnote Characters"/>
    <w:rPr>
      <w:w w:val="100"/>
      <w:position w:val="-1"/>
      <w:effect w:val="none"/>
      <w:vertAlign w:val="superscript"/>
      <w:cs w:val="0"/>
      <w:em w:val="none"/>
    </w:rPr>
  </w:style>
  <w:style w:type="character" w:customStyle="1" w:styleId="sel1348427992542">
    <w:name w:val="sel_1348427992542"/>
    <w:rPr>
      <w:w w:val="100"/>
      <w:position w:val="0"/>
      <w:sz w:val="24"/>
      <w:effect w:val="none"/>
      <w:vertAlign w:val="baseline"/>
      <w:cs w:val="0"/>
      <w:em w:val="none"/>
    </w:rPr>
  </w:style>
  <w:style w:type="character" w:customStyle="1" w:styleId="Refdecomentario1">
    <w:name w:val="Ref. de comentario1"/>
    <w:rPr>
      <w:w w:val="100"/>
      <w:position w:val="0"/>
      <w:sz w:val="16"/>
      <w:szCs w:val="16"/>
      <w:effect w:val="none"/>
      <w:vertAlign w:val="baseline"/>
      <w:cs w:val="0"/>
      <w:em w:val="none"/>
    </w:rPr>
  </w:style>
  <w:style w:type="character" w:customStyle="1" w:styleId="HeaderChar">
    <w:name w:val="Header Char"/>
    <w:rPr>
      <w:w w:val="100"/>
      <w:position w:val="0"/>
      <w:sz w:val="24"/>
      <w:szCs w:val="24"/>
      <w:effect w:val="none"/>
      <w:vertAlign w:val="baseline"/>
      <w:cs w:val="0"/>
      <w:em w:val="none"/>
    </w:rPr>
  </w:style>
  <w:style w:type="character" w:styleId="CitaHTML">
    <w:name w:val="HTML Cite"/>
    <w:rPr>
      <w:color w:val="009933"/>
      <w:w w:val="100"/>
      <w:position w:val="0"/>
      <w:sz w:val="24"/>
      <w:effect w:val="none"/>
      <w:vertAlign w:val="baseline"/>
      <w:cs w:val="0"/>
      <w:em w:val="none"/>
    </w:rPr>
  </w:style>
  <w:style w:type="character" w:customStyle="1" w:styleId="yiv1702884738149114909-15062012">
    <w:name w:val="yiv1702884738149114909-15062012"/>
    <w:rPr>
      <w:w w:val="100"/>
      <w:position w:val="0"/>
      <w:sz w:val="24"/>
      <w:effect w:val="none"/>
      <w:vertAlign w:val="baseline"/>
      <w:cs w:val="0"/>
      <w:em w:val="none"/>
    </w:rPr>
  </w:style>
  <w:style w:type="character" w:customStyle="1" w:styleId="highlight">
    <w:name w:val="highlight"/>
    <w:rPr>
      <w:w w:val="100"/>
      <w:position w:val="0"/>
      <w:sz w:val="24"/>
      <w:effect w:val="none"/>
      <w:vertAlign w:val="baseline"/>
      <w:cs w:val="0"/>
      <w:em w:val="none"/>
    </w:rPr>
  </w:style>
  <w:style w:type="character" w:customStyle="1" w:styleId="CarCar22">
    <w:name w:val="Car Car22"/>
    <w:rPr>
      <w:rFonts w:ascii="Cambria" w:hAnsi="Cambria" w:cs="Times New Roman"/>
      <w:b/>
      <w:bCs/>
      <w:w w:val="100"/>
      <w:kern w:val="2"/>
      <w:position w:val="0"/>
      <w:sz w:val="32"/>
      <w:szCs w:val="32"/>
      <w:effect w:val="none"/>
      <w:vertAlign w:val="baseline"/>
      <w:cs w:val="0"/>
      <w:em w:val="none"/>
    </w:rPr>
  </w:style>
  <w:style w:type="character" w:customStyle="1" w:styleId="A2">
    <w:name w:val="A2"/>
    <w:rPr>
      <w:rFonts w:ascii="DZMIPA+HelveticaNeue-Medium" w:hAnsi="DZMIPA+HelveticaNeue-Medium" w:cs="DZMIPA+HelveticaNeue-Medium"/>
      <w:color w:val="000000"/>
      <w:w w:val="100"/>
      <w:position w:val="0"/>
      <w:sz w:val="16"/>
      <w:szCs w:val="16"/>
      <w:effect w:val="none"/>
      <w:vertAlign w:val="baseline"/>
      <w:cs w:val="0"/>
      <w:em w:val="none"/>
    </w:rPr>
  </w:style>
  <w:style w:type="character" w:customStyle="1" w:styleId="longtext">
    <w:name w:val="long_text"/>
    <w:rPr>
      <w:w w:val="100"/>
      <w:position w:val="0"/>
      <w:sz w:val="24"/>
      <w:effect w:val="none"/>
      <w:vertAlign w:val="baseline"/>
      <w:cs w:val="0"/>
      <w:em w:val="none"/>
    </w:rPr>
  </w:style>
  <w:style w:type="character" w:customStyle="1" w:styleId="hps">
    <w:name w:val="hps"/>
    <w:rPr>
      <w:w w:val="100"/>
      <w:position w:val="0"/>
      <w:sz w:val="24"/>
      <w:effect w:val="none"/>
      <w:vertAlign w:val="baseline"/>
      <w:cs w:val="0"/>
      <w:em w:val="none"/>
    </w:rPr>
  </w:style>
  <w:style w:type="character" w:customStyle="1" w:styleId="hpsatn">
    <w:name w:val="hps atn"/>
    <w:rPr>
      <w:w w:val="100"/>
      <w:position w:val="0"/>
      <w:sz w:val="24"/>
      <w:effect w:val="none"/>
      <w:vertAlign w:val="baseline"/>
      <w:cs w:val="0"/>
      <w:em w:val="none"/>
    </w:rPr>
  </w:style>
  <w:style w:type="character" w:customStyle="1" w:styleId="Caracteresdenotaalpie">
    <w:name w:val="Caracteres de nota al pie"/>
    <w:rPr>
      <w:w w:val="100"/>
      <w:position w:val="-1"/>
      <w:effect w:val="none"/>
      <w:vertAlign w:val="superscript"/>
      <w:cs w:val="0"/>
      <w:em w:val="none"/>
    </w:rPr>
  </w:style>
  <w:style w:type="character" w:customStyle="1" w:styleId="FootnoteCharacters">
    <w:name w:val="Footnote Characters"/>
    <w:rPr>
      <w:w w:val="100"/>
      <w:position w:val="-1"/>
      <w:effect w:val="none"/>
      <w:vertAlign w:val="superscript"/>
      <w:cs w:val="0"/>
      <w:em w:val="none"/>
    </w:rPr>
  </w:style>
  <w:style w:type="character" w:customStyle="1" w:styleId="A7">
    <w:name w:val="A7"/>
    <w:rPr>
      <w:color w:val="211D1E"/>
      <w:w w:val="100"/>
      <w:position w:val="0"/>
      <w:sz w:val="16"/>
      <w:szCs w:val="16"/>
      <w:effect w:val="none"/>
      <w:vertAlign w:val="baseline"/>
      <w:cs w:val="0"/>
      <w:em w:val="none"/>
    </w:rPr>
  </w:style>
  <w:style w:type="character" w:customStyle="1" w:styleId="ListLabel1">
    <w:name w:val="ListLabel 1"/>
    <w:rPr>
      <w:w w:val="100"/>
      <w:position w:val="0"/>
      <w:sz w:val="24"/>
      <w:u w:val="none"/>
      <w:effect w:val="none"/>
      <w:vertAlign w:val="baseline"/>
      <w:cs w:val="0"/>
      <w:em w:val="none"/>
    </w:rPr>
  </w:style>
  <w:style w:type="character" w:customStyle="1" w:styleId="ListLabel2">
    <w:name w:val="ListLabel 2"/>
    <w:rPr>
      <w:w w:val="100"/>
      <w:position w:val="0"/>
      <w:sz w:val="24"/>
      <w:u w:val="none"/>
      <w:effect w:val="none"/>
      <w:vertAlign w:val="baseline"/>
      <w:cs w:val="0"/>
      <w:em w:val="none"/>
    </w:rPr>
  </w:style>
  <w:style w:type="character" w:customStyle="1" w:styleId="ListLabel3">
    <w:name w:val="ListLabel 3"/>
    <w:rPr>
      <w:w w:val="100"/>
      <w:position w:val="0"/>
      <w:sz w:val="24"/>
      <w:u w:val="none"/>
      <w:effect w:val="none"/>
      <w:vertAlign w:val="baseline"/>
      <w:cs w:val="0"/>
      <w:em w:val="none"/>
    </w:rPr>
  </w:style>
  <w:style w:type="character" w:customStyle="1" w:styleId="ListLabel4">
    <w:name w:val="ListLabel 4"/>
    <w:rPr>
      <w:w w:val="100"/>
      <w:position w:val="0"/>
      <w:sz w:val="24"/>
      <w:u w:val="none"/>
      <w:effect w:val="none"/>
      <w:vertAlign w:val="baseline"/>
      <w:cs w:val="0"/>
      <w:em w:val="none"/>
    </w:rPr>
  </w:style>
  <w:style w:type="character" w:customStyle="1" w:styleId="ListLabel5">
    <w:name w:val="ListLabel 5"/>
    <w:rPr>
      <w:w w:val="100"/>
      <w:position w:val="0"/>
      <w:sz w:val="24"/>
      <w:u w:val="none"/>
      <w:effect w:val="none"/>
      <w:vertAlign w:val="baseline"/>
      <w:cs w:val="0"/>
      <w:em w:val="none"/>
    </w:rPr>
  </w:style>
  <w:style w:type="character" w:customStyle="1" w:styleId="ListLabel6">
    <w:name w:val="ListLabel 6"/>
    <w:rPr>
      <w:w w:val="100"/>
      <w:position w:val="0"/>
      <w:sz w:val="24"/>
      <w:u w:val="none"/>
      <w:effect w:val="none"/>
      <w:vertAlign w:val="baseline"/>
      <w:cs w:val="0"/>
      <w:em w:val="none"/>
    </w:rPr>
  </w:style>
  <w:style w:type="character" w:customStyle="1" w:styleId="ListLabel7">
    <w:name w:val="ListLabel 7"/>
    <w:rPr>
      <w:w w:val="100"/>
      <w:position w:val="0"/>
      <w:sz w:val="24"/>
      <w:u w:val="none"/>
      <w:effect w:val="none"/>
      <w:vertAlign w:val="baseline"/>
      <w:cs w:val="0"/>
      <w:em w:val="none"/>
    </w:rPr>
  </w:style>
  <w:style w:type="character" w:customStyle="1" w:styleId="ListLabel8">
    <w:name w:val="ListLabel 8"/>
    <w:rPr>
      <w:w w:val="100"/>
      <w:position w:val="0"/>
      <w:sz w:val="24"/>
      <w:u w:val="none"/>
      <w:effect w:val="none"/>
      <w:vertAlign w:val="baseline"/>
      <w:cs w:val="0"/>
      <w:em w:val="none"/>
    </w:rPr>
  </w:style>
  <w:style w:type="character" w:customStyle="1" w:styleId="ListLabel9">
    <w:name w:val="ListLabel 9"/>
    <w:rPr>
      <w:w w:val="100"/>
      <w:position w:val="0"/>
      <w:sz w:val="24"/>
      <w:u w:val="none"/>
      <w:effect w:val="none"/>
      <w:vertAlign w:val="baseline"/>
      <w:cs w:val="0"/>
      <w:em w:val="none"/>
    </w:rPr>
  </w:style>
  <w:style w:type="character" w:customStyle="1" w:styleId="ListLabel10">
    <w:name w:val="ListLabel 10"/>
    <w:rPr>
      <w:w w:val="100"/>
      <w:position w:val="0"/>
      <w:sz w:val="24"/>
      <w:effect w:val="none"/>
      <w:vertAlign w:val="baseline"/>
      <w:cs w:val="0"/>
      <w:em w:val="none"/>
    </w:rPr>
  </w:style>
  <w:style w:type="character" w:customStyle="1" w:styleId="ListLabel11">
    <w:name w:val="ListLabel 11"/>
    <w:rPr>
      <w:w w:val="100"/>
      <w:position w:val="0"/>
      <w:sz w:val="24"/>
      <w:u w:val="none"/>
      <w:effect w:val="none"/>
      <w:vertAlign w:val="baseline"/>
      <w:cs w:val="0"/>
      <w:em w:val="none"/>
    </w:rPr>
  </w:style>
  <w:style w:type="character" w:customStyle="1" w:styleId="ListLabel12">
    <w:name w:val="ListLabel 12"/>
    <w:rPr>
      <w:w w:val="100"/>
      <w:position w:val="0"/>
      <w:sz w:val="24"/>
      <w:u w:val="none"/>
      <w:effect w:val="none"/>
      <w:vertAlign w:val="baseline"/>
      <w:cs w:val="0"/>
      <w:em w:val="none"/>
    </w:rPr>
  </w:style>
  <w:style w:type="character" w:customStyle="1" w:styleId="ListLabel13">
    <w:name w:val="ListLabel 13"/>
    <w:rPr>
      <w:w w:val="100"/>
      <w:position w:val="0"/>
      <w:sz w:val="24"/>
      <w:u w:val="none"/>
      <w:effect w:val="none"/>
      <w:vertAlign w:val="baseline"/>
      <w:cs w:val="0"/>
      <w:em w:val="none"/>
    </w:rPr>
  </w:style>
  <w:style w:type="character" w:customStyle="1" w:styleId="ListLabel14">
    <w:name w:val="ListLabel 14"/>
    <w:rPr>
      <w:w w:val="100"/>
      <w:position w:val="0"/>
      <w:sz w:val="24"/>
      <w:u w:val="none"/>
      <w:effect w:val="none"/>
      <w:vertAlign w:val="baseline"/>
      <w:cs w:val="0"/>
      <w:em w:val="none"/>
    </w:rPr>
  </w:style>
  <w:style w:type="character" w:customStyle="1" w:styleId="ListLabel15">
    <w:name w:val="ListLabel 15"/>
    <w:rPr>
      <w:w w:val="100"/>
      <w:position w:val="0"/>
      <w:sz w:val="24"/>
      <w:u w:val="none"/>
      <w:effect w:val="none"/>
      <w:vertAlign w:val="baseline"/>
      <w:cs w:val="0"/>
      <w:em w:val="none"/>
    </w:rPr>
  </w:style>
  <w:style w:type="character" w:customStyle="1" w:styleId="ListLabel16">
    <w:name w:val="ListLabel 16"/>
    <w:rPr>
      <w:w w:val="100"/>
      <w:position w:val="0"/>
      <w:sz w:val="24"/>
      <w:u w:val="none"/>
      <w:effect w:val="none"/>
      <w:vertAlign w:val="baseline"/>
      <w:cs w:val="0"/>
      <w:em w:val="none"/>
    </w:rPr>
  </w:style>
  <w:style w:type="character" w:customStyle="1" w:styleId="ListLabel17">
    <w:name w:val="ListLabel 17"/>
    <w:rPr>
      <w:w w:val="100"/>
      <w:position w:val="0"/>
      <w:sz w:val="24"/>
      <w:u w:val="none"/>
      <w:effect w:val="none"/>
      <w:vertAlign w:val="baseline"/>
      <w:cs w:val="0"/>
      <w:em w:val="none"/>
    </w:rPr>
  </w:style>
  <w:style w:type="character" w:customStyle="1" w:styleId="ListLabel18">
    <w:name w:val="ListLabel 18"/>
    <w:rPr>
      <w:w w:val="100"/>
      <w:position w:val="0"/>
      <w:sz w:val="24"/>
      <w:u w:val="none"/>
      <w:effect w:val="none"/>
      <w:vertAlign w:val="baseline"/>
      <w:cs w:val="0"/>
      <w:em w:val="none"/>
    </w:rPr>
  </w:style>
  <w:style w:type="character" w:customStyle="1" w:styleId="ListLabel19">
    <w:name w:val="ListLabel 19"/>
    <w:rPr>
      <w:w w:val="100"/>
      <w:position w:val="0"/>
      <w:sz w:val="24"/>
      <w:u w:val="none"/>
      <w:effect w:val="none"/>
      <w:vertAlign w:val="baseline"/>
      <w:cs w:val="0"/>
      <w:em w:val="none"/>
    </w:rPr>
  </w:style>
  <w:style w:type="character" w:customStyle="1" w:styleId="ListLabel20">
    <w:name w:val="ListLabel 20"/>
    <w:rPr>
      <w:w w:val="100"/>
      <w:position w:val="0"/>
      <w:sz w:val="24"/>
      <w:u w:val="none"/>
      <w:effect w:val="none"/>
      <w:vertAlign w:val="baseline"/>
      <w:cs w:val="0"/>
      <w:em w:val="none"/>
    </w:rPr>
  </w:style>
  <w:style w:type="character" w:customStyle="1" w:styleId="ListLabel21">
    <w:name w:val="ListLabel 21"/>
    <w:rPr>
      <w:w w:val="100"/>
      <w:position w:val="0"/>
      <w:sz w:val="24"/>
      <w:u w:val="none"/>
      <w:effect w:val="none"/>
      <w:vertAlign w:val="baseline"/>
      <w:cs w:val="0"/>
      <w:em w:val="none"/>
    </w:rPr>
  </w:style>
  <w:style w:type="character" w:customStyle="1" w:styleId="ListLabel22">
    <w:name w:val="ListLabel 22"/>
    <w:rPr>
      <w:w w:val="100"/>
      <w:position w:val="0"/>
      <w:sz w:val="24"/>
      <w:u w:val="none"/>
      <w:effect w:val="none"/>
      <w:vertAlign w:val="baseline"/>
      <w:cs w:val="0"/>
      <w:em w:val="none"/>
    </w:rPr>
  </w:style>
  <w:style w:type="character" w:customStyle="1" w:styleId="ListLabel23">
    <w:name w:val="ListLabel 23"/>
    <w:rPr>
      <w:w w:val="100"/>
      <w:position w:val="0"/>
      <w:sz w:val="24"/>
      <w:u w:val="none"/>
      <w:effect w:val="none"/>
      <w:vertAlign w:val="baseline"/>
      <w:cs w:val="0"/>
      <w:em w:val="none"/>
    </w:rPr>
  </w:style>
  <w:style w:type="character" w:customStyle="1" w:styleId="ListLabel24">
    <w:name w:val="ListLabel 24"/>
    <w:rPr>
      <w:w w:val="100"/>
      <w:position w:val="0"/>
      <w:sz w:val="24"/>
      <w:u w:val="none"/>
      <w:effect w:val="none"/>
      <w:vertAlign w:val="baseline"/>
      <w:cs w:val="0"/>
      <w:em w:val="none"/>
    </w:rPr>
  </w:style>
  <w:style w:type="character" w:customStyle="1" w:styleId="ListLabel25">
    <w:name w:val="ListLabel 25"/>
    <w:rPr>
      <w:w w:val="100"/>
      <w:position w:val="0"/>
      <w:sz w:val="24"/>
      <w:u w:val="none"/>
      <w:effect w:val="none"/>
      <w:vertAlign w:val="baseline"/>
      <w:cs w:val="0"/>
      <w:em w:val="none"/>
    </w:rPr>
  </w:style>
  <w:style w:type="character" w:customStyle="1" w:styleId="ListLabel26">
    <w:name w:val="ListLabel 26"/>
    <w:rPr>
      <w:w w:val="100"/>
      <w:position w:val="0"/>
      <w:sz w:val="24"/>
      <w:u w:val="none"/>
      <w:effect w:val="none"/>
      <w:vertAlign w:val="baseline"/>
      <w:cs w:val="0"/>
      <w:em w:val="none"/>
    </w:rPr>
  </w:style>
  <w:style w:type="character" w:customStyle="1" w:styleId="ListLabel27">
    <w:name w:val="ListLabel 27"/>
    <w:rPr>
      <w:w w:val="100"/>
      <w:position w:val="0"/>
      <w:sz w:val="24"/>
      <w:u w:val="none"/>
      <w:effect w:val="none"/>
      <w:vertAlign w:val="baseline"/>
      <w:cs w:val="0"/>
      <w:em w:val="none"/>
    </w:rPr>
  </w:style>
  <w:style w:type="character" w:customStyle="1" w:styleId="ListLabel28">
    <w:name w:val="ListLabel 28"/>
    <w:rPr>
      <w:w w:val="100"/>
      <w:position w:val="0"/>
      <w:sz w:val="24"/>
      <w:u w:val="none"/>
      <w:effect w:val="none"/>
      <w:vertAlign w:val="baseline"/>
      <w:cs w:val="0"/>
      <w:em w:val="none"/>
    </w:rPr>
  </w:style>
  <w:style w:type="character" w:customStyle="1" w:styleId="ListLabel29">
    <w:name w:val="ListLabel 29"/>
    <w:rPr>
      <w:w w:val="100"/>
      <w:position w:val="0"/>
      <w:sz w:val="24"/>
      <w:effect w:val="none"/>
      <w:vertAlign w:val="baseline"/>
      <w:cs w:val="0"/>
      <w:em w:val="none"/>
    </w:rPr>
  </w:style>
  <w:style w:type="character" w:customStyle="1" w:styleId="ListLabel30">
    <w:name w:val="ListLabel 30"/>
    <w:rPr>
      <w:w w:val="100"/>
      <w:position w:val="0"/>
      <w:sz w:val="24"/>
      <w:effect w:val="none"/>
      <w:vertAlign w:val="baseline"/>
      <w:cs w:val="0"/>
      <w:em w:val="none"/>
    </w:rPr>
  </w:style>
  <w:style w:type="character" w:customStyle="1" w:styleId="ListLabel31">
    <w:name w:val="ListLabel 31"/>
    <w:rPr>
      <w:w w:val="100"/>
      <w:position w:val="0"/>
      <w:sz w:val="24"/>
      <w:effect w:val="none"/>
      <w:vertAlign w:val="baseline"/>
      <w:cs w:val="0"/>
      <w:em w:val="none"/>
    </w:rPr>
  </w:style>
  <w:style w:type="character" w:customStyle="1" w:styleId="ListLabel32">
    <w:name w:val="ListLabel 32"/>
    <w:rPr>
      <w:w w:val="100"/>
      <w:position w:val="0"/>
      <w:sz w:val="24"/>
      <w:effect w:val="none"/>
      <w:vertAlign w:val="baseline"/>
      <w:cs w:val="0"/>
      <w:em w:val="none"/>
    </w:rPr>
  </w:style>
  <w:style w:type="character" w:customStyle="1" w:styleId="ListLabel33">
    <w:name w:val="ListLabel 33"/>
    <w:rPr>
      <w:w w:val="100"/>
      <w:position w:val="0"/>
      <w:sz w:val="24"/>
      <w:effect w:val="none"/>
      <w:vertAlign w:val="baseline"/>
      <w:cs w:val="0"/>
      <w:em w:val="none"/>
    </w:rPr>
  </w:style>
  <w:style w:type="character" w:customStyle="1" w:styleId="ListLabel34">
    <w:name w:val="ListLabel 34"/>
    <w:rPr>
      <w:w w:val="100"/>
      <w:position w:val="0"/>
      <w:sz w:val="24"/>
      <w:effect w:val="none"/>
      <w:vertAlign w:val="baseline"/>
      <w:cs w:val="0"/>
      <w:em w:val="none"/>
    </w:rPr>
  </w:style>
  <w:style w:type="character" w:customStyle="1" w:styleId="ListLabel35">
    <w:name w:val="ListLabel 35"/>
    <w:rPr>
      <w:w w:val="100"/>
      <w:position w:val="0"/>
      <w:sz w:val="24"/>
      <w:effect w:val="none"/>
      <w:vertAlign w:val="baseline"/>
      <w:cs w:val="0"/>
      <w:em w:val="none"/>
    </w:rPr>
  </w:style>
  <w:style w:type="character" w:customStyle="1" w:styleId="ListLabel36">
    <w:name w:val="ListLabel 36"/>
    <w:rPr>
      <w:w w:val="100"/>
      <w:position w:val="0"/>
      <w:sz w:val="24"/>
      <w:effect w:val="none"/>
      <w:vertAlign w:val="baseline"/>
      <w:cs w:val="0"/>
      <w:em w:val="none"/>
    </w:rPr>
  </w:style>
  <w:style w:type="character" w:customStyle="1" w:styleId="ListLabel37">
    <w:name w:val="ListLabel 37"/>
    <w:rPr>
      <w:w w:val="100"/>
      <w:position w:val="0"/>
      <w:sz w:val="24"/>
      <w:effect w:val="none"/>
      <w:vertAlign w:val="baseline"/>
      <w:cs w:val="0"/>
      <w:em w:val="none"/>
    </w:rPr>
  </w:style>
  <w:style w:type="character" w:customStyle="1" w:styleId="ListLabel38">
    <w:name w:val="ListLabel 38"/>
    <w:rPr>
      <w:w w:val="100"/>
      <w:position w:val="0"/>
      <w:sz w:val="24"/>
      <w:u w:val="none"/>
      <w:effect w:val="none"/>
      <w:vertAlign w:val="baseline"/>
      <w:cs w:val="0"/>
      <w:em w:val="none"/>
    </w:rPr>
  </w:style>
  <w:style w:type="character" w:customStyle="1" w:styleId="ListLabel39">
    <w:name w:val="ListLabel 39"/>
    <w:rPr>
      <w:w w:val="100"/>
      <w:position w:val="0"/>
      <w:sz w:val="24"/>
      <w:u w:val="none"/>
      <w:effect w:val="none"/>
      <w:vertAlign w:val="baseline"/>
      <w:cs w:val="0"/>
      <w:em w:val="none"/>
    </w:rPr>
  </w:style>
  <w:style w:type="character" w:customStyle="1" w:styleId="ListLabel40">
    <w:name w:val="ListLabel 40"/>
    <w:rPr>
      <w:w w:val="100"/>
      <w:position w:val="0"/>
      <w:sz w:val="24"/>
      <w:u w:val="none"/>
      <w:effect w:val="none"/>
      <w:vertAlign w:val="baseline"/>
      <w:cs w:val="0"/>
      <w:em w:val="none"/>
    </w:rPr>
  </w:style>
  <w:style w:type="character" w:customStyle="1" w:styleId="ListLabel41">
    <w:name w:val="ListLabel 41"/>
    <w:rPr>
      <w:w w:val="100"/>
      <w:position w:val="0"/>
      <w:sz w:val="24"/>
      <w:u w:val="none"/>
      <w:effect w:val="none"/>
      <w:vertAlign w:val="baseline"/>
      <w:cs w:val="0"/>
      <w:em w:val="none"/>
    </w:rPr>
  </w:style>
  <w:style w:type="character" w:customStyle="1" w:styleId="ListLabel42">
    <w:name w:val="ListLabel 42"/>
    <w:rPr>
      <w:w w:val="100"/>
      <w:position w:val="0"/>
      <w:sz w:val="24"/>
      <w:u w:val="none"/>
      <w:effect w:val="none"/>
      <w:vertAlign w:val="baseline"/>
      <w:cs w:val="0"/>
      <w:em w:val="none"/>
    </w:rPr>
  </w:style>
  <w:style w:type="character" w:customStyle="1" w:styleId="ListLabel43">
    <w:name w:val="ListLabel 43"/>
    <w:rPr>
      <w:w w:val="100"/>
      <w:position w:val="0"/>
      <w:sz w:val="24"/>
      <w:u w:val="none"/>
      <w:effect w:val="none"/>
      <w:vertAlign w:val="baseline"/>
      <w:cs w:val="0"/>
      <w:em w:val="none"/>
    </w:rPr>
  </w:style>
  <w:style w:type="character" w:customStyle="1" w:styleId="ListLabel44">
    <w:name w:val="ListLabel 44"/>
    <w:rPr>
      <w:w w:val="100"/>
      <w:position w:val="0"/>
      <w:sz w:val="24"/>
      <w:u w:val="none"/>
      <w:effect w:val="none"/>
      <w:vertAlign w:val="baseline"/>
      <w:cs w:val="0"/>
      <w:em w:val="none"/>
    </w:rPr>
  </w:style>
  <w:style w:type="character" w:customStyle="1" w:styleId="ListLabel45">
    <w:name w:val="ListLabel 45"/>
    <w:rPr>
      <w:w w:val="100"/>
      <w:position w:val="0"/>
      <w:sz w:val="24"/>
      <w:u w:val="none"/>
      <w:effect w:val="none"/>
      <w:vertAlign w:val="baseline"/>
      <w:cs w:val="0"/>
      <w:em w:val="none"/>
    </w:rPr>
  </w:style>
  <w:style w:type="character" w:customStyle="1" w:styleId="ListLabel46">
    <w:name w:val="ListLabel 46"/>
    <w:rPr>
      <w:w w:val="100"/>
      <w:position w:val="0"/>
      <w:sz w:val="24"/>
      <w:u w:val="none"/>
      <w:effect w:val="none"/>
      <w:vertAlign w:val="baseline"/>
      <w:cs w:val="0"/>
      <w:em w:val="none"/>
    </w:rPr>
  </w:style>
  <w:style w:type="character" w:customStyle="1" w:styleId="ListLabel47">
    <w:name w:val="ListLabel 47"/>
    <w:rPr>
      <w:w w:val="100"/>
      <w:position w:val="0"/>
      <w:sz w:val="24"/>
      <w:u w:val="none"/>
      <w:effect w:val="none"/>
      <w:vertAlign w:val="baseline"/>
      <w:cs w:val="0"/>
      <w:em w:val="none"/>
    </w:rPr>
  </w:style>
  <w:style w:type="character" w:customStyle="1" w:styleId="ListLabel48">
    <w:name w:val="ListLabel 48"/>
    <w:rPr>
      <w:w w:val="100"/>
      <w:position w:val="0"/>
      <w:sz w:val="24"/>
      <w:u w:val="none"/>
      <w:effect w:val="none"/>
      <w:vertAlign w:val="baseline"/>
      <w:cs w:val="0"/>
      <w:em w:val="none"/>
    </w:rPr>
  </w:style>
  <w:style w:type="character" w:customStyle="1" w:styleId="ListLabel49">
    <w:name w:val="ListLabel 49"/>
    <w:rPr>
      <w:w w:val="100"/>
      <w:position w:val="0"/>
      <w:sz w:val="24"/>
      <w:u w:val="none"/>
      <w:effect w:val="none"/>
      <w:vertAlign w:val="baseline"/>
      <w:cs w:val="0"/>
      <w:em w:val="none"/>
    </w:rPr>
  </w:style>
  <w:style w:type="character" w:customStyle="1" w:styleId="ListLabel50">
    <w:name w:val="ListLabel 50"/>
    <w:rPr>
      <w:w w:val="100"/>
      <w:position w:val="0"/>
      <w:sz w:val="24"/>
      <w:u w:val="none"/>
      <w:effect w:val="none"/>
      <w:vertAlign w:val="baseline"/>
      <w:cs w:val="0"/>
      <w:em w:val="none"/>
    </w:rPr>
  </w:style>
  <w:style w:type="character" w:customStyle="1" w:styleId="ListLabel51">
    <w:name w:val="ListLabel 51"/>
    <w:rPr>
      <w:w w:val="100"/>
      <w:position w:val="0"/>
      <w:sz w:val="24"/>
      <w:u w:val="none"/>
      <w:effect w:val="none"/>
      <w:vertAlign w:val="baseline"/>
      <w:cs w:val="0"/>
      <w:em w:val="none"/>
    </w:rPr>
  </w:style>
  <w:style w:type="character" w:customStyle="1" w:styleId="ListLabel52">
    <w:name w:val="ListLabel 52"/>
    <w:rPr>
      <w:w w:val="100"/>
      <w:position w:val="0"/>
      <w:sz w:val="24"/>
      <w:u w:val="none"/>
      <w:effect w:val="none"/>
      <w:vertAlign w:val="baseline"/>
      <w:cs w:val="0"/>
      <w:em w:val="none"/>
    </w:rPr>
  </w:style>
  <w:style w:type="character" w:customStyle="1" w:styleId="ListLabel53">
    <w:name w:val="ListLabel 53"/>
    <w:rPr>
      <w:w w:val="100"/>
      <w:position w:val="0"/>
      <w:sz w:val="24"/>
      <w:u w:val="none"/>
      <w:effect w:val="none"/>
      <w:vertAlign w:val="baseline"/>
      <w:cs w:val="0"/>
      <w:em w:val="none"/>
    </w:rPr>
  </w:style>
  <w:style w:type="character" w:customStyle="1" w:styleId="ListLabel54">
    <w:name w:val="ListLabel 54"/>
    <w:rPr>
      <w:w w:val="100"/>
      <w:position w:val="0"/>
      <w:sz w:val="24"/>
      <w:u w:val="none"/>
      <w:effect w:val="none"/>
      <w:vertAlign w:val="baseline"/>
      <w:cs w:val="0"/>
      <w:em w:val="none"/>
    </w:rPr>
  </w:style>
  <w:style w:type="character" w:customStyle="1" w:styleId="ListLabel55">
    <w:name w:val="ListLabel 55"/>
    <w:rPr>
      <w:w w:val="100"/>
      <w:position w:val="0"/>
      <w:sz w:val="24"/>
      <w:u w:val="none"/>
      <w:effect w:val="none"/>
      <w:vertAlign w:val="baseline"/>
      <w:cs w:val="0"/>
      <w:em w:val="none"/>
    </w:rPr>
  </w:style>
  <w:style w:type="character" w:customStyle="1" w:styleId="ListLabel56">
    <w:name w:val="ListLabel 56"/>
    <w:rPr>
      <w:w w:val="100"/>
      <w:position w:val="0"/>
      <w:sz w:val="24"/>
      <w:u w:val="none"/>
      <w:effect w:val="none"/>
      <w:vertAlign w:val="baseline"/>
      <w:cs w:val="0"/>
      <w:em w:val="none"/>
    </w:rPr>
  </w:style>
  <w:style w:type="character" w:customStyle="1" w:styleId="ListLabel57">
    <w:name w:val="ListLabel 57"/>
    <w:rPr>
      <w:w w:val="100"/>
      <w:position w:val="0"/>
      <w:sz w:val="24"/>
      <w:u w:val="none"/>
      <w:effect w:val="none"/>
      <w:vertAlign w:val="baseline"/>
      <w:cs w:val="0"/>
      <w:em w:val="none"/>
    </w:rPr>
  </w:style>
  <w:style w:type="character" w:customStyle="1" w:styleId="ListLabel58">
    <w:name w:val="ListLabel 58"/>
    <w:rPr>
      <w:w w:val="100"/>
      <w:position w:val="0"/>
      <w:sz w:val="24"/>
      <w:u w:val="none"/>
      <w:effect w:val="none"/>
      <w:vertAlign w:val="baseline"/>
      <w:cs w:val="0"/>
      <w:em w:val="none"/>
    </w:rPr>
  </w:style>
  <w:style w:type="character" w:customStyle="1" w:styleId="ListLabel59">
    <w:name w:val="ListLabel 59"/>
    <w:rPr>
      <w:w w:val="100"/>
      <w:position w:val="0"/>
      <w:sz w:val="24"/>
      <w:u w:val="none"/>
      <w:effect w:val="none"/>
      <w:vertAlign w:val="baseline"/>
      <w:cs w:val="0"/>
      <w:em w:val="none"/>
    </w:rPr>
  </w:style>
  <w:style w:type="character" w:customStyle="1" w:styleId="ListLabel60">
    <w:name w:val="ListLabel 60"/>
    <w:rPr>
      <w:w w:val="100"/>
      <w:position w:val="0"/>
      <w:sz w:val="24"/>
      <w:u w:val="none"/>
      <w:effect w:val="none"/>
      <w:vertAlign w:val="baseline"/>
      <w:cs w:val="0"/>
      <w:em w:val="none"/>
    </w:rPr>
  </w:style>
  <w:style w:type="character" w:customStyle="1" w:styleId="ListLabel61">
    <w:name w:val="ListLabel 61"/>
    <w:rPr>
      <w:w w:val="100"/>
      <w:position w:val="0"/>
      <w:sz w:val="24"/>
      <w:u w:val="none"/>
      <w:effect w:val="none"/>
      <w:vertAlign w:val="baseline"/>
      <w:cs w:val="0"/>
      <w:em w:val="none"/>
    </w:rPr>
  </w:style>
  <w:style w:type="character" w:customStyle="1" w:styleId="ListLabel62">
    <w:name w:val="ListLabel 62"/>
    <w:rPr>
      <w:w w:val="100"/>
      <w:position w:val="0"/>
      <w:sz w:val="24"/>
      <w:u w:val="none"/>
      <w:effect w:val="none"/>
      <w:vertAlign w:val="baseline"/>
      <w:cs w:val="0"/>
      <w:em w:val="none"/>
    </w:rPr>
  </w:style>
  <w:style w:type="character" w:customStyle="1" w:styleId="ListLabel63">
    <w:name w:val="ListLabel 63"/>
    <w:rPr>
      <w:w w:val="100"/>
      <w:position w:val="0"/>
      <w:sz w:val="24"/>
      <w:u w:val="none"/>
      <w:effect w:val="none"/>
      <w:vertAlign w:val="baseline"/>
      <w:cs w:val="0"/>
      <w:em w:val="none"/>
    </w:rPr>
  </w:style>
  <w:style w:type="character" w:customStyle="1" w:styleId="ListLabel64">
    <w:name w:val="ListLabel 64"/>
    <w:rPr>
      <w:w w:val="100"/>
      <w:position w:val="0"/>
      <w:sz w:val="24"/>
      <w:u w:val="none"/>
      <w:effect w:val="none"/>
      <w:vertAlign w:val="baseline"/>
      <w:cs w:val="0"/>
      <w:em w:val="none"/>
    </w:rPr>
  </w:style>
  <w:style w:type="character" w:customStyle="1" w:styleId="ListLabel65">
    <w:name w:val="ListLabel 65"/>
    <w:rPr>
      <w:w w:val="100"/>
      <w:position w:val="0"/>
      <w:sz w:val="24"/>
      <w:u w:val="none"/>
      <w:effect w:val="none"/>
      <w:vertAlign w:val="baseline"/>
      <w:cs w:val="0"/>
      <w:em w:val="none"/>
    </w:rPr>
  </w:style>
  <w:style w:type="character" w:customStyle="1" w:styleId="ListLabel66">
    <w:name w:val="ListLabel 66"/>
    <w:rPr>
      <w:w w:val="100"/>
      <w:position w:val="0"/>
      <w:sz w:val="24"/>
      <w:u w:val="none"/>
      <w:effect w:val="none"/>
      <w:vertAlign w:val="baseline"/>
      <w:cs w:val="0"/>
      <w:em w:val="none"/>
    </w:rPr>
  </w:style>
  <w:style w:type="character" w:customStyle="1" w:styleId="ListLabel67">
    <w:name w:val="ListLabel 67"/>
    <w:rPr>
      <w:w w:val="100"/>
      <w:position w:val="0"/>
      <w:sz w:val="24"/>
      <w:u w:val="none"/>
      <w:effect w:val="none"/>
      <w:vertAlign w:val="baseline"/>
      <w:cs w:val="0"/>
      <w:em w:val="none"/>
    </w:rPr>
  </w:style>
  <w:style w:type="character" w:customStyle="1" w:styleId="ListLabel68">
    <w:name w:val="ListLabel 68"/>
    <w:rPr>
      <w:w w:val="100"/>
      <w:position w:val="0"/>
      <w:sz w:val="24"/>
      <w:u w:val="none"/>
      <w:effect w:val="none"/>
      <w:vertAlign w:val="baseline"/>
      <w:cs w:val="0"/>
      <w:em w:val="none"/>
    </w:rPr>
  </w:style>
  <w:style w:type="character" w:customStyle="1" w:styleId="ListLabel69">
    <w:name w:val="ListLabel 69"/>
    <w:rPr>
      <w:w w:val="100"/>
      <w:position w:val="0"/>
      <w:sz w:val="24"/>
      <w:u w:val="none"/>
      <w:effect w:val="none"/>
      <w:vertAlign w:val="baseline"/>
      <w:cs w:val="0"/>
      <w:em w:val="none"/>
    </w:rPr>
  </w:style>
  <w:style w:type="character" w:customStyle="1" w:styleId="ListLabel70">
    <w:name w:val="ListLabel 70"/>
    <w:rPr>
      <w:w w:val="100"/>
      <w:position w:val="0"/>
      <w:sz w:val="24"/>
      <w:u w:val="none"/>
      <w:effect w:val="none"/>
      <w:vertAlign w:val="baseline"/>
      <w:cs w:val="0"/>
      <w:em w:val="none"/>
    </w:rPr>
  </w:style>
  <w:style w:type="character" w:customStyle="1" w:styleId="ListLabel71">
    <w:name w:val="ListLabel 71"/>
    <w:rPr>
      <w:w w:val="100"/>
      <w:position w:val="0"/>
      <w:sz w:val="24"/>
      <w:u w:val="none"/>
      <w:effect w:val="none"/>
      <w:vertAlign w:val="baseline"/>
      <w:cs w:val="0"/>
      <w:em w:val="none"/>
    </w:rPr>
  </w:style>
  <w:style w:type="character" w:customStyle="1" w:styleId="ListLabel72">
    <w:name w:val="ListLabel 72"/>
    <w:rPr>
      <w:w w:val="100"/>
      <w:position w:val="0"/>
      <w:sz w:val="24"/>
      <w:u w:val="none"/>
      <w:effect w:val="none"/>
      <w:vertAlign w:val="baseline"/>
      <w:cs w:val="0"/>
      <w:em w:val="none"/>
    </w:rPr>
  </w:style>
  <w:style w:type="character" w:customStyle="1" w:styleId="ListLabel73">
    <w:name w:val="ListLabel 73"/>
    <w:rPr>
      <w:w w:val="100"/>
      <w:position w:val="0"/>
      <w:sz w:val="24"/>
      <w:u w:val="none"/>
      <w:effect w:val="none"/>
      <w:vertAlign w:val="baseline"/>
      <w:cs w:val="0"/>
      <w:em w:val="none"/>
    </w:rPr>
  </w:style>
  <w:style w:type="character" w:customStyle="1" w:styleId="ListLabel74">
    <w:name w:val="ListLabel 74"/>
    <w:rPr>
      <w:w w:val="100"/>
      <w:position w:val="0"/>
      <w:sz w:val="24"/>
      <w:u w:val="none"/>
      <w:effect w:val="none"/>
      <w:vertAlign w:val="baseline"/>
      <w:cs w:val="0"/>
      <w:em w:val="none"/>
    </w:rPr>
  </w:style>
  <w:style w:type="character" w:customStyle="1" w:styleId="ListLabel75">
    <w:name w:val="ListLabel 75"/>
    <w:rPr>
      <w:w w:val="100"/>
      <w:position w:val="0"/>
      <w:sz w:val="24"/>
      <w:u w:val="none"/>
      <w:effect w:val="none"/>
      <w:vertAlign w:val="baseline"/>
      <w:cs w:val="0"/>
      <w:em w:val="none"/>
    </w:rPr>
  </w:style>
  <w:style w:type="character" w:customStyle="1" w:styleId="ListLabel76">
    <w:name w:val="ListLabel 76"/>
    <w:rPr>
      <w:w w:val="100"/>
      <w:position w:val="0"/>
      <w:sz w:val="24"/>
      <w:u w:val="none"/>
      <w:effect w:val="none"/>
      <w:vertAlign w:val="baseline"/>
      <w:cs w:val="0"/>
      <w:em w:val="none"/>
    </w:rPr>
  </w:style>
  <w:style w:type="character" w:customStyle="1" w:styleId="ListLabel77">
    <w:name w:val="ListLabel 77"/>
    <w:rPr>
      <w:w w:val="100"/>
      <w:position w:val="0"/>
      <w:sz w:val="24"/>
      <w:u w:val="none"/>
      <w:effect w:val="none"/>
      <w:vertAlign w:val="baseline"/>
      <w:cs w:val="0"/>
      <w:em w:val="none"/>
    </w:rPr>
  </w:style>
  <w:style w:type="character" w:customStyle="1" w:styleId="ListLabel78">
    <w:name w:val="ListLabel 78"/>
    <w:rPr>
      <w:w w:val="100"/>
      <w:position w:val="0"/>
      <w:sz w:val="24"/>
      <w:u w:val="none"/>
      <w:effect w:val="none"/>
      <w:vertAlign w:val="baseline"/>
      <w:cs w:val="0"/>
      <w:em w:val="none"/>
    </w:rPr>
  </w:style>
  <w:style w:type="character" w:customStyle="1" w:styleId="ListLabel79">
    <w:name w:val="ListLabel 79"/>
    <w:rPr>
      <w:w w:val="100"/>
      <w:position w:val="0"/>
      <w:sz w:val="24"/>
      <w:u w:val="none"/>
      <w:effect w:val="none"/>
      <w:vertAlign w:val="baseline"/>
      <w:cs w:val="0"/>
      <w:em w:val="none"/>
    </w:rPr>
  </w:style>
  <w:style w:type="character" w:customStyle="1" w:styleId="ListLabel80">
    <w:name w:val="ListLabel 80"/>
    <w:rPr>
      <w:w w:val="100"/>
      <w:position w:val="0"/>
      <w:sz w:val="24"/>
      <w:u w:val="none"/>
      <w:effect w:val="none"/>
      <w:vertAlign w:val="baseline"/>
      <w:cs w:val="0"/>
      <w:em w:val="none"/>
    </w:rPr>
  </w:style>
  <w:style w:type="character" w:customStyle="1" w:styleId="ListLabel81">
    <w:name w:val="ListLabel 81"/>
    <w:rPr>
      <w:w w:val="100"/>
      <w:position w:val="0"/>
      <w:sz w:val="24"/>
      <w:u w:val="none"/>
      <w:effect w:val="none"/>
      <w:vertAlign w:val="baseline"/>
      <w:cs w:val="0"/>
      <w:em w:val="none"/>
    </w:rPr>
  </w:style>
  <w:style w:type="character" w:customStyle="1" w:styleId="ListLabel82">
    <w:name w:val="ListLabel 82"/>
    <w:rPr>
      <w:w w:val="100"/>
      <w:position w:val="0"/>
      <w:sz w:val="24"/>
      <w:u w:val="none"/>
      <w:effect w:val="none"/>
      <w:vertAlign w:val="baseline"/>
      <w:cs w:val="0"/>
      <w:em w:val="none"/>
    </w:rPr>
  </w:style>
  <w:style w:type="character" w:customStyle="1" w:styleId="ListLabel83">
    <w:name w:val="ListLabel 83"/>
    <w:rPr>
      <w:w w:val="100"/>
      <w:position w:val="0"/>
      <w:sz w:val="24"/>
      <w:u w:val="none"/>
      <w:effect w:val="none"/>
      <w:vertAlign w:val="baseline"/>
      <w:cs w:val="0"/>
      <w:em w:val="none"/>
    </w:rPr>
  </w:style>
  <w:style w:type="character" w:customStyle="1" w:styleId="ListLabel84">
    <w:name w:val="ListLabel 84"/>
    <w:rPr>
      <w:w w:val="100"/>
      <w:position w:val="0"/>
      <w:sz w:val="24"/>
      <w:u w:val="none"/>
      <w:effect w:val="none"/>
      <w:vertAlign w:val="baseline"/>
      <w:cs w:val="0"/>
      <w:em w:val="none"/>
    </w:rPr>
  </w:style>
  <w:style w:type="character" w:customStyle="1" w:styleId="ListLabel85">
    <w:name w:val="ListLabel 85"/>
    <w:rPr>
      <w:w w:val="100"/>
      <w:position w:val="0"/>
      <w:sz w:val="24"/>
      <w:u w:val="none"/>
      <w:effect w:val="none"/>
      <w:vertAlign w:val="baseline"/>
      <w:cs w:val="0"/>
      <w:em w:val="none"/>
    </w:rPr>
  </w:style>
  <w:style w:type="character" w:customStyle="1" w:styleId="ListLabel86">
    <w:name w:val="ListLabel 86"/>
    <w:rPr>
      <w:w w:val="100"/>
      <w:position w:val="0"/>
      <w:sz w:val="24"/>
      <w:u w:val="none"/>
      <w:effect w:val="none"/>
      <w:vertAlign w:val="baseline"/>
      <w:cs w:val="0"/>
      <w:em w:val="none"/>
    </w:rPr>
  </w:style>
  <w:style w:type="character" w:customStyle="1" w:styleId="ListLabel87">
    <w:name w:val="ListLabel 87"/>
    <w:rPr>
      <w:w w:val="100"/>
      <w:position w:val="0"/>
      <w:sz w:val="24"/>
      <w:u w:val="none"/>
      <w:effect w:val="none"/>
      <w:vertAlign w:val="baseline"/>
      <w:cs w:val="0"/>
      <w:em w:val="none"/>
    </w:rPr>
  </w:style>
  <w:style w:type="character" w:customStyle="1" w:styleId="ListLabel88">
    <w:name w:val="ListLabel 88"/>
    <w:rPr>
      <w:w w:val="100"/>
      <w:position w:val="0"/>
      <w:sz w:val="24"/>
      <w:u w:val="none"/>
      <w:effect w:val="none"/>
      <w:vertAlign w:val="baseline"/>
      <w:cs w:val="0"/>
      <w:em w:val="none"/>
    </w:rPr>
  </w:style>
  <w:style w:type="character" w:customStyle="1" w:styleId="ListLabel89">
    <w:name w:val="ListLabel 89"/>
    <w:rPr>
      <w:w w:val="100"/>
      <w:position w:val="0"/>
      <w:sz w:val="24"/>
      <w:u w:val="none"/>
      <w:effect w:val="none"/>
      <w:vertAlign w:val="baseline"/>
      <w:cs w:val="0"/>
      <w:em w:val="none"/>
    </w:rPr>
  </w:style>
  <w:style w:type="character" w:customStyle="1" w:styleId="ListLabel90">
    <w:name w:val="ListLabel 90"/>
    <w:rPr>
      <w:w w:val="100"/>
      <w:position w:val="0"/>
      <w:sz w:val="24"/>
      <w:u w:val="none"/>
      <w:effect w:val="none"/>
      <w:vertAlign w:val="baseline"/>
      <w:cs w:val="0"/>
      <w:em w:val="none"/>
    </w:rPr>
  </w:style>
  <w:style w:type="character" w:customStyle="1" w:styleId="ListLabel91">
    <w:name w:val="ListLabel 91"/>
    <w:rPr>
      <w:w w:val="100"/>
      <w:position w:val="0"/>
      <w:sz w:val="24"/>
      <w:u w:val="none"/>
      <w:effect w:val="none"/>
      <w:vertAlign w:val="baseline"/>
      <w:cs w:val="0"/>
      <w:em w:val="none"/>
    </w:rPr>
  </w:style>
  <w:style w:type="character" w:customStyle="1" w:styleId="ListLabel92">
    <w:name w:val="ListLabel 92"/>
    <w:rPr>
      <w:w w:val="100"/>
      <w:position w:val="0"/>
      <w:sz w:val="24"/>
      <w:u w:val="none"/>
      <w:effect w:val="none"/>
      <w:vertAlign w:val="baseline"/>
      <w:cs w:val="0"/>
      <w:em w:val="none"/>
    </w:rPr>
  </w:style>
  <w:style w:type="character" w:customStyle="1" w:styleId="ListLabel93">
    <w:name w:val="ListLabel 93"/>
    <w:rPr>
      <w:w w:val="100"/>
      <w:position w:val="0"/>
      <w:sz w:val="24"/>
      <w:u w:val="none"/>
      <w:effect w:val="none"/>
      <w:vertAlign w:val="baseline"/>
      <w:cs w:val="0"/>
      <w:em w:val="none"/>
    </w:rPr>
  </w:style>
  <w:style w:type="character" w:customStyle="1" w:styleId="ListLabel94">
    <w:name w:val="ListLabel 94"/>
    <w:rPr>
      <w:w w:val="100"/>
      <w:position w:val="0"/>
      <w:sz w:val="24"/>
      <w:u w:val="none"/>
      <w:effect w:val="none"/>
      <w:vertAlign w:val="baseline"/>
      <w:cs w:val="0"/>
      <w:em w:val="none"/>
    </w:rPr>
  </w:style>
  <w:style w:type="character" w:customStyle="1" w:styleId="ListLabel95">
    <w:name w:val="ListLabel 95"/>
    <w:rPr>
      <w:w w:val="100"/>
      <w:position w:val="0"/>
      <w:sz w:val="24"/>
      <w:u w:val="none"/>
      <w:effect w:val="none"/>
      <w:vertAlign w:val="baseline"/>
      <w:cs w:val="0"/>
      <w:em w:val="none"/>
    </w:rPr>
  </w:style>
  <w:style w:type="character" w:customStyle="1" w:styleId="ListLabel96">
    <w:name w:val="ListLabel 96"/>
    <w:rPr>
      <w:w w:val="100"/>
      <w:position w:val="0"/>
      <w:sz w:val="24"/>
      <w:u w:val="none"/>
      <w:effect w:val="none"/>
      <w:vertAlign w:val="baseline"/>
      <w:cs w:val="0"/>
      <w:em w:val="none"/>
    </w:rPr>
  </w:style>
  <w:style w:type="character" w:customStyle="1" w:styleId="ListLabel97">
    <w:name w:val="ListLabel 97"/>
    <w:rPr>
      <w:w w:val="100"/>
      <w:position w:val="0"/>
      <w:sz w:val="24"/>
      <w:u w:val="none"/>
      <w:effect w:val="none"/>
      <w:vertAlign w:val="baseline"/>
      <w:cs w:val="0"/>
      <w:em w:val="none"/>
    </w:rPr>
  </w:style>
  <w:style w:type="character" w:customStyle="1" w:styleId="ListLabel98">
    <w:name w:val="ListLabel 98"/>
    <w:rPr>
      <w:w w:val="100"/>
      <w:position w:val="0"/>
      <w:sz w:val="24"/>
      <w:u w:val="none"/>
      <w:effect w:val="none"/>
      <w:vertAlign w:val="baseline"/>
      <w:cs w:val="0"/>
      <w:em w:val="none"/>
    </w:rPr>
  </w:style>
  <w:style w:type="character" w:customStyle="1" w:styleId="ListLabel99">
    <w:name w:val="ListLabel 99"/>
    <w:rPr>
      <w:w w:val="100"/>
      <w:position w:val="0"/>
      <w:sz w:val="24"/>
      <w:u w:val="none"/>
      <w:effect w:val="none"/>
      <w:vertAlign w:val="baseline"/>
      <w:cs w:val="0"/>
      <w:em w:val="none"/>
    </w:rPr>
  </w:style>
  <w:style w:type="character" w:customStyle="1" w:styleId="ListLabel100">
    <w:name w:val="ListLabel 100"/>
    <w:rPr>
      <w:w w:val="100"/>
      <w:position w:val="0"/>
      <w:sz w:val="24"/>
      <w:u w:val="none"/>
      <w:effect w:val="none"/>
      <w:vertAlign w:val="baseline"/>
      <w:cs w:val="0"/>
      <w:em w:val="none"/>
    </w:rPr>
  </w:style>
  <w:style w:type="character" w:customStyle="1" w:styleId="ListLabel101">
    <w:name w:val="ListLabel 101"/>
    <w:rPr>
      <w:w w:val="100"/>
      <w:position w:val="0"/>
      <w:sz w:val="24"/>
      <w:u w:val="none"/>
      <w:effect w:val="none"/>
      <w:vertAlign w:val="baseline"/>
      <w:cs w:val="0"/>
      <w:em w:val="none"/>
    </w:rPr>
  </w:style>
  <w:style w:type="character" w:customStyle="1" w:styleId="ListLabel102">
    <w:name w:val="ListLabel 102"/>
    <w:rPr>
      <w:w w:val="100"/>
      <w:position w:val="0"/>
      <w:sz w:val="24"/>
      <w:u w:val="none"/>
      <w:effect w:val="none"/>
      <w:vertAlign w:val="baseline"/>
      <w:cs w:val="0"/>
      <w:em w:val="none"/>
    </w:rPr>
  </w:style>
  <w:style w:type="character" w:customStyle="1" w:styleId="ListLabel103">
    <w:name w:val="ListLabel 103"/>
    <w:rPr>
      <w:w w:val="100"/>
      <w:position w:val="0"/>
      <w:sz w:val="24"/>
      <w:u w:val="none"/>
      <w:effect w:val="none"/>
      <w:vertAlign w:val="baseline"/>
      <w:cs w:val="0"/>
      <w:em w:val="none"/>
    </w:rPr>
  </w:style>
  <w:style w:type="character" w:customStyle="1" w:styleId="ListLabel104">
    <w:name w:val="ListLabel 104"/>
    <w:rPr>
      <w:w w:val="100"/>
      <w:position w:val="0"/>
      <w:sz w:val="24"/>
      <w:u w:val="none"/>
      <w:effect w:val="none"/>
      <w:vertAlign w:val="baseline"/>
      <w:cs w:val="0"/>
      <w:em w:val="none"/>
    </w:rPr>
  </w:style>
  <w:style w:type="character" w:customStyle="1" w:styleId="ListLabel105">
    <w:name w:val="ListLabel 105"/>
    <w:rPr>
      <w:w w:val="100"/>
      <w:position w:val="0"/>
      <w:sz w:val="24"/>
      <w:u w:val="none"/>
      <w:effect w:val="none"/>
      <w:vertAlign w:val="baseline"/>
      <w:cs w:val="0"/>
      <w:em w:val="none"/>
    </w:rPr>
  </w:style>
  <w:style w:type="character" w:customStyle="1" w:styleId="ListLabel106">
    <w:name w:val="ListLabel 106"/>
    <w:rPr>
      <w:w w:val="100"/>
      <w:position w:val="0"/>
      <w:sz w:val="24"/>
      <w:u w:val="none"/>
      <w:effect w:val="none"/>
      <w:vertAlign w:val="baseline"/>
      <w:cs w:val="0"/>
      <w:em w:val="none"/>
    </w:rPr>
  </w:style>
  <w:style w:type="character" w:customStyle="1" w:styleId="ListLabel107">
    <w:name w:val="ListLabel 107"/>
    <w:rPr>
      <w:w w:val="100"/>
      <w:position w:val="0"/>
      <w:sz w:val="24"/>
      <w:u w:val="none"/>
      <w:effect w:val="none"/>
      <w:vertAlign w:val="baseline"/>
      <w:cs w:val="0"/>
      <w:em w:val="none"/>
    </w:rPr>
  </w:style>
  <w:style w:type="character" w:customStyle="1" w:styleId="ListLabel108">
    <w:name w:val="ListLabel 108"/>
    <w:rPr>
      <w:w w:val="100"/>
      <w:position w:val="0"/>
      <w:sz w:val="24"/>
      <w:u w:val="none"/>
      <w:effect w:val="none"/>
      <w:vertAlign w:val="baseline"/>
      <w:cs w:val="0"/>
      <w:em w:val="none"/>
    </w:rPr>
  </w:style>
  <w:style w:type="character" w:customStyle="1" w:styleId="ListLabel109">
    <w:name w:val="ListLabel 109"/>
    <w:rPr>
      <w:w w:val="100"/>
      <w:position w:val="0"/>
      <w:sz w:val="24"/>
      <w:u w:val="none"/>
      <w:effect w:val="none"/>
      <w:vertAlign w:val="baseline"/>
      <w:cs w:val="0"/>
      <w:em w:val="none"/>
    </w:rPr>
  </w:style>
  <w:style w:type="character" w:customStyle="1" w:styleId="WW-Caracteresdenotaalpie">
    <w:name w:val="WW-Caracteres de nota al pie"/>
    <w:rPr>
      <w:w w:val="100"/>
      <w:position w:val="0"/>
      <w:sz w:val="24"/>
      <w:effect w:val="none"/>
      <w:vertAlign w:val="baseline"/>
      <w:cs w:val="0"/>
      <w:em w:val="none"/>
    </w:rPr>
  </w:style>
  <w:style w:type="character" w:customStyle="1" w:styleId="WW-Caracteresdenotafinal">
    <w:name w:val="WW-Caracteres de nota final"/>
    <w:rPr>
      <w:w w:val="100"/>
      <w:position w:val="0"/>
      <w:sz w:val="24"/>
      <w:effect w:val="none"/>
      <w:vertAlign w:val="baseline"/>
      <w:cs w:val="0"/>
      <w:em w:val="none"/>
    </w:rPr>
  </w:style>
  <w:style w:type="character" w:customStyle="1" w:styleId="Refdenotaalpie1">
    <w:name w:val="Ref. de nota al pie1"/>
    <w:rPr>
      <w:w w:val="100"/>
      <w:position w:val="-1"/>
      <w:effect w:val="none"/>
      <w:vertAlign w:val="superscript"/>
      <w:cs w:val="0"/>
      <w:em w:val="none"/>
    </w:rPr>
  </w:style>
  <w:style w:type="character" w:customStyle="1" w:styleId="Refdenotaalfinal1">
    <w:name w:val="Ref. de nota al final1"/>
    <w:rPr>
      <w:w w:val="100"/>
      <w:position w:val="-1"/>
      <w:effect w:val="none"/>
      <w:vertAlign w:val="superscript"/>
      <w:cs w:val="0"/>
      <w:em w:val="none"/>
    </w:rPr>
  </w:style>
  <w:style w:type="character" w:customStyle="1" w:styleId="TextodegloboCar1">
    <w:name w:val="Texto de globo Car1"/>
    <w:rPr>
      <w:rFonts w:ascii="Tahoma" w:hAnsi="Tahoma" w:cs="Tahoma"/>
      <w:w w:val="100"/>
      <w:position w:val="-1"/>
      <w:sz w:val="16"/>
      <w:szCs w:val="16"/>
      <w:effect w:val="none"/>
      <w:vertAlign w:val="subscript"/>
      <w:cs w:val="0"/>
      <w:em w:val="none"/>
    </w:rPr>
  </w:style>
  <w:style w:type="character" w:styleId="Refdenotaalpie">
    <w:name w:val="footnote reference"/>
    <w:rPr>
      <w:w w:val="100"/>
      <w:position w:val="-1"/>
      <w:effect w:val="none"/>
      <w:vertAlign w:val="superscript"/>
      <w:cs w:val="0"/>
      <w:em w:val="none"/>
    </w:rPr>
  </w:style>
  <w:style w:type="character" w:styleId="Refdenotaalfinal">
    <w:name w:val="endnote reference"/>
    <w:rPr>
      <w:w w:val="100"/>
      <w:position w:val="-1"/>
      <w:effect w:val="none"/>
      <w:vertAlign w:val="superscript"/>
      <w:cs w:val="0"/>
      <w:em w:val="none"/>
    </w:rPr>
  </w:style>
  <w:style w:type="paragraph" w:customStyle="1" w:styleId="Ttulo20">
    <w:name w:val="Título2"/>
    <w:basedOn w:val="Normal"/>
    <w:next w:val="Textoindependiente"/>
    <w:pPr>
      <w:jc w:val="center"/>
    </w:pPr>
    <w:rPr>
      <w:rFonts w:ascii="Cambria" w:hAnsi="Cambria" w:cs="Cambria"/>
      <w:b/>
      <w:bCs/>
      <w:kern w:val="2"/>
      <w:sz w:val="32"/>
      <w:szCs w:val="32"/>
    </w:rPr>
  </w:style>
  <w:style w:type="paragraph" w:styleId="Textoindependiente">
    <w:name w:val="Body Text"/>
    <w:basedOn w:val="Normal"/>
  </w:style>
  <w:style w:type="paragraph" w:styleId="Lista">
    <w:name w:val="List"/>
    <w:basedOn w:val="Textoindependiente"/>
  </w:style>
  <w:style w:type="paragraph" w:styleId="Descripcin">
    <w:name w:val="caption"/>
    <w:basedOn w:val="Normal"/>
    <w:pPr>
      <w:suppressLineNumbers/>
      <w:spacing w:before="120" w:after="120"/>
    </w:pPr>
    <w:rPr>
      <w:i/>
      <w:iCs/>
    </w:rPr>
  </w:style>
  <w:style w:type="paragraph" w:customStyle="1" w:styleId="ndice">
    <w:name w:val="Índice"/>
    <w:basedOn w:val="Normal"/>
    <w:pPr>
      <w:suppressLineNumbers/>
    </w:pPr>
  </w:style>
  <w:style w:type="paragraph" w:customStyle="1" w:styleId="LO-normal">
    <w:name w:val="LO-normal"/>
    <w:pPr>
      <w:spacing w:line="1" w:lineRule="atLeast"/>
      <w:ind w:leftChars="-1" w:hangingChars="1"/>
      <w:textDirection w:val="btLr"/>
      <w:textAlignment w:val="top"/>
      <w:outlineLvl w:val="0"/>
    </w:pPr>
    <w:rPr>
      <w:position w:val="-1"/>
      <w:lang w:eastAsia="zh-CN"/>
    </w:rPr>
  </w:style>
  <w:style w:type="paragraph" w:customStyle="1" w:styleId="WW-normal">
    <w:name w:val="WW-normal"/>
    <w:pPr>
      <w:spacing w:line="1" w:lineRule="atLeast"/>
      <w:ind w:leftChars="-1" w:hangingChars="1"/>
      <w:textDirection w:val="btLr"/>
      <w:textAlignment w:val="top"/>
      <w:outlineLvl w:val="0"/>
    </w:pPr>
    <w:rPr>
      <w:position w:val="-1"/>
      <w:lang w:eastAsia="zh-CN"/>
    </w:rPr>
  </w:style>
  <w:style w:type="paragraph" w:customStyle="1" w:styleId="Ttulo10">
    <w:name w:val="Título1"/>
    <w:basedOn w:val="Normal"/>
    <w:next w:val="Textoindependiente"/>
    <w:pPr>
      <w:keepNext/>
      <w:spacing w:before="240" w:after="120"/>
    </w:pPr>
    <w:rPr>
      <w:rFonts w:ascii="Liberation Sans" w:eastAsia="Microsoft YaHei" w:hAnsi="Liberation Sans" w:cs="Arial"/>
      <w:sz w:val="28"/>
      <w:szCs w:val="28"/>
    </w:rPr>
  </w:style>
  <w:style w:type="paragraph" w:customStyle="1" w:styleId="Epgrafe1">
    <w:name w:val="Epígrafe1"/>
    <w:basedOn w:val="Normal"/>
    <w:pPr>
      <w:suppressLineNumbers/>
      <w:spacing w:before="120" w:after="120"/>
    </w:pPr>
    <w:rPr>
      <w:i/>
      <w:iCs/>
    </w:rPr>
  </w:style>
  <w:style w:type="paragraph" w:styleId="Textodeglobo">
    <w:name w:val="Balloon Text"/>
    <w:basedOn w:val="Normal"/>
    <w:pPr>
      <w:spacing w:line="240" w:lineRule="auto"/>
    </w:pPr>
    <w:rPr>
      <w:rFonts w:ascii="Tahoma" w:hAnsi="Tahoma" w:cs="Tahoma"/>
      <w:sz w:val="16"/>
      <w:szCs w:val="16"/>
    </w:rPr>
  </w:style>
  <w:style w:type="paragraph" w:styleId="Sangradetextonormal">
    <w:name w:val="Body Text Indent"/>
    <w:basedOn w:val="Normal"/>
    <w:pPr>
      <w:shd w:val="clear" w:color="auto" w:fill="FFFFFF"/>
      <w:ind w:left="708"/>
      <w:jc w:val="both"/>
    </w:pPr>
  </w:style>
  <w:style w:type="paragraph" w:customStyle="1" w:styleId="Cabeceraypie">
    <w:name w:val="Cabecera y pie"/>
    <w:basedOn w:val="Normal"/>
  </w:style>
  <w:style w:type="paragraph" w:styleId="Encabezado">
    <w:name w:val="header"/>
    <w:basedOn w:val="Normal"/>
  </w:style>
  <w:style w:type="paragraph" w:styleId="Piedepgina">
    <w:name w:val="footer"/>
    <w:basedOn w:val="Normal"/>
  </w:style>
  <w:style w:type="paragraph" w:customStyle="1" w:styleId="Textoindependiente21">
    <w:name w:val="Texto independiente 21"/>
    <w:basedOn w:val="Normal"/>
    <w:pPr>
      <w:jc w:val="center"/>
    </w:pPr>
  </w:style>
  <w:style w:type="paragraph" w:customStyle="1" w:styleId="Authors">
    <w:name w:val="Authors"/>
    <w:basedOn w:val="Normal"/>
    <w:pPr>
      <w:keepNext/>
      <w:spacing w:before="240"/>
    </w:pPr>
    <w:rPr>
      <w:rFonts w:ascii="Arial" w:hAnsi="Arial" w:cs="Arial"/>
      <w:color w:val="000000"/>
      <w:sz w:val="22"/>
      <w:szCs w:val="20"/>
      <w:lang w:val="en-US"/>
    </w:rPr>
  </w:style>
  <w:style w:type="paragraph" w:customStyle="1" w:styleId="Encabezadobase">
    <w:name w:val="Encabezado base"/>
    <w:basedOn w:val="Normal"/>
    <w:pPr>
      <w:keepLines/>
      <w:spacing w:after="240"/>
      <w:ind w:firstLine="709"/>
      <w:jc w:val="both"/>
    </w:pPr>
    <w:rPr>
      <w:rFonts w:ascii="Arial" w:hAnsi="Arial" w:cs="Arial"/>
      <w:spacing w:val="-4"/>
      <w:szCs w:val="20"/>
    </w:rPr>
  </w:style>
  <w:style w:type="paragraph" w:styleId="NormalWeb">
    <w:name w:val="Normal (Web)"/>
    <w:basedOn w:val="Normal"/>
    <w:uiPriority w:val="99"/>
    <w:pPr>
      <w:spacing w:before="280" w:after="280"/>
    </w:pPr>
  </w:style>
  <w:style w:type="paragraph" w:customStyle="1" w:styleId="Textoindependiente32">
    <w:name w:val="Texto independiente 32"/>
    <w:basedOn w:val="Normal"/>
    <w:rPr>
      <w:sz w:val="16"/>
      <w:szCs w:val="16"/>
    </w:rPr>
  </w:style>
  <w:style w:type="paragraph" w:styleId="z-Principiodelformulario">
    <w:name w:val="HTML Top of Form"/>
    <w:basedOn w:val="Normal"/>
    <w:next w:val="Normal"/>
    <w:pPr>
      <w:pBdr>
        <w:top w:val="none" w:sz="0" w:space="0" w:color="000000"/>
        <w:left w:val="none" w:sz="0" w:space="0" w:color="000000"/>
        <w:bottom w:val="single" w:sz="6" w:space="1" w:color="000000"/>
        <w:right w:val="none" w:sz="0" w:space="0" w:color="000000"/>
      </w:pBdr>
      <w:jc w:val="center"/>
    </w:pPr>
    <w:rPr>
      <w:rFonts w:ascii="Arial" w:hAnsi="Arial" w:cs="Arial"/>
      <w:vanish/>
      <w:sz w:val="16"/>
      <w:szCs w:val="16"/>
    </w:rPr>
  </w:style>
  <w:style w:type="paragraph" w:customStyle="1" w:styleId="Sangra3detindependiente1">
    <w:name w:val="Sangría 3 de t. independiente1"/>
    <w:basedOn w:val="Normal"/>
    <w:pPr>
      <w:ind w:left="708"/>
      <w:jc w:val="both"/>
    </w:pPr>
    <w:rPr>
      <w:sz w:val="16"/>
      <w:szCs w:val="16"/>
    </w:rPr>
  </w:style>
  <w:style w:type="paragraph" w:customStyle="1" w:styleId="Textosinformato1">
    <w:name w:val="Texto sin formato1"/>
    <w:basedOn w:val="Normal"/>
    <w:rPr>
      <w:rFonts w:ascii="Courier New" w:hAnsi="Courier New" w:cs="Courier New"/>
      <w:sz w:val="20"/>
      <w:szCs w:val="20"/>
    </w:rPr>
  </w:style>
  <w:style w:type="paragraph" w:customStyle="1" w:styleId="Textoindependiente31">
    <w:name w:val="Texto independiente 31"/>
    <w:basedOn w:val="Normal"/>
    <w:pPr>
      <w:widowControl w:val="0"/>
    </w:pPr>
    <w:rPr>
      <w:color w:val="0000FF"/>
      <w:kern w:val="2"/>
      <w:sz w:val="48"/>
    </w:rPr>
  </w:style>
  <w:style w:type="paragraph" w:styleId="Textonotapie">
    <w:name w:val="footnote text"/>
    <w:basedOn w:val="Normal"/>
    <w:rPr>
      <w:rFonts w:ascii="Arial" w:hAnsi="Arial" w:cs="Arial"/>
      <w:sz w:val="20"/>
      <w:szCs w:val="20"/>
    </w:rPr>
  </w:style>
  <w:style w:type="paragraph" w:customStyle="1" w:styleId="Textocomentario1">
    <w:name w:val="Texto comentario1"/>
    <w:basedOn w:val="Normal"/>
    <w:rPr>
      <w:sz w:val="20"/>
      <w:szCs w:val="20"/>
    </w:rPr>
  </w:style>
  <w:style w:type="paragraph" w:customStyle="1" w:styleId="Default">
    <w:name w:val="Default"/>
    <w:pPr>
      <w:spacing w:line="1" w:lineRule="atLeast"/>
      <w:ind w:leftChars="-1" w:hangingChars="1"/>
      <w:textDirection w:val="btLr"/>
      <w:textAlignment w:val="top"/>
      <w:outlineLvl w:val="0"/>
    </w:pPr>
    <w:rPr>
      <w:rFonts w:ascii="ZYYKLI+TimesTen-Roman" w:eastAsia="MS Mincho" w:hAnsi="ZYYKLI+TimesTen-Roman" w:cs="ZYYKLI+TimesTen-Roman"/>
      <w:color w:val="000000"/>
      <w:position w:val="-1"/>
      <w:lang w:eastAsia="ja-JP"/>
    </w:rPr>
  </w:style>
  <w:style w:type="paragraph" w:customStyle="1" w:styleId="Pa17">
    <w:name w:val="Pa17"/>
    <w:basedOn w:val="Default"/>
    <w:next w:val="Default"/>
    <w:pPr>
      <w:spacing w:line="240" w:lineRule="atLeast"/>
    </w:pPr>
    <w:rPr>
      <w:rFonts w:cs="Times New Roman"/>
    </w:rPr>
  </w:style>
  <w:style w:type="paragraph" w:customStyle="1" w:styleId="Pa50">
    <w:name w:val="Pa50"/>
    <w:basedOn w:val="Default"/>
    <w:next w:val="Default"/>
    <w:pPr>
      <w:spacing w:line="240" w:lineRule="atLeast"/>
    </w:pPr>
    <w:rPr>
      <w:rFonts w:cs="Times New Roman"/>
    </w:rPr>
  </w:style>
  <w:style w:type="paragraph" w:customStyle="1" w:styleId="Pa51">
    <w:name w:val="Pa51"/>
    <w:basedOn w:val="Default"/>
    <w:next w:val="Default"/>
    <w:pPr>
      <w:spacing w:line="240" w:lineRule="atLeast"/>
    </w:pPr>
    <w:rPr>
      <w:rFonts w:cs="Times New Roman"/>
    </w:rPr>
  </w:style>
  <w:style w:type="paragraph" w:customStyle="1" w:styleId="Pa53">
    <w:name w:val="Pa53"/>
    <w:basedOn w:val="Default"/>
    <w:next w:val="Default"/>
    <w:pPr>
      <w:spacing w:line="240" w:lineRule="atLeast"/>
    </w:pPr>
    <w:rPr>
      <w:rFonts w:cs="Times New Roman"/>
    </w:rPr>
  </w:style>
  <w:style w:type="paragraph" w:customStyle="1" w:styleId="Pa14">
    <w:name w:val="Pa14"/>
    <w:basedOn w:val="Default"/>
    <w:next w:val="Default"/>
    <w:pPr>
      <w:spacing w:line="240" w:lineRule="atLeast"/>
    </w:pPr>
    <w:rPr>
      <w:rFonts w:cs="Times New Roman"/>
    </w:rPr>
  </w:style>
  <w:style w:type="paragraph" w:styleId="Citadestacada">
    <w:name w:val="Intense Quote"/>
    <w:basedOn w:val="Normal"/>
    <w:next w:val="Normal"/>
    <w:pPr>
      <w:pBdr>
        <w:top w:val="none" w:sz="0" w:space="0" w:color="000000"/>
        <w:left w:val="none" w:sz="0" w:space="0" w:color="000000"/>
        <w:bottom w:val="single" w:sz="4" w:space="4" w:color="4F81BD"/>
        <w:right w:val="none" w:sz="0" w:space="0" w:color="000000"/>
      </w:pBdr>
      <w:spacing w:before="200" w:after="280"/>
      <w:ind w:left="936" w:right="936"/>
    </w:pPr>
    <w:rPr>
      <w:b/>
      <w:bCs/>
      <w:i/>
      <w:iCs/>
      <w:color w:val="4F81BD"/>
    </w:rPr>
  </w:style>
  <w:style w:type="paragraph" w:styleId="HTMLconformatoprevio">
    <w:name w:val="HTML Preformatted"/>
    <w:basedOn w:val="Normal"/>
    <w:rPr>
      <w:rFonts w:ascii="Courier New" w:hAnsi="Courier New" w:cs="Courier New"/>
      <w:sz w:val="20"/>
      <w:szCs w:val="20"/>
    </w:rPr>
  </w:style>
  <w:style w:type="paragraph" w:customStyle="1" w:styleId="Pa54">
    <w:name w:val="Pa54"/>
    <w:basedOn w:val="Normal"/>
    <w:next w:val="Normal"/>
    <w:pPr>
      <w:spacing w:line="240" w:lineRule="atLeast"/>
    </w:pPr>
    <w:rPr>
      <w:rFonts w:ascii="NBIQZG+HelveticaNeue-Light" w:hAnsi="NBIQZG+HelveticaNeue-Light" w:cs="NBIQZG+HelveticaNeue-Light"/>
    </w:rPr>
  </w:style>
  <w:style w:type="paragraph" w:customStyle="1" w:styleId="Sangra2detindependiente1">
    <w:name w:val="Sangría 2 de t. independiente1"/>
    <w:basedOn w:val="Normal"/>
    <w:pPr>
      <w:spacing w:after="120" w:line="480" w:lineRule="auto"/>
      <w:ind w:left="283"/>
    </w:pPr>
    <w:rPr>
      <w:sz w:val="20"/>
      <w:szCs w:val="20"/>
    </w:rPr>
  </w:style>
  <w:style w:type="paragraph" w:styleId="Textonotaalfinal">
    <w:name w:val="endnote text"/>
    <w:basedOn w:val="Normal"/>
    <w:rPr>
      <w:sz w:val="20"/>
      <w:szCs w:val="20"/>
    </w:rPr>
  </w:style>
  <w:style w:type="paragraph" w:styleId="Asuntodelcomentario">
    <w:name w:val="annotation subject"/>
    <w:basedOn w:val="Textocomentario1"/>
    <w:next w:val="Textocomentario1"/>
    <w:rPr>
      <w:b/>
      <w:bCs/>
    </w:rPr>
  </w:style>
  <w:style w:type="paragraph" w:customStyle="1" w:styleId="yiv1702884738msonormal">
    <w:name w:val="yiv1702884738msonormal"/>
    <w:basedOn w:val="Normal"/>
    <w:pPr>
      <w:spacing w:before="280" w:after="280"/>
    </w:pPr>
  </w:style>
  <w:style w:type="paragraph" w:styleId="Prrafodelista">
    <w:name w:val="List Paragraph"/>
    <w:basedOn w:val="Normal"/>
    <w:qFormat/>
    <w:pPr>
      <w:ind w:left="708"/>
    </w:pPr>
  </w:style>
  <w:style w:type="paragraph" w:styleId="TDC1">
    <w:name w:val="toc 1"/>
    <w:basedOn w:val="Normal"/>
    <w:next w:val="Normal"/>
  </w:style>
  <w:style w:type="paragraph" w:styleId="TDC2">
    <w:name w:val="toc 2"/>
    <w:basedOn w:val="Normal"/>
    <w:next w:val="Normal"/>
    <w:pPr>
      <w:ind w:left="240"/>
    </w:pPr>
  </w:style>
  <w:style w:type="paragraph" w:styleId="TDC3">
    <w:name w:val="toc 3"/>
    <w:basedOn w:val="Normal"/>
    <w:next w:val="Normal"/>
    <w:pPr>
      <w:ind w:left="480"/>
    </w:pPr>
  </w:style>
  <w:style w:type="paragraph" w:customStyle="1" w:styleId="Pa7">
    <w:name w:val="Pa7"/>
    <w:basedOn w:val="Default"/>
    <w:next w:val="Default"/>
    <w:pPr>
      <w:spacing w:line="240" w:lineRule="atLeast"/>
    </w:pPr>
    <w:rPr>
      <w:rFonts w:ascii="GNQAFU+HelveticaNeue-Black" w:eastAsia="Times New Roman" w:hAnsi="GNQAFU+HelveticaNeue-Black" w:cs="Times New Roman"/>
    </w:rPr>
  </w:style>
  <w:style w:type="paragraph" w:customStyle="1" w:styleId="Pa24">
    <w:name w:val="Pa24"/>
    <w:basedOn w:val="Default"/>
    <w:next w:val="Default"/>
    <w:pPr>
      <w:spacing w:line="240" w:lineRule="atLeast"/>
    </w:pPr>
    <w:rPr>
      <w:rFonts w:ascii="GNQAFU+HelveticaNeue-Black" w:eastAsia="Times New Roman" w:hAnsi="GNQAFU+HelveticaNeue-Black" w:cs="Times New Roman"/>
    </w:rPr>
  </w:style>
  <w:style w:type="paragraph" w:customStyle="1" w:styleId="Pa4">
    <w:name w:val="Pa4"/>
    <w:basedOn w:val="Default"/>
    <w:next w:val="Default"/>
    <w:pPr>
      <w:spacing w:line="240" w:lineRule="atLeast"/>
    </w:pPr>
    <w:rPr>
      <w:rFonts w:ascii="GNQAFU+HelveticaNeue-Black" w:eastAsia="Times New Roman" w:hAnsi="GNQAFU+HelveticaNeue-Black" w:cs="Times New Roman"/>
    </w:rPr>
  </w:style>
  <w:style w:type="paragraph" w:customStyle="1" w:styleId="Pa1">
    <w:name w:val="Pa1"/>
    <w:basedOn w:val="Default"/>
    <w:next w:val="Default"/>
    <w:pPr>
      <w:spacing w:line="240" w:lineRule="atLeast"/>
    </w:pPr>
    <w:rPr>
      <w:rFonts w:ascii="GNQAFU+HelveticaNeue-Black" w:eastAsia="Times New Roman" w:hAnsi="GNQAFU+HelveticaNeue-Black"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rPr>
      <w:sz w:val="20"/>
      <w:szCs w:val="20"/>
    </w:rPr>
  </w:style>
  <w:style w:type="character" w:customStyle="1" w:styleId="TextocomentarioCar">
    <w:name w:val="Texto comentario Car"/>
    <w:rPr>
      <w:w w:val="100"/>
      <w:position w:val="-1"/>
      <w:effect w:val="none"/>
      <w:vertAlign w:val="subscript"/>
      <w:cs w:val="0"/>
      <w:em w:val="none"/>
      <w:lang w:eastAsia="zh-CN"/>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108" w:type="dxa"/>
        <w:right w:w="108" w:type="dxa"/>
      </w:tblCellMar>
    </w:tblPr>
  </w:style>
  <w:style w:type="table" w:customStyle="1" w:styleId="a5">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left w:w="108" w:type="dxa"/>
        <w:right w:w="108" w:type="dxa"/>
      </w:tblCellMar>
    </w:tblPr>
  </w:style>
  <w:style w:type="table" w:customStyle="1" w:styleId="af5">
    <w:basedOn w:val="TableNormal"/>
    <w:tblPr>
      <w:tblStyleRowBandSize w:val="1"/>
      <w:tblStyleColBandSize w:val="1"/>
      <w:tblCellMar>
        <w:left w:w="108" w:type="dxa"/>
        <w:right w:w="108" w:type="dxa"/>
      </w:tblCellMar>
    </w:tblPr>
  </w:style>
  <w:style w:type="table" w:customStyle="1" w:styleId="af6">
    <w:basedOn w:val="TableNormal"/>
    <w:tblPr>
      <w:tblStyleRowBandSize w:val="1"/>
      <w:tblStyleColBandSize w:val="1"/>
      <w:tblCellMar>
        <w:left w:w="108" w:type="dxa"/>
        <w:right w:w="108" w:type="dxa"/>
      </w:tblCellMar>
    </w:tblPr>
  </w:style>
  <w:style w:type="table" w:customStyle="1" w:styleId="af7">
    <w:basedOn w:val="TableNormal"/>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left w:w="108" w:type="dxa"/>
        <w:right w:w="108" w:type="dxa"/>
      </w:tblCellMar>
    </w:tblPr>
  </w:style>
  <w:style w:type="table" w:customStyle="1" w:styleId="afa">
    <w:basedOn w:val="TableNormal"/>
    <w:tblPr>
      <w:tblStyleRowBandSize w:val="1"/>
      <w:tblStyleColBandSize w:val="1"/>
      <w:tblCellMar>
        <w:left w:w="108" w:type="dxa"/>
        <w:right w:w="108" w:type="dxa"/>
      </w:tblCellMar>
    </w:tblPr>
  </w:style>
  <w:style w:type="table" w:customStyle="1" w:styleId="afb">
    <w:basedOn w:val="TableNormal"/>
    <w:tblPr>
      <w:tblStyleRowBandSize w:val="1"/>
      <w:tblStyleColBandSize w:val="1"/>
      <w:tblCellMar>
        <w:left w:w="108" w:type="dxa"/>
        <w:right w:w="108"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table" w:customStyle="1" w:styleId="aff3">
    <w:basedOn w:val="TableNormal"/>
    <w:tblPr>
      <w:tblStyleRowBandSize w:val="1"/>
      <w:tblStyleColBandSize w:val="1"/>
      <w:tblCellMar>
        <w:left w:w="108" w:type="dxa"/>
        <w:right w:w="108" w:type="dxa"/>
      </w:tblCellMar>
    </w:tblPr>
  </w:style>
  <w:style w:type="table" w:customStyle="1" w:styleId="aff4">
    <w:basedOn w:val="TableNormal"/>
    <w:tblPr>
      <w:tblStyleRowBandSize w:val="1"/>
      <w:tblStyleColBandSize w:val="1"/>
      <w:tblCellMar>
        <w:left w:w="108" w:type="dxa"/>
        <w:right w:w="108" w:type="dxa"/>
      </w:tblCellMar>
    </w:tblPr>
  </w:style>
  <w:style w:type="table" w:customStyle="1" w:styleId="aff5">
    <w:basedOn w:val="TableNormal"/>
    <w:tblPr>
      <w:tblStyleRowBandSize w:val="1"/>
      <w:tblStyleColBandSize w:val="1"/>
      <w:tblCellMar>
        <w:left w:w="108" w:type="dxa"/>
        <w:right w:w="108" w:type="dxa"/>
      </w:tblCellMar>
    </w:tblPr>
  </w:style>
  <w:style w:type="table" w:customStyle="1" w:styleId="aff6">
    <w:basedOn w:val="TableNormal"/>
    <w:tblPr>
      <w:tblStyleRowBandSize w:val="1"/>
      <w:tblStyleColBandSize w:val="1"/>
      <w:tblCellMar>
        <w:left w:w="108" w:type="dxa"/>
        <w:right w:w="108" w:type="dxa"/>
      </w:tblCellMar>
    </w:tblPr>
  </w:style>
  <w:style w:type="table" w:customStyle="1" w:styleId="aff7">
    <w:basedOn w:val="TableNormal"/>
    <w:tblPr>
      <w:tblStyleRowBandSize w:val="1"/>
      <w:tblStyleColBandSize w:val="1"/>
      <w:tblCellMar>
        <w:left w:w="108" w:type="dxa"/>
        <w:right w:w="108" w:type="dxa"/>
      </w:tblCellMar>
    </w:tblPr>
  </w:style>
  <w:style w:type="table" w:customStyle="1" w:styleId="aff8">
    <w:basedOn w:val="TableNormal"/>
    <w:tblPr>
      <w:tblStyleRowBandSize w:val="1"/>
      <w:tblStyleColBandSize w:val="1"/>
      <w:tblCellMar>
        <w:left w:w="108" w:type="dxa"/>
        <w:right w:w="108" w:type="dxa"/>
      </w:tblCellMar>
    </w:tblPr>
  </w:style>
  <w:style w:type="table" w:customStyle="1" w:styleId="aff9">
    <w:basedOn w:val="TableNormal"/>
    <w:tblPr>
      <w:tblStyleRowBandSize w:val="1"/>
      <w:tblStyleColBandSize w:val="1"/>
      <w:tblCellMar>
        <w:left w:w="108" w:type="dxa"/>
        <w:right w:w="108" w:type="dxa"/>
      </w:tblCellMar>
    </w:tblPr>
  </w:style>
  <w:style w:type="table" w:customStyle="1" w:styleId="affa">
    <w:basedOn w:val="TableNormal"/>
    <w:tblPr>
      <w:tblStyleRowBandSize w:val="1"/>
      <w:tblStyleColBandSize w:val="1"/>
      <w:tblCellMar>
        <w:left w:w="108" w:type="dxa"/>
        <w:right w:w="108" w:type="dxa"/>
      </w:tblCellMar>
    </w:tblPr>
  </w:style>
  <w:style w:type="paragraph" w:styleId="Revisin">
    <w:name w:val="Revision"/>
    <w:hidden/>
    <w:uiPriority w:val="99"/>
    <w:semiHidden/>
    <w:rsid w:val="004E4268"/>
    <w:pPr>
      <w:ind w:left="0" w:firstLine="0"/>
    </w:pPr>
    <w:rPr>
      <w:position w:val="-1"/>
      <w:lang w:eastAsia="zh-CN"/>
    </w:rPr>
  </w:style>
  <w:style w:type="character" w:customStyle="1" w:styleId="Ninguno">
    <w:name w:val="Ninguno"/>
    <w:rsid w:val="007A1FF3"/>
    <w:rPr>
      <w:lang w:val="es-ES_tradnl"/>
    </w:rPr>
  </w:style>
  <w:style w:type="paragraph" w:styleId="Textoindependiente3">
    <w:name w:val="Body Text 3"/>
    <w:basedOn w:val="Normal"/>
    <w:link w:val="Textoindependiente3Car1"/>
    <w:uiPriority w:val="99"/>
    <w:semiHidden/>
    <w:unhideWhenUsed/>
    <w:rsid w:val="00F02F27"/>
    <w:pPr>
      <w:spacing w:after="120"/>
    </w:pPr>
    <w:rPr>
      <w:sz w:val="16"/>
      <w:szCs w:val="16"/>
    </w:rPr>
  </w:style>
  <w:style w:type="character" w:customStyle="1" w:styleId="Textoindependiente3Car1">
    <w:name w:val="Texto independiente 3 Car1"/>
    <w:basedOn w:val="Fuentedeprrafopredeter"/>
    <w:link w:val="Textoindependiente3"/>
    <w:uiPriority w:val="99"/>
    <w:semiHidden/>
    <w:rsid w:val="00F02F27"/>
    <w:rPr>
      <w:position w:val="-1"/>
      <w:sz w:val="16"/>
      <w:szCs w:val="16"/>
      <w:lang w:eastAsia="zh-CN"/>
    </w:rPr>
  </w:style>
  <w:style w:type="paragraph" w:styleId="Textoindependiente2">
    <w:name w:val="Body Text 2"/>
    <w:basedOn w:val="Normal"/>
    <w:link w:val="Textoindependiente2Car1"/>
    <w:semiHidden/>
    <w:rsid w:val="00F02F27"/>
    <w:pPr>
      <w:spacing w:after="120" w:line="480" w:lineRule="auto"/>
      <w:ind w:leftChars="0" w:left="0" w:firstLineChars="0" w:firstLine="0"/>
      <w:textDirection w:val="lrTb"/>
      <w:textAlignment w:val="auto"/>
      <w:outlineLvl w:val="9"/>
    </w:pPr>
    <w:rPr>
      <w:position w:val="0"/>
      <w:vertAlign w:val="baseline"/>
      <w:lang w:eastAsia="es-ES"/>
    </w:rPr>
  </w:style>
  <w:style w:type="character" w:customStyle="1" w:styleId="Textoindependiente2Car1">
    <w:name w:val="Texto independiente 2 Car1"/>
    <w:basedOn w:val="Fuentedeprrafopredeter"/>
    <w:link w:val="Textoindependiente2"/>
    <w:semiHidden/>
    <w:rsid w:val="00F02F27"/>
    <w:rPr>
      <w:vertAlign w:val="baseline"/>
    </w:rPr>
  </w:style>
  <w:style w:type="character" w:customStyle="1" w:styleId="EstiloCorreo319">
    <w:name w:val="EstiloCorreo319"/>
    <w:semiHidden/>
    <w:rsid w:val="00F02F27"/>
    <w:rPr>
      <w:rFonts w:ascii="Arial" w:hAnsi="Arial" w:cs="Arial"/>
      <w:color w:val="000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830118">
      <w:bodyDiv w:val="1"/>
      <w:marLeft w:val="0"/>
      <w:marRight w:val="0"/>
      <w:marTop w:val="0"/>
      <w:marBottom w:val="0"/>
      <w:divBdr>
        <w:top w:val="none" w:sz="0" w:space="0" w:color="auto"/>
        <w:left w:val="none" w:sz="0" w:space="0" w:color="auto"/>
        <w:bottom w:val="none" w:sz="0" w:space="0" w:color="auto"/>
        <w:right w:val="none" w:sz="0" w:space="0" w:color="auto"/>
      </w:divBdr>
    </w:div>
    <w:div w:id="20881112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ubmed.ncbi.nlm.nih.gov/32892993/" TargetMode="External"/><Relationship Id="rId21" Type="http://schemas.openxmlformats.org/officeDocument/2006/relationships/image" Target="media/image10.png"/><Relationship Id="rId42" Type="http://schemas.openxmlformats.org/officeDocument/2006/relationships/hyperlink" Target="http://gruposdetrabajo.sefh.es/genesis/genesis/Enlaces/Calculadoras.htm" TargetMode="External"/><Relationship Id="rId47" Type="http://schemas.openxmlformats.org/officeDocument/2006/relationships/hyperlink" Target="https://www.ine.es/dynt3/inebase/es/index.htm?padre=6177&amp;capsel=6178" TargetMode="External"/><Relationship Id="rId63" Type="http://schemas.openxmlformats.org/officeDocument/2006/relationships/hyperlink" Target="https://www.fda.gov/drugs/news-events-human-drugs/fda-approves-add-therapy-lower-cholesterol-among-certain-high-risk-adults" TargetMode="External"/><Relationship Id="rId68" Type="http://schemas.openxmlformats.org/officeDocument/2006/relationships/hyperlink" Target="https://pubmed.ncbi.nlm.nih.gov/35262430"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pubmed.ncbi.nlm.nih.gov/32482309/" TargetMode="External"/><Relationship Id="rId11" Type="http://schemas.openxmlformats.org/officeDocument/2006/relationships/hyperlink" Target="https://www.ine.es/dynt3/inebase/es/index.htm?padre=6177&amp;capsel=6178" TargetMode="Externa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hyperlink" Target="http://www.redcaspe.org/" TargetMode="External"/><Relationship Id="rId40" Type="http://schemas.openxmlformats.org/officeDocument/2006/relationships/hyperlink" Target="http://gruposdetrabajo.sefh.es/genesis/genesis/Enlaces/Calculadoras.htm" TargetMode="External"/><Relationship Id="rId45" Type="http://schemas.openxmlformats.org/officeDocument/2006/relationships/image" Target="media/image18.png"/><Relationship Id="rId53" Type="http://schemas.openxmlformats.org/officeDocument/2006/relationships/hyperlink" Target="https://www.clinicalkey.es/" TargetMode="External"/><Relationship Id="rId58" Type="http://schemas.openxmlformats.org/officeDocument/2006/relationships/hyperlink" Target="https://wwwn.cdc.gov/nchs/nhanes/analyticguidelines.aspx" TargetMode="External"/><Relationship Id="rId66" Type="http://schemas.openxmlformats.org/officeDocument/2006/relationships/hyperlink" Target="http://www.cadth.ca/inclisiran" TargetMode="External"/><Relationship Id="rId74" Type="http://schemas.openxmlformats.org/officeDocument/2006/relationships/footer" Target="footer3.xml"/><Relationship Id="rId5" Type="http://schemas.openxmlformats.org/officeDocument/2006/relationships/settings" Target="settings.xml"/><Relationship Id="rId61" Type="http://schemas.openxmlformats.org/officeDocument/2006/relationships/hyperlink" Target="http://www.sas.junta-andalucia.es/library/plantillas/externa.asp?pag=../../publicaciones/datos/102/html/Home.htm" TargetMode="External"/><Relationship Id="rId19" Type="http://schemas.openxmlformats.org/officeDocument/2006/relationships/image" Target="media/image8.png"/><Relationship Id="rId14" Type="http://schemas.openxmlformats.org/officeDocument/2006/relationships/hyperlink" Target="http://gruposdetrabajo.sefh.es/genesis/genesis/Enlaces/Calculadoras.htm" TargetMode="External"/><Relationship Id="rId22" Type="http://schemas.openxmlformats.org/officeDocument/2006/relationships/image" Target="media/image11.png"/><Relationship Id="rId27" Type="http://schemas.openxmlformats.org/officeDocument/2006/relationships/hyperlink" Target="https://pubmed.ncbi.nlm.nih.gov/32892993/" TargetMode="External"/><Relationship Id="rId30" Type="http://schemas.openxmlformats.org/officeDocument/2006/relationships/hyperlink" Target="https://pubmed.ncbi.nlm.nih.gov/33032236/" TargetMode="External"/><Relationship Id="rId35" Type="http://schemas.openxmlformats.org/officeDocument/2006/relationships/hyperlink" Target="http://www.redcaspe.org/" TargetMode="External"/><Relationship Id="rId43" Type="http://schemas.openxmlformats.org/officeDocument/2006/relationships/hyperlink" Target="http://www.redcaspe.org/" TargetMode="External"/><Relationship Id="rId48" Type="http://schemas.openxmlformats.org/officeDocument/2006/relationships/hyperlink" Target="https://www.ine.es/dynt3/inebase/es/index.htm?padre=5486" TargetMode="External"/><Relationship Id="rId56" Type="http://schemas.openxmlformats.org/officeDocument/2006/relationships/hyperlink" Target="https://www.ema.europa.eu/en/documents/product-information/leqvio-epar-product-information_es.pdf" TargetMode="External"/><Relationship Id="rId64" Type="http://schemas.openxmlformats.org/officeDocument/2006/relationships/hyperlink" Target="https://pubmed.ncbi.nlm.nih.gov/35262430" TargetMode="Externa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s://www.clinicalkey.es/" TargetMode="External"/><Relationship Id="rId72"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hyperlink" Target="http://www.redcaspe.org/" TargetMode="External"/><Relationship Id="rId38" Type="http://schemas.openxmlformats.org/officeDocument/2006/relationships/hyperlink" Target="http://gruposdetrabajo.sefh.es/genesis/genesis/Enlaces/Calculadoras.htm" TargetMode="External"/><Relationship Id="rId46" Type="http://schemas.openxmlformats.org/officeDocument/2006/relationships/image" Target="media/image19.png"/><Relationship Id="rId59" Type="http://schemas.openxmlformats.org/officeDocument/2006/relationships/hyperlink" Target="http://www.sas.junta-andalucia.es/library/plantillas/externa.asp?pag=../../publicaciones/datos/102/html/Home.htm" TargetMode="External"/><Relationship Id="rId67" Type="http://schemas.openxmlformats.org/officeDocument/2006/relationships/hyperlink" Target="https://pubmed.ncbi.nlm.nih.gov/35262430" TargetMode="External"/><Relationship Id="rId20" Type="http://schemas.openxmlformats.org/officeDocument/2006/relationships/image" Target="media/image9.png"/><Relationship Id="rId41" Type="http://schemas.openxmlformats.org/officeDocument/2006/relationships/hyperlink" Target="http://www.redcaspe.org/" TargetMode="External"/><Relationship Id="rId54" Type="http://schemas.openxmlformats.org/officeDocument/2006/relationships/hyperlink" Target="https://www.clinicalkey.es/" TargetMode="External"/><Relationship Id="rId62" Type="http://schemas.openxmlformats.org/officeDocument/2006/relationships/hyperlink" Target="http://www.sas.junta-andalucia.es/library/plantillas/externa.asp?pag=../../publicaciones/datos/102/html/Home.htm" TargetMode="External"/><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hyperlink" Target="http://gruposdetrabajo.sefh.es/genesis/genesis/Enlaces/Calculadoras.htm" TargetMode="External"/><Relationship Id="rId49" Type="http://schemas.openxmlformats.org/officeDocument/2006/relationships/hyperlink" Target="https://www.ema.europa.eu/en/documents/scientific-guideline/guideline-clinical-investigation-medicinal-products-treatment-lipid-disorders_en-0.pdf" TargetMode="External"/><Relationship Id="rId57" Type="http://schemas.openxmlformats.org/officeDocument/2006/relationships/hyperlink" Target="https://www.ema.europa.eu/en/documents/assessment-report/leqvio-epar-public-assessment-report_en.pdf" TargetMode="External"/><Relationship Id="rId10"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hyperlink" Target="http://gruposdetrabajo.sefh.es/genesis/genesis/Enlaces/Calculadoras.htm" TargetMode="External"/><Relationship Id="rId52" Type="http://schemas.openxmlformats.org/officeDocument/2006/relationships/hyperlink" Target="https://www.clinicalkey.es/" TargetMode="External"/><Relationship Id="rId60" Type="http://schemas.openxmlformats.org/officeDocument/2006/relationships/hyperlink" Target="http://www.sas.junta-andalucia.es/library/plantillas/externa.asp?pag=../../publicaciones/datos/102/html/Home.htm" TargetMode="External"/><Relationship Id="rId65" Type="http://schemas.openxmlformats.org/officeDocument/2006/relationships/hyperlink" Target="http://www.cadth.ca/inclisiran" TargetMode="External"/><Relationship Id="rId73"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gruposdetrabajo.sefh.es/genesis/" TargetMode="Externa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hyperlink" Target="http://www.redcaspe.org/" TargetMode="External"/><Relationship Id="rId34" Type="http://schemas.openxmlformats.org/officeDocument/2006/relationships/hyperlink" Target="http://gruposdetrabajo.sefh.es/genesis/genesis/Enlaces/Calculadoras.htm" TargetMode="External"/><Relationship Id="rId50" Type="http://schemas.openxmlformats.org/officeDocument/2006/relationships/hyperlink" Target="https://www.clinicalkey.es/" TargetMode="External"/><Relationship Id="rId55" Type="http://schemas.openxmlformats.org/officeDocument/2006/relationships/hyperlink" Target="https://www.clinicalkey.es/" TargetMode="External"/><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gruposdetrabajo.sefh.es/genesis/genesis/basesmetodologicas/programamadre/index.html" TargetMode="External"/><Relationship Id="rId1" Type="http://schemas.openxmlformats.org/officeDocument/2006/relationships/hyperlink" Target="http://gruposdetrabajo.sefh.es/genesis/genesis/basesmetodologicas/programamadre/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WtaIZmaeK77LqdSnhWnMQpF5AjA==">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433C1C-7799-40D3-91E0-487A9295EF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30695</Words>
  <Characters>168826</Characters>
  <Application>Microsoft Office Word</Application>
  <DocSecurity>0</DocSecurity>
  <Lines>1406</Lines>
  <Paragraphs>398</Paragraphs>
  <ScaleCrop>false</ScaleCrop>
  <HeadingPairs>
    <vt:vector size="2" baseType="variant">
      <vt:variant>
        <vt:lpstr>Título</vt:lpstr>
      </vt:variant>
      <vt:variant>
        <vt:i4>1</vt:i4>
      </vt:variant>
    </vt:vector>
  </HeadingPairs>
  <TitlesOfParts>
    <vt:vector size="1" baseType="lpstr">
      <vt:lpstr/>
    </vt:vector>
  </TitlesOfParts>
  <Company>IB-SALUT</Company>
  <LinksUpToDate>false</LinksUpToDate>
  <CharactersWithSpaces>199123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luciavelascoroces@outlook.es</cp:lastModifiedBy>
  <cp:revision>2</cp:revision>
  <dcterms:created xsi:type="dcterms:W3CDTF">2022-11-16T17:19:00Z</dcterms:created>
  <dcterms:modified xsi:type="dcterms:W3CDTF">2022-11-16T17:19:00Z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