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AF7" w:rsidRDefault="00883B7B">
      <w:pPr>
        <w:widowControl w:val="0"/>
        <w:pBdr>
          <w:top w:val="nil"/>
          <w:left w:val="nil"/>
          <w:bottom w:val="nil"/>
          <w:right w:val="nil"/>
          <w:between w:val="nil"/>
        </w:pBdr>
        <w:spacing w:line="276" w:lineRule="auto"/>
        <w:ind w:left="0" w:hanging="2"/>
      </w:pPr>
      <w:bookmarkStart w:id="0" w:name="_GoBack"/>
      <w:bookmarkEnd w:id="0"/>
      <w:r>
        <w:pict w14:anchorId="1F251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0pt;height:50pt;z-index:251679232;visibility:hidden">
            <v:path o:extrusionok="t"/>
            <o:lock v:ext="edit" selection="t"/>
          </v:shape>
        </w:pict>
      </w:r>
    </w:p>
    <w:p w:rsidR="002C4AF7" w:rsidRDefault="002C4AF7">
      <w:pPr>
        <w:keepNext/>
        <w:spacing w:line="240" w:lineRule="auto"/>
        <w:ind w:left="0" w:hanging="2"/>
        <w:jc w:val="both"/>
        <w:rPr>
          <w:rFonts w:ascii="Calibri" w:eastAsia="Calibri" w:hAnsi="Calibri" w:cs="Calibri"/>
          <w:color w:val="0000FF"/>
          <w:sz w:val="20"/>
          <w:szCs w:val="20"/>
        </w:rPr>
      </w:pPr>
      <w:bookmarkStart w:id="1" w:name="_heading=h.gjdgxs" w:colFirst="0" w:colLast="0"/>
      <w:bookmarkEnd w:id="1"/>
    </w:p>
    <w:tbl>
      <w:tblPr>
        <w:tblStyle w:val="affa"/>
        <w:tblW w:w="889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2C4AF7">
        <w:tc>
          <w:tcPr>
            <w:tcW w:w="8890" w:type="dxa"/>
            <w:shd w:val="clear" w:color="auto" w:fill="FFCC99"/>
          </w:tcPr>
          <w:p w:rsidR="002C4AF7" w:rsidRDefault="002C4AF7">
            <w:pPr>
              <w:ind w:left="2" w:hanging="4"/>
              <w:rPr>
                <w:rFonts w:ascii="Arial" w:eastAsia="Arial" w:hAnsi="Arial" w:cs="Arial"/>
                <w:sz w:val="40"/>
                <w:szCs w:val="40"/>
              </w:rPr>
            </w:pPr>
          </w:p>
          <w:p w:rsidR="002C4AF7" w:rsidRDefault="007C2686">
            <w:pPr>
              <w:ind w:left="1" w:hanging="3"/>
              <w:jc w:val="center"/>
              <w:rPr>
                <w:rFonts w:ascii="Arial" w:eastAsia="Arial" w:hAnsi="Arial" w:cs="Arial"/>
                <w:sz w:val="34"/>
                <w:szCs w:val="34"/>
              </w:rPr>
            </w:pPr>
            <w:r>
              <w:rPr>
                <w:rFonts w:ascii="Arial" w:eastAsia="Arial" w:hAnsi="Arial" w:cs="Arial"/>
                <w:b/>
                <w:sz w:val="34"/>
                <w:szCs w:val="34"/>
              </w:rPr>
              <w:t>Enzalutamida en combinación con terapia de deprivación de andrógenos en el tratamiento del cáncer de próstata horm</w:t>
            </w:r>
            <w:r w:rsidR="00B60B55">
              <w:rPr>
                <w:rFonts w:ascii="Arial" w:eastAsia="Arial" w:hAnsi="Arial" w:cs="Arial"/>
                <w:b/>
                <w:sz w:val="34"/>
                <w:szCs w:val="34"/>
              </w:rPr>
              <w:t>onosensible metastásico (CPHSm)</w:t>
            </w:r>
          </w:p>
          <w:p w:rsidR="002C4AF7" w:rsidRDefault="007C2686">
            <w:pPr>
              <w:ind w:left="0" w:hanging="2"/>
              <w:jc w:val="center"/>
              <w:rPr>
                <w:rFonts w:ascii="Arial" w:eastAsia="Arial" w:hAnsi="Arial" w:cs="Arial"/>
                <w:sz w:val="22"/>
                <w:szCs w:val="22"/>
              </w:rPr>
            </w:pPr>
            <w:r>
              <w:rPr>
                <w:rFonts w:ascii="Arial" w:eastAsia="Arial" w:hAnsi="Arial" w:cs="Arial"/>
                <w:sz w:val="22"/>
                <w:szCs w:val="22"/>
              </w:rPr>
              <w:t>Informe para el grupo GENESIS elaborado según el método y procedimientos de evaluación compartida establecidos por este grupo de trabajo de la SEFH</w:t>
            </w:r>
          </w:p>
          <w:p w:rsidR="002C4AF7" w:rsidRDefault="002C4AF7">
            <w:pPr>
              <w:ind w:left="0" w:hanging="2"/>
              <w:rPr>
                <w:rFonts w:ascii="Arial" w:eastAsia="Arial" w:hAnsi="Arial" w:cs="Arial"/>
              </w:rPr>
            </w:pPr>
          </w:p>
          <w:p w:rsidR="002C4AF7" w:rsidRDefault="007C2686">
            <w:pPr>
              <w:ind w:left="0" w:hanging="2"/>
              <w:jc w:val="center"/>
              <w:rPr>
                <w:rFonts w:ascii="Arial" w:eastAsia="Arial" w:hAnsi="Arial" w:cs="Arial"/>
                <w:sz w:val="22"/>
                <w:szCs w:val="22"/>
              </w:rPr>
            </w:pPr>
            <w:r>
              <w:rPr>
                <w:rFonts w:ascii="Arial" w:eastAsia="Arial" w:hAnsi="Arial" w:cs="Arial"/>
                <w:sz w:val="22"/>
                <w:szCs w:val="22"/>
              </w:rPr>
              <w:t>Fecha redacción abril 2022</w:t>
            </w:r>
          </w:p>
          <w:p w:rsidR="002C4AF7" w:rsidRDefault="00A73606" w:rsidP="008C3520">
            <w:pPr>
              <w:ind w:left="0" w:hanging="2"/>
              <w:jc w:val="center"/>
              <w:rPr>
                <w:rFonts w:ascii="Arial" w:eastAsia="Arial" w:hAnsi="Arial" w:cs="Arial"/>
                <w:sz w:val="22"/>
                <w:szCs w:val="22"/>
              </w:rPr>
            </w:pPr>
            <w:r>
              <w:rPr>
                <w:rFonts w:ascii="Arial" w:eastAsia="Arial" w:hAnsi="Arial" w:cs="Arial"/>
                <w:sz w:val="22"/>
                <w:szCs w:val="22"/>
              </w:rPr>
              <w:t>Fecha fin de alegaciones 29 de julio</w:t>
            </w:r>
          </w:p>
          <w:p w:rsidR="008C3520" w:rsidRPr="008C3520" w:rsidRDefault="008C3520" w:rsidP="008C3520">
            <w:pPr>
              <w:ind w:left="0" w:hanging="2"/>
              <w:jc w:val="center"/>
              <w:rPr>
                <w:rFonts w:ascii="Arial" w:eastAsia="Arial" w:hAnsi="Arial" w:cs="Arial"/>
                <w:sz w:val="22"/>
                <w:szCs w:val="22"/>
              </w:rPr>
            </w:pPr>
          </w:p>
        </w:tc>
      </w:tr>
    </w:tbl>
    <w:p w:rsidR="002C4AF7" w:rsidRDefault="002C4AF7">
      <w:pPr>
        <w:ind w:left="0" w:hanging="2"/>
        <w:rPr>
          <w:rFonts w:ascii="Arial" w:eastAsia="Arial" w:hAnsi="Arial" w:cs="Arial"/>
          <w:color w:val="0000FF"/>
          <w:u w:val="single"/>
        </w:rPr>
      </w:pPr>
    </w:p>
    <w:p w:rsidR="002C4AF7" w:rsidRDefault="002C4AF7">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sectPr w:rsidR="002C4AF7">
          <w:headerReference w:type="even" r:id="rId9"/>
          <w:headerReference w:type="default" r:id="rId10"/>
          <w:footerReference w:type="even" r:id="rId11"/>
          <w:footerReference w:type="default" r:id="rId12"/>
          <w:headerReference w:type="first" r:id="rId13"/>
          <w:footerReference w:type="first" r:id="rId14"/>
          <w:pgSz w:w="11906" w:h="16838"/>
          <w:pgMar w:top="1417" w:right="1466" w:bottom="1417" w:left="1701" w:header="708" w:footer="708" w:gutter="0"/>
          <w:pgNumType w:start="1"/>
          <w:cols w:space="720"/>
        </w:sectPr>
      </w:pPr>
    </w:p>
    <w:p w:rsidR="002C4AF7" w:rsidRDefault="007C2686">
      <w:pPr>
        <w:ind w:left="0" w:hanging="2"/>
        <w:rPr>
          <w:rFonts w:ascii="Arial" w:eastAsia="Arial" w:hAnsi="Arial" w:cs="Arial"/>
          <w:sz w:val="20"/>
          <w:szCs w:val="20"/>
        </w:rPr>
      </w:pPr>
      <w:r>
        <w:rPr>
          <w:rFonts w:ascii="Arial" w:eastAsia="Arial" w:hAnsi="Arial" w:cs="Arial"/>
          <w:b/>
          <w:sz w:val="20"/>
          <w:szCs w:val="20"/>
        </w:rPr>
        <w:lastRenderedPageBreak/>
        <w:t>ÍNDICE:</w:t>
      </w:r>
    </w:p>
    <w:p w:rsidR="002C4AF7" w:rsidRDefault="002C4AF7">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1.- IDENTIFICACIÓN DEL FÁRMACO Y AUTORES DEL INFORME</w:t>
      </w:r>
      <w:r>
        <w:rPr>
          <w:rFonts w:ascii="Arial" w:eastAsia="Arial" w:hAnsi="Arial" w:cs="Arial"/>
          <w:color w:val="000000"/>
          <w:sz w:val="20"/>
          <w:szCs w:val="20"/>
        </w:rPr>
        <w:tab/>
        <w:t>3</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2.- SOLICITUD Y DATOS DEL PROCESO DE EVALUACIÓN</w:t>
      </w:r>
      <w:r>
        <w:rPr>
          <w:rFonts w:ascii="Arial" w:eastAsia="Arial" w:hAnsi="Arial" w:cs="Arial"/>
          <w:color w:val="000000"/>
          <w:sz w:val="20"/>
          <w:szCs w:val="20"/>
        </w:rPr>
        <w:tab/>
        <w:t>3</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3.- AREA DESCRIPTIVA DEL MEDICAMENTO Y DEL PROBLEMA DE SALUD</w:t>
      </w:r>
      <w:r>
        <w:rPr>
          <w:rFonts w:ascii="Arial" w:eastAsia="Arial" w:hAnsi="Arial" w:cs="Arial"/>
          <w:color w:val="000000"/>
          <w:sz w:val="20"/>
          <w:szCs w:val="20"/>
        </w:rPr>
        <w:tab/>
        <w:t>3</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3.1 Área descriptiva del medicamento</w:t>
      </w:r>
      <w:r>
        <w:rPr>
          <w:rFonts w:ascii="Arial" w:eastAsia="Arial" w:hAnsi="Arial" w:cs="Arial"/>
          <w:color w:val="000000"/>
          <w:sz w:val="20"/>
          <w:szCs w:val="20"/>
        </w:rPr>
        <w:tab/>
        <w:t>3</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3.2 Área descriptiva del problema de salud</w:t>
      </w:r>
      <w:r>
        <w:rPr>
          <w:rFonts w:ascii="Arial" w:eastAsia="Arial" w:hAnsi="Arial" w:cs="Arial"/>
          <w:color w:val="000000"/>
          <w:sz w:val="20"/>
          <w:szCs w:val="20"/>
        </w:rPr>
        <w:tab/>
        <w:t>4</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3.2.a Descripción estructurada del problema de salud</w:t>
      </w:r>
      <w:r>
        <w:rPr>
          <w:rFonts w:ascii="Arial" w:eastAsia="Arial" w:hAnsi="Arial" w:cs="Arial"/>
          <w:color w:val="000000"/>
          <w:sz w:val="20"/>
          <w:szCs w:val="20"/>
        </w:rPr>
        <w:tab/>
        <w:t>4</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3.2.b Tratamiento actual de la enfermedad: evidencias</w:t>
      </w:r>
      <w:r>
        <w:rPr>
          <w:rFonts w:ascii="Arial" w:eastAsia="Arial" w:hAnsi="Arial" w:cs="Arial"/>
          <w:color w:val="000000"/>
          <w:sz w:val="20"/>
          <w:szCs w:val="20"/>
        </w:rPr>
        <w:tab/>
        <w:t>5</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3.3 Características comparadas con otras alternativas similares</w:t>
      </w:r>
      <w:r>
        <w:rPr>
          <w:rFonts w:ascii="Arial" w:eastAsia="Arial" w:hAnsi="Arial" w:cs="Arial"/>
          <w:color w:val="000000"/>
          <w:sz w:val="20"/>
          <w:szCs w:val="20"/>
        </w:rPr>
        <w:tab/>
        <w:t>5</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4.- AREA DE ACCIÓN FARMACOLÓGICA</w:t>
      </w:r>
      <w:r>
        <w:rPr>
          <w:rFonts w:ascii="Arial" w:eastAsia="Arial" w:hAnsi="Arial" w:cs="Arial"/>
          <w:color w:val="000000"/>
          <w:sz w:val="20"/>
          <w:szCs w:val="20"/>
        </w:rPr>
        <w:t>.</w:t>
      </w:r>
      <w:r>
        <w:rPr>
          <w:rFonts w:ascii="Arial" w:eastAsia="Arial" w:hAnsi="Arial" w:cs="Arial"/>
          <w:color w:val="000000"/>
          <w:sz w:val="20"/>
          <w:szCs w:val="20"/>
        </w:rPr>
        <w:tab/>
        <w:t>7</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4.1 Mecanismo de acción.</w:t>
      </w:r>
      <w:r>
        <w:rPr>
          <w:rFonts w:ascii="Arial" w:eastAsia="Arial" w:hAnsi="Arial" w:cs="Arial"/>
          <w:color w:val="000000"/>
          <w:sz w:val="20"/>
          <w:szCs w:val="20"/>
        </w:rPr>
        <w:tab/>
        <w:t>7</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4.2 Indicaciones clínicas formalmente aprobadas y fecha de aprobación.</w:t>
      </w:r>
      <w:r>
        <w:rPr>
          <w:rFonts w:ascii="Arial" w:eastAsia="Arial" w:hAnsi="Arial" w:cs="Arial"/>
          <w:color w:val="000000"/>
          <w:sz w:val="20"/>
          <w:szCs w:val="20"/>
        </w:rPr>
        <w:tab/>
        <w:t>7</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4.3 Posología, forma de preparación y administración.</w:t>
      </w:r>
      <w:r>
        <w:rPr>
          <w:rFonts w:ascii="Arial" w:eastAsia="Arial" w:hAnsi="Arial" w:cs="Arial"/>
          <w:color w:val="000000"/>
          <w:sz w:val="20"/>
          <w:szCs w:val="20"/>
        </w:rPr>
        <w:tab/>
        <w:t>7</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4.4 Utilización en poblaciones especiales.</w:t>
      </w:r>
      <w:r>
        <w:rPr>
          <w:rFonts w:ascii="Arial" w:eastAsia="Arial" w:hAnsi="Arial" w:cs="Arial"/>
          <w:color w:val="000000"/>
          <w:sz w:val="20"/>
          <w:szCs w:val="20"/>
        </w:rPr>
        <w:tab/>
        <w:t>8</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4.5 Farmacocinética.</w:t>
      </w:r>
      <w:r>
        <w:rPr>
          <w:rFonts w:ascii="Arial" w:eastAsia="Arial" w:hAnsi="Arial" w:cs="Arial"/>
          <w:color w:val="000000"/>
          <w:sz w:val="20"/>
          <w:szCs w:val="20"/>
        </w:rPr>
        <w:tab/>
        <w:t>8</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5.- EVALUACIÓN DE LA EFICACIA</w:t>
      </w:r>
      <w:r>
        <w:rPr>
          <w:rFonts w:ascii="Arial" w:eastAsia="Arial" w:hAnsi="Arial" w:cs="Arial"/>
          <w:color w:val="000000"/>
          <w:sz w:val="20"/>
          <w:szCs w:val="20"/>
        </w:rPr>
        <w:t>.</w:t>
      </w:r>
      <w:r>
        <w:rPr>
          <w:rFonts w:ascii="Arial" w:eastAsia="Arial" w:hAnsi="Arial" w:cs="Arial"/>
          <w:color w:val="000000"/>
          <w:sz w:val="20"/>
          <w:szCs w:val="20"/>
        </w:rPr>
        <w:tab/>
        <w:t>8</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5.1.a Ensayos clínicos disponibles para la indicación clínica evaluada</w:t>
      </w:r>
      <w:r>
        <w:rPr>
          <w:rFonts w:ascii="Arial" w:eastAsia="Arial" w:hAnsi="Arial" w:cs="Arial"/>
          <w:color w:val="000000"/>
          <w:sz w:val="20"/>
          <w:szCs w:val="20"/>
        </w:rPr>
        <w:tab/>
        <w:t>8</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5.1.b Variables utilizadas en los ensayos</w:t>
      </w:r>
      <w:r>
        <w:rPr>
          <w:rFonts w:ascii="Arial" w:eastAsia="Arial" w:hAnsi="Arial" w:cs="Arial"/>
          <w:color w:val="000000"/>
          <w:sz w:val="20"/>
          <w:szCs w:val="20"/>
        </w:rPr>
        <w:tab/>
        <w:t>9</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5.2.a Resultados de los ensayos clínicos</w:t>
      </w:r>
      <w:r>
        <w:rPr>
          <w:rFonts w:ascii="Arial" w:eastAsia="Arial" w:hAnsi="Arial" w:cs="Arial"/>
          <w:color w:val="000000"/>
          <w:sz w:val="20"/>
          <w:szCs w:val="20"/>
        </w:rPr>
        <w:tab/>
        <w:t>10</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5.2.b Evaluación de la validez y de la utilidad práctica de los resultados</w:t>
      </w:r>
      <w:r>
        <w:rPr>
          <w:rFonts w:ascii="Arial" w:eastAsia="Arial" w:hAnsi="Arial" w:cs="Arial"/>
          <w:color w:val="000000"/>
          <w:sz w:val="20"/>
          <w:szCs w:val="20"/>
        </w:rPr>
        <w:tab/>
        <w:t>17</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5.2.c Evaluación de las pruebas de cribado utilizadas</w:t>
      </w:r>
      <w:r>
        <w:rPr>
          <w:rFonts w:ascii="Arial" w:eastAsia="Arial" w:hAnsi="Arial" w:cs="Arial"/>
          <w:color w:val="000000"/>
          <w:sz w:val="20"/>
          <w:szCs w:val="20"/>
        </w:rPr>
        <w:tab/>
        <w:t>26</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5.3.a Revisiones sistemáticas publicadas</w:t>
      </w:r>
      <w:r>
        <w:rPr>
          <w:rFonts w:ascii="Arial" w:eastAsia="Arial" w:hAnsi="Arial" w:cs="Arial"/>
          <w:color w:val="000000"/>
          <w:sz w:val="20"/>
          <w:szCs w:val="20"/>
        </w:rPr>
        <w:tab/>
        <w:t>2</w:t>
      </w:r>
      <w:r>
        <w:rPr>
          <w:rFonts w:ascii="Arial" w:eastAsia="Arial" w:hAnsi="Arial" w:cs="Arial"/>
          <w:sz w:val="20"/>
          <w:szCs w:val="20"/>
        </w:rPr>
        <w:t>8</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5.3.b Comparaciones indirectas (CCII)</w:t>
      </w:r>
      <w:r>
        <w:rPr>
          <w:rFonts w:ascii="Arial" w:eastAsia="Arial" w:hAnsi="Arial" w:cs="Arial"/>
          <w:color w:val="000000"/>
          <w:sz w:val="20"/>
          <w:szCs w:val="20"/>
        </w:rPr>
        <w:tab/>
        <w:t>26</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5.3.b.1 Comparaciones Indirectas publicadas</w:t>
      </w:r>
      <w:r>
        <w:rPr>
          <w:rFonts w:ascii="Arial" w:eastAsia="Arial" w:hAnsi="Arial" w:cs="Arial"/>
          <w:color w:val="000000"/>
          <w:sz w:val="20"/>
          <w:szCs w:val="20"/>
        </w:rPr>
        <w:tab/>
        <w:t>26</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5.3.b.2 Comparaciones indirectas de elaboración propia</w:t>
      </w:r>
      <w:r>
        <w:rPr>
          <w:rFonts w:ascii="Arial" w:eastAsia="Arial" w:hAnsi="Arial" w:cs="Arial"/>
          <w:color w:val="000000"/>
          <w:sz w:val="20"/>
          <w:szCs w:val="20"/>
        </w:rPr>
        <w:tab/>
        <w:t>34</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5.4 Evaluación de fuentes secundarias</w:t>
      </w:r>
      <w:r>
        <w:rPr>
          <w:rFonts w:ascii="Arial" w:eastAsia="Arial" w:hAnsi="Arial" w:cs="Arial"/>
          <w:color w:val="000000"/>
          <w:sz w:val="20"/>
          <w:szCs w:val="20"/>
        </w:rPr>
        <w:tab/>
        <w:t>41</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5.4.1 Guías de Práctica clínica</w:t>
      </w:r>
      <w:r>
        <w:rPr>
          <w:rFonts w:ascii="Arial" w:eastAsia="Arial" w:hAnsi="Arial" w:cs="Arial"/>
          <w:color w:val="000000"/>
          <w:sz w:val="20"/>
          <w:szCs w:val="20"/>
        </w:rPr>
        <w:tab/>
        <w:t>41</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5.4.2 Evaluaciones previas por organismos independientes</w:t>
      </w:r>
      <w:r>
        <w:rPr>
          <w:rFonts w:ascii="Arial" w:eastAsia="Arial" w:hAnsi="Arial" w:cs="Arial"/>
          <w:color w:val="000000"/>
          <w:sz w:val="20"/>
          <w:szCs w:val="20"/>
        </w:rPr>
        <w:tab/>
        <w:t>41</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5.4.3 Opiniones de expertos</w:t>
      </w:r>
      <w:r>
        <w:rPr>
          <w:rFonts w:ascii="Arial" w:eastAsia="Arial" w:hAnsi="Arial" w:cs="Arial"/>
          <w:color w:val="000000"/>
          <w:sz w:val="20"/>
          <w:szCs w:val="20"/>
        </w:rPr>
        <w:tab/>
        <w:t>42</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5.4.4 Otras fuentes.</w:t>
      </w:r>
      <w:r>
        <w:rPr>
          <w:rFonts w:ascii="Arial" w:eastAsia="Arial" w:hAnsi="Arial" w:cs="Arial"/>
          <w:color w:val="000000"/>
          <w:sz w:val="20"/>
          <w:szCs w:val="20"/>
        </w:rPr>
        <w:tab/>
        <w:t>42</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6. EVALUACIÓN DE LA SEGURIDAD</w:t>
      </w:r>
      <w:r>
        <w:rPr>
          <w:rFonts w:ascii="Arial" w:eastAsia="Arial" w:hAnsi="Arial" w:cs="Arial"/>
          <w:color w:val="000000"/>
          <w:sz w:val="20"/>
          <w:szCs w:val="20"/>
        </w:rPr>
        <w:t>.</w:t>
      </w:r>
      <w:r>
        <w:rPr>
          <w:rFonts w:ascii="Arial" w:eastAsia="Arial" w:hAnsi="Arial" w:cs="Arial"/>
          <w:color w:val="000000"/>
          <w:sz w:val="20"/>
          <w:szCs w:val="20"/>
        </w:rPr>
        <w:tab/>
        <w:t>4</w:t>
      </w:r>
      <w:r>
        <w:rPr>
          <w:rFonts w:ascii="Arial" w:eastAsia="Arial" w:hAnsi="Arial" w:cs="Arial"/>
          <w:sz w:val="20"/>
          <w:szCs w:val="20"/>
        </w:rPr>
        <w:t>5</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6.1.a Descripción de la búsqueda bibliográfica</w:t>
      </w:r>
      <w:r>
        <w:rPr>
          <w:rFonts w:ascii="Arial" w:eastAsia="Arial" w:hAnsi="Arial" w:cs="Arial"/>
          <w:color w:val="000000"/>
          <w:sz w:val="20"/>
          <w:szCs w:val="20"/>
        </w:rPr>
        <w:tab/>
        <w:t>4</w:t>
      </w:r>
      <w:r>
        <w:rPr>
          <w:rFonts w:ascii="Arial" w:eastAsia="Arial" w:hAnsi="Arial" w:cs="Arial"/>
          <w:sz w:val="20"/>
          <w:szCs w:val="20"/>
        </w:rPr>
        <w:t>5</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6.1.b Descripción de los efectos adversos más significativos</w:t>
      </w:r>
      <w:r>
        <w:rPr>
          <w:rFonts w:ascii="Arial" w:eastAsia="Arial" w:hAnsi="Arial" w:cs="Arial"/>
          <w:color w:val="000000"/>
          <w:sz w:val="20"/>
          <w:szCs w:val="20"/>
        </w:rPr>
        <w:tab/>
        <w:t>4</w:t>
      </w:r>
      <w:r>
        <w:rPr>
          <w:rFonts w:ascii="Arial" w:eastAsia="Arial" w:hAnsi="Arial" w:cs="Arial"/>
          <w:sz w:val="20"/>
          <w:szCs w:val="20"/>
        </w:rPr>
        <w:t>5</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6.2 Ensayos Clínicos comparativos.</w:t>
      </w:r>
      <w:r>
        <w:rPr>
          <w:rFonts w:ascii="Arial" w:eastAsia="Arial" w:hAnsi="Arial" w:cs="Arial"/>
          <w:color w:val="000000"/>
          <w:sz w:val="20"/>
          <w:szCs w:val="20"/>
        </w:rPr>
        <w:tab/>
        <w:t>4</w:t>
      </w:r>
      <w:r>
        <w:rPr>
          <w:rFonts w:ascii="Arial" w:eastAsia="Arial" w:hAnsi="Arial" w:cs="Arial"/>
          <w:sz w:val="20"/>
          <w:szCs w:val="20"/>
        </w:rPr>
        <w:t>5</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6.3 Fuentes secundarias sobre seguridad</w:t>
      </w:r>
      <w:r>
        <w:rPr>
          <w:rFonts w:ascii="Arial" w:eastAsia="Arial" w:hAnsi="Arial" w:cs="Arial"/>
          <w:color w:val="000000"/>
          <w:sz w:val="20"/>
          <w:szCs w:val="20"/>
        </w:rPr>
        <w:tab/>
        <w:t>4</w:t>
      </w:r>
      <w:r>
        <w:rPr>
          <w:rFonts w:ascii="Arial" w:eastAsia="Arial" w:hAnsi="Arial" w:cs="Arial"/>
          <w:sz w:val="20"/>
          <w:szCs w:val="20"/>
        </w:rPr>
        <w:t>8</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6.4 Precauciones de empleo en casos especiales</w:t>
      </w:r>
      <w:r>
        <w:rPr>
          <w:rFonts w:ascii="Arial" w:eastAsia="Arial" w:hAnsi="Arial" w:cs="Arial"/>
          <w:color w:val="000000"/>
          <w:sz w:val="20"/>
          <w:szCs w:val="20"/>
        </w:rPr>
        <w:tab/>
        <w:t>4</w:t>
      </w:r>
      <w:r>
        <w:rPr>
          <w:rFonts w:ascii="Arial" w:eastAsia="Arial" w:hAnsi="Arial" w:cs="Arial"/>
          <w:sz w:val="20"/>
          <w:szCs w:val="20"/>
        </w:rPr>
        <w:t>9</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7. AREA ECONÓMICA</w:t>
      </w:r>
      <w:r>
        <w:rPr>
          <w:rFonts w:ascii="Arial" w:eastAsia="Arial" w:hAnsi="Arial" w:cs="Arial"/>
          <w:color w:val="000000"/>
          <w:sz w:val="20"/>
          <w:szCs w:val="20"/>
        </w:rPr>
        <w:tab/>
      </w:r>
      <w:r>
        <w:rPr>
          <w:rFonts w:ascii="Arial" w:eastAsia="Arial" w:hAnsi="Arial" w:cs="Arial"/>
          <w:sz w:val="20"/>
          <w:szCs w:val="20"/>
        </w:rPr>
        <w:t>51</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7.1 Costes. Coste incremental</w:t>
      </w:r>
      <w:r>
        <w:rPr>
          <w:rFonts w:ascii="Arial" w:eastAsia="Arial" w:hAnsi="Arial" w:cs="Arial"/>
          <w:color w:val="000000"/>
          <w:sz w:val="20"/>
          <w:szCs w:val="20"/>
        </w:rPr>
        <w:tab/>
      </w:r>
      <w:r>
        <w:rPr>
          <w:rFonts w:ascii="Arial" w:eastAsia="Arial" w:hAnsi="Arial" w:cs="Arial"/>
          <w:sz w:val="20"/>
          <w:szCs w:val="20"/>
        </w:rPr>
        <w:t>52</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7.2 Evaluaciones económicas publicadas</w:t>
      </w:r>
      <w:r>
        <w:rPr>
          <w:rFonts w:ascii="Arial" w:eastAsia="Arial" w:hAnsi="Arial" w:cs="Arial"/>
          <w:color w:val="000000"/>
          <w:sz w:val="20"/>
          <w:szCs w:val="20"/>
        </w:rPr>
        <w:tab/>
      </w:r>
      <w:r>
        <w:rPr>
          <w:rFonts w:ascii="Arial" w:eastAsia="Arial" w:hAnsi="Arial" w:cs="Arial"/>
          <w:sz w:val="20"/>
          <w:szCs w:val="20"/>
        </w:rPr>
        <w:t>52</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7.2.a Búsqueda de evaluaciones económicas publicadas</w:t>
      </w:r>
      <w:r>
        <w:rPr>
          <w:rFonts w:ascii="Arial" w:eastAsia="Arial" w:hAnsi="Arial" w:cs="Arial"/>
          <w:color w:val="000000"/>
          <w:sz w:val="20"/>
          <w:szCs w:val="20"/>
        </w:rPr>
        <w:tab/>
        <w:t>5</w:t>
      </w:r>
      <w:r>
        <w:rPr>
          <w:rFonts w:ascii="Arial" w:eastAsia="Arial" w:hAnsi="Arial" w:cs="Arial"/>
          <w:sz w:val="20"/>
          <w:szCs w:val="20"/>
        </w:rPr>
        <w:t>4</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7.2.b Extracción de datos de las evaluaciones económicas publicadas</w:t>
      </w:r>
      <w:r>
        <w:rPr>
          <w:rFonts w:ascii="Arial" w:eastAsia="Arial" w:hAnsi="Arial" w:cs="Arial"/>
          <w:color w:val="000000"/>
          <w:sz w:val="20"/>
          <w:szCs w:val="20"/>
        </w:rPr>
        <w:tab/>
        <w:t>5</w:t>
      </w:r>
      <w:r>
        <w:rPr>
          <w:rFonts w:ascii="Arial" w:eastAsia="Arial" w:hAnsi="Arial" w:cs="Arial"/>
          <w:sz w:val="20"/>
          <w:szCs w:val="20"/>
        </w:rPr>
        <w:t>4</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7.3 Evaluación económica de elaboración propia</w:t>
      </w:r>
      <w:r>
        <w:rPr>
          <w:rFonts w:ascii="Arial" w:eastAsia="Arial" w:hAnsi="Arial" w:cs="Arial"/>
          <w:color w:val="000000"/>
          <w:sz w:val="20"/>
          <w:szCs w:val="20"/>
        </w:rPr>
        <w:tab/>
        <w:t>5</w:t>
      </w:r>
      <w:r>
        <w:rPr>
          <w:rFonts w:ascii="Arial" w:eastAsia="Arial" w:hAnsi="Arial" w:cs="Arial"/>
          <w:sz w:val="20"/>
          <w:szCs w:val="20"/>
        </w:rPr>
        <w:t>5</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7.3.2. Coste-efectividad. Estudios propios</w:t>
      </w:r>
      <w:r>
        <w:rPr>
          <w:rFonts w:ascii="Arial" w:eastAsia="Arial" w:hAnsi="Arial" w:cs="Arial"/>
          <w:color w:val="000000"/>
          <w:sz w:val="20"/>
          <w:szCs w:val="20"/>
        </w:rPr>
        <w:tab/>
        <w:t>5</w:t>
      </w:r>
      <w:r>
        <w:rPr>
          <w:rFonts w:ascii="Arial" w:eastAsia="Arial" w:hAnsi="Arial" w:cs="Arial"/>
          <w:sz w:val="20"/>
          <w:szCs w:val="20"/>
        </w:rPr>
        <w:t>5</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7.3.3 Coste-utilidad. Estudios propios</w:t>
      </w:r>
      <w:r>
        <w:rPr>
          <w:rFonts w:ascii="Arial" w:eastAsia="Arial" w:hAnsi="Arial" w:cs="Arial"/>
          <w:color w:val="000000"/>
          <w:sz w:val="20"/>
          <w:szCs w:val="20"/>
        </w:rPr>
        <w:tab/>
        <w:t>5</w:t>
      </w:r>
      <w:r>
        <w:rPr>
          <w:rFonts w:ascii="Arial" w:eastAsia="Arial" w:hAnsi="Arial" w:cs="Arial"/>
          <w:sz w:val="20"/>
          <w:szCs w:val="20"/>
        </w:rPr>
        <w:t>6</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7.4. Estimación del impacto presupuestario y de los beneficios esperados en salud</w:t>
      </w:r>
      <w:r>
        <w:rPr>
          <w:rFonts w:ascii="Arial" w:eastAsia="Arial" w:hAnsi="Arial" w:cs="Arial"/>
          <w:color w:val="000000"/>
          <w:sz w:val="20"/>
          <w:szCs w:val="20"/>
        </w:rPr>
        <w:tab/>
        <w:t>5</w:t>
      </w:r>
      <w:r>
        <w:rPr>
          <w:rFonts w:ascii="Arial" w:eastAsia="Arial" w:hAnsi="Arial" w:cs="Arial"/>
          <w:sz w:val="20"/>
          <w:szCs w:val="20"/>
        </w:rPr>
        <w:t>6</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7.4.1. Estimación de la población diana</w:t>
      </w:r>
      <w:r>
        <w:rPr>
          <w:rFonts w:ascii="Arial" w:eastAsia="Arial" w:hAnsi="Arial" w:cs="Arial"/>
          <w:color w:val="000000"/>
          <w:sz w:val="20"/>
          <w:szCs w:val="20"/>
        </w:rPr>
        <w:tab/>
        <w:t>5</w:t>
      </w:r>
      <w:r>
        <w:rPr>
          <w:rFonts w:ascii="Arial" w:eastAsia="Arial" w:hAnsi="Arial" w:cs="Arial"/>
          <w:sz w:val="20"/>
          <w:szCs w:val="20"/>
        </w:rPr>
        <w:t>6</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7.4.2 Estimación del impacto presupuestario</w:t>
      </w:r>
      <w:r>
        <w:rPr>
          <w:rFonts w:ascii="Arial" w:eastAsia="Arial" w:hAnsi="Arial" w:cs="Arial"/>
          <w:color w:val="000000"/>
          <w:sz w:val="20"/>
          <w:szCs w:val="20"/>
        </w:rPr>
        <w:tab/>
        <w:t>53</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7.5. Propuesta de posicionamiento</w:t>
      </w:r>
      <w:r>
        <w:rPr>
          <w:rFonts w:ascii="Arial" w:eastAsia="Arial" w:hAnsi="Arial" w:cs="Arial"/>
          <w:color w:val="000000"/>
          <w:sz w:val="20"/>
          <w:szCs w:val="20"/>
        </w:rPr>
        <w:tab/>
        <w:t>5</w:t>
      </w:r>
      <w:r>
        <w:rPr>
          <w:rFonts w:ascii="Arial" w:eastAsia="Arial" w:hAnsi="Arial" w:cs="Arial"/>
          <w:sz w:val="20"/>
          <w:szCs w:val="20"/>
        </w:rPr>
        <w:t>7</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7.5.1 Criterios de precio y financiación: Medicamento que presta un valor terapéutico añadido respecto a la terapia de referencia.</w:t>
      </w:r>
      <w:r>
        <w:rPr>
          <w:rFonts w:ascii="Arial" w:eastAsia="Arial" w:hAnsi="Arial" w:cs="Arial"/>
          <w:color w:val="000000"/>
          <w:sz w:val="20"/>
          <w:szCs w:val="20"/>
        </w:rPr>
        <w:tab/>
        <w:t>5</w:t>
      </w:r>
      <w:r>
        <w:rPr>
          <w:rFonts w:ascii="Arial" w:eastAsia="Arial" w:hAnsi="Arial" w:cs="Arial"/>
          <w:sz w:val="20"/>
          <w:szCs w:val="20"/>
        </w:rPr>
        <w:t>7</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8. EVALUACIÓN DE LA CONVENIENCIA</w:t>
      </w:r>
      <w:r>
        <w:rPr>
          <w:rFonts w:ascii="Arial" w:eastAsia="Arial" w:hAnsi="Arial" w:cs="Arial"/>
          <w:color w:val="000000"/>
          <w:sz w:val="20"/>
          <w:szCs w:val="20"/>
        </w:rPr>
        <w:t>.</w:t>
      </w:r>
      <w:r>
        <w:rPr>
          <w:rFonts w:ascii="Arial" w:eastAsia="Arial" w:hAnsi="Arial" w:cs="Arial"/>
          <w:color w:val="000000"/>
          <w:sz w:val="20"/>
          <w:szCs w:val="20"/>
        </w:rPr>
        <w:tab/>
        <w:t>5</w:t>
      </w:r>
      <w:r>
        <w:rPr>
          <w:rFonts w:ascii="Arial" w:eastAsia="Arial" w:hAnsi="Arial" w:cs="Arial"/>
          <w:sz w:val="20"/>
          <w:szCs w:val="20"/>
        </w:rPr>
        <w:t>8</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8.1 Descripción de la conveniencia</w:t>
      </w:r>
      <w:r>
        <w:rPr>
          <w:rFonts w:ascii="Arial" w:eastAsia="Arial" w:hAnsi="Arial" w:cs="Arial"/>
          <w:color w:val="000000"/>
          <w:sz w:val="20"/>
          <w:szCs w:val="20"/>
        </w:rPr>
        <w:tab/>
        <w:t>5</w:t>
      </w:r>
      <w:r>
        <w:rPr>
          <w:rFonts w:ascii="Arial" w:eastAsia="Arial" w:hAnsi="Arial" w:cs="Arial"/>
          <w:sz w:val="20"/>
          <w:szCs w:val="20"/>
        </w:rPr>
        <w:t>8</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8.2 Influencia de la conveniencia en la efectividad del tratamiento</w:t>
      </w:r>
      <w:r>
        <w:rPr>
          <w:rFonts w:ascii="Arial" w:eastAsia="Arial" w:hAnsi="Arial" w:cs="Arial"/>
          <w:color w:val="000000"/>
          <w:sz w:val="20"/>
          <w:szCs w:val="20"/>
        </w:rPr>
        <w:tab/>
        <w:t>5</w:t>
      </w:r>
      <w:r>
        <w:rPr>
          <w:rFonts w:ascii="Arial" w:eastAsia="Arial" w:hAnsi="Arial" w:cs="Arial"/>
          <w:sz w:val="20"/>
          <w:szCs w:val="20"/>
        </w:rPr>
        <w:t>8</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9. AREA DE CONCLUSIONES</w:t>
      </w:r>
      <w:r>
        <w:rPr>
          <w:rFonts w:ascii="Arial" w:eastAsia="Arial" w:hAnsi="Arial" w:cs="Arial"/>
          <w:color w:val="000000"/>
          <w:sz w:val="20"/>
          <w:szCs w:val="20"/>
        </w:rPr>
        <w:t>.</w:t>
      </w:r>
      <w:r>
        <w:rPr>
          <w:rFonts w:ascii="Arial" w:eastAsia="Arial" w:hAnsi="Arial" w:cs="Arial"/>
          <w:color w:val="000000"/>
          <w:sz w:val="20"/>
          <w:szCs w:val="20"/>
        </w:rPr>
        <w:tab/>
        <w:t>5</w:t>
      </w:r>
      <w:r>
        <w:rPr>
          <w:rFonts w:ascii="Arial" w:eastAsia="Arial" w:hAnsi="Arial" w:cs="Arial"/>
          <w:sz w:val="20"/>
          <w:szCs w:val="20"/>
        </w:rPr>
        <w:t>9</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9.1 Resumen de los aspectos más significativos respecto a la alternativa y propuestas</w:t>
      </w:r>
      <w:r>
        <w:rPr>
          <w:rFonts w:ascii="Arial" w:eastAsia="Arial" w:hAnsi="Arial" w:cs="Arial"/>
          <w:color w:val="000000"/>
          <w:sz w:val="20"/>
          <w:szCs w:val="20"/>
        </w:rPr>
        <w:tab/>
        <w:t>5</w:t>
      </w:r>
      <w:r>
        <w:rPr>
          <w:rFonts w:ascii="Arial" w:eastAsia="Arial" w:hAnsi="Arial" w:cs="Arial"/>
          <w:sz w:val="20"/>
          <w:szCs w:val="20"/>
        </w:rPr>
        <w:t>9</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9.2 Decisión</w:t>
      </w:r>
      <w:r>
        <w:rPr>
          <w:rFonts w:ascii="Arial" w:eastAsia="Arial" w:hAnsi="Arial" w:cs="Arial"/>
          <w:color w:val="000000"/>
          <w:sz w:val="20"/>
          <w:szCs w:val="20"/>
        </w:rPr>
        <w:tab/>
        <w:t>5</w:t>
      </w:r>
      <w:r>
        <w:rPr>
          <w:rFonts w:ascii="Arial" w:eastAsia="Arial" w:hAnsi="Arial" w:cs="Arial"/>
          <w:sz w:val="20"/>
          <w:szCs w:val="20"/>
        </w:rPr>
        <w:t>9</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9.3 Condiciones de uso</w:t>
      </w:r>
      <w:r>
        <w:rPr>
          <w:rFonts w:ascii="Arial" w:eastAsia="Arial" w:hAnsi="Arial" w:cs="Arial"/>
          <w:color w:val="000000"/>
          <w:sz w:val="20"/>
          <w:szCs w:val="20"/>
        </w:rPr>
        <w:tab/>
      </w:r>
      <w:r>
        <w:rPr>
          <w:rFonts w:ascii="Arial" w:eastAsia="Arial" w:hAnsi="Arial" w:cs="Arial"/>
          <w:sz w:val="20"/>
          <w:szCs w:val="20"/>
        </w:rPr>
        <w:t>60</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sectPr w:rsidR="002C4AF7">
          <w:type w:val="continuous"/>
          <w:pgSz w:w="11906" w:h="16838"/>
          <w:pgMar w:top="1417" w:right="1466" w:bottom="1417" w:left="1701" w:header="708" w:footer="708" w:gutter="0"/>
          <w:cols w:space="720"/>
        </w:sectPr>
      </w:pPr>
      <w:r>
        <w:rPr>
          <w:rFonts w:ascii="Arial" w:eastAsia="Arial" w:hAnsi="Arial" w:cs="Arial"/>
          <w:color w:val="000000"/>
          <w:sz w:val="20"/>
          <w:szCs w:val="20"/>
        </w:rPr>
        <w:t>9.4 Plan de seguimiento</w:t>
      </w:r>
      <w:r>
        <w:rPr>
          <w:rFonts w:ascii="Arial" w:eastAsia="Arial" w:hAnsi="Arial" w:cs="Arial"/>
          <w:color w:val="000000"/>
          <w:sz w:val="20"/>
          <w:szCs w:val="20"/>
        </w:rPr>
        <w:tab/>
      </w:r>
      <w:r>
        <w:rPr>
          <w:rFonts w:ascii="Arial" w:eastAsia="Arial" w:hAnsi="Arial" w:cs="Arial"/>
          <w:sz w:val="20"/>
          <w:szCs w:val="20"/>
        </w:rPr>
        <w:t>60</w:t>
      </w:r>
    </w:p>
    <w:p w:rsidR="002C4AF7" w:rsidRDefault="007C2686">
      <w:pPr>
        <w:pBdr>
          <w:top w:val="nil"/>
          <w:left w:val="nil"/>
          <w:bottom w:val="nil"/>
          <w:right w:val="nil"/>
          <w:between w:val="nil"/>
        </w:pBdr>
        <w:tabs>
          <w:tab w:val="right" w:pos="8729"/>
        </w:tabs>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lastRenderedPageBreak/>
        <w:t>10. BIBLIOGRAFÍA</w:t>
      </w:r>
      <w:r>
        <w:rPr>
          <w:rFonts w:ascii="Arial" w:eastAsia="Arial" w:hAnsi="Arial" w:cs="Arial"/>
          <w:color w:val="000000"/>
          <w:sz w:val="20"/>
          <w:szCs w:val="20"/>
        </w:rPr>
        <w:tab/>
        <w:t xml:space="preserve"> </w:t>
      </w:r>
      <w:r>
        <w:rPr>
          <w:rFonts w:ascii="Arial" w:eastAsia="Arial" w:hAnsi="Arial" w:cs="Arial"/>
          <w:sz w:val="20"/>
          <w:szCs w:val="20"/>
        </w:rPr>
        <w:t>60</w:t>
      </w:r>
    </w:p>
    <w:p w:rsidR="002C4AF7" w:rsidRDefault="002C4AF7">
      <w:pPr>
        <w:ind w:left="0" w:hanging="2"/>
        <w:rPr>
          <w:rFonts w:ascii="Arial" w:eastAsia="Arial" w:hAnsi="Arial" w:cs="Arial"/>
          <w:color w:val="0000FF"/>
          <w:sz w:val="20"/>
          <w:szCs w:val="20"/>
          <w:u w:val="single"/>
        </w:rPr>
      </w:pPr>
    </w:p>
    <w:p w:rsidR="002C4AF7" w:rsidRDefault="007C2686">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 xml:space="preserve">Glosario: </w:t>
      </w:r>
    </w:p>
    <w:p w:rsidR="002C4AF7" w:rsidRDefault="007C2686">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sz w:val="20"/>
          <w:szCs w:val="20"/>
        </w:rPr>
        <w:t>AEMyPS: Agencia Española de Medicamentos y Productos Sanitarios</w:t>
      </w:r>
    </w:p>
    <w:p w:rsidR="002C4AF7" w:rsidRDefault="007C2686">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sz w:val="20"/>
          <w:szCs w:val="20"/>
        </w:rPr>
        <w:t>ATE: Alternativas terapéuticas equivalentes</w:t>
      </w:r>
    </w:p>
    <w:p w:rsidR="002C4AF7" w:rsidRDefault="007C2686">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sz w:val="20"/>
          <w:szCs w:val="20"/>
        </w:rPr>
        <w:t>CP: Cáncer de próstata</w:t>
      </w:r>
    </w:p>
    <w:p w:rsidR="002C4AF7" w:rsidRDefault="007C2686">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sz w:val="20"/>
          <w:szCs w:val="20"/>
        </w:rPr>
        <w:t>CPHSm: Cáncer de próstata hormonosensible metastásico</w:t>
      </w:r>
    </w:p>
    <w:p w:rsidR="002C4AF7" w:rsidRDefault="007C2686">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sz w:val="20"/>
          <w:szCs w:val="20"/>
        </w:rPr>
        <w:t>CPRC: Cáncer de próstata resistente a la castración</w:t>
      </w:r>
    </w:p>
    <w:p w:rsidR="002C4AF7" w:rsidRDefault="007C2686">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sz w:val="20"/>
          <w:szCs w:val="20"/>
        </w:rPr>
        <w:t>CPRC-NM: Cáncer de próstata resistente a la castración no metastásico</w:t>
      </w:r>
    </w:p>
    <w:p w:rsidR="002C4AF7" w:rsidRPr="001475C9" w:rsidRDefault="007C2686">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lang w:val="en-GB"/>
        </w:rPr>
      </w:pPr>
      <w:r w:rsidRPr="001475C9">
        <w:rPr>
          <w:rFonts w:ascii="Arial" w:eastAsia="Arial" w:hAnsi="Arial" w:cs="Arial"/>
          <w:sz w:val="20"/>
          <w:szCs w:val="20"/>
          <w:lang w:val="en-GB"/>
        </w:rPr>
        <w:t>CV: Coeficiente de variación</w:t>
      </w:r>
    </w:p>
    <w:p w:rsidR="002C4AF7" w:rsidRPr="001475C9" w:rsidRDefault="007C2686">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lang w:val="en-GB"/>
        </w:rPr>
      </w:pPr>
      <w:r w:rsidRPr="001475C9">
        <w:rPr>
          <w:rFonts w:ascii="Arial" w:eastAsia="Arial" w:hAnsi="Arial" w:cs="Arial"/>
          <w:sz w:val="20"/>
          <w:szCs w:val="20"/>
          <w:lang w:val="en-GB"/>
        </w:rPr>
        <w:t>ECOG: Eastern Cooperative Oncology Group</w:t>
      </w:r>
    </w:p>
    <w:p w:rsidR="002C4AF7" w:rsidRPr="001475C9" w:rsidRDefault="007C2686">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lang w:val="en-GB"/>
        </w:rPr>
      </w:pPr>
      <w:r w:rsidRPr="001475C9">
        <w:rPr>
          <w:rFonts w:ascii="Arial" w:eastAsia="Arial" w:hAnsi="Arial" w:cs="Arial"/>
          <w:sz w:val="20"/>
          <w:szCs w:val="20"/>
          <w:lang w:val="en-GB"/>
        </w:rPr>
        <w:t>EMA: European Medicines Agency</w:t>
      </w:r>
    </w:p>
    <w:p w:rsidR="002C4AF7" w:rsidRPr="001475C9" w:rsidRDefault="007C2686">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lang w:val="en-GB"/>
        </w:rPr>
      </w:pPr>
      <w:r w:rsidRPr="001475C9">
        <w:rPr>
          <w:rFonts w:ascii="Arial" w:eastAsia="Arial" w:hAnsi="Arial" w:cs="Arial"/>
          <w:sz w:val="20"/>
          <w:szCs w:val="20"/>
          <w:lang w:val="en-GB"/>
        </w:rPr>
        <w:t>EPAR: European Public Assessment Report</w:t>
      </w:r>
    </w:p>
    <w:p w:rsidR="002C4AF7" w:rsidRPr="001475C9" w:rsidRDefault="007C2686">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lang w:val="en-GB"/>
        </w:rPr>
      </w:pPr>
      <w:r w:rsidRPr="001475C9">
        <w:rPr>
          <w:rFonts w:ascii="Arial" w:eastAsia="Arial" w:hAnsi="Arial" w:cs="Arial"/>
          <w:sz w:val="20"/>
          <w:szCs w:val="20"/>
          <w:lang w:val="en-GB"/>
        </w:rPr>
        <w:t>FDA: Food and Drugs Administration</w:t>
      </w:r>
    </w:p>
    <w:p w:rsidR="002C4AF7" w:rsidRDefault="007C2686">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sz w:val="20"/>
          <w:szCs w:val="20"/>
        </w:rPr>
        <w:t>GnRH: Hormona liberadora de gonadotropina</w:t>
      </w:r>
    </w:p>
    <w:p w:rsidR="002C4AF7" w:rsidRDefault="007C2686">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sz w:val="20"/>
          <w:szCs w:val="20"/>
        </w:rPr>
        <w:t>LHRH: Hormona liberadora de hormona luteinizante</w:t>
      </w:r>
    </w:p>
    <w:p w:rsidR="002C4AF7" w:rsidRDefault="007C2686">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sz w:val="20"/>
          <w:szCs w:val="20"/>
        </w:rPr>
        <w:t>NA: No alcanzado</w:t>
      </w:r>
    </w:p>
    <w:p w:rsidR="002C4AF7" w:rsidRDefault="007C2686">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sz w:val="20"/>
          <w:szCs w:val="20"/>
        </w:rPr>
        <w:t>NCCN: National Comprehensive Cancer Network</w:t>
      </w:r>
    </w:p>
    <w:p w:rsidR="002C4AF7" w:rsidRPr="001475C9" w:rsidRDefault="007C2686">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lang w:val="en-GB"/>
        </w:rPr>
      </w:pPr>
      <w:r w:rsidRPr="001475C9">
        <w:rPr>
          <w:rFonts w:ascii="Arial" w:eastAsia="Arial" w:hAnsi="Arial" w:cs="Arial"/>
          <w:sz w:val="20"/>
          <w:szCs w:val="20"/>
          <w:lang w:val="en-GB"/>
        </w:rPr>
        <w:t>NICE: The National Institute for Health and Care Excellence</w:t>
      </w:r>
    </w:p>
    <w:p w:rsidR="002C4AF7" w:rsidRPr="001475C9" w:rsidRDefault="007C2686">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lang w:val="en-GB"/>
        </w:rPr>
      </w:pPr>
      <w:r w:rsidRPr="001475C9">
        <w:rPr>
          <w:rFonts w:ascii="Arial" w:eastAsia="Arial" w:hAnsi="Arial" w:cs="Arial"/>
          <w:sz w:val="20"/>
          <w:szCs w:val="20"/>
          <w:lang w:val="en-GB"/>
        </w:rPr>
        <w:t>NHS: National Health Service</w:t>
      </w:r>
    </w:p>
    <w:p w:rsidR="002C4AF7" w:rsidRPr="001475C9" w:rsidRDefault="007C2686">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lang w:val="en-GB"/>
        </w:rPr>
      </w:pPr>
      <w:r w:rsidRPr="001475C9">
        <w:rPr>
          <w:rFonts w:ascii="Arial" w:eastAsia="Arial" w:hAnsi="Arial" w:cs="Arial"/>
          <w:sz w:val="20"/>
          <w:szCs w:val="20"/>
          <w:lang w:val="en-GB"/>
        </w:rPr>
        <w:t>NYHA: New York Heart Association</w:t>
      </w:r>
    </w:p>
    <w:p w:rsidR="002C4AF7" w:rsidRDefault="007C2686">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sz w:val="20"/>
          <w:szCs w:val="20"/>
        </w:rPr>
        <w:t>PSA: Antígeno prostático específico</w:t>
      </w:r>
    </w:p>
    <w:p w:rsidR="002C4AF7" w:rsidRDefault="007C2686">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sz w:val="20"/>
          <w:szCs w:val="20"/>
        </w:rPr>
        <w:t>PVL: Precio de venta de laboratorio</w:t>
      </w:r>
    </w:p>
    <w:p w:rsidR="002C4AF7" w:rsidRDefault="007C2686">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sz w:val="20"/>
          <w:szCs w:val="20"/>
        </w:rPr>
        <w:t>RECIST: Response Evaluation Criteria in Solid Tumors (criterios de evaluación de respuesta en tumores sólidos)</w:t>
      </w:r>
    </w:p>
    <w:p w:rsidR="002C4AF7" w:rsidRDefault="007C2686">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sz w:val="20"/>
          <w:szCs w:val="20"/>
        </w:rPr>
        <w:t>RT: Radioterapia</w:t>
      </w:r>
    </w:p>
    <w:p w:rsidR="002C4AF7" w:rsidRDefault="007C2686" w:rsidP="00151CD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sz w:val="20"/>
          <w:szCs w:val="20"/>
        </w:rPr>
        <w:t>TDA: Terapia de deprivación androgénica</w:t>
      </w:r>
    </w:p>
    <w:p w:rsidR="002C4AF7" w:rsidRDefault="002C4AF7">
      <w:pPr>
        <w:ind w:left="0" w:hanging="2"/>
        <w:rPr>
          <w:rFonts w:ascii="Arial" w:eastAsia="Arial" w:hAnsi="Arial" w:cs="Arial"/>
          <w:sz w:val="20"/>
          <w:szCs w:val="20"/>
        </w:rPr>
      </w:pPr>
    </w:p>
    <w:p w:rsidR="002C4AF7" w:rsidRDefault="007C2686">
      <w:pPr>
        <w:ind w:left="0" w:hanging="2"/>
        <w:rPr>
          <w:rFonts w:ascii="Arial" w:eastAsia="Arial" w:hAnsi="Arial" w:cs="Arial"/>
          <w:sz w:val="20"/>
          <w:szCs w:val="20"/>
        </w:rPr>
      </w:pPr>
      <w:r>
        <w:rPr>
          <w:rFonts w:ascii="Arial" w:eastAsia="Arial" w:hAnsi="Arial" w:cs="Arial"/>
          <w:b/>
          <w:sz w:val="20"/>
          <w:szCs w:val="20"/>
        </w:rPr>
        <w:t>Nota:</w:t>
      </w:r>
      <w:r>
        <w:rPr>
          <w:rFonts w:ascii="Arial" w:eastAsia="Arial" w:hAnsi="Arial" w:cs="Arial"/>
          <w:sz w:val="20"/>
          <w:szCs w:val="20"/>
        </w:rPr>
        <w:t xml:space="preserve"> para acceder a instrucciones e hipervínculos descargar versión completa.</w:t>
      </w:r>
    </w:p>
    <w:p w:rsidR="002C4AF7" w:rsidRDefault="002C4AF7" w:rsidP="00151CD0">
      <w:pPr>
        <w:ind w:left="0" w:hanging="2"/>
        <w:jc w:val="both"/>
        <w:rPr>
          <w:rFonts w:ascii="Arial" w:eastAsia="Arial" w:hAnsi="Arial" w:cs="Arial"/>
          <w:sz w:val="20"/>
          <w:szCs w:val="20"/>
        </w:rPr>
      </w:pPr>
    </w:p>
    <w:p w:rsidR="00151CD0" w:rsidRDefault="007C2686" w:rsidP="00151CD0">
      <w:pPr>
        <w:ind w:leftChars="0" w:left="0" w:firstLineChars="0" w:firstLine="0"/>
        <w:jc w:val="both"/>
        <w:rPr>
          <w:rFonts w:ascii="Arial" w:hAnsi="Arial" w:cs="Arial"/>
          <w:sz w:val="20"/>
          <w:szCs w:val="20"/>
        </w:rPr>
      </w:pPr>
      <w:r>
        <w:rPr>
          <w:rFonts w:ascii="Arial" w:eastAsia="Arial" w:hAnsi="Arial" w:cs="Arial"/>
          <w:b/>
          <w:sz w:val="20"/>
          <w:szCs w:val="20"/>
        </w:rPr>
        <w:t>Citar este informe como:</w:t>
      </w:r>
      <w:r w:rsidR="00151CD0">
        <w:rPr>
          <w:rFonts w:ascii="Arial" w:eastAsia="Arial" w:hAnsi="Arial" w:cs="Arial"/>
          <w:b/>
          <w:sz w:val="20"/>
          <w:szCs w:val="20"/>
        </w:rPr>
        <w:t xml:space="preserve"> </w:t>
      </w:r>
      <w:r w:rsidR="00151CD0" w:rsidRPr="00151CD0">
        <w:rPr>
          <w:rFonts w:ascii="Arial" w:eastAsia="Arial" w:hAnsi="Arial" w:cs="Arial"/>
          <w:sz w:val="20"/>
          <w:szCs w:val="20"/>
        </w:rPr>
        <w:t>Fénix-Caballero S, Ubago-Pérez R</w:t>
      </w:r>
      <w:r w:rsidR="00C02FC5">
        <w:rPr>
          <w:rFonts w:ascii="Arial" w:eastAsia="Arial" w:hAnsi="Arial" w:cs="Arial"/>
          <w:sz w:val="20"/>
          <w:szCs w:val="20"/>
        </w:rPr>
        <w:t>, Rodríguez-</w:t>
      </w:r>
      <w:r w:rsidR="00C02FC5" w:rsidRPr="00C02FC5">
        <w:rPr>
          <w:rFonts w:ascii="Arial" w:eastAsia="Arial" w:hAnsi="Arial" w:cs="Arial"/>
          <w:sz w:val="20"/>
          <w:szCs w:val="20"/>
        </w:rPr>
        <w:t>Delgado</w:t>
      </w:r>
      <w:r w:rsidR="00C02FC5">
        <w:rPr>
          <w:rFonts w:ascii="Arial" w:eastAsia="Arial" w:hAnsi="Arial" w:cs="Arial"/>
          <w:sz w:val="20"/>
          <w:szCs w:val="20"/>
        </w:rPr>
        <w:t xml:space="preserve"> A. </w:t>
      </w:r>
      <w:r w:rsidR="00151CD0">
        <w:rPr>
          <w:rFonts w:ascii="Arial" w:eastAsia="Arial" w:hAnsi="Arial" w:cs="Arial"/>
          <w:sz w:val="20"/>
          <w:szCs w:val="20"/>
        </w:rPr>
        <w:t xml:space="preserve"> </w:t>
      </w:r>
      <w:r w:rsidR="00151CD0" w:rsidRPr="00151CD0">
        <w:rPr>
          <w:rFonts w:ascii="Arial" w:eastAsia="Arial" w:hAnsi="Arial" w:cs="Arial"/>
          <w:sz w:val="20"/>
          <w:szCs w:val="20"/>
        </w:rPr>
        <w:t>Enzalutamida en combinación con terapia de deprivación de andrógenos en el tratamiento del cáncer de próstata hormonosensible metastásico (CPHSm).</w:t>
      </w:r>
      <w:r w:rsidR="00151CD0">
        <w:rPr>
          <w:rFonts w:ascii="Arial" w:eastAsia="Arial" w:hAnsi="Arial" w:cs="Arial"/>
          <w:sz w:val="20"/>
          <w:szCs w:val="20"/>
        </w:rPr>
        <w:t xml:space="preserve"> </w:t>
      </w:r>
      <w:r w:rsidR="00151CD0" w:rsidRPr="00FC2F21">
        <w:rPr>
          <w:rFonts w:ascii="Arial" w:hAnsi="Arial" w:cs="Arial"/>
          <w:sz w:val="20"/>
          <w:szCs w:val="20"/>
        </w:rPr>
        <w:t>Inf</w:t>
      </w:r>
      <w:r w:rsidR="00151CD0">
        <w:rPr>
          <w:rFonts w:ascii="Arial" w:hAnsi="Arial" w:cs="Arial"/>
          <w:sz w:val="20"/>
          <w:szCs w:val="20"/>
        </w:rPr>
        <w:t xml:space="preserve">orme compartido del </w:t>
      </w:r>
      <w:r w:rsidR="00151CD0" w:rsidRPr="004F2163">
        <w:rPr>
          <w:rFonts w:ascii="Arial" w:hAnsi="Arial" w:cs="Arial"/>
          <w:sz w:val="20"/>
        </w:rPr>
        <w:t>Grupo GENESIS- SEFH (revisor). Madrid: SEFH (ed.), [20</w:t>
      </w:r>
      <w:r w:rsidR="00151CD0">
        <w:rPr>
          <w:rFonts w:ascii="Arial" w:hAnsi="Arial" w:cs="Arial"/>
          <w:sz w:val="20"/>
        </w:rPr>
        <w:t>22</w:t>
      </w:r>
      <w:r w:rsidR="00151CD0" w:rsidRPr="004F2163">
        <w:rPr>
          <w:rFonts w:ascii="Arial" w:hAnsi="Arial" w:cs="Arial"/>
          <w:sz w:val="20"/>
        </w:rPr>
        <w:t>]. ISBN Depósito legal</w:t>
      </w:r>
      <w:r w:rsidR="00151CD0">
        <w:rPr>
          <w:rFonts w:ascii="Arial" w:hAnsi="Arial" w:cs="Arial"/>
          <w:sz w:val="20"/>
        </w:rPr>
        <w:t>.</w:t>
      </w:r>
      <w:r w:rsidR="00151CD0" w:rsidRPr="00DD24B6">
        <w:rPr>
          <w:rFonts w:ascii="Arial" w:hAnsi="Arial" w:cs="Arial"/>
          <w:sz w:val="20"/>
          <w:szCs w:val="20"/>
        </w:rPr>
        <w:t xml:space="preserve"> </w:t>
      </w:r>
      <w:r w:rsidR="00151CD0" w:rsidRPr="00A76134">
        <w:rPr>
          <w:rFonts w:ascii="Arial" w:hAnsi="Arial" w:cs="Arial"/>
          <w:sz w:val="20"/>
          <w:szCs w:val="20"/>
        </w:rPr>
        <w:t>[Fecha de la consulta].</w:t>
      </w:r>
    </w:p>
    <w:p w:rsidR="00ED4A88" w:rsidRDefault="00ED4A88" w:rsidP="00151CD0">
      <w:pPr>
        <w:ind w:leftChars="0" w:left="0" w:firstLineChars="0" w:firstLine="0"/>
        <w:jc w:val="both"/>
        <w:rPr>
          <w:rFonts w:ascii="Arial" w:hAnsi="Arial" w:cs="Arial"/>
          <w:sz w:val="20"/>
          <w:szCs w:val="20"/>
        </w:rPr>
      </w:pPr>
    </w:p>
    <w:p w:rsidR="00151CD0" w:rsidRDefault="00151CD0" w:rsidP="00151CD0">
      <w:pPr>
        <w:ind w:left="0" w:hanging="2"/>
        <w:jc w:val="both"/>
        <w:rPr>
          <w:rFonts w:ascii="Arial" w:hAnsi="Arial" w:cs="Arial"/>
          <w:sz w:val="20"/>
          <w:szCs w:val="20"/>
        </w:rPr>
      </w:pPr>
      <w:r>
        <w:rPr>
          <w:rFonts w:ascii="Arial" w:hAnsi="Arial" w:cs="Arial"/>
          <w:sz w:val="20"/>
          <w:szCs w:val="20"/>
        </w:rPr>
        <w:t xml:space="preserve">Disponible en: </w:t>
      </w:r>
      <w:hyperlink r:id="rId15" w:history="1">
        <w:r>
          <w:rPr>
            <w:rStyle w:val="Hipervnculo"/>
            <w:rFonts w:ascii="Arial" w:hAnsi="Arial" w:cs="Arial"/>
            <w:sz w:val="20"/>
            <w:szCs w:val="20"/>
          </w:rPr>
          <w:t>http://gruposdetrabajo.sefh.es/genesis/genesis/Enlaces/InformesHosp_abc.htm</w:t>
        </w:r>
      </w:hyperlink>
    </w:p>
    <w:p w:rsidR="00151CD0" w:rsidRDefault="00151CD0" w:rsidP="00151CD0">
      <w:pPr>
        <w:ind w:left="0" w:hanging="2"/>
        <w:jc w:val="both"/>
        <w:rPr>
          <w:rFonts w:ascii="Arial" w:hAnsi="Arial" w:cs="Arial"/>
          <w:sz w:val="20"/>
          <w:szCs w:val="20"/>
        </w:rPr>
      </w:pPr>
      <w:r>
        <w:rPr>
          <w:rFonts w:ascii="Arial" w:hAnsi="Arial" w:cs="Arial"/>
          <w:sz w:val="20"/>
          <w:szCs w:val="20"/>
        </w:rPr>
        <w:t xml:space="preserve">También en: </w:t>
      </w:r>
      <w:hyperlink r:id="rId16" w:history="1">
        <w:r>
          <w:rPr>
            <w:rStyle w:val="Hipervnculo"/>
            <w:rFonts w:ascii="Arial" w:hAnsi="Arial" w:cs="Arial"/>
            <w:sz w:val="20"/>
            <w:szCs w:val="20"/>
          </w:rPr>
          <w:t>http://gruposdetrabajo.sefh.es/genesis/</w:t>
        </w:r>
      </w:hyperlink>
    </w:p>
    <w:p w:rsidR="002C4AF7" w:rsidRDefault="002C4AF7">
      <w:pPr>
        <w:ind w:left="0" w:hanging="2"/>
        <w:jc w:val="right"/>
        <w:rPr>
          <w:rFonts w:ascii="Arial" w:eastAsia="Arial" w:hAnsi="Arial" w:cs="Arial"/>
          <w:color w:val="0000FF"/>
          <w:sz w:val="20"/>
          <w:szCs w:val="20"/>
          <w:u w:val="single"/>
        </w:rPr>
      </w:pPr>
    </w:p>
    <w:p w:rsidR="002C4AF7" w:rsidRDefault="002C4AF7">
      <w:pPr>
        <w:ind w:left="0" w:hanging="2"/>
        <w:rPr>
          <w:rFonts w:ascii="Arial" w:eastAsia="Arial" w:hAnsi="Arial" w:cs="Arial"/>
          <w:sz w:val="20"/>
          <w:szCs w:val="20"/>
        </w:rPr>
      </w:pPr>
    </w:p>
    <w:tbl>
      <w:tblPr>
        <w:tblStyle w:val="affb"/>
        <w:tblW w:w="889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2C4AF7">
        <w:trPr>
          <w:trHeight w:val="131"/>
        </w:trPr>
        <w:tc>
          <w:tcPr>
            <w:tcW w:w="8890" w:type="dxa"/>
            <w:shd w:val="clear" w:color="auto" w:fill="BFBFBF"/>
          </w:tcPr>
          <w:p w:rsidR="002C4AF7" w:rsidRDefault="007C2686">
            <w:pPr>
              <w:keepNext/>
              <w:shd w:val="clear" w:color="auto" w:fill="A6A6A6"/>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1.- IDENTIFICACIÓN DEL FÁRMACO Y AUTORES DEL INFORME</w:t>
            </w:r>
          </w:p>
        </w:tc>
      </w:tr>
    </w:tbl>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b/>
          <w:sz w:val="20"/>
          <w:szCs w:val="20"/>
        </w:rPr>
        <w:t>Fármaco</w:t>
      </w:r>
      <w:r>
        <w:rPr>
          <w:rFonts w:ascii="Arial" w:eastAsia="Arial" w:hAnsi="Arial" w:cs="Arial"/>
          <w:sz w:val="20"/>
          <w:szCs w:val="20"/>
        </w:rPr>
        <w:t>: Enzalutamida</w:t>
      </w:r>
    </w:p>
    <w:p w:rsidR="002C4AF7" w:rsidRDefault="007C2686">
      <w:pPr>
        <w:ind w:left="0" w:hanging="2"/>
        <w:jc w:val="both"/>
        <w:rPr>
          <w:rFonts w:ascii="Arial" w:eastAsia="Arial" w:hAnsi="Arial" w:cs="Arial"/>
          <w:sz w:val="20"/>
          <w:szCs w:val="20"/>
        </w:rPr>
      </w:pPr>
      <w:r>
        <w:rPr>
          <w:rFonts w:ascii="Arial" w:eastAsia="Arial" w:hAnsi="Arial" w:cs="Arial"/>
          <w:b/>
          <w:sz w:val="20"/>
          <w:szCs w:val="20"/>
        </w:rPr>
        <w:t>Indicación clínica solicitada:</w:t>
      </w:r>
      <w:r>
        <w:rPr>
          <w:rFonts w:ascii="Arial" w:eastAsia="Arial" w:hAnsi="Arial" w:cs="Arial"/>
          <w:sz w:val="20"/>
          <w:szCs w:val="20"/>
        </w:rPr>
        <w:t xml:space="preserve"> Tratamiento del cáncer de próstata sensible a hormonas metastásico (mHSPC) en combinación con terapia de deprivación de andrógenos.</w:t>
      </w:r>
    </w:p>
    <w:p w:rsidR="002C4AF7" w:rsidRDefault="007C2686" w:rsidP="00B600EA">
      <w:pPr>
        <w:ind w:left="0" w:hanging="2"/>
        <w:jc w:val="both"/>
        <w:rPr>
          <w:rFonts w:ascii="Arial" w:eastAsia="Arial" w:hAnsi="Arial" w:cs="Arial"/>
          <w:sz w:val="20"/>
          <w:szCs w:val="20"/>
        </w:rPr>
      </w:pPr>
      <w:r>
        <w:rPr>
          <w:rFonts w:ascii="Arial" w:eastAsia="Arial" w:hAnsi="Arial" w:cs="Arial"/>
          <w:b/>
          <w:sz w:val="20"/>
          <w:szCs w:val="20"/>
        </w:rPr>
        <w:t xml:space="preserve">Autores / Revisores: </w:t>
      </w:r>
      <w:r w:rsidR="00F675AB" w:rsidRPr="00151CD0">
        <w:rPr>
          <w:rFonts w:ascii="Arial" w:eastAsia="Arial" w:hAnsi="Arial" w:cs="Arial"/>
          <w:sz w:val="20"/>
          <w:szCs w:val="20"/>
        </w:rPr>
        <w:t>Ubago-Pérez R</w:t>
      </w:r>
      <w:r w:rsidR="00B600EA" w:rsidRPr="007A1FF3">
        <w:rPr>
          <w:rFonts w:ascii="Arial" w:eastAsia="Arial" w:hAnsi="Arial" w:cs="Arial"/>
          <w:color w:val="000000"/>
          <w:sz w:val="20"/>
          <w:szCs w:val="20"/>
        </w:rPr>
        <w:t>*</w:t>
      </w:r>
      <w:r w:rsidR="00B600EA">
        <w:rPr>
          <w:rFonts w:ascii="Arial" w:eastAsia="Arial" w:hAnsi="Arial" w:cs="Arial"/>
          <w:sz w:val="20"/>
          <w:szCs w:val="20"/>
        </w:rPr>
        <w:t xml:space="preserve">, </w:t>
      </w:r>
      <w:r w:rsidR="00B600EA" w:rsidRPr="00151CD0">
        <w:rPr>
          <w:rFonts w:ascii="Arial" w:eastAsia="Arial" w:hAnsi="Arial" w:cs="Arial"/>
          <w:sz w:val="20"/>
          <w:szCs w:val="20"/>
        </w:rPr>
        <w:t>Fénix-Caballero S</w:t>
      </w:r>
      <w:r w:rsidR="00B600EA" w:rsidRPr="007A1FF3">
        <w:rPr>
          <w:rFonts w:ascii="Arial" w:eastAsia="Arial" w:hAnsi="Arial" w:cs="Arial"/>
          <w:color w:val="000000"/>
          <w:sz w:val="20"/>
          <w:szCs w:val="20"/>
        </w:rPr>
        <w:t>*</w:t>
      </w:r>
      <w:r w:rsidR="00B600EA">
        <w:rPr>
          <w:rFonts w:ascii="Arial" w:eastAsia="Arial" w:hAnsi="Arial" w:cs="Arial"/>
          <w:sz w:val="20"/>
          <w:szCs w:val="20"/>
        </w:rPr>
        <w:t>*</w:t>
      </w:r>
      <w:r w:rsidR="00461DAE">
        <w:rPr>
          <w:rFonts w:ascii="Arial" w:eastAsia="Arial" w:hAnsi="Arial" w:cs="Arial"/>
          <w:sz w:val="20"/>
          <w:szCs w:val="20"/>
        </w:rPr>
        <w:t xml:space="preserve">, </w:t>
      </w:r>
      <w:r w:rsidR="00B00C9F">
        <w:rPr>
          <w:rFonts w:ascii="Arial" w:eastAsia="Arial" w:hAnsi="Arial" w:cs="Arial"/>
          <w:sz w:val="20"/>
          <w:szCs w:val="20"/>
        </w:rPr>
        <w:t>Rodríguez-</w:t>
      </w:r>
      <w:r w:rsidR="00461DAE" w:rsidRPr="00461DAE">
        <w:rPr>
          <w:rFonts w:ascii="Arial" w:eastAsia="Arial" w:hAnsi="Arial" w:cs="Arial"/>
          <w:sz w:val="20"/>
          <w:szCs w:val="20"/>
        </w:rPr>
        <w:t>Delgado</w:t>
      </w:r>
      <w:r w:rsidR="00461DAE">
        <w:rPr>
          <w:rFonts w:ascii="Arial" w:eastAsia="Arial" w:hAnsi="Arial" w:cs="Arial"/>
          <w:sz w:val="20"/>
          <w:szCs w:val="20"/>
        </w:rPr>
        <w:t xml:space="preserve"> A</w:t>
      </w:r>
      <w:r w:rsidR="00B00C9F">
        <w:rPr>
          <w:rFonts w:ascii="Arial" w:eastAsia="Arial" w:hAnsi="Arial" w:cs="Arial"/>
          <w:sz w:val="20"/>
          <w:szCs w:val="20"/>
        </w:rPr>
        <w:t>***</w:t>
      </w:r>
    </w:p>
    <w:p w:rsidR="00B600EA" w:rsidRDefault="00B600EA" w:rsidP="00F675AB">
      <w:pPr>
        <w:ind w:left="0" w:hanging="2"/>
        <w:jc w:val="both"/>
        <w:rPr>
          <w:rFonts w:ascii="Arial" w:eastAsia="Arial" w:hAnsi="Arial" w:cs="Arial"/>
          <w:sz w:val="20"/>
          <w:szCs w:val="20"/>
        </w:rPr>
      </w:pPr>
    </w:p>
    <w:p w:rsidR="00B600EA" w:rsidRPr="00B600EA" w:rsidRDefault="00B600EA" w:rsidP="00B600EA">
      <w:pPr>
        <w:ind w:left="0" w:hanging="2"/>
        <w:jc w:val="both"/>
        <w:rPr>
          <w:rFonts w:ascii="Arial" w:eastAsia="Arial" w:hAnsi="Arial" w:cs="Arial"/>
          <w:color w:val="000000"/>
          <w:sz w:val="20"/>
          <w:szCs w:val="20"/>
        </w:rPr>
      </w:pPr>
      <w:r w:rsidRPr="007A1FF3">
        <w:rPr>
          <w:rFonts w:ascii="Arial" w:eastAsia="Arial" w:hAnsi="Arial" w:cs="Arial"/>
          <w:color w:val="000000"/>
          <w:sz w:val="20"/>
          <w:szCs w:val="20"/>
        </w:rPr>
        <w:t xml:space="preserve">*Servicio de Farmacia. Hospital Universitario </w:t>
      </w:r>
      <w:r>
        <w:rPr>
          <w:rFonts w:ascii="Arial" w:eastAsia="Arial" w:hAnsi="Arial" w:cs="Arial"/>
          <w:color w:val="000000"/>
          <w:sz w:val="20"/>
          <w:szCs w:val="20"/>
        </w:rPr>
        <w:t>San Cecilio. Granada.</w:t>
      </w:r>
    </w:p>
    <w:p w:rsidR="00B600EA" w:rsidRDefault="00B600EA" w:rsidP="00B600EA">
      <w:pPr>
        <w:autoSpaceDE w:val="0"/>
        <w:ind w:leftChars="0" w:left="0" w:firstLineChars="0" w:firstLine="0"/>
        <w:jc w:val="both"/>
        <w:rPr>
          <w:rFonts w:ascii="Arial" w:eastAsia="Arial" w:hAnsi="Arial" w:cs="Arial"/>
          <w:sz w:val="20"/>
          <w:szCs w:val="20"/>
        </w:rPr>
      </w:pPr>
      <w:r>
        <w:rPr>
          <w:rFonts w:ascii="Arial" w:eastAsia="Arial" w:hAnsi="Arial" w:cs="Arial"/>
          <w:sz w:val="20"/>
          <w:szCs w:val="20"/>
        </w:rPr>
        <w:t>**</w:t>
      </w:r>
      <w:r w:rsidRPr="00B600EA">
        <w:rPr>
          <w:rFonts w:ascii="Arial" w:eastAsia="Arial" w:hAnsi="Arial" w:cs="Arial"/>
          <w:sz w:val="20"/>
          <w:szCs w:val="20"/>
        </w:rPr>
        <w:t xml:space="preserve">Fundación para </w:t>
      </w:r>
      <w:smartTag w:uri="urn:schemas-microsoft-com:office:smarttags" w:element="PersonName">
        <w:smartTagPr>
          <w:attr w:name="ProductID" w:val="la Gestión"/>
        </w:smartTagPr>
        <w:r w:rsidRPr="00B600EA">
          <w:rPr>
            <w:rFonts w:ascii="Arial" w:eastAsia="Arial" w:hAnsi="Arial" w:cs="Arial"/>
            <w:sz w:val="20"/>
            <w:szCs w:val="20"/>
          </w:rPr>
          <w:t>la Gestión</w:t>
        </w:r>
      </w:smartTag>
      <w:r w:rsidRPr="00B600EA">
        <w:rPr>
          <w:rFonts w:ascii="Arial" w:eastAsia="Arial" w:hAnsi="Arial" w:cs="Arial"/>
          <w:sz w:val="20"/>
          <w:szCs w:val="20"/>
        </w:rPr>
        <w:t xml:space="preserve"> de </w:t>
      </w:r>
      <w:smartTag w:uri="urn:schemas-microsoft-com:office:smarttags" w:element="PersonName">
        <w:smartTagPr>
          <w:attr w:name="ProductID" w:val="la Investigación Biomédica"/>
        </w:smartTagPr>
        <w:r w:rsidRPr="00B600EA">
          <w:rPr>
            <w:rFonts w:ascii="Arial" w:eastAsia="Arial" w:hAnsi="Arial" w:cs="Arial"/>
            <w:sz w:val="20"/>
            <w:szCs w:val="20"/>
          </w:rPr>
          <w:t>la Investigación Biomédica</w:t>
        </w:r>
      </w:smartTag>
      <w:r w:rsidRPr="00B600EA">
        <w:rPr>
          <w:rFonts w:ascii="Arial" w:eastAsia="Arial" w:hAnsi="Arial" w:cs="Arial"/>
          <w:sz w:val="20"/>
          <w:szCs w:val="20"/>
        </w:rPr>
        <w:t xml:space="preserve"> de Cádiz, Hospital Universitario Puerto Real. Cádiz.</w:t>
      </w:r>
    </w:p>
    <w:p w:rsidR="00B00C9F" w:rsidRDefault="00B00C9F" w:rsidP="00B600EA">
      <w:pPr>
        <w:autoSpaceDE w:val="0"/>
        <w:ind w:leftChars="0" w:left="0" w:firstLineChars="0" w:firstLine="0"/>
        <w:jc w:val="both"/>
        <w:rPr>
          <w:rFonts w:ascii="Arial" w:eastAsia="Arial" w:hAnsi="Arial" w:cs="Arial"/>
          <w:sz w:val="20"/>
          <w:szCs w:val="20"/>
        </w:rPr>
      </w:pPr>
      <w:r>
        <w:rPr>
          <w:rFonts w:ascii="Arial" w:eastAsia="Arial" w:hAnsi="Arial" w:cs="Arial"/>
          <w:sz w:val="20"/>
          <w:szCs w:val="20"/>
        </w:rPr>
        <w:t>***</w:t>
      </w:r>
      <w:r w:rsidR="00C14BFD">
        <w:rPr>
          <w:rFonts w:ascii="Arial" w:eastAsia="Arial" w:hAnsi="Arial" w:cs="Arial"/>
          <w:sz w:val="20"/>
          <w:szCs w:val="20"/>
        </w:rPr>
        <w:t>Servicio de Farmacia. Hospital Universitario Virgen de las Nieves. Granada.</w:t>
      </w:r>
    </w:p>
    <w:p w:rsidR="00DA1768" w:rsidRDefault="00DA1768" w:rsidP="00B600EA">
      <w:pPr>
        <w:autoSpaceDE w:val="0"/>
        <w:ind w:leftChars="0" w:left="0" w:firstLineChars="0" w:firstLine="0"/>
        <w:jc w:val="both"/>
        <w:rPr>
          <w:rFonts w:ascii="Arial" w:eastAsia="Arial" w:hAnsi="Arial" w:cs="Arial"/>
          <w:sz w:val="20"/>
          <w:szCs w:val="20"/>
        </w:rPr>
      </w:pPr>
    </w:p>
    <w:p w:rsidR="00DA1768" w:rsidRDefault="00DA1768" w:rsidP="00DA1768">
      <w:pPr>
        <w:ind w:leftChars="0" w:left="0" w:firstLineChars="0" w:firstLine="0"/>
        <w:jc w:val="both"/>
        <w:rPr>
          <w:rFonts w:ascii="Arial" w:hAnsi="Arial" w:cs="Arial"/>
          <w:b/>
          <w:bCs/>
          <w:i/>
          <w:iCs/>
          <w:sz w:val="20"/>
          <w:szCs w:val="20"/>
        </w:rPr>
      </w:pPr>
      <w:r>
        <w:rPr>
          <w:rFonts w:ascii="Arial" w:hAnsi="Arial" w:cs="Arial"/>
          <w:b/>
          <w:bCs/>
          <w:i/>
          <w:iCs/>
          <w:sz w:val="20"/>
          <w:szCs w:val="20"/>
        </w:rPr>
        <w:t>Revisión por el grupo Coordinador del grupo GENESIS de la SEFH.</w:t>
      </w:r>
    </w:p>
    <w:p w:rsidR="00F00D20" w:rsidRDefault="00F00D20" w:rsidP="00DA1768">
      <w:pPr>
        <w:ind w:leftChars="0" w:left="0" w:firstLineChars="0" w:firstLine="0"/>
        <w:jc w:val="both"/>
        <w:rPr>
          <w:rFonts w:ascii="Arial" w:hAnsi="Arial" w:cs="Arial"/>
          <w:b/>
          <w:bCs/>
          <w:i/>
          <w:iCs/>
          <w:sz w:val="20"/>
          <w:szCs w:val="20"/>
        </w:rPr>
      </w:pPr>
    </w:p>
    <w:p w:rsidR="00F00D20" w:rsidRDefault="00F00D20" w:rsidP="00F00D20">
      <w:pPr>
        <w:ind w:left="0" w:hanging="2"/>
        <w:jc w:val="both"/>
        <w:rPr>
          <w:rFonts w:ascii="Arial" w:hAnsi="Arial" w:cs="Arial"/>
          <w:bCs/>
          <w:sz w:val="20"/>
          <w:szCs w:val="20"/>
        </w:rPr>
      </w:pPr>
      <w:r>
        <w:rPr>
          <w:rFonts w:ascii="Arial" w:hAnsi="Arial" w:cs="Arial"/>
          <w:b/>
          <w:bCs/>
          <w:sz w:val="20"/>
          <w:szCs w:val="20"/>
        </w:rPr>
        <w:t xml:space="preserve">Alegaciones: </w:t>
      </w:r>
      <w:r>
        <w:rPr>
          <w:rFonts w:ascii="Arial" w:hAnsi="Arial" w:cs="Arial"/>
          <w:bCs/>
          <w:sz w:val="20"/>
          <w:szCs w:val="20"/>
        </w:rPr>
        <w:t>un borrador de este informe fue presentado como borrador público en la Web del grupo GENESIS de la SEFH, con la posibilidad de presentar propuestas al mismo. Se recibieron alegaciones de:</w:t>
      </w:r>
    </w:p>
    <w:p w:rsidR="00C61EB7" w:rsidRDefault="00C61EB7" w:rsidP="00F00D20">
      <w:pPr>
        <w:ind w:left="0" w:hanging="2"/>
        <w:jc w:val="both"/>
        <w:rPr>
          <w:rFonts w:ascii="Arial" w:hAnsi="Arial" w:cs="Arial"/>
          <w:bCs/>
          <w:sz w:val="20"/>
          <w:szCs w:val="20"/>
        </w:rPr>
      </w:pPr>
    </w:p>
    <w:p w:rsidR="00C61EB7" w:rsidRDefault="00C61EB7" w:rsidP="00F00D20">
      <w:pPr>
        <w:pStyle w:val="Prrafodelista"/>
        <w:numPr>
          <w:ilvl w:val="0"/>
          <w:numId w:val="14"/>
        </w:numPr>
        <w:shd w:val="clear" w:color="auto" w:fill="FFFFFF"/>
        <w:spacing w:line="240" w:lineRule="auto"/>
        <w:ind w:leftChars="0" w:firstLineChars="0"/>
        <w:textAlignment w:val="auto"/>
        <w:outlineLvl w:val="9"/>
        <w:rPr>
          <w:rFonts w:ascii="Arial" w:hAnsi="Arial" w:cs="Arial"/>
          <w:bCs/>
          <w:sz w:val="20"/>
          <w:szCs w:val="20"/>
        </w:rPr>
      </w:pPr>
      <w:r>
        <w:rPr>
          <w:rFonts w:ascii="Arial" w:hAnsi="Arial" w:cs="Arial"/>
          <w:bCs/>
          <w:sz w:val="20"/>
          <w:szCs w:val="20"/>
        </w:rPr>
        <w:t>Astellas</w:t>
      </w:r>
    </w:p>
    <w:p w:rsidR="00F00D20" w:rsidRDefault="00C61EB7" w:rsidP="00F00D20">
      <w:pPr>
        <w:pStyle w:val="Prrafodelista"/>
        <w:numPr>
          <w:ilvl w:val="0"/>
          <w:numId w:val="14"/>
        </w:numPr>
        <w:shd w:val="clear" w:color="auto" w:fill="FFFFFF"/>
        <w:spacing w:line="240" w:lineRule="auto"/>
        <w:ind w:leftChars="0" w:firstLineChars="0"/>
        <w:textAlignment w:val="auto"/>
        <w:outlineLvl w:val="9"/>
        <w:rPr>
          <w:rFonts w:ascii="Arial" w:hAnsi="Arial" w:cs="Arial"/>
          <w:bCs/>
          <w:sz w:val="20"/>
          <w:szCs w:val="20"/>
        </w:rPr>
      </w:pPr>
      <w:r>
        <w:rPr>
          <w:rFonts w:ascii="Arial" w:hAnsi="Arial" w:cs="Arial"/>
          <w:bCs/>
          <w:sz w:val="20"/>
          <w:szCs w:val="20"/>
        </w:rPr>
        <w:t>Asociación Española de Urología</w:t>
      </w:r>
    </w:p>
    <w:p w:rsidR="00C61EB7" w:rsidRDefault="00C61EB7" w:rsidP="00F00D20">
      <w:pPr>
        <w:pStyle w:val="Prrafodelista"/>
        <w:numPr>
          <w:ilvl w:val="0"/>
          <w:numId w:val="14"/>
        </w:numPr>
        <w:shd w:val="clear" w:color="auto" w:fill="FFFFFF"/>
        <w:spacing w:line="240" w:lineRule="auto"/>
        <w:ind w:leftChars="0" w:firstLineChars="0"/>
        <w:textAlignment w:val="auto"/>
        <w:outlineLvl w:val="9"/>
        <w:rPr>
          <w:rFonts w:ascii="Arial" w:hAnsi="Arial" w:cs="Arial"/>
          <w:bCs/>
          <w:sz w:val="20"/>
          <w:szCs w:val="20"/>
        </w:rPr>
      </w:pPr>
      <w:r>
        <w:rPr>
          <w:rFonts w:ascii="Arial" w:hAnsi="Arial" w:cs="Arial"/>
          <w:bCs/>
          <w:sz w:val="20"/>
          <w:szCs w:val="20"/>
        </w:rPr>
        <w:t>Grupo GEDEFO de la SEFH</w:t>
      </w:r>
    </w:p>
    <w:p w:rsidR="00C61EB7" w:rsidRDefault="00C61EB7" w:rsidP="00F00D20">
      <w:pPr>
        <w:pStyle w:val="Prrafodelista"/>
        <w:numPr>
          <w:ilvl w:val="0"/>
          <w:numId w:val="14"/>
        </w:numPr>
        <w:shd w:val="clear" w:color="auto" w:fill="FFFFFF"/>
        <w:spacing w:line="240" w:lineRule="auto"/>
        <w:ind w:leftChars="0" w:firstLineChars="0"/>
        <w:textAlignment w:val="auto"/>
        <w:outlineLvl w:val="9"/>
        <w:rPr>
          <w:rFonts w:ascii="Arial" w:hAnsi="Arial" w:cs="Arial"/>
          <w:bCs/>
          <w:sz w:val="20"/>
          <w:szCs w:val="20"/>
        </w:rPr>
      </w:pPr>
      <w:r>
        <w:rPr>
          <w:rFonts w:ascii="Arial" w:hAnsi="Arial" w:cs="Arial"/>
          <w:bCs/>
          <w:sz w:val="20"/>
          <w:szCs w:val="20"/>
        </w:rPr>
        <w:t>Janssen</w:t>
      </w:r>
    </w:p>
    <w:p w:rsidR="00F675AB" w:rsidRDefault="00F675AB" w:rsidP="00F675AB">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color w:val="C00000"/>
          <w:sz w:val="20"/>
          <w:szCs w:val="20"/>
        </w:rPr>
      </w:pPr>
      <w:r>
        <w:rPr>
          <w:rFonts w:ascii="Arial" w:eastAsia="Arial" w:hAnsi="Arial" w:cs="Arial"/>
          <w:b/>
          <w:sz w:val="20"/>
          <w:szCs w:val="20"/>
        </w:rPr>
        <w:t xml:space="preserve">Tipo de informe: </w:t>
      </w:r>
      <w:r>
        <w:rPr>
          <w:rFonts w:ascii="Arial" w:eastAsia="Arial" w:hAnsi="Arial" w:cs="Arial"/>
          <w:sz w:val="20"/>
          <w:szCs w:val="20"/>
        </w:rPr>
        <w:t>Original</w:t>
      </w:r>
    </w:p>
    <w:p w:rsidR="002C4AF7" w:rsidRDefault="007C2686">
      <w:pPr>
        <w:ind w:left="0" w:hanging="2"/>
        <w:jc w:val="both"/>
        <w:rPr>
          <w:rFonts w:ascii="Arial" w:eastAsia="Arial" w:hAnsi="Arial" w:cs="Arial"/>
          <w:sz w:val="20"/>
          <w:szCs w:val="20"/>
        </w:rPr>
      </w:pPr>
      <w:r>
        <w:rPr>
          <w:rFonts w:ascii="Arial" w:eastAsia="Arial" w:hAnsi="Arial" w:cs="Arial"/>
          <w:b/>
          <w:sz w:val="20"/>
          <w:szCs w:val="20"/>
        </w:rPr>
        <w:t xml:space="preserve">Declaración de conflicto de Intereses de los autores: </w:t>
      </w:r>
      <w:r>
        <w:rPr>
          <w:rFonts w:ascii="Arial" w:eastAsia="Arial" w:hAnsi="Arial" w:cs="Arial"/>
          <w:sz w:val="20"/>
          <w:szCs w:val="20"/>
        </w:rPr>
        <w:t>Ver declaración en anexo al final del informe.</w:t>
      </w:r>
    </w:p>
    <w:p w:rsidR="002C4AF7" w:rsidRDefault="002C4AF7">
      <w:pPr>
        <w:tabs>
          <w:tab w:val="left" w:pos="3343"/>
        </w:tabs>
        <w:ind w:left="0" w:hanging="2"/>
        <w:jc w:val="both"/>
        <w:rPr>
          <w:rFonts w:ascii="Arial" w:eastAsia="Arial" w:hAnsi="Arial" w:cs="Arial"/>
          <w:sz w:val="20"/>
          <w:szCs w:val="20"/>
        </w:rPr>
      </w:pPr>
    </w:p>
    <w:p w:rsidR="002C4AF7" w:rsidRDefault="007C2686">
      <w:pPr>
        <w:tabs>
          <w:tab w:val="left" w:pos="3343"/>
        </w:tabs>
        <w:ind w:left="0" w:hanging="2"/>
        <w:jc w:val="both"/>
        <w:rPr>
          <w:rFonts w:ascii="Arial" w:eastAsia="Arial" w:hAnsi="Arial" w:cs="Arial"/>
          <w:sz w:val="20"/>
          <w:szCs w:val="20"/>
        </w:rPr>
      </w:pPr>
      <w:bookmarkStart w:id="2" w:name="_heading=h.1fob9te" w:colFirst="0" w:colLast="0"/>
      <w:bookmarkEnd w:id="2"/>
      <w:r>
        <w:rPr>
          <w:rFonts w:ascii="Arial" w:eastAsia="Arial" w:hAnsi="Arial" w:cs="Arial"/>
          <w:sz w:val="20"/>
          <w:szCs w:val="20"/>
        </w:rPr>
        <w:t>Para la elaboración del informe se ha utilizado el Programa MADRE versión 4.0</w:t>
      </w:r>
      <w:r>
        <w:rPr>
          <w:rFonts w:ascii="Arial" w:eastAsia="Arial" w:hAnsi="Arial" w:cs="Arial"/>
          <w:sz w:val="20"/>
          <w:szCs w:val="20"/>
          <w:vertAlign w:val="superscript"/>
        </w:rPr>
        <w:footnoteReference w:id="1"/>
      </w:r>
      <w:r>
        <w:rPr>
          <w:rFonts w:ascii="Arial" w:eastAsia="Arial" w:hAnsi="Arial" w:cs="Arial"/>
          <w:sz w:val="20"/>
          <w:szCs w:val="20"/>
        </w:rPr>
        <w:t xml:space="preserve"> y Guía EE e IP</w:t>
      </w:r>
      <w:r>
        <w:rPr>
          <w:rFonts w:ascii="Arial" w:eastAsia="Arial" w:hAnsi="Arial" w:cs="Arial"/>
          <w:sz w:val="20"/>
          <w:szCs w:val="20"/>
          <w:vertAlign w:val="superscript"/>
        </w:rPr>
        <w:footnoteReference w:id="2"/>
      </w:r>
    </w:p>
    <w:p w:rsidR="002C4AF7" w:rsidRDefault="002C4AF7">
      <w:pPr>
        <w:ind w:left="0" w:hanging="2"/>
        <w:jc w:val="both"/>
        <w:rPr>
          <w:rFonts w:ascii="Arial" w:eastAsia="Arial" w:hAnsi="Arial" w:cs="Arial"/>
          <w:color w:val="0000FF"/>
          <w:sz w:val="20"/>
          <w:szCs w:val="20"/>
        </w:rPr>
      </w:pPr>
    </w:p>
    <w:tbl>
      <w:tblPr>
        <w:tblStyle w:val="affc"/>
        <w:tblW w:w="889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2C4AF7">
        <w:trPr>
          <w:trHeight w:val="90"/>
        </w:trPr>
        <w:tc>
          <w:tcPr>
            <w:tcW w:w="8890" w:type="dxa"/>
            <w:shd w:val="clear" w:color="auto" w:fill="B3B3B3"/>
          </w:tcPr>
          <w:p w:rsidR="002C4AF7" w:rsidRDefault="007C2686">
            <w:pPr>
              <w:keepNext/>
              <w:shd w:val="clear" w:color="auto" w:fill="A6A6A6"/>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2.- SOLICITUD Y DATOS DEL PROCESO DE EVALUACIÓN</w:t>
            </w:r>
          </w:p>
        </w:tc>
      </w:tr>
    </w:tbl>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b/>
          <w:sz w:val="20"/>
          <w:szCs w:val="20"/>
        </w:rPr>
        <w:t>Petición a título</w:t>
      </w:r>
      <w:r>
        <w:rPr>
          <w:rFonts w:ascii="Arial" w:eastAsia="Arial" w:hAnsi="Arial" w:cs="Arial"/>
          <w:sz w:val="20"/>
          <w:szCs w:val="20"/>
        </w:rPr>
        <w:t>: La realización de este informe técnico se realiza a demanda del grupo GENESIS, por tratarse de un fármaco novedoso, cuyo lugar en terapéutica precisa evaluación.</w:t>
      </w:r>
    </w:p>
    <w:p w:rsidR="002C4AF7" w:rsidRDefault="002C4AF7">
      <w:pPr>
        <w:ind w:left="0" w:hanging="2"/>
        <w:jc w:val="both"/>
        <w:rPr>
          <w:rFonts w:ascii="Arial" w:eastAsia="Arial" w:hAnsi="Arial" w:cs="Arial"/>
          <w:sz w:val="20"/>
          <w:szCs w:val="20"/>
        </w:rPr>
      </w:pPr>
      <w:bookmarkStart w:id="3" w:name="_heading=h.3znysh7" w:colFirst="0" w:colLast="0"/>
      <w:bookmarkEnd w:id="3"/>
    </w:p>
    <w:p w:rsidR="002C4AF7" w:rsidRDefault="002C4AF7">
      <w:pPr>
        <w:ind w:left="0" w:hanging="2"/>
        <w:jc w:val="both"/>
        <w:rPr>
          <w:rFonts w:ascii="Arial" w:eastAsia="Arial" w:hAnsi="Arial" w:cs="Arial"/>
          <w:sz w:val="20"/>
          <w:szCs w:val="20"/>
        </w:rPr>
      </w:pPr>
    </w:p>
    <w:tbl>
      <w:tblPr>
        <w:tblStyle w:val="affd"/>
        <w:tblW w:w="885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9"/>
      </w:tblGrid>
      <w:tr w:rsidR="002C4AF7">
        <w:tc>
          <w:tcPr>
            <w:tcW w:w="8859" w:type="dxa"/>
            <w:shd w:val="clear" w:color="auto" w:fill="B3B3B3"/>
          </w:tcPr>
          <w:p w:rsidR="002C4AF7" w:rsidRDefault="007C2686">
            <w:pPr>
              <w:keepNext/>
              <w:shd w:val="clear" w:color="auto" w:fill="A6A6A6"/>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3.- AREA DESCRIPTIVA DEL MEDICAMENTO Y DEL PROBLEMA DE SALUD</w:t>
            </w:r>
          </w:p>
        </w:tc>
      </w:tr>
    </w:tbl>
    <w:p w:rsidR="002C4AF7" w:rsidRDefault="002C4AF7">
      <w:pPr>
        <w:ind w:left="0" w:hanging="2"/>
        <w:rPr>
          <w:rFonts w:ascii="Arial" w:eastAsia="Arial" w:hAnsi="Arial" w:cs="Arial"/>
          <w:sz w:val="20"/>
          <w:szCs w:val="20"/>
        </w:rPr>
      </w:pPr>
      <w:bookmarkStart w:id="4" w:name="_heading=h.2et92p0" w:colFirst="0" w:colLast="0"/>
      <w:bookmarkEnd w:id="4"/>
    </w:p>
    <w:p w:rsidR="002C4AF7" w:rsidRDefault="007C2686">
      <w:pPr>
        <w:keepNext/>
        <w:pBdr>
          <w:top w:val="single" w:sz="4" w:space="1" w:color="000000"/>
          <w:left w:val="single" w:sz="4" w:space="4" w:color="000000"/>
          <w:bottom w:val="single" w:sz="4" w:space="1" w:color="000000"/>
          <w:right w:val="single" w:sz="4" w:space="2" w:color="000000"/>
        </w:pBdr>
        <w:shd w:val="clear" w:color="auto" w:fill="D9D9D9"/>
        <w:spacing w:line="240" w:lineRule="auto"/>
        <w:ind w:left="0" w:hanging="2"/>
        <w:jc w:val="both"/>
        <w:rPr>
          <w:rFonts w:ascii="Cambria" w:eastAsia="Cambria" w:hAnsi="Cambria" w:cs="Cambria"/>
          <w:color w:val="000000"/>
          <w:sz w:val="20"/>
          <w:szCs w:val="20"/>
        </w:rPr>
      </w:pPr>
      <w:r>
        <w:rPr>
          <w:rFonts w:ascii="Cambria" w:eastAsia="Cambria" w:hAnsi="Cambria" w:cs="Cambria"/>
          <w:b/>
          <w:i/>
          <w:color w:val="000000"/>
          <w:sz w:val="20"/>
          <w:szCs w:val="20"/>
        </w:rPr>
        <w:t>3.1 Área descriptiva del medicamento</w:t>
      </w:r>
    </w:p>
    <w:p w:rsidR="002C4AF7" w:rsidRDefault="002C4AF7">
      <w:pPr>
        <w:ind w:left="0" w:hanging="2"/>
        <w:rPr>
          <w:rFonts w:ascii="Arial" w:eastAsia="Arial" w:hAnsi="Arial" w:cs="Arial"/>
          <w:sz w:val="20"/>
          <w:szCs w:val="20"/>
        </w:rPr>
      </w:pPr>
    </w:p>
    <w:p w:rsidR="002C4AF7" w:rsidRDefault="007C2686">
      <w:pPr>
        <w:ind w:left="0" w:hanging="2"/>
        <w:rPr>
          <w:rFonts w:ascii="Arial" w:eastAsia="Arial" w:hAnsi="Arial" w:cs="Arial"/>
          <w:sz w:val="20"/>
          <w:szCs w:val="20"/>
        </w:rPr>
      </w:pPr>
      <w:r>
        <w:rPr>
          <w:rFonts w:ascii="Arial" w:eastAsia="Arial" w:hAnsi="Arial" w:cs="Arial"/>
          <w:b/>
          <w:sz w:val="20"/>
          <w:szCs w:val="20"/>
        </w:rPr>
        <w:t>Nombre genérico</w:t>
      </w:r>
      <w:r>
        <w:rPr>
          <w:rFonts w:ascii="Arial" w:eastAsia="Arial" w:hAnsi="Arial" w:cs="Arial"/>
          <w:sz w:val="20"/>
          <w:szCs w:val="20"/>
        </w:rPr>
        <w:t>: Enzalutamida</w:t>
      </w:r>
    </w:p>
    <w:p w:rsidR="002C4AF7" w:rsidRDefault="007C2686">
      <w:pPr>
        <w:ind w:left="0" w:hanging="2"/>
        <w:rPr>
          <w:rFonts w:ascii="Arial" w:eastAsia="Arial" w:hAnsi="Arial" w:cs="Arial"/>
          <w:sz w:val="20"/>
          <w:szCs w:val="20"/>
        </w:rPr>
      </w:pPr>
      <w:r>
        <w:rPr>
          <w:rFonts w:ascii="Arial" w:eastAsia="Arial" w:hAnsi="Arial" w:cs="Arial"/>
          <w:b/>
          <w:sz w:val="20"/>
          <w:szCs w:val="20"/>
        </w:rPr>
        <w:t>Nombre comercial</w:t>
      </w:r>
      <w:r>
        <w:rPr>
          <w:rFonts w:ascii="Arial" w:eastAsia="Arial" w:hAnsi="Arial" w:cs="Arial"/>
          <w:sz w:val="20"/>
          <w:szCs w:val="20"/>
        </w:rPr>
        <w:t>: Xtandi ®</w:t>
      </w:r>
    </w:p>
    <w:p w:rsidR="002C4AF7" w:rsidRDefault="007C2686">
      <w:pPr>
        <w:ind w:left="0" w:hanging="2"/>
        <w:rPr>
          <w:rFonts w:ascii="Arial" w:eastAsia="Arial" w:hAnsi="Arial" w:cs="Arial"/>
          <w:sz w:val="20"/>
          <w:szCs w:val="20"/>
        </w:rPr>
      </w:pPr>
      <w:r>
        <w:rPr>
          <w:rFonts w:ascii="Arial" w:eastAsia="Arial" w:hAnsi="Arial" w:cs="Arial"/>
          <w:b/>
          <w:sz w:val="20"/>
          <w:szCs w:val="20"/>
        </w:rPr>
        <w:t>Laboratorio</w:t>
      </w:r>
      <w:r>
        <w:rPr>
          <w:rFonts w:ascii="Arial" w:eastAsia="Arial" w:hAnsi="Arial" w:cs="Arial"/>
          <w:sz w:val="20"/>
          <w:szCs w:val="20"/>
        </w:rPr>
        <w:t>: Astellas Pharma Europe, B.V.</w:t>
      </w:r>
    </w:p>
    <w:p w:rsidR="002C4AF7" w:rsidRDefault="007C2686">
      <w:pPr>
        <w:ind w:left="0" w:hanging="2"/>
        <w:rPr>
          <w:rFonts w:ascii="Arial" w:eastAsia="Arial" w:hAnsi="Arial" w:cs="Arial"/>
          <w:sz w:val="20"/>
          <w:szCs w:val="20"/>
        </w:rPr>
      </w:pPr>
      <w:r>
        <w:rPr>
          <w:rFonts w:ascii="Arial" w:eastAsia="Arial" w:hAnsi="Arial" w:cs="Arial"/>
          <w:b/>
          <w:sz w:val="20"/>
          <w:szCs w:val="20"/>
        </w:rPr>
        <w:t>Grupo terapéutico</w:t>
      </w:r>
      <w:r>
        <w:rPr>
          <w:rFonts w:ascii="Arial" w:eastAsia="Arial" w:hAnsi="Arial" w:cs="Arial"/>
          <w:sz w:val="20"/>
          <w:szCs w:val="20"/>
        </w:rPr>
        <w:t>. Denominación: Tratamiento endocrino, otros antagonistas de hormonas y sustancias relacionadas.  Código ATC: L02BB04</w:t>
      </w:r>
    </w:p>
    <w:p w:rsidR="002C4AF7" w:rsidRDefault="007C2686">
      <w:pPr>
        <w:ind w:left="0" w:hanging="2"/>
        <w:rPr>
          <w:rFonts w:ascii="Arial" w:eastAsia="Arial" w:hAnsi="Arial" w:cs="Arial"/>
          <w:sz w:val="20"/>
          <w:szCs w:val="20"/>
        </w:rPr>
      </w:pPr>
      <w:r>
        <w:rPr>
          <w:rFonts w:ascii="Arial" w:eastAsia="Arial" w:hAnsi="Arial" w:cs="Arial"/>
          <w:b/>
          <w:sz w:val="20"/>
          <w:szCs w:val="20"/>
        </w:rPr>
        <w:t>Vía de administración</w:t>
      </w:r>
      <w:r>
        <w:rPr>
          <w:rFonts w:ascii="Arial" w:eastAsia="Arial" w:hAnsi="Arial" w:cs="Arial"/>
          <w:sz w:val="20"/>
          <w:szCs w:val="20"/>
        </w:rPr>
        <w:t>: Vía oral</w:t>
      </w:r>
    </w:p>
    <w:p w:rsidR="002C4AF7" w:rsidRDefault="007C2686">
      <w:pPr>
        <w:ind w:left="0" w:hanging="2"/>
        <w:jc w:val="both"/>
        <w:rPr>
          <w:rFonts w:ascii="Arial" w:eastAsia="Arial" w:hAnsi="Arial" w:cs="Arial"/>
          <w:sz w:val="20"/>
          <w:szCs w:val="20"/>
        </w:rPr>
      </w:pPr>
      <w:r>
        <w:rPr>
          <w:rFonts w:ascii="Arial" w:eastAsia="Arial" w:hAnsi="Arial" w:cs="Arial"/>
          <w:b/>
          <w:sz w:val="20"/>
          <w:szCs w:val="20"/>
        </w:rPr>
        <w:lastRenderedPageBreak/>
        <w:t>Tipo de dispensación</w:t>
      </w:r>
      <w:r>
        <w:rPr>
          <w:rFonts w:ascii="Arial" w:eastAsia="Arial" w:hAnsi="Arial" w:cs="Arial"/>
          <w:sz w:val="20"/>
          <w:szCs w:val="20"/>
        </w:rPr>
        <w:t>: Hospitalaria</w:t>
      </w:r>
    </w:p>
    <w:p w:rsidR="002C4AF7" w:rsidRDefault="002C4AF7">
      <w:pPr>
        <w:ind w:left="0" w:hanging="2"/>
        <w:jc w:val="both"/>
        <w:rPr>
          <w:rFonts w:ascii="Arial" w:eastAsia="Arial" w:hAnsi="Arial" w:cs="Arial"/>
          <w:sz w:val="20"/>
          <w:szCs w:val="20"/>
        </w:rPr>
      </w:pPr>
    </w:p>
    <w:p w:rsidR="002C4AF7" w:rsidRDefault="007C2686">
      <w:pPr>
        <w:tabs>
          <w:tab w:val="center" w:pos="4252"/>
          <w:tab w:val="right" w:pos="8504"/>
        </w:tabs>
        <w:spacing w:line="240" w:lineRule="auto"/>
        <w:ind w:left="0" w:hanging="2"/>
        <w:jc w:val="both"/>
        <w:rPr>
          <w:rFonts w:ascii="Arial" w:eastAsia="Arial" w:hAnsi="Arial" w:cs="Arial"/>
        </w:rPr>
      </w:pPr>
      <w:r>
        <w:rPr>
          <w:rFonts w:ascii="Arial" w:eastAsia="Arial" w:hAnsi="Arial" w:cs="Arial"/>
          <w:b/>
          <w:color w:val="000000"/>
        </w:rPr>
        <w:t>Información de registro</w:t>
      </w:r>
      <w:r>
        <w:rPr>
          <w:rFonts w:ascii="Arial" w:eastAsia="Arial" w:hAnsi="Arial" w:cs="Arial"/>
          <w:color w:val="000000"/>
        </w:rPr>
        <w:t xml:space="preserve">: </w:t>
      </w:r>
      <w:r>
        <w:rPr>
          <w:rFonts w:ascii="Arial" w:eastAsia="Arial" w:hAnsi="Arial" w:cs="Arial"/>
          <w:sz w:val="20"/>
          <w:szCs w:val="20"/>
        </w:rPr>
        <w:t>Opinión positiva de la EMA para su autorización en CPHSm.</w:t>
      </w:r>
    </w:p>
    <w:p w:rsidR="002C4AF7" w:rsidRDefault="002C4AF7">
      <w:pPr>
        <w:tabs>
          <w:tab w:val="center" w:pos="4252"/>
          <w:tab w:val="right" w:pos="8504"/>
        </w:tabs>
        <w:spacing w:line="240" w:lineRule="auto"/>
        <w:ind w:left="0" w:hanging="2"/>
        <w:rPr>
          <w:rFonts w:ascii="Arial" w:eastAsia="Arial" w:hAnsi="Arial" w:cs="Arial"/>
          <w:color w:val="000000"/>
        </w:rPr>
      </w:pPr>
    </w:p>
    <w:tbl>
      <w:tblPr>
        <w:tblStyle w:val="affe"/>
        <w:tblW w:w="710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4"/>
        <w:gridCol w:w="1238"/>
        <w:gridCol w:w="1110"/>
        <w:gridCol w:w="2188"/>
      </w:tblGrid>
      <w:tr w:rsidR="002C4AF7">
        <w:tc>
          <w:tcPr>
            <w:tcW w:w="7100" w:type="dxa"/>
            <w:gridSpan w:val="4"/>
            <w:shd w:val="clear" w:color="auto" w:fill="CCFFCC"/>
          </w:tcPr>
          <w:p w:rsidR="002C4AF7" w:rsidRDefault="007C2686">
            <w:pPr>
              <w:ind w:left="0" w:hanging="2"/>
              <w:jc w:val="both"/>
              <w:rPr>
                <w:rFonts w:ascii="Arial" w:eastAsia="Arial" w:hAnsi="Arial" w:cs="Arial"/>
                <w:sz w:val="16"/>
                <w:szCs w:val="16"/>
              </w:rPr>
            </w:pPr>
            <w:r>
              <w:rPr>
                <w:rFonts w:ascii="Arial" w:eastAsia="Arial" w:hAnsi="Arial" w:cs="Arial"/>
                <w:b/>
                <w:sz w:val="18"/>
                <w:szCs w:val="18"/>
              </w:rPr>
              <w:t xml:space="preserve">Presentaciones y precio </w:t>
            </w:r>
          </w:p>
        </w:tc>
      </w:tr>
      <w:tr w:rsidR="002C4AF7">
        <w:tc>
          <w:tcPr>
            <w:tcW w:w="2564" w:type="dxa"/>
          </w:tcPr>
          <w:p w:rsidR="002C4AF7" w:rsidRDefault="007C2686">
            <w:pPr>
              <w:ind w:left="0" w:hanging="2"/>
              <w:jc w:val="both"/>
              <w:rPr>
                <w:rFonts w:ascii="Arial" w:eastAsia="Arial" w:hAnsi="Arial" w:cs="Arial"/>
                <w:sz w:val="16"/>
                <w:szCs w:val="16"/>
              </w:rPr>
            </w:pPr>
            <w:r>
              <w:rPr>
                <w:rFonts w:ascii="Arial" w:eastAsia="Arial" w:hAnsi="Arial" w:cs="Arial"/>
                <w:sz w:val="16"/>
                <w:szCs w:val="16"/>
              </w:rPr>
              <w:t>Forma farmacéutica y dosis</w:t>
            </w:r>
          </w:p>
        </w:tc>
        <w:tc>
          <w:tcPr>
            <w:tcW w:w="1238" w:type="dxa"/>
          </w:tcPr>
          <w:p w:rsidR="002C4AF7" w:rsidRDefault="007C2686">
            <w:pPr>
              <w:ind w:left="0" w:hanging="2"/>
              <w:jc w:val="both"/>
              <w:rPr>
                <w:rFonts w:ascii="Arial" w:eastAsia="Arial" w:hAnsi="Arial" w:cs="Arial"/>
                <w:sz w:val="16"/>
                <w:szCs w:val="16"/>
              </w:rPr>
            </w:pPr>
            <w:r>
              <w:rPr>
                <w:rFonts w:ascii="Arial" w:eastAsia="Arial" w:hAnsi="Arial" w:cs="Arial"/>
                <w:sz w:val="16"/>
                <w:szCs w:val="16"/>
              </w:rPr>
              <w:t>Nº de unidades por envase</w:t>
            </w:r>
          </w:p>
        </w:tc>
        <w:tc>
          <w:tcPr>
            <w:tcW w:w="1110" w:type="dxa"/>
          </w:tcPr>
          <w:p w:rsidR="002C4AF7" w:rsidRDefault="007C2686">
            <w:pPr>
              <w:ind w:left="0" w:hanging="2"/>
              <w:jc w:val="both"/>
              <w:rPr>
                <w:rFonts w:ascii="Arial" w:eastAsia="Arial" w:hAnsi="Arial" w:cs="Arial"/>
                <w:sz w:val="16"/>
                <w:szCs w:val="16"/>
              </w:rPr>
            </w:pPr>
            <w:r>
              <w:rPr>
                <w:rFonts w:ascii="Arial" w:eastAsia="Arial" w:hAnsi="Arial" w:cs="Arial"/>
                <w:sz w:val="16"/>
                <w:szCs w:val="16"/>
              </w:rPr>
              <w:t>Código</w:t>
            </w:r>
          </w:p>
        </w:tc>
        <w:tc>
          <w:tcPr>
            <w:tcW w:w="2188" w:type="dxa"/>
          </w:tcPr>
          <w:p w:rsidR="002C4AF7" w:rsidRDefault="007C2686">
            <w:pPr>
              <w:ind w:left="0" w:hanging="2"/>
              <w:jc w:val="both"/>
              <w:rPr>
                <w:rFonts w:ascii="Arial" w:eastAsia="Arial" w:hAnsi="Arial" w:cs="Arial"/>
                <w:sz w:val="16"/>
                <w:szCs w:val="16"/>
              </w:rPr>
            </w:pPr>
            <w:r>
              <w:rPr>
                <w:rFonts w:ascii="Arial" w:eastAsia="Arial" w:hAnsi="Arial" w:cs="Arial"/>
                <w:sz w:val="16"/>
                <w:szCs w:val="16"/>
              </w:rPr>
              <w:t xml:space="preserve">Coste por unidad PVL + IVA </w:t>
            </w:r>
          </w:p>
        </w:tc>
      </w:tr>
      <w:tr w:rsidR="002C4AF7">
        <w:tc>
          <w:tcPr>
            <w:tcW w:w="2564" w:type="dxa"/>
          </w:tcPr>
          <w:p w:rsidR="002C4AF7" w:rsidRDefault="007C2686">
            <w:pPr>
              <w:spacing w:before="240" w:after="240"/>
              <w:ind w:left="0" w:hanging="2"/>
              <w:jc w:val="both"/>
              <w:rPr>
                <w:rFonts w:ascii="Arial" w:eastAsia="Arial" w:hAnsi="Arial" w:cs="Arial"/>
                <w:sz w:val="16"/>
                <w:szCs w:val="16"/>
              </w:rPr>
            </w:pPr>
            <w:r>
              <w:rPr>
                <w:rFonts w:ascii="Arial" w:eastAsia="Arial" w:hAnsi="Arial" w:cs="Arial"/>
                <w:sz w:val="16"/>
                <w:szCs w:val="16"/>
              </w:rPr>
              <w:t xml:space="preserve">Comprimidos 40 mg </w:t>
            </w:r>
          </w:p>
        </w:tc>
        <w:tc>
          <w:tcPr>
            <w:tcW w:w="1238" w:type="dxa"/>
          </w:tcPr>
          <w:p w:rsidR="002C4AF7" w:rsidRDefault="007C2686">
            <w:pPr>
              <w:ind w:left="0" w:hanging="2"/>
              <w:jc w:val="center"/>
              <w:rPr>
                <w:rFonts w:ascii="Arial" w:eastAsia="Arial" w:hAnsi="Arial" w:cs="Arial"/>
                <w:sz w:val="16"/>
                <w:szCs w:val="16"/>
              </w:rPr>
            </w:pPr>
            <w:r>
              <w:rPr>
                <w:rFonts w:ascii="Arial" w:eastAsia="Arial" w:hAnsi="Arial" w:cs="Arial"/>
                <w:sz w:val="16"/>
                <w:szCs w:val="16"/>
              </w:rPr>
              <w:t>112</w:t>
            </w:r>
          </w:p>
        </w:tc>
        <w:tc>
          <w:tcPr>
            <w:tcW w:w="1110" w:type="dxa"/>
          </w:tcPr>
          <w:p w:rsidR="002C4AF7" w:rsidRDefault="007C2686">
            <w:pPr>
              <w:ind w:left="0" w:hanging="2"/>
              <w:jc w:val="center"/>
              <w:rPr>
                <w:rFonts w:ascii="Arial" w:eastAsia="Arial" w:hAnsi="Arial" w:cs="Arial"/>
                <w:sz w:val="16"/>
                <w:szCs w:val="16"/>
              </w:rPr>
            </w:pPr>
            <w:r>
              <w:rPr>
                <w:rFonts w:ascii="Arial" w:eastAsia="Arial" w:hAnsi="Arial" w:cs="Arial"/>
                <w:sz w:val="16"/>
                <w:szCs w:val="16"/>
              </w:rPr>
              <w:t>113846002</w:t>
            </w:r>
          </w:p>
        </w:tc>
        <w:tc>
          <w:tcPr>
            <w:tcW w:w="2188" w:type="dxa"/>
          </w:tcPr>
          <w:p w:rsidR="002C4AF7" w:rsidRDefault="007C2686">
            <w:pPr>
              <w:spacing w:line="240" w:lineRule="auto"/>
              <w:ind w:left="0" w:hanging="2"/>
              <w:jc w:val="center"/>
              <w:rPr>
                <w:rFonts w:ascii="Arial" w:eastAsia="Arial" w:hAnsi="Arial" w:cs="Arial"/>
                <w:sz w:val="16"/>
                <w:szCs w:val="16"/>
              </w:rPr>
            </w:pPr>
            <w:r>
              <w:rPr>
                <w:rFonts w:ascii="Arial" w:eastAsia="Arial" w:hAnsi="Arial" w:cs="Arial"/>
                <w:sz w:val="16"/>
                <w:szCs w:val="16"/>
              </w:rPr>
              <w:t>28 €</w:t>
            </w:r>
          </w:p>
        </w:tc>
      </w:tr>
    </w:tbl>
    <w:p w:rsidR="002C4AF7" w:rsidRDefault="002C4AF7">
      <w:pPr>
        <w:ind w:left="0" w:hanging="2"/>
        <w:jc w:val="right"/>
        <w:rPr>
          <w:rFonts w:ascii="Arial" w:eastAsia="Arial" w:hAnsi="Arial" w:cs="Arial"/>
          <w:color w:val="0000FF"/>
          <w:sz w:val="20"/>
          <w:szCs w:val="20"/>
          <w:u w:val="single"/>
        </w:rPr>
      </w:pPr>
      <w:bookmarkStart w:id="5" w:name="_heading=h.tyjcwt" w:colFirst="0" w:colLast="0"/>
      <w:bookmarkEnd w:id="5"/>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bookmarkStart w:id="6" w:name="_heading=h.3dy6vkm" w:colFirst="0" w:colLast="0"/>
      <w:bookmarkEnd w:id="6"/>
      <w:r>
        <w:rPr>
          <w:rFonts w:ascii="Cambria" w:eastAsia="Cambria" w:hAnsi="Cambria" w:cs="Cambria"/>
          <w:b/>
          <w:i/>
          <w:color w:val="000000"/>
          <w:sz w:val="20"/>
          <w:szCs w:val="20"/>
        </w:rPr>
        <w:t>3.2 Área descriptiva del problema de salud</w:t>
      </w:r>
    </w:p>
    <w:p w:rsidR="002C4AF7" w:rsidRDefault="002C4AF7">
      <w:pPr>
        <w:ind w:left="0" w:hanging="2"/>
        <w:jc w:val="both"/>
        <w:rPr>
          <w:rFonts w:ascii="Arial" w:eastAsia="Arial" w:hAnsi="Arial" w:cs="Arial"/>
          <w:color w:val="000080"/>
          <w:sz w:val="20"/>
          <w:szCs w:val="20"/>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r>
        <w:rPr>
          <w:rFonts w:ascii="Cambria" w:eastAsia="Cambria" w:hAnsi="Cambria" w:cs="Cambria"/>
          <w:b/>
          <w:i/>
          <w:color w:val="000000"/>
          <w:sz w:val="20"/>
          <w:szCs w:val="20"/>
        </w:rPr>
        <w:t>3.2.a Descripción estructurada del problema de salud</w:t>
      </w:r>
    </w:p>
    <w:p w:rsidR="002C4AF7" w:rsidRDefault="002C4AF7">
      <w:pPr>
        <w:ind w:left="0" w:hanging="2"/>
        <w:jc w:val="both"/>
        <w:rPr>
          <w:rFonts w:ascii="Arial" w:eastAsia="Arial" w:hAnsi="Arial" w:cs="Arial"/>
          <w:color w:val="FF0000"/>
          <w:sz w:val="20"/>
          <w:szCs w:val="20"/>
        </w:rPr>
      </w:pPr>
    </w:p>
    <w:tbl>
      <w:tblPr>
        <w:tblStyle w:val="afff"/>
        <w:tblW w:w="893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3"/>
        <w:gridCol w:w="5528"/>
      </w:tblGrid>
      <w:tr w:rsidR="002C4AF7">
        <w:tc>
          <w:tcPr>
            <w:tcW w:w="8931" w:type="dxa"/>
            <w:gridSpan w:val="2"/>
            <w:shd w:val="clear" w:color="auto" w:fill="CCFFCC"/>
          </w:tcPr>
          <w:p w:rsidR="002C4AF7" w:rsidRDefault="007C2686">
            <w:pPr>
              <w:ind w:left="0" w:hanging="2"/>
              <w:rPr>
                <w:rFonts w:ascii="Arial" w:eastAsia="Arial" w:hAnsi="Arial" w:cs="Arial"/>
                <w:sz w:val="18"/>
                <w:szCs w:val="18"/>
              </w:rPr>
            </w:pPr>
            <w:r>
              <w:rPr>
                <w:rFonts w:ascii="Arial" w:eastAsia="Arial" w:hAnsi="Arial" w:cs="Arial"/>
                <w:b/>
                <w:sz w:val="18"/>
                <w:szCs w:val="18"/>
              </w:rPr>
              <w:t>Descripción del problema de salud</w:t>
            </w:r>
          </w:p>
        </w:tc>
      </w:tr>
      <w:tr w:rsidR="002C4AF7">
        <w:tc>
          <w:tcPr>
            <w:tcW w:w="3403" w:type="dxa"/>
            <w:shd w:val="clear" w:color="auto" w:fill="E6E6E6"/>
          </w:tcPr>
          <w:p w:rsidR="002C4AF7" w:rsidRDefault="007C2686">
            <w:pPr>
              <w:ind w:left="0" w:hanging="2"/>
              <w:rPr>
                <w:rFonts w:ascii="Arial" w:eastAsia="Arial" w:hAnsi="Arial" w:cs="Arial"/>
                <w:sz w:val="16"/>
                <w:szCs w:val="16"/>
              </w:rPr>
            </w:pPr>
            <w:r>
              <w:rPr>
                <w:rFonts w:ascii="Arial" w:eastAsia="Arial" w:hAnsi="Arial" w:cs="Arial"/>
                <w:sz w:val="16"/>
                <w:szCs w:val="16"/>
              </w:rPr>
              <w:t>Definición</w:t>
            </w:r>
          </w:p>
        </w:tc>
        <w:tc>
          <w:tcPr>
            <w:tcW w:w="5528" w:type="dxa"/>
          </w:tcPr>
          <w:p w:rsidR="002C4AF7" w:rsidRDefault="007C2686" w:rsidP="00F53EF4">
            <w:pPr>
              <w:shd w:val="clear" w:color="auto" w:fill="FFFFFF"/>
              <w:spacing w:before="240" w:after="240"/>
              <w:ind w:left="0" w:hanging="2"/>
              <w:jc w:val="both"/>
              <w:rPr>
                <w:rFonts w:ascii="Arial" w:eastAsia="Arial" w:hAnsi="Arial" w:cs="Arial"/>
                <w:sz w:val="18"/>
                <w:szCs w:val="18"/>
              </w:rPr>
            </w:pPr>
            <w:r>
              <w:rPr>
                <w:rFonts w:ascii="Arial" w:eastAsia="Arial" w:hAnsi="Arial" w:cs="Arial"/>
                <w:sz w:val="18"/>
                <w:szCs w:val="18"/>
              </w:rPr>
              <w:t>El cáncer de próstata (CP) es el tumor maligno urogenital más frecuente en varones europeos. La mayor parte de los casos son diagnosticados en estadios tempranos en los cuales la posibilidad de instaurar un tratamiento radical curativo es elevada (1-3).</w:t>
            </w:r>
          </w:p>
        </w:tc>
      </w:tr>
      <w:tr w:rsidR="002C4AF7">
        <w:tc>
          <w:tcPr>
            <w:tcW w:w="3403" w:type="dxa"/>
            <w:shd w:val="clear" w:color="auto" w:fill="E6E6E6"/>
          </w:tcPr>
          <w:p w:rsidR="002C4AF7" w:rsidRDefault="007C2686">
            <w:pPr>
              <w:ind w:left="0" w:hanging="2"/>
              <w:rPr>
                <w:rFonts w:ascii="Arial" w:eastAsia="Arial" w:hAnsi="Arial" w:cs="Arial"/>
                <w:sz w:val="16"/>
                <w:szCs w:val="16"/>
              </w:rPr>
            </w:pPr>
            <w:r>
              <w:rPr>
                <w:rFonts w:ascii="Arial" w:eastAsia="Arial" w:hAnsi="Arial" w:cs="Arial"/>
                <w:sz w:val="16"/>
                <w:szCs w:val="16"/>
              </w:rPr>
              <w:t>Principales manifestaciones clínicas</w:t>
            </w:r>
          </w:p>
        </w:tc>
        <w:tc>
          <w:tcPr>
            <w:tcW w:w="5528" w:type="dxa"/>
          </w:tcPr>
          <w:p w:rsidR="002C4AF7" w:rsidRDefault="007C2686" w:rsidP="00F53EF4">
            <w:pPr>
              <w:spacing w:before="240" w:after="240"/>
              <w:ind w:left="0" w:hanging="2"/>
              <w:jc w:val="both"/>
              <w:rPr>
                <w:rFonts w:ascii="Arial" w:eastAsia="Arial" w:hAnsi="Arial" w:cs="Arial"/>
                <w:sz w:val="20"/>
                <w:szCs w:val="20"/>
              </w:rPr>
            </w:pPr>
            <w:r>
              <w:rPr>
                <w:rFonts w:ascii="Arial" w:eastAsia="Arial" w:hAnsi="Arial" w:cs="Arial"/>
                <w:sz w:val="18"/>
                <w:szCs w:val="18"/>
              </w:rPr>
              <w:t>En los pacientes con CP diseminado, el lugar predominante de la enfermedad metastásica es el hueso. Las metástasis óseas son un evento frecuente (su frecuencia se estima entre el 65-85% en función de las series) y con repercusión clínica notable al generar síntomas como dolor, debilidad o deterioro funcional que impactan de manera notable en la calidad de vida (1-3).</w:t>
            </w:r>
          </w:p>
        </w:tc>
      </w:tr>
      <w:tr w:rsidR="002C4AF7">
        <w:tc>
          <w:tcPr>
            <w:tcW w:w="3403" w:type="dxa"/>
            <w:shd w:val="clear" w:color="auto" w:fill="E6E6E6"/>
          </w:tcPr>
          <w:p w:rsidR="002C4AF7" w:rsidRDefault="007C2686">
            <w:pPr>
              <w:ind w:left="0" w:hanging="2"/>
              <w:rPr>
                <w:rFonts w:ascii="Arial" w:eastAsia="Arial" w:hAnsi="Arial" w:cs="Arial"/>
                <w:sz w:val="16"/>
                <w:szCs w:val="16"/>
              </w:rPr>
            </w:pPr>
            <w:r>
              <w:rPr>
                <w:rFonts w:ascii="Arial" w:eastAsia="Arial" w:hAnsi="Arial" w:cs="Arial"/>
                <w:sz w:val="16"/>
                <w:szCs w:val="16"/>
              </w:rPr>
              <w:t>Incidencia y prevalencia</w:t>
            </w:r>
          </w:p>
        </w:tc>
        <w:tc>
          <w:tcPr>
            <w:tcW w:w="5528" w:type="dxa"/>
          </w:tcPr>
          <w:p w:rsidR="002C4AF7" w:rsidRDefault="007C2686" w:rsidP="00F53EF4">
            <w:pPr>
              <w:spacing w:before="240" w:after="240"/>
              <w:ind w:left="0" w:hanging="2"/>
              <w:jc w:val="both"/>
              <w:rPr>
                <w:rFonts w:ascii="Arial" w:eastAsia="Arial" w:hAnsi="Arial" w:cs="Arial"/>
                <w:sz w:val="18"/>
                <w:szCs w:val="18"/>
              </w:rPr>
            </w:pPr>
            <w:r>
              <w:rPr>
                <w:rFonts w:ascii="Arial" w:eastAsia="Arial" w:hAnsi="Arial" w:cs="Arial"/>
                <w:sz w:val="18"/>
                <w:szCs w:val="18"/>
              </w:rPr>
              <w:t>En Europa el CP es la segunda causa de muerte por cáncer en los hombres. En España, la estimación del número de nuevos casos de CP para el año 2020 es de 35.126 casos. En 2018, fallecieron 5.841 varones por CP, lo que supone una reducción del 1,6% respecto al año anterior (3).</w:t>
            </w:r>
          </w:p>
        </w:tc>
      </w:tr>
      <w:tr w:rsidR="002C4AF7">
        <w:tc>
          <w:tcPr>
            <w:tcW w:w="3403" w:type="dxa"/>
            <w:shd w:val="clear" w:color="auto" w:fill="E6E6E6"/>
          </w:tcPr>
          <w:p w:rsidR="002C4AF7" w:rsidRDefault="007C2686">
            <w:pPr>
              <w:ind w:left="0" w:hanging="2"/>
              <w:rPr>
                <w:rFonts w:ascii="Arial" w:eastAsia="Arial" w:hAnsi="Arial" w:cs="Arial"/>
                <w:sz w:val="16"/>
                <w:szCs w:val="16"/>
              </w:rPr>
            </w:pPr>
            <w:r>
              <w:rPr>
                <w:rFonts w:ascii="Arial" w:eastAsia="Arial" w:hAnsi="Arial" w:cs="Arial"/>
                <w:sz w:val="16"/>
                <w:szCs w:val="16"/>
              </w:rPr>
              <w:t>Evolución / Pronóstico</w:t>
            </w:r>
          </w:p>
        </w:tc>
        <w:tc>
          <w:tcPr>
            <w:tcW w:w="5528" w:type="dxa"/>
          </w:tcPr>
          <w:p w:rsidR="002C4AF7" w:rsidRDefault="007C2686" w:rsidP="00F53EF4">
            <w:pPr>
              <w:spacing w:before="240" w:after="240"/>
              <w:ind w:left="0" w:hanging="2"/>
              <w:jc w:val="both"/>
              <w:rPr>
                <w:rFonts w:ascii="Arial" w:eastAsia="Arial" w:hAnsi="Arial" w:cs="Arial"/>
                <w:sz w:val="20"/>
                <w:szCs w:val="20"/>
              </w:rPr>
            </w:pPr>
            <w:r>
              <w:rPr>
                <w:rFonts w:ascii="Arial" w:eastAsia="Arial" w:hAnsi="Arial" w:cs="Arial"/>
                <w:sz w:val="18"/>
                <w:szCs w:val="18"/>
              </w:rPr>
              <w:t>La mediana de supervivencia para los pacientes con cáncer de próstata hormonosensible metastásico (CPHSm) es variable y oscila entre 13 meses y 75 meses y depende de la presencia de características pronósticas de alto riesgo, como alto antígeno prostático especifico (PSA) en el momento del diagnóstico, alta puntuación de la escala de Gleason, aumento del volumen de enfermedad metastásica, presencia de síntomas óseos o presencia de metástasis viscerales (3).</w:t>
            </w:r>
          </w:p>
        </w:tc>
      </w:tr>
      <w:tr w:rsidR="002C4AF7">
        <w:tc>
          <w:tcPr>
            <w:tcW w:w="3403" w:type="dxa"/>
            <w:shd w:val="clear" w:color="auto" w:fill="E6E6E6"/>
          </w:tcPr>
          <w:p w:rsidR="002C4AF7" w:rsidRDefault="007C2686">
            <w:pPr>
              <w:ind w:left="0" w:hanging="2"/>
              <w:rPr>
                <w:rFonts w:ascii="Arial" w:eastAsia="Arial" w:hAnsi="Arial" w:cs="Arial"/>
                <w:sz w:val="16"/>
                <w:szCs w:val="16"/>
              </w:rPr>
            </w:pPr>
            <w:r>
              <w:rPr>
                <w:rFonts w:ascii="Arial" w:eastAsia="Arial" w:hAnsi="Arial" w:cs="Arial"/>
                <w:sz w:val="16"/>
                <w:szCs w:val="16"/>
              </w:rPr>
              <w:t>Grados de gravedad / Estadiaje</w:t>
            </w:r>
          </w:p>
        </w:tc>
        <w:tc>
          <w:tcPr>
            <w:tcW w:w="5528" w:type="dxa"/>
          </w:tcPr>
          <w:p w:rsidR="002C4AF7" w:rsidRDefault="007C2686" w:rsidP="00F53EF4">
            <w:pPr>
              <w:shd w:val="clear" w:color="auto" w:fill="FFFFFF"/>
              <w:spacing w:before="240" w:after="240"/>
              <w:ind w:left="0" w:hanging="2"/>
              <w:jc w:val="both"/>
              <w:rPr>
                <w:rFonts w:ascii="Arial" w:eastAsia="Arial" w:hAnsi="Arial" w:cs="Arial"/>
                <w:sz w:val="18"/>
                <w:szCs w:val="18"/>
              </w:rPr>
            </w:pPr>
            <w:r>
              <w:rPr>
                <w:rFonts w:ascii="Arial" w:eastAsia="Arial" w:hAnsi="Arial" w:cs="Arial"/>
                <w:sz w:val="18"/>
                <w:szCs w:val="18"/>
              </w:rPr>
              <w:t>Estadios I y II: tumor local. Estadio III: localmente avanzado. Estadio IV: metastásico.</w:t>
            </w:r>
          </w:p>
        </w:tc>
      </w:tr>
      <w:tr w:rsidR="002C4AF7">
        <w:tc>
          <w:tcPr>
            <w:tcW w:w="3403" w:type="dxa"/>
            <w:shd w:val="clear" w:color="auto" w:fill="E6E6E6"/>
          </w:tcPr>
          <w:p w:rsidR="002C4AF7" w:rsidRDefault="007C2686">
            <w:pPr>
              <w:ind w:left="0" w:hanging="2"/>
              <w:rPr>
                <w:rFonts w:ascii="Arial" w:eastAsia="Arial" w:hAnsi="Arial" w:cs="Arial"/>
                <w:sz w:val="16"/>
                <w:szCs w:val="16"/>
              </w:rPr>
            </w:pPr>
            <w:r>
              <w:rPr>
                <w:rFonts w:ascii="Arial" w:eastAsia="Arial" w:hAnsi="Arial" w:cs="Arial"/>
                <w:sz w:val="16"/>
                <w:szCs w:val="16"/>
              </w:rPr>
              <w:t>Carga de la enfermedad</w:t>
            </w:r>
          </w:p>
        </w:tc>
        <w:tc>
          <w:tcPr>
            <w:tcW w:w="5528" w:type="dxa"/>
          </w:tcPr>
          <w:p w:rsidR="002C4AF7" w:rsidRDefault="007C2686" w:rsidP="00F53EF4">
            <w:pPr>
              <w:spacing w:before="240" w:after="240"/>
              <w:ind w:left="0" w:hanging="2"/>
              <w:jc w:val="both"/>
              <w:rPr>
                <w:rFonts w:ascii="Arial" w:eastAsia="Arial" w:hAnsi="Arial" w:cs="Arial"/>
                <w:sz w:val="20"/>
                <w:szCs w:val="20"/>
              </w:rPr>
            </w:pPr>
            <w:r>
              <w:rPr>
                <w:rFonts w:ascii="Arial" w:eastAsia="Arial" w:hAnsi="Arial" w:cs="Arial"/>
                <w:sz w:val="18"/>
                <w:szCs w:val="18"/>
              </w:rPr>
              <w:t xml:space="preserve">Los aspectos físicos, y las posibles secuelas, influyen en la calidad de vida y en la manera en la que la persona va a afrontar la enfermedad y la supervivencia. De hecho, existen numerosos estudios que muestran que el diagnóstico de cáncer de próstata produce importantes problemas psicosociales. Al igual que en el resto de pacientes con cáncer, las intervenciones psicológicas </w:t>
            </w:r>
            <w:r>
              <w:rPr>
                <w:rFonts w:ascii="Arial" w:eastAsia="Arial" w:hAnsi="Arial" w:cs="Arial"/>
                <w:sz w:val="18"/>
                <w:szCs w:val="18"/>
              </w:rPr>
              <w:lastRenderedPageBreak/>
              <w:t>constituyen una parte esencial de los cuidados de estos pacientes (1-4).</w:t>
            </w:r>
          </w:p>
        </w:tc>
      </w:tr>
    </w:tbl>
    <w:p w:rsidR="002C4AF7" w:rsidRDefault="002C4AF7">
      <w:pPr>
        <w:ind w:left="0" w:hanging="2"/>
        <w:jc w:val="both"/>
        <w:rPr>
          <w:rFonts w:ascii="Arial" w:eastAsia="Arial" w:hAnsi="Arial" w:cs="Arial"/>
          <w:sz w:val="20"/>
          <w:szCs w:val="20"/>
        </w:rPr>
      </w:pPr>
    </w:p>
    <w:p w:rsidR="002C4AF7" w:rsidRDefault="002C4AF7">
      <w:pPr>
        <w:ind w:left="0" w:hanging="2"/>
        <w:jc w:val="both"/>
        <w:rPr>
          <w:rFonts w:ascii="Arial" w:eastAsia="Arial" w:hAnsi="Arial" w:cs="Arial"/>
          <w:sz w:val="20"/>
          <w:szCs w:val="20"/>
        </w:rPr>
      </w:pPr>
      <w:bookmarkStart w:id="7" w:name="_heading=h.1t3h5sf" w:colFirst="0" w:colLast="0"/>
      <w:bookmarkEnd w:id="7"/>
    </w:p>
    <w:p w:rsidR="002C4AF7" w:rsidRDefault="002C4AF7">
      <w:pPr>
        <w:ind w:left="0" w:hanging="2"/>
        <w:jc w:val="both"/>
        <w:rPr>
          <w:rFonts w:ascii="Arial" w:eastAsia="Arial" w:hAnsi="Arial" w:cs="Arial"/>
          <w:color w:val="FF0000"/>
          <w:sz w:val="20"/>
          <w:szCs w:val="20"/>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sz w:val="18"/>
          <w:szCs w:val="18"/>
        </w:rPr>
      </w:pPr>
      <w:r>
        <w:rPr>
          <w:rFonts w:ascii="Cambria" w:eastAsia="Cambria" w:hAnsi="Cambria" w:cs="Cambria"/>
          <w:b/>
          <w:i/>
          <w:color w:val="000000"/>
          <w:sz w:val="20"/>
          <w:szCs w:val="20"/>
        </w:rPr>
        <w:t xml:space="preserve">3.2.b Tratamiento actual de la enfermedad: evidencias </w:t>
      </w:r>
    </w:p>
    <w:p w:rsidR="002C4AF7" w:rsidRPr="00CE4D74" w:rsidRDefault="007C2686">
      <w:pPr>
        <w:shd w:val="clear" w:color="auto" w:fill="FFFFFF"/>
        <w:spacing w:before="240" w:after="240"/>
        <w:ind w:left="0" w:hanging="2"/>
        <w:jc w:val="both"/>
        <w:rPr>
          <w:rFonts w:ascii="Arial" w:eastAsia="Arial" w:hAnsi="Arial" w:cs="Arial"/>
          <w:sz w:val="20"/>
          <w:szCs w:val="20"/>
        </w:rPr>
      </w:pPr>
      <w:r w:rsidRPr="00CE4D74">
        <w:rPr>
          <w:rFonts w:ascii="Arial" w:eastAsia="Arial" w:hAnsi="Arial" w:cs="Arial"/>
          <w:sz w:val="20"/>
          <w:szCs w:val="20"/>
        </w:rPr>
        <w:t>El tratamiento establecido para el CP avanzado pivota en torno a la supresión del eje andrógeno-receptor (anulación de la producción de testosterona mediante la castración farmacológica o quirúrgica). La castración tiene una alta eficacia en el control de la enfermedad diseminada que se estima en un 80%; sin embargo, la duración del beneficio es limitada en el tiempo con una mediana de progresión de 18-24 meses. En esta fase, una pequeña proporción de pacientes pueden responder a una segunda línea de tratamiento hormonal.</w:t>
      </w:r>
    </w:p>
    <w:p w:rsidR="002C4AF7" w:rsidRPr="00CE4D74" w:rsidRDefault="007C2686">
      <w:pPr>
        <w:shd w:val="clear" w:color="auto" w:fill="FFFFFF"/>
        <w:spacing w:before="240" w:after="240"/>
        <w:ind w:left="0" w:hanging="2"/>
        <w:jc w:val="both"/>
        <w:rPr>
          <w:rFonts w:ascii="Arial" w:eastAsia="Arial" w:hAnsi="Arial" w:cs="Arial"/>
          <w:sz w:val="20"/>
          <w:szCs w:val="20"/>
        </w:rPr>
      </w:pPr>
      <w:r w:rsidRPr="00CE4D74">
        <w:rPr>
          <w:rFonts w:ascii="Arial" w:eastAsia="Arial" w:hAnsi="Arial" w:cs="Arial"/>
          <w:sz w:val="20"/>
          <w:szCs w:val="20"/>
        </w:rPr>
        <w:t>La terapia de privación de andrógenos (TPA) se define como la castración quirúrgica por orquiectomía bilateral o castración médica con agonistas o antagonistas de la hormona liberadora de gonadotropina (GnRH), su objetivo es reducir la concentración de testosterona, con lo que se obtiene una mediana de supervivencia global (SG) de 3-4 años.</w:t>
      </w:r>
    </w:p>
    <w:p w:rsidR="002C4AF7" w:rsidRPr="00CE4D74" w:rsidRDefault="007C2686">
      <w:pPr>
        <w:shd w:val="clear" w:color="auto" w:fill="FFFFFF"/>
        <w:spacing w:before="240" w:after="240"/>
        <w:ind w:left="0" w:hanging="2"/>
        <w:jc w:val="both"/>
        <w:rPr>
          <w:rFonts w:ascii="Arial" w:eastAsia="Arial" w:hAnsi="Arial" w:cs="Arial"/>
          <w:sz w:val="20"/>
          <w:szCs w:val="20"/>
        </w:rPr>
      </w:pPr>
      <w:r w:rsidRPr="00CE4D74">
        <w:rPr>
          <w:rFonts w:ascii="Arial" w:eastAsia="Arial" w:hAnsi="Arial" w:cs="Arial"/>
          <w:sz w:val="20"/>
          <w:szCs w:val="20"/>
        </w:rPr>
        <w:t>Con respecto al tratamiento farmacológico, la terapia hormonal basada en la privación androgénica ha sido desde hace décadas la primera línea de tratamiento en el CP avanzado. Los fármacos más usados son los agonistas de la hormona liberadora de la hormona luteinizante (LHRH) (leuprorelina, goserelina y triptorelina) y los antiandrógenos de primera generación (bicalutamida, flutamida, acetato de ciproterona).</w:t>
      </w:r>
    </w:p>
    <w:p w:rsidR="002C4AF7" w:rsidRPr="00CE4D74" w:rsidRDefault="007C2686">
      <w:pPr>
        <w:shd w:val="clear" w:color="auto" w:fill="FFFFFF"/>
        <w:spacing w:before="240" w:after="240"/>
        <w:ind w:left="0" w:hanging="2"/>
        <w:jc w:val="both"/>
        <w:rPr>
          <w:rFonts w:ascii="Arial" w:eastAsia="Arial" w:hAnsi="Arial" w:cs="Arial"/>
          <w:color w:val="202124"/>
          <w:sz w:val="20"/>
          <w:szCs w:val="20"/>
        </w:rPr>
      </w:pPr>
      <w:r w:rsidRPr="00CE4D74">
        <w:rPr>
          <w:rFonts w:ascii="Arial" w:eastAsia="Arial" w:hAnsi="Arial" w:cs="Arial"/>
          <w:color w:val="202124"/>
          <w:sz w:val="20"/>
          <w:szCs w:val="20"/>
        </w:rPr>
        <w:t xml:space="preserve">La fase hormonosensible se caracteriza porque hay respuesta tumoral a la privación androgénica (2). En esta situación el cáncer está siendo controlado al mantenerse los niveles de testosterona bajos. Por lo tanto, si los pacientes responden a la castración quirúrgica o médica, el tumor se denomina cáncer de próstata metastásico hormonosensible o sensible a la castración (CPHSm). Esta etapa de la enfermedad precede al desarrollo del cáncer de próstata metastásico resistente a la castración, que se caracteriza por un mal pronóstico y una alta letalidad. En este estadio el tumor continúa creciendo a pesar de los niveles bajos de testosterona. </w:t>
      </w:r>
    </w:p>
    <w:p w:rsidR="002C4AF7" w:rsidRPr="00CE4D74" w:rsidRDefault="007C2686">
      <w:pPr>
        <w:shd w:val="clear" w:color="auto" w:fill="FFFFFF"/>
        <w:spacing w:before="240" w:after="240"/>
        <w:ind w:left="0" w:hanging="2"/>
        <w:jc w:val="both"/>
        <w:rPr>
          <w:rFonts w:ascii="Arial" w:eastAsia="Arial" w:hAnsi="Arial" w:cs="Arial"/>
          <w:sz w:val="20"/>
          <w:szCs w:val="20"/>
        </w:rPr>
      </w:pPr>
      <w:r w:rsidRPr="00CE4D74">
        <w:rPr>
          <w:rFonts w:ascii="Arial" w:eastAsia="Arial" w:hAnsi="Arial" w:cs="Arial"/>
          <w:sz w:val="20"/>
          <w:szCs w:val="20"/>
        </w:rPr>
        <w:t>En la actualidad las opciones de tratamiento del CPHSm van más allá de la TPA sola. Dos estudios, STAMPEDE (brazo C) (5) y CHAARTED (6), proporcionan evidencia de un aumento en supervivencia con la combinación de un ciclo corto de quimioterapia con docetaxel y TPA en pacientes con CPHSm en comparación con el tratamiento con TPA solo. Docetaxel ha sido aprobado recientemente en combinación con TPA, con o sin prednisona o prednisolona, para el tratamiento de pacientes con CPHSm. Además, los estudios STAMPEDE (brazo G) y LATITUDE (7) mostraron que la adición de acetato de abiraterona y prednisona a bajas dosis a la TPA fue efectiva para prolongar la supervivencia global frente a la monoterapia con TPA en pacientes con CPHSm de nuevo diagnóstico de alto riesgo. Y más recientemente apalutamida ha sido autorizada en Europa en combinación con TPA según los resultados del estudio TITAN (8).</w:t>
      </w:r>
    </w:p>
    <w:p w:rsidR="002C4AF7" w:rsidRPr="00CE4D74" w:rsidRDefault="007C2686">
      <w:pPr>
        <w:shd w:val="clear" w:color="auto" w:fill="FFFFFF"/>
        <w:spacing w:before="240" w:after="240"/>
        <w:ind w:left="0" w:hanging="2"/>
        <w:jc w:val="both"/>
        <w:rPr>
          <w:rFonts w:ascii="Arial" w:eastAsia="Arial" w:hAnsi="Arial" w:cs="Arial"/>
          <w:sz w:val="20"/>
          <w:szCs w:val="20"/>
        </w:rPr>
      </w:pPr>
      <w:r w:rsidRPr="00CE4D74">
        <w:rPr>
          <w:rFonts w:ascii="Arial" w:eastAsia="Arial" w:hAnsi="Arial" w:cs="Arial"/>
          <w:sz w:val="20"/>
          <w:szCs w:val="20"/>
        </w:rPr>
        <w:t xml:space="preserve">En este contexto, en septiembre de 2021 se aprobó en España el uso de enzalutamida para el tratamiento de hombres adultos con CPHSm en combinación con terapia de deprivación de andrógenos. </w:t>
      </w:r>
    </w:p>
    <w:p w:rsidR="002C4AF7" w:rsidRDefault="002C4AF7">
      <w:pPr>
        <w:shd w:val="clear" w:color="auto" w:fill="FFFFFF"/>
        <w:spacing w:before="240" w:after="240"/>
        <w:ind w:left="0" w:hanging="2"/>
        <w:jc w:val="both"/>
        <w:rPr>
          <w:rFonts w:ascii="Arial" w:eastAsia="Arial" w:hAnsi="Arial" w:cs="Arial"/>
          <w:sz w:val="18"/>
          <w:szCs w:val="18"/>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r>
        <w:rPr>
          <w:rFonts w:ascii="Cambria" w:eastAsia="Cambria" w:hAnsi="Cambria" w:cs="Cambria"/>
          <w:b/>
          <w:i/>
          <w:color w:val="000000"/>
          <w:sz w:val="20"/>
          <w:szCs w:val="20"/>
        </w:rPr>
        <w:t xml:space="preserve">3.3 Características comparadas con otras alternativas similares </w:t>
      </w:r>
    </w:p>
    <w:p w:rsidR="002C4AF7" w:rsidRDefault="002C4AF7">
      <w:pPr>
        <w:ind w:left="0" w:hanging="2"/>
      </w:pPr>
    </w:p>
    <w:p w:rsidR="002C4AF7" w:rsidRDefault="007C2686">
      <w:pPr>
        <w:ind w:left="0" w:hanging="2"/>
        <w:rPr>
          <w:rFonts w:ascii="Arial" w:eastAsia="Arial" w:hAnsi="Arial" w:cs="Arial"/>
          <w:sz w:val="20"/>
          <w:szCs w:val="20"/>
        </w:rPr>
      </w:pPr>
      <w:r>
        <w:rPr>
          <w:rFonts w:ascii="Arial" w:eastAsia="Arial" w:hAnsi="Arial" w:cs="Arial"/>
          <w:sz w:val="20"/>
          <w:szCs w:val="20"/>
        </w:rPr>
        <w:t xml:space="preserve">Alternativas disponibles en el Hospital para la misma indicación. </w:t>
      </w:r>
    </w:p>
    <w:p w:rsidR="002C4AF7" w:rsidRDefault="002C4AF7">
      <w:pPr>
        <w:tabs>
          <w:tab w:val="center" w:pos="4252"/>
          <w:tab w:val="right" w:pos="8504"/>
        </w:tabs>
        <w:spacing w:line="240" w:lineRule="auto"/>
        <w:ind w:left="0" w:hanging="2"/>
        <w:rPr>
          <w:rFonts w:ascii="Arial" w:eastAsia="Arial" w:hAnsi="Arial" w:cs="Arial"/>
          <w:color w:val="000000"/>
        </w:rPr>
      </w:pPr>
    </w:p>
    <w:tbl>
      <w:tblPr>
        <w:tblStyle w:val="afff0"/>
        <w:tblW w:w="889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5"/>
        <w:gridCol w:w="1689"/>
        <w:gridCol w:w="1696"/>
        <w:gridCol w:w="1875"/>
        <w:gridCol w:w="1905"/>
      </w:tblGrid>
      <w:tr w:rsidR="002C4AF7">
        <w:trPr>
          <w:trHeight w:val="180"/>
        </w:trPr>
        <w:tc>
          <w:tcPr>
            <w:tcW w:w="8890" w:type="dxa"/>
            <w:gridSpan w:val="5"/>
            <w:shd w:val="clear" w:color="auto" w:fill="CCFFCC"/>
          </w:tcPr>
          <w:p w:rsidR="002C4AF7" w:rsidRDefault="007C2686">
            <w:pPr>
              <w:tabs>
                <w:tab w:val="center" w:pos="4252"/>
                <w:tab w:val="right" w:pos="8504"/>
              </w:tabs>
              <w:spacing w:line="240" w:lineRule="auto"/>
              <w:ind w:left="0" w:hanging="2"/>
              <w:rPr>
                <w:rFonts w:ascii="Arial" w:eastAsia="Arial" w:hAnsi="Arial" w:cs="Arial"/>
                <w:color w:val="000000"/>
                <w:sz w:val="18"/>
                <w:szCs w:val="18"/>
              </w:rPr>
            </w:pPr>
            <w:r>
              <w:rPr>
                <w:rFonts w:ascii="Arial" w:eastAsia="Arial" w:hAnsi="Arial" w:cs="Arial"/>
                <w:b/>
                <w:color w:val="000000"/>
                <w:sz w:val="18"/>
                <w:szCs w:val="18"/>
              </w:rPr>
              <w:t>Características diferenciales comparadas con otras alternativas similares</w:t>
            </w:r>
          </w:p>
        </w:tc>
      </w:tr>
      <w:tr w:rsidR="002C4AF7">
        <w:tc>
          <w:tcPr>
            <w:tcW w:w="1725" w:type="dxa"/>
          </w:tcPr>
          <w:p w:rsidR="002C4AF7" w:rsidRDefault="007C2686">
            <w:pPr>
              <w:tabs>
                <w:tab w:val="center" w:pos="4252"/>
                <w:tab w:val="right" w:pos="8504"/>
              </w:tabs>
              <w:spacing w:line="240" w:lineRule="auto"/>
              <w:ind w:left="0" w:hanging="2"/>
              <w:rPr>
                <w:rFonts w:ascii="Arial" w:eastAsia="Arial" w:hAnsi="Arial" w:cs="Arial"/>
                <w:color w:val="000000"/>
                <w:sz w:val="18"/>
                <w:szCs w:val="18"/>
              </w:rPr>
            </w:pPr>
            <w:r>
              <w:rPr>
                <w:rFonts w:ascii="Arial" w:eastAsia="Arial" w:hAnsi="Arial" w:cs="Arial"/>
                <w:b/>
                <w:color w:val="000000"/>
                <w:sz w:val="18"/>
                <w:szCs w:val="18"/>
              </w:rPr>
              <w:t>Nombre</w:t>
            </w:r>
          </w:p>
        </w:tc>
        <w:tc>
          <w:tcPr>
            <w:tcW w:w="1689" w:type="dxa"/>
          </w:tcPr>
          <w:p w:rsidR="002C4AF7" w:rsidRDefault="007C2686">
            <w:pPr>
              <w:tabs>
                <w:tab w:val="center" w:pos="4252"/>
                <w:tab w:val="right" w:pos="8504"/>
              </w:tabs>
              <w:spacing w:line="240" w:lineRule="auto"/>
              <w:ind w:left="0" w:hanging="2"/>
              <w:rPr>
                <w:rFonts w:ascii="Arial" w:eastAsia="Arial" w:hAnsi="Arial" w:cs="Arial"/>
                <w:color w:val="000000"/>
                <w:sz w:val="18"/>
                <w:szCs w:val="18"/>
              </w:rPr>
            </w:pPr>
            <w:r>
              <w:rPr>
                <w:rFonts w:ascii="Arial" w:eastAsia="Arial" w:hAnsi="Arial" w:cs="Arial"/>
                <w:b/>
                <w:sz w:val="18"/>
                <w:szCs w:val="18"/>
              </w:rPr>
              <w:t>ENZALUTAMIDA</w:t>
            </w:r>
          </w:p>
        </w:tc>
        <w:tc>
          <w:tcPr>
            <w:tcW w:w="1696" w:type="dxa"/>
          </w:tcPr>
          <w:p w:rsidR="002C4AF7" w:rsidRDefault="007C2686">
            <w:pPr>
              <w:tabs>
                <w:tab w:val="center" w:pos="4252"/>
                <w:tab w:val="right" w:pos="8504"/>
              </w:tabs>
              <w:spacing w:line="240" w:lineRule="auto"/>
              <w:ind w:left="0" w:hanging="2"/>
              <w:rPr>
                <w:rFonts w:ascii="Arial" w:eastAsia="Arial" w:hAnsi="Arial" w:cs="Arial"/>
                <w:color w:val="000000"/>
                <w:sz w:val="18"/>
                <w:szCs w:val="18"/>
              </w:rPr>
            </w:pPr>
            <w:r>
              <w:rPr>
                <w:rFonts w:ascii="Arial" w:eastAsia="Arial" w:hAnsi="Arial" w:cs="Arial"/>
                <w:b/>
                <w:sz w:val="18"/>
                <w:szCs w:val="18"/>
              </w:rPr>
              <w:t>APALUTAMIDA</w:t>
            </w:r>
          </w:p>
        </w:tc>
        <w:tc>
          <w:tcPr>
            <w:tcW w:w="1875" w:type="dxa"/>
          </w:tcPr>
          <w:p w:rsidR="002C4AF7" w:rsidRDefault="007C2686">
            <w:pPr>
              <w:tabs>
                <w:tab w:val="center" w:pos="4252"/>
                <w:tab w:val="right" w:pos="8504"/>
              </w:tabs>
              <w:spacing w:line="240" w:lineRule="auto"/>
              <w:ind w:left="0" w:hanging="2"/>
              <w:rPr>
                <w:rFonts w:ascii="Arial" w:eastAsia="Arial" w:hAnsi="Arial" w:cs="Arial"/>
                <w:color w:val="000000"/>
                <w:sz w:val="18"/>
                <w:szCs w:val="18"/>
                <w:highlight w:val="green"/>
              </w:rPr>
            </w:pPr>
            <w:r>
              <w:rPr>
                <w:rFonts w:ascii="Arial" w:eastAsia="Arial" w:hAnsi="Arial" w:cs="Arial"/>
                <w:b/>
                <w:sz w:val="18"/>
                <w:szCs w:val="18"/>
              </w:rPr>
              <w:t xml:space="preserve">ABIRATERONA </w:t>
            </w:r>
          </w:p>
        </w:tc>
        <w:tc>
          <w:tcPr>
            <w:tcW w:w="1905" w:type="dxa"/>
          </w:tcPr>
          <w:p w:rsidR="002C4AF7" w:rsidRDefault="007C2686">
            <w:pPr>
              <w:tabs>
                <w:tab w:val="center" w:pos="4252"/>
                <w:tab w:val="right" w:pos="8504"/>
              </w:tabs>
              <w:spacing w:line="240" w:lineRule="auto"/>
              <w:ind w:left="0" w:hanging="2"/>
              <w:rPr>
                <w:rFonts w:ascii="Arial" w:eastAsia="Arial" w:hAnsi="Arial" w:cs="Arial"/>
                <w:sz w:val="18"/>
                <w:szCs w:val="18"/>
              </w:rPr>
            </w:pPr>
            <w:r>
              <w:rPr>
                <w:rFonts w:ascii="Arial" w:eastAsia="Arial" w:hAnsi="Arial" w:cs="Arial"/>
                <w:b/>
                <w:sz w:val="18"/>
                <w:szCs w:val="18"/>
              </w:rPr>
              <w:t>DOCETAXEL</w:t>
            </w:r>
          </w:p>
        </w:tc>
      </w:tr>
      <w:tr w:rsidR="002C4AF7">
        <w:tc>
          <w:tcPr>
            <w:tcW w:w="1725" w:type="dxa"/>
          </w:tcPr>
          <w:p w:rsidR="002C4AF7" w:rsidRDefault="007C2686">
            <w:pPr>
              <w:ind w:left="0" w:hanging="2"/>
              <w:rPr>
                <w:rFonts w:ascii="Arial" w:eastAsia="Arial" w:hAnsi="Arial" w:cs="Arial"/>
                <w:sz w:val="18"/>
                <w:szCs w:val="18"/>
              </w:rPr>
            </w:pPr>
            <w:r>
              <w:rPr>
                <w:rFonts w:ascii="Arial" w:eastAsia="Arial" w:hAnsi="Arial" w:cs="Arial"/>
                <w:sz w:val="18"/>
                <w:szCs w:val="18"/>
              </w:rPr>
              <w:lastRenderedPageBreak/>
              <w:t>Presentación</w:t>
            </w:r>
          </w:p>
        </w:tc>
        <w:tc>
          <w:tcPr>
            <w:tcW w:w="1689" w:type="dxa"/>
          </w:tcPr>
          <w:p w:rsidR="002C4AF7" w:rsidRDefault="007C2686">
            <w:pPr>
              <w:ind w:left="0" w:hanging="2"/>
              <w:jc w:val="center"/>
              <w:rPr>
                <w:rFonts w:ascii="Arial" w:eastAsia="Arial" w:hAnsi="Arial" w:cs="Arial"/>
                <w:sz w:val="18"/>
                <w:szCs w:val="18"/>
              </w:rPr>
            </w:pPr>
            <w:r>
              <w:rPr>
                <w:rFonts w:ascii="Arial" w:eastAsia="Arial" w:hAnsi="Arial" w:cs="Arial"/>
                <w:sz w:val="18"/>
                <w:szCs w:val="18"/>
              </w:rPr>
              <w:t>Comprimidos 40 mg</w:t>
            </w:r>
          </w:p>
        </w:tc>
        <w:tc>
          <w:tcPr>
            <w:tcW w:w="1696" w:type="dxa"/>
          </w:tcPr>
          <w:p w:rsidR="002C4AF7" w:rsidRDefault="007C2686">
            <w:pPr>
              <w:ind w:left="0" w:hanging="2"/>
              <w:jc w:val="center"/>
              <w:rPr>
                <w:rFonts w:ascii="Arial" w:eastAsia="Arial" w:hAnsi="Arial" w:cs="Arial"/>
                <w:sz w:val="18"/>
                <w:szCs w:val="18"/>
              </w:rPr>
            </w:pPr>
            <w:r>
              <w:rPr>
                <w:rFonts w:ascii="Arial" w:eastAsia="Arial" w:hAnsi="Arial" w:cs="Arial"/>
                <w:sz w:val="18"/>
                <w:szCs w:val="18"/>
              </w:rPr>
              <w:t>Comprimidos 60 mg</w:t>
            </w:r>
          </w:p>
        </w:tc>
        <w:tc>
          <w:tcPr>
            <w:tcW w:w="1875" w:type="dxa"/>
          </w:tcPr>
          <w:p w:rsidR="002C4AF7" w:rsidRDefault="007C2686">
            <w:pPr>
              <w:ind w:left="0" w:hanging="2"/>
              <w:jc w:val="center"/>
              <w:rPr>
                <w:rFonts w:ascii="Arial" w:eastAsia="Arial" w:hAnsi="Arial" w:cs="Arial"/>
                <w:sz w:val="18"/>
                <w:szCs w:val="18"/>
              </w:rPr>
            </w:pPr>
            <w:r>
              <w:rPr>
                <w:rFonts w:ascii="Arial" w:eastAsia="Arial" w:hAnsi="Arial" w:cs="Arial"/>
                <w:sz w:val="18"/>
                <w:szCs w:val="18"/>
              </w:rPr>
              <w:t>Comprimidos 500 mg</w:t>
            </w:r>
          </w:p>
        </w:tc>
        <w:tc>
          <w:tcPr>
            <w:tcW w:w="1905" w:type="dxa"/>
          </w:tcPr>
          <w:p w:rsidR="002C4AF7" w:rsidRDefault="007C2686">
            <w:pPr>
              <w:ind w:left="0" w:hanging="2"/>
              <w:jc w:val="center"/>
              <w:rPr>
                <w:rFonts w:ascii="Arial" w:eastAsia="Arial" w:hAnsi="Arial" w:cs="Arial"/>
                <w:sz w:val="18"/>
                <w:szCs w:val="18"/>
              </w:rPr>
            </w:pPr>
            <w:r>
              <w:rPr>
                <w:rFonts w:ascii="Arial" w:eastAsia="Arial" w:hAnsi="Arial" w:cs="Arial"/>
                <w:sz w:val="18"/>
                <w:szCs w:val="18"/>
              </w:rPr>
              <w:t>Concentrado para solución para perfusión</w:t>
            </w:r>
          </w:p>
        </w:tc>
      </w:tr>
      <w:tr w:rsidR="002C4AF7">
        <w:tc>
          <w:tcPr>
            <w:tcW w:w="1725" w:type="dxa"/>
          </w:tcPr>
          <w:p w:rsidR="002C4AF7" w:rsidRDefault="007C2686">
            <w:pPr>
              <w:ind w:left="0" w:hanging="2"/>
              <w:rPr>
                <w:rFonts w:ascii="Arial" w:eastAsia="Arial" w:hAnsi="Arial" w:cs="Arial"/>
                <w:sz w:val="18"/>
                <w:szCs w:val="18"/>
              </w:rPr>
            </w:pPr>
            <w:r>
              <w:rPr>
                <w:rFonts w:ascii="Arial" w:eastAsia="Arial" w:hAnsi="Arial" w:cs="Arial"/>
                <w:sz w:val="18"/>
                <w:szCs w:val="18"/>
              </w:rPr>
              <w:t>Posología</w:t>
            </w:r>
          </w:p>
        </w:tc>
        <w:tc>
          <w:tcPr>
            <w:tcW w:w="1689" w:type="dxa"/>
          </w:tcPr>
          <w:p w:rsidR="002C4AF7" w:rsidRDefault="007C2686">
            <w:pPr>
              <w:ind w:left="0" w:hanging="2"/>
              <w:jc w:val="center"/>
              <w:rPr>
                <w:rFonts w:ascii="Arial" w:eastAsia="Arial" w:hAnsi="Arial" w:cs="Arial"/>
                <w:sz w:val="18"/>
                <w:szCs w:val="18"/>
              </w:rPr>
            </w:pPr>
            <w:r>
              <w:rPr>
                <w:rFonts w:ascii="Arial" w:eastAsia="Arial" w:hAnsi="Arial" w:cs="Arial"/>
                <w:sz w:val="18"/>
                <w:szCs w:val="18"/>
              </w:rPr>
              <w:t>160 mg (cuatro comprimidos de 40mg) en una sola dosis diaria</w:t>
            </w:r>
          </w:p>
        </w:tc>
        <w:tc>
          <w:tcPr>
            <w:tcW w:w="1696" w:type="dxa"/>
          </w:tcPr>
          <w:p w:rsidR="002C4AF7" w:rsidRDefault="007C2686">
            <w:pPr>
              <w:ind w:left="0" w:hanging="2"/>
              <w:jc w:val="center"/>
              <w:rPr>
                <w:rFonts w:ascii="Arial" w:eastAsia="Arial" w:hAnsi="Arial" w:cs="Arial"/>
                <w:sz w:val="18"/>
                <w:szCs w:val="18"/>
              </w:rPr>
            </w:pPr>
            <w:r>
              <w:rPr>
                <w:rFonts w:ascii="Arial" w:eastAsia="Arial" w:hAnsi="Arial" w:cs="Arial"/>
                <w:sz w:val="18"/>
                <w:szCs w:val="18"/>
              </w:rPr>
              <w:t xml:space="preserve">240 mg (cuatro comprimidos de 60 mg) en una sola dosis diaria </w:t>
            </w:r>
          </w:p>
        </w:tc>
        <w:tc>
          <w:tcPr>
            <w:tcW w:w="1875" w:type="dxa"/>
          </w:tcPr>
          <w:p w:rsidR="002C4AF7" w:rsidRDefault="007C2686">
            <w:pPr>
              <w:ind w:left="0" w:hanging="2"/>
              <w:jc w:val="center"/>
              <w:rPr>
                <w:rFonts w:ascii="Arial" w:eastAsia="Arial" w:hAnsi="Arial" w:cs="Arial"/>
                <w:sz w:val="18"/>
                <w:szCs w:val="18"/>
              </w:rPr>
            </w:pPr>
            <w:r>
              <w:rPr>
                <w:rFonts w:ascii="Arial" w:eastAsia="Arial" w:hAnsi="Arial" w:cs="Arial"/>
                <w:sz w:val="18"/>
                <w:szCs w:val="18"/>
              </w:rPr>
              <w:t>1 g/24 h</w:t>
            </w:r>
          </w:p>
        </w:tc>
        <w:tc>
          <w:tcPr>
            <w:tcW w:w="1905" w:type="dxa"/>
          </w:tcPr>
          <w:p w:rsidR="002C4AF7" w:rsidRDefault="002C4AF7">
            <w:pPr>
              <w:ind w:left="0" w:hanging="2"/>
              <w:jc w:val="center"/>
              <w:rPr>
                <w:rFonts w:ascii="Arial" w:eastAsia="Arial" w:hAnsi="Arial" w:cs="Arial"/>
                <w:sz w:val="18"/>
                <w:szCs w:val="18"/>
              </w:rPr>
            </w:pPr>
          </w:p>
          <w:tbl>
            <w:tblPr>
              <w:tblStyle w:val="afff1"/>
              <w:tblW w:w="1740" w:type="dxa"/>
              <w:tblInd w:w="0" w:type="dxa"/>
              <w:tblLayout w:type="fixed"/>
              <w:tblLook w:val="0000" w:firstRow="0" w:lastRow="0" w:firstColumn="0" w:lastColumn="0" w:noHBand="0" w:noVBand="0"/>
            </w:tblPr>
            <w:tblGrid>
              <w:gridCol w:w="1740"/>
            </w:tblGrid>
            <w:tr w:rsidR="002C4AF7">
              <w:trPr>
                <w:trHeight w:val="395"/>
              </w:trPr>
              <w:tc>
                <w:tcPr>
                  <w:tcW w:w="1740" w:type="dxa"/>
                  <w:tcMar>
                    <w:top w:w="100" w:type="dxa"/>
                    <w:left w:w="140" w:type="dxa"/>
                    <w:bottom w:w="100" w:type="dxa"/>
                    <w:right w:w="140" w:type="dxa"/>
                  </w:tcMar>
                </w:tcPr>
                <w:p w:rsidR="002C4AF7" w:rsidRDefault="007C2686" w:rsidP="00C14BFD">
                  <w:pPr>
                    <w:spacing w:line="222" w:lineRule="auto"/>
                    <w:ind w:left="0" w:right="140" w:hanging="2"/>
                    <w:rPr>
                      <w:rFonts w:ascii="Arial" w:eastAsia="Arial" w:hAnsi="Arial" w:cs="Arial"/>
                      <w:sz w:val="18"/>
                      <w:szCs w:val="18"/>
                    </w:rPr>
                  </w:pPr>
                  <w:r>
                    <w:rPr>
                      <w:rFonts w:ascii="Arial" w:eastAsia="Arial" w:hAnsi="Arial" w:cs="Arial"/>
                      <w:sz w:val="18"/>
                      <w:szCs w:val="18"/>
                    </w:rPr>
                    <w:t>75 mg/m² cada 21 días</w:t>
                  </w:r>
                </w:p>
              </w:tc>
            </w:tr>
          </w:tbl>
          <w:p w:rsidR="002C4AF7" w:rsidRDefault="002C4AF7">
            <w:pPr>
              <w:ind w:left="0" w:hanging="2"/>
              <w:rPr>
                <w:rFonts w:ascii="Arial" w:eastAsia="Arial" w:hAnsi="Arial" w:cs="Arial"/>
                <w:sz w:val="18"/>
                <w:szCs w:val="18"/>
              </w:rPr>
            </w:pPr>
          </w:p>
        </w:tc>
      </w:tr>
      <w:tr w:rsidR="002C4AF7">
        <w:tc>
          <w:tcPr>
            <w:tcW w:w="1725" w:type="dxa"/>
          </w:tcPr>
          <w:p w:rsidR="002C4AF7" w:rsidRDefault="007C2686">
            <w:pPr>
              <w:ind w:left="0" w:hanging="2"/>
              <w:rPr>
                <w:rFonts w:ascii="Arial" w:eastAsia="Arial" w:hAnsi="Arial" w:cs="Arial"/>
                <w:sz w:val="18"/>
                <w:szCs w:val="18"/>
              </w:rPr>
            </w:pPr>
            <w:r>
              <w:rPr>
                <w:rFonts w:ascii="Arial" w:eastAsia="Arial" w:hAnsi="Arial" w:cs="Arial"/>
                <w:sz w:val="18"/>
                <w:szCs w:val="18"/>
              </w:rPr>
              <w:t>Conveniencia</w:t>
            </w:r>
          </w:p>
        </w:tc>
        <w:tc>
          <w:tcPr>
            <w:tcW w:w="1689" w:type="dxa"/>
          </w:tcPr>
          <w:p w:rsidR="002C4AF7" w:rsidRDefault="007C2686">
            <w:pPr>
              <w:ind w:left="0" w:hanging="2"/>
              <w:jc w:val="center"/>
              <w:rPr>
                <w:rFonts w:ascii="Arial" w:eastAsia="Arial" w:hAnsi="Arial" w:cs="Arial"/>
                <w:sz w:val="18"/>
                <w:szCs w:val="18"/>
              </w:rPr>
            </w:pPr>
            <w:r>
              <w:rPr>
                <w:rFonts w:ascii="Arial" w:eastAsia="Arial" w:hAnsi="Arial" w:cs="Arial"/>
                <w:sz w:val="18"/>
                <w:szCs w:val="18"/>
              </w:rPr>
              <w:t>Vía oral. No requiere administración con corticoides, se pueden tomar con o sin alimentos</w:t>
            </w:r>
          </w:p>
        </w:tc>
        <w:tc>
          <w:tcPr>
            <w:tcW w:w="1696" w:type="dxa"/>
          </w:tcPr>
          <w:p w:rsidR="002C4AF7" w:rsidRDefault="007C2686">
            <w:pPr>
              <w:ind w:left="0" w:hanging="2"/>
              <w:jc w:val="center"/>
              <w:rPr>
                <w:rFonts w:ascii="Arial" w:eastAsia="Arial" w:hAnsi="Arial" w:cs="Arial"/>
                <w:sz w:val="18"/>
                <w:szCs w:val="18"/>
              </w:rPr>
            </w:pPr>
            <w:r>
              <w:rPr>
                <w:rFonts w:ascii="Arial" w:eastAsia="Arial" w:hAnsi="Arial" w:cs="Arial"/>
                <w:sz w:val="18"/>
                <w:szCs w:val="18"/>
              </w:rPr>
              <w:t>Vía oral. No requiere administración con corticoides, se pueden tomar con o sin alimentos</w:t>
            </w:r>
          </w:p>
          <w:p w:rsidR="002C4AF7" w:rsidRDefault="002C4AF7">
            <w:pPr>
              <w:ind w:left="0" w:hanging="2"/>
              <w:rPr>
                <w:rFonts w:ascii="Arial" w:eastAsia="Arial" w:hAnsi="Arial" w:cs="Arial"/>
                <w:sz w:val="18"/>
                <w:szCs w:val="18"/>
              </w:rPr>
            </w:pPr>
          </w:p>
          <w:p w:rsidR="002C4AF7" w:rsidRDefault="002C4AF7">
            <w:pPr>
              <w:ind w:left="0" w:hanging="2"/>
              <w:jc w:val="center"/>
              <w:rPr>
                <w:rFonts w:ascii="Arial" w:eastAsia="Arial" w:hAnsi="Arial" w:cs="Arial"/>
                <w:sz w:val="18"/>
                <w:szCs w:val="18"/>
              </w:rPr>
            </w:pPr>
          </w:p>
        </w:tc>
        <w:tc>
          <w:tcPr>
            <w:tcW w:w="1875" w:type="dxa"/>
          </w:tcPr>
          <w:p w:rsidR="002C4AF7" w:rsidRDefault="007C2686">
            <w:pPr>
              <w:ind w:left="0" w:hanging="2"/>
              <w:jc w:val="center"/>
              <w:rPr>
                <w:rFonts w:ascii="Arial" w:eastAsia="Arial" w:hAnsi="Arial" w:cs="Arial"/>
                <w:sz w:val="18"/>
                <w:szCs w:val="18"/>
              </w:rPr>
            </w:pPr>
            <w:r>
              <w:rPr>
                <w:rFonts w:ascii="Arial" w:eastAsia="Arial" w:hAnsi="Arial" w:cs="Arial"/>
                <w:sz w:val="18"/>
                <w:szCs w:val="18"/>
              </w:rPr>
              <w:t>Vía oral. Requiere administración concomitante de corticoides (prednisona o prednisolona 5mg [CPHSm] o 10mg [CPRCm]), no debe administrarse con alimentos</w:t>
            </w:r>
          </w:p>
        </w:tc>
        <w:tc>
          <w:tcPr>
            <w:tcW w:w="1905" w:type="dxa"/>
          </w:tcPr>
          <w:p w:rsidR="002C4AF7" w:rsidRDefault="007C2686">
            <w:pPr>
              <w:ind w:left="0" w:hanging="2"/>
              <w:jc w:val="center"/>
              <w:rPr>
                <w:rFonts w:ascii="Arial" w:eastAsia="Arial" w:hAnsi="Arial" w:cs="Arial"/>
                <w:sz w:val="18"/>
                <w:szCs w:val="18"/>
              </w:rPr>
            </w:pPr>
            <w:r>
              <w:rPr>
                <w:rFonts w:ascii="Arial" w:eastAsia="Arial" w:hAnsi="Arial" w:cs="Arial"/>
                <w:sz w:val="18"/>
                <w:szCs w:val="18"/>
              </w:rPr>
              <w:t xml:space="preserve">Administración intravenosa en unidades especializadas en la administración de quimioterapia citotóxica </w:t>
            </w:r>
          </w:p>
        </w:tc>
      </w:tr>
      <w:tr w:rsidR="002C4AF7">
        <w:tc>
          <w:tcPr>
            <w:tcW w:w="1725" w:type="dxa"/>
          </w:tcPr>
          <w:p w:rsidR="002C4AF7" w:rsidRDefault="007C2686">
            <w:pPr>
              <w:ind w:left="0" w:hanging="2"/>
              <w:rPr>
                <w:rFonts w:ascii="Arial" w:eastAsia="Arial" w:hAnsi="Arial" w:cs="Arial"/>
                <w:sz w:val="18"/>
                <w:szCs w:val="18"/>
              </w:rPr>
            </w:pPr>
            <w:r>
              <w:rPr>
                <w:rFonts w:ascii="Arial" w:eastAsia="Arial" w:hAnsi="Arial" w:cs="Arial"/>
                <w:sz w:val="18"/>
                <w:szCs w:val="18"/>
              </w:rPr>
              <w:t>Indicación aprobada en FT</w:t>
            </w:r>
          </w:p>
        </w:tc>
        <w:tc>
          <w:tcPr>
            <w:tcW w:w="1689" w:type="dxa"/>
          </w:tcPr>
          <w:p w:rsidR="002C4AF7" w:rsidRDefault="007C2686">
            <w:pPr>
              <w:spacing w:before="240" w:after="240"/>
              <w:ind w:left="0" w:hanging="2"/>
              <w:rPr>
                <w:rFonts w:ascii="Arial" w:eastAsia="Arial" w:hAnsi="Arial" w:cs="Arial"/>
                <w:sz w:val="18"/>
                <w:szCs w:val="18"/>
              </w:rPr>
            </w:pPr>
            <w:r>
              <w:rPr>
                <w:rFonts w:ascii="Arial" w:eastAsia="Arial" w:hAnsi="Arial" w:cs="Arial"/>
                <w:b/>
                <w:sz w:val="18"/>
                <w:szCs w:val="18"/>
              </w:rPr>
              <w:t>1. Tratamiento de hombres adultos con cáncer de próstata hormonosensible metastásico (CPHSm) en combinación con la terapia de deprivación de andrógenos.</w:t>
            </w:r>
          </w:p>
          <w:p w:rsidR="002C4AF7" w:rsidRDefault="007C2686">
            <w:pPr>
              <w:spacing w:before="240" w:after="240"/>
              <w:ind w:left="0" w:hanging="2"/>
              <w:rPr>
                <w:rFonts w:ascii="Arial" w:eastAsia="Arial" w:hAnsi="Arial" w:cs="Arial"/>
                <w:sz w:val="18"/>
                <w:szCs w:val="18"/>
              </w:rPr>
            </w:pPr>
            <w:r>
              <w:rPr>
                <w:rFonts w:ascii="Arial" w:eastAsia="Arial" w:hAnsi="Arial" w:cs="Arial"/>
                <w:sz w:val="18"/>
                <w:szCs w:val="18"/>
              </w:rPr>
              <w:t>2. Tratamiento de hombres adultos con cáncer de próstata resistente a la castración (CPRC) no metastásico de alto riesgo..</w:t>
            </w:r>
          </w:p>
          <w:p w:rsidR="002C4AF7" w:rsidRDefault="007C2686">
            <w:pPr>
              <w:spacing w:before="240" w:after="240"/>
              <w:ind w:left="0" w:hanging="2"/>
              <w:rPr>
                <w:rFonts w:ascii="Arial" w:eastAsia="Arial" w:hAnsi="Arial" w:cs="Arial"/>
                <w:sz w:val="18"/>
                <w:szCs w:val="18"/>
              </w:rPr>
            </w:pPr>
            <w:r>
              <w:rPr>
                <w:rFonts w:ascii="Arial" w:eastAsia="Arial" w:hAnsi="Arial" w:cs="Arial"/>
                <w:sz w:val="18"/>
                <w:szCs w:val="18"/>
              </w:rPr>
              <w:t>3. Tratamiento de hombres adultos con CPRC metastásico que sean asintomáticos o levemente sintomáticos tras el fracaso del tratamiento de deprivación de andrógenos en los cuales la quimioterapia no está aún clínicamente indicada..</w:t>
            </w:r>
          </w:p>
          <w:p w:rsidR="002C4AF7" w:rsidRDefault="007C2686">
            <w:pPr>
              <w:spacing w:before="240" w:after="240"/>
              <w:ind w:left="0" w:hanging="2"/>
              <w:rPr>
                <w:rFonts w:ascii="Arial" w:eastAsia="Arial" w:hAnsi="Arial" w:cs="Arial"/>
                <w:sz w:val="18"/>
                <w:szCs w:val="18"/>
              </w:rPr>
            </w:pPr>
            <w:r>
              <w:rPr>
                <w:rFonts w:ascii="Arial" w:eastAsia="Arial" w:hAnsi="Arial" w:cs="Arial"/>
                <w:sz w:val="18"/>
                <w:szCs w:val="18"/>
              </w:rPr>
              <w:t xml:space="preserve">4. Tratamiento de hombres adultos con CPRC metastásico cuya enfermedad ha progresado durante o tras el </w:t>
            </w:r>
            <w:r>
              <w:rPr>
                <w:rFonts w:ascii="Arial" w:eastAsia="Arial" w:hAnsi="Arial" w:cs="Arial"/>
                <w:sz w:val="18"/>
                <w:szCs w:val="18"/>
              </w:rPr>
              <w:lastRenderedPageBreak/>
              <w:t>tratamiento con docetaxel.</w:t>
            </w:r>
          </w:p>
          <w:p w:rsidR="002C4AF7" w:rsidRDefault="002C4AF7">
            <w:pPr>
              <w:spacing w:before="240" w:after="240"/>
              <w:ind w:left="0" w:hanging="2"/>
              <w:rPr>
                <w:rFonts w:ascii="Arial" w:eastAsia="Arial" w:hAnsi="Arial" w:cs="Arial"/>
                <w:sz w:val="18"/>
                <w:szCs w:val="18"/>
              </w:rPr>
            </w:pPr>
          </w:p>
        </w:tc>
        <w:tc>
          <w:tcPr>
            <w:tcW w:w="1696" w:type="dxa"/>
          </w:tcPr>
          <w:p w:rsidR="002C4AF7" w:rsidRDefault="007C2686">
            <w:pPr>
              <w:spacing w:before="240" w:after="240"/>
              <w:ind w:left="0" w:hanging="2"/>
              <w:rPr>
                <w:rFonts w:ascii="Arial" w:eastAsia="Arial" w:hAnsi="Arial" w:cs="Arial"/>
                <w:sz w:val="18"/>
                <w:szCs w:val="18"/>
              </w:rPr>
            </w:pPr>
            <w:r>
              <w:rPr>
                <w:rFonts w:ascii="Arial" w:eastAsia="Arial" w:hAnsi="Arial" w:cs="Arial"/>
                <w:sz w:val="18"/>
                <w:szCs w:val="18"/>
                <w:highlight w:val="white"/>
              </w:rPr>
              <w:lastRenderedPageBreak/>
              <w:t>1. Tratamiento de hombres adultos para el tratamiento del cáncer de próstata resistente a la castración no metastásico (CPRC-nm) con alto riesgo de desarrollar metástasis.</w:t>
            </w:r>
          </w:p>
          <w:p w:rsidR="002C4AF7" w:rsidRDefault="007C2686">
            <w:pPr>
              <w:ind w:left="0" w:hanging="2"/>
              <w:rPr>
                <w:rFonts w:ascii="Arial" w:eastAsia="Arial" w:hAnsi="Arial" w:cs="Arial"/>
                <w:sz w:val="18"/>
                <w:szCs w:val="18"/>
              </w:rPr>
            </w:pPr>
            <w:r>
              <w:rPr>
                <w:rFonts w:ascii="Arial" w:eastAsia="Arial" w:hAnsi="Arial" w:cs="Arial"/>
                <w:b/>
                <w:sz w:val="18"/>
                <w:szCs w:val="18"/>
              </w:rPr>
              <w:t>2. Tratamiento de hombres adultos para el tratamiento del cáncer de próstata hormonosensible metastásico (CPHSm) en combinación con tratamiento de deprivación androgénica</w:t>
            </w:r>
            <w:r>
              <w:rPr>
                <w:rFonts w:ascii="Arial" w:eastAsia="Arial" w:hAnsi="Arial" w:cs="Arial"/>
                <w:sz w:val="18"/>
                <w:szCs w:val="18"/>
              </w:rPr>
              <w:t>.</w:t>
            </w:r>
          </w:p>
        </w:tc>
        <w:tc>
          <w:tcPr>
            <w:tcW w:w="1875" w:type="dxa"/>
            <w:tcMar>
              <w:top w:w="100" w:type="dxa"/>
              <w:left w:w="140" w:type="dxa"/>
              <w:bottom w:w="100" w:type="dxa"/>
              <w:right w:w="140" w:type="dxa"/>
            </w:tcMar>
          </w:tcPr>
          <w:p w:rsidR="002C4AF7" w:rsidRDefault="007C2686">
            <w:pPr>
              <w:ind w:left="0" w:hanging="2"/>
              <w:rPr>
                <w:rFonts w:ascii="Arial" w:eastAsia="Arial" w:hAnsi="Arial" w:cs="Arial"/>
                <w:sz w:val="18"/>
                <w:szCs w:val="18"/>
                <w:highlight w:val="white"/>
              </w:rPr>
            </w:pPr>
            <w:r>
              <w:rPr>
                <w:rFonts w:ascii="Arial" w:eastAsia="Arial" w:hAnsi="Arial" w:cs="Arial"/>
                <w:b/>
                <w:sz w:val="18"/>
                <w:szCs w:val="18"/>
                <w:highlight w:val="white"/>
              </w:rPr>
              <w:t>1.Tratamiento en hombres adultos del cáncer de próstata hormonosensible metastásico de nuevo</w:t>
            </w:r>
            <w:r>
              <w:rPr>
                <w:rFonts w:ascii="Arial" w:eastAsia="Arial" w:hAnsi="Arial" w:cs="Arial"/>
                <w:b/>
                <w:sz w:val="18"/>
                <w:szCs w:val="18"/>
                <w:highlight w:val="white"/>
              </w:rPr>
              <w:br/>
              <w:t>diagnóstico de alto riesgo (CPHSm) en combinación con tratamiento de deprivación de</w:t>
            </w:r>
            <w:r>
              <w:rPr>
                <w:rFonts w:ascii="Arial" w:eastAsia="Arial" w:hAnsi="Arial" w:cs="Arial"/>
                <w:b/>
                <w:sz w:val="18"/>
                <w:szCs w:val="18"/>
                <w:highlight w:val="white"/>
              </w:rPr>
              <w:br/>
              <w:t xml:space="preserve">andrógenos (TDA). </w:t>
            </w:r>
            <w:r>
              <w:rPr>
                <w:rFonts w:ascii="Arial" w:eastAsia="Arial" w:hAnsi="Arial" w:cs="Arial"/>
                <w:color w:val="333333"/>
                <w:sz w:val="18"/>
                <w:szCs w:val="18"/>
                <w:highlight w:val="white"/>
              </w:rPr>
              <w:t xml:space="preserve"> </w:t>
            </w:r>
          </w:p>
          <w:p w:rsidR="002C4AF7" w:rsidRDefault="002C4AF7">
            <w:pPr>
              <w:ind w:left="0" w:hanging="2"/>
              <w:rPr>
                <w:rFonts w:ascii="Arial" w:eastAsia="Arial" w:hAnsi="Arial" w:cs="Arial"/>
                <w:sz w:val="18"/>
                <w:szCs w:val="18"/>
                <w:highlight w:val="white"/>
              </w:rPr>
            </w:pPr>
          </w:p>
          <w:p w:rsidR="002C4AF7" w:rsidRDefault="007C2686">
            <w:pPr>
              <w:ind w:left="0" w:hanging="2"/>
              <w:rPr>
                <w:rFonts w:ascii="Arial" w:eastAsia="Arial" w:hAnsi="Arial" w:cs="Arial"/>
                <w:sz w:val="18"/>
                <w:szCs w:val="18"/>
                <w:highlight w:val="white"/>
              </w:rPr>
            </w:pPr>
            <w:r>
              <w:rPr>
                <w:rFonts w:ascii="Arial" w:eastAsia="Arial" w:hAnsi="Arial" w:cs="Arial"/>
                <w:sz w:val="18"/>
                <w:szCs w:val="18"/>
                <w:highlight w:val="white"/>
              </w:rPr>
              <w:t>2. Tratamiento del cáncer de próstata metastásico resistente a la castración (CPRCm) en hombres</w:t>
            </w:r>
            <w:r>
              <w:rPr>
                <w:rFonts w:ascii="Arial" w:eastAsia="Arial" w:hAnsi="Arial" w:cs="Arial"/>
                <w:sz w:val="18"/>
                <w:szCs w:val="18"/>
                <w:highlight w:val="white"/>
              </w:rPr>
              <w:br/>
              <w:t>adultos que sean asintomáticos o levemente sintomáticos tras el fracaso del tratamiento de deprivación de andrógenos en los cuales la quimioterapia no está́ aún clínicamente indicada.</w:t>
            </w:r>
          </w:p>
          <w:p w:rsidR="002C4AF7" w:rsidRDefault="002C4AF7">
            <w:pPr>
              <w:ind w:left="0" w:hanging="2"/>
              <w:rPr>
                <w:rFonts w:ascii="Arial" w:eastAsia="Arial" w:hAnsi="Arial" w:cs="Arial"/>
                <w:sz w:val="18"/>
                <w:szCs w:val="18"/>
                <w:highlight w:val="white"/>
              </w:rPr>
            </w:pPr>
          </w:p>
          <w:p w:rsidR="002C4AF7" w:rsidRDefault="007C2686">
            <w:pPr>
              <w:ind w:left="0" w:hanging="2"/>
              <w:rPr>
                <w:rFonts w:ascii="Arial" w:eastAsia="Arial" w:hAnsi="Arial" w:cs="Arial"/>
                <w:sz w:val="18"/>
                <w:szCs w:val="18"/>
                <w:highlight w:val="white"/>
              </w:rPr>
            </w:pPr>
            <w:r>
              <w:rPr>
                <w:rFonts w:ascii="Arial" w:eastAsia="Arial" w:hAnsi="Arial" w:cs="Arial"/>
                <w:sz w:val="18"/>
                <w:szCs w:val="18"/>
                <w:highlight w:val="white"/>
              </w:rPr>
              <w:t xml:space="preserve">3. Tratamiento del CPRCm en hombres adultos cuya enfermedad ha progresado durante o tras un régimen de quimioterapia </w:t>
            </w:r>
            <w:r>
              <w:rPr>
                <w:rFonts w:ascii="Arial" w:eastAsia="Arial" w:hAnsi="Arial" w:cs="Arial"/>
                <w:sz w:val="18"/>
                <w:szCs w:val="18"/>
                <w:highlight w:val="white"/>
              </w:rPr>
              <w:lastRenderedPageBreak/>
              <w:t>basado en docetaxel.</w:t>
            </w:r>
          </w:p>
          <w:p w:rsidR="002C4AF7" w:rsidRDefault="002C4AF7">
            <w:pPr>
              <w:ind w:left="0" w:hanging="2"/>
              <w:rPr>
                <w:rFonts w:ascii="Arial" w:eastAsia="Arial" w:hAnsi="Arial" w:cs="Arial"/>
                <w:sz w:val="18"/>
                <w:szCs w:val="18"/>
                <w:highlight w:val="white"/>
              </w:rPr>
            </w:pPr>
          </w:p>
          <w:p w:rsidR="002C4AF7" w:rsidRDefault="002C4AF7">
            <w:pPr>
              <w:ind w:left="0" w:hanging="2"/>
              <w:rPr>
                <w:rFonts w:ascii="Arial" w:eastAsia="Arial" w:hAnsi="Arial" w:cs="Arial"/>
                <w:sz w:val="18"/>
                <w:szCs w:val="18"/>
                <w:highlight w:val="white"/>
              </w:rPr>
            </w:pPr>
          </w:p>
          <w:p w:rsidR="002C4AF7" w:rsidRDefault="002C4AF7">
            <w:pPr>
              <w:ind w:left="0" w:hanging="2"/>
              <w:rPr>
                <w:rFonts w:ascii="Arial" w:eastAsia="Arial" w:hAnsi="Arial" w:cs="Arial"/>
                <w:sz w:val="18"/>
                <w:szCs w:val="18"/>
                <w:highlight w:val="white"/>
              </w:rPr>
            </w:pPr>
          </w:p>
        </w:tc>
        <w:tc>
          <w:tcPr>
            <w:tcW w:w="1905" w:type="dxa"/>
          </w:tcPr>
          <w:p w:rsidR="002C4AF7" w:rsidRDefault="007C2686">
            <w:pPr>
              <w:spacing w:before="240" w:after="240"/>
              <w:ind w:left="0" w:hanging="2"/>
              <w:rPr>
                <w:rFonts w:ascii="Arial" w:eastAsia="Arial" w:hAnsi="Arial" w:cs="Arial"/>
                <w:sz w:val="18"/>
                <w:szCs w:val="18"/>
                <w:highlight w:val="white"/>
              </w:rPr>
            </w:pPr>
            <w:r>
              <w:rPr>
                <w:rFonts w:ascii="Arial" w:eastAsia="Arial" w:hAnsi="Arial" w:cs="Arial"/>
                <w:sz w:val="18"/>
                <w:szCs w:val="18"/>
                <w:highlight w:val="white"/>
              </w:rPr>
              <w:lastRenderedPageBreak/>
              <w:t>1.En combinación con prednisona o prednisolona está indicado para el tratamiento de pacientes con cáncer de próstata metastásico refractario a hormonas.</w:t>
            </w:r>
          </w:p>
          <w:p w:rsidR="002C4AF7" w:rsidRDefault="007C2686">
            <w:pPr>
              <w:spacing w:before="240" w:after="240"/>
              <w:ind w:left="0" w:hanging="2"/>
              <w:rPr>
                <w:rFonts w:ascii="Arial" w:eastAsia="Arial" w:hAnsi="Arial" w:cs="Arial"/>
                <w:sz w:val="18"/>
                <w:szCs w:val="18"/>
              </w:rPr>
            </w:pPr>
            <w:r>
              <w:rPr>
                <w:rFonts w:ascii="Arial" w:eastAsia="Arial" w:hAnsi="Arial" w:cs="Arial"/>
                <w:b/>
                <w:sz w:val="18"/>
                <w:szCs w:val="18"/>
              </w:rPr>
              <w:t xml:space="preserve"> 2. En combinación con tratamiento de privación de andrógenos (TPA), con o sin prednisona o prednisolona, está indicado para el tratamiento de pacientes con cáncer de próstata hormonosensible metastásico.</w:t>
            </w:r>
          </w:p>
        </w:tc>
      </w:tr>
      <w:tr w:rsidR="002C4AF7">
        <w:tc>
          <w:tcPr>
            <w:tcW w:w="1725" w:type="dxa"/>
          </w:tcPr>
          <w:p w:rsidR="002C4AF7" w:rsidRDefault="007C2686">
            <w:pPr>
              <w:ind w:left="0" w:hanging="2"/>
              <w:rPr>
                <w:rFonts w:ascii="Arial" w:eastAsia="Arial" w:hAnsi="Arial" w:cs="Arial"/>
                <w:sz w:val="18"/>
                <w:szCs w:val="18"/>
              </w:rPr>
            </w:pPr>
            <w:r>
              <w:rPr>
                <w:rFonts w:ascii="Arial" w:eastAsia="Arial" w:hAnsi="Arial" w:cs="Arial"/>
                <w:sz w:val="18"/>
                <w:szCs w:val="18"/>
              </w:rPr>
              <w:lastRenderedPageBreak/>
              <w:t>Efectos adversos</w:t>
            </w:r>
          </w:p>
        </w:tc>
        <w:tc>
          <w:tcPr>
            <w:tcW w:w="1689" w:type="dxa"/>
          </w:tcPr>
          <w:p w:rsidR="002C4AF7" w:rsidRDefault="007C2686">
            <w:pPr>
              <w:ind w:left="0" w:hanging="2"/>
              <w:jc w:val="center"/>
              <w:rPr>
                <w:rFonts w:ascii="Arial" w:eastAsia="Arial" w:hAnsi="Arial" w:cs="Arial"/>
                <w:sz w:val="18"/>
                <w:szCs w:val="18"/>
              </w:rPr>
            </w:pPr>
            <w:r>
              <w:rPr>
                <w:rFonts w:ascii="Arial" w:eastAsia="Arial" w:hAnsi="Arial" w:cs="Arial"/>
                <w:sz w:val="18"/>
                <w:szCs w:val="18"/>
              </w:rPr>
              <w:t>Astenia, fatiga, sofocos, hipertensión, fracturas y caídas. Trastorno cognoscitivo</w:t>
            </w:r>
          </w:p>
          <w:p w:rsidR="002C4AF7" w:rsidRDefault="007C2686">
            <w:pPr>
              <w:ind w:left="0" w:hanging="2"/>
              <w:jc w:val="center"/>
              <w:rPr>
                <w:rFonts w:ascii="Arial" w:eastAsia="Arial" w:hAnsi="Arial" w:cs="Arial"/>
                <w:sz w:val="18"/>
                <w:szCs w:val="18"/>
              </w:rPr>
            </w:pPr>
            <w:r>
              <w:rPr>
                <w:rFonts w:ascii="Arial" w:eastAsia="Arial" w:hAnsi="Arial" w:cs="Arial"/>
                <w:sz w:val="18"/>
                <w:szCs w:val="18"/>
              </w:rPr>
              <w:t xml:space="preserve"> y neutropenia.</w:t>
            </w:r>
          </w:p>
        </w:tc>
        <w:tc>
          <w:tcPr>
            <w:tcW w:w="1696" w:type="dxa"/>
          </w:tcPr>
          <w:p w:rsidR="002C4AF7" w:rsidRDefault="007C2686">
            <w:pPr>
              <w:ind w:left="0" w:hanging="2"/>
              <w:jc w:val="center"/>
              <w:rPr>
                <w:rFonts w:ascii="Arial" w:eastAsia="Arial" w:hAnsi="Arial" w:cs="Arial"/>
                <w:sz w:val="18"/>
                <w:szCs w:val="18"/>
              </w:rPr>
            </w:pPr>
            <w:r>
              <w:rPr>
                <w:rFonts w:ascii="Arial" w:eastAsia="Arial" w:hAnsi="Arial" w:cs="Arial"/>
                <w:sz w:val="18"/>
                <w:szCs w:val="18"/>
              </w:rPr>
              <w:t>Astenia, dolores articulares, fracturas óseas, erupciones cutáneas, pérdida de peso, crisis epilépticas, hipotiroidismo, mareo y trastorno cognoscitivo.</w:t>
            </w:r>
          </w:p>
        </w:tc>
        <w:tc>
          <w:tcPr>
            <w:tcW w:w="1875" w:type="dxa"/>
          </w:tcPr>
          <w:p w:rsidR="002C4AF7" w:rsidRDefault="002C4AF7">
            <w:pPr>
              <w:ind w:left="0" w:hanging="2"/>
              <w:jc w:val="center"/>
              <w:rPr>
                <w:rFonts w:ascii="Arial" w:eastAsia="Arial" w:hAnsi="Arial" w:cs="Arial"/>
                <w:sz w:val="18"/>
                <w:szCs w:val="18"/>
              </w:rPr>
            </w:pPr>
          </w:p>
          <w:tbl>
            <w:tblPr>
              <w:tblStyle w:val="afff2"/>
              <w:tblW w:w="1740" w:type="dxa"/>
              <w:tblInd w:w="0" w:type="dxa"/>
              <w:tblLayout w:type="fixed"/>
              <w:tblLook w:val="0000" w:firstRow="0" w:lastRow="0" w:firstColumn="0" w:lastColumn="0" w:noHBand="0" w:noVBand="0"/>
            </w:tblPr>
            <w:tblGrid>
              <w:gridCol w:w="1740"/>
            </w:tblGrid>
            <w:tr w:rsidR="002C4AF7">
              <w:trPr>
                <w:trHeight w:val="395"/>
              </w:trPr>
              <w:tc>
                <w:tcPr>
                  <w:tcW w:w="1740" w:type="dxa"/>
                  <w:tcMar>
                    <w:top w:w="100" w:type="dxa"/>
                    <w:left w:w="140" w:type="dxa"/>
                    <w:bottom w:w="100" w:type="dxa"/>
                    <w:right w:w="140" w:type="dxa"/>
                  </w:tcMar>
                </w:tcPr>
                <w:p w:rsidR="002C4AF7" w:rsidRDefault="007C2686" w:rsidP="00C14BFD">
                  <w:pPr>
                    <w:spacing w:line="240" w:lineRule="auto"/>
                    <w:ind w:left="0" w:hanging="2"/>
                    <w:jc w:val="center"/>
                    <w:rPr>
                      <w:rFonts w:ascii="Arial" w:eastAsia="Arial" w:hAnsi="Arial" w:cs="Arial"/>
                      <w:sz w:val="18"/>
                      <w:szCs w:val="18"/>
                    </w:rPr>
                  </w:pPr>
                  <w:r>
                    <w:rPr>
                      <w:rFonts w:ascii="Arial" w:eastAsia="Arial" w:hAnsi="Arial" w:cs="Arial"/>
                      <w:sz w:val="18"/>
                      <w:szCs w:val="18"/>
                    </w:rPr>
                    <w:t xml:space="preserve">Retención de líquidos con edemas, hipopotasemia, hipertensión arterial, diarrea, infección urinaria, insuficiencia cardíaca, elevación de transaminasas y triglicéridos, fracturas </w:t>
                  </w:r>
                </w:p>
              </w:tc>
            </w:tr>
          </w:tbl>
          <w:p w:rsidR="002C4AF7" w:rsidRDefault="002C4AF7">
            <w:pPr>
              <w:spacing w:line="240" w:lineRule="auto"/>
              <w:ind w:left="0" w:hanging="2"/>
              <w:jc w:val="center"/>
              <w:rPr>
                <w:rFonts w:ascii="Arial" w:eastAsia="Arial" w:hAnsi="Arial" w:cs="Arial"/>
                <w:sz w:val="18"/>
                <w:szCs w:val="18"/>
              </w:rPr>
            </w:pPr>
          </w:p>
        </w:tc>
        <w:tc>
          <w:tcPr>
            <w:tcW w:w="1905" w:type="dxa"/>
          </w:tcPr>
          <w:p w:rsidR="002C4AF7" w:rsidRDefault="007C2686">
            <w:pPr>
              <w:ind w:left="0" w:hanging="2"/>
              <w:jc w:val="center"/>
              <w:rPr>
                <w:rFonts w:ascii="Arial" w:eastAsia="Arial" w:hAnsi="Arial" w:cs="Arial"/>
                <w:sz w:val="18"/>
                <w:szCs w:val="18"/>
              </w:rPr>
            </w:pPr>
            <w:r>
              <w:rPr>
                <w:rFonts w:ascii="Arial" w:eastAsia="Arial" w:hAnsi="Arial" w:cs="Arial"/>
                <w:sz w:val="18"/>
                <w:szCs w:val="18"/>
              </w:rPr>
              <w:t>Infecciones, neutropenia, neuropatías, estomatitis, diarreas, náuseas         y vómitos, astenia y anemia.</w:t>
            </w:r>
          </w:p>
        </w:tc>
      </w:tr>
      <w:tr w:rsidR="002C4AF7">
        <w:tc>
          <w:tcPr>
            <w:tcW w:w="1725" w:type="dxa"/>
          </w:tcPr>
          <w:p w:rsidR="002C4AF7" w:rsidRDefault="007C2686">
            <w:pPr>
              <w:ind w:left="0" w:hanging="2"/>
              <w:rPr>
                <w:rFonts w:ascii="Arial" w:eastAsia="Arial" w:hAnsi="Arial" w:cs="Arial"/>
                <w:sz w:val="18"/>
                <w:szCs w:val="18"/>
              </w:rPr>
            </w:pPr>
            <w:r>
              <w:rPr>
                <w:rFonts w:ascii="Arial" w:eastAsia="Arial" w:hAnsi="Arial" w:cs="Arial"/>
                <w:sz w:val="18"/>
                <w:szCs w:val="18"/>
              </w:rPr>
              <w:t>Utilización de recursos</w:t>
            </w:r>
          </w:p>
        </w:tc>
        <w:tc>
          <w:tcPr>
            <w:tcW w:w="1689" w:type="dxa"/>
          </w:tcPr>
          <w:p w:rsidR="002C4AF7" w:rsidRDefault="007C2686">
            <w:pPr>
              <w:ind w:left="0" w:hanging="2"/>
              <w:jc w:val="center"/>
              <w:rPr>
                <w:rFonts w:ascii="Arial" w:eastAsia="Arial" w:hAnsi="Arial" w:cs="Arial"/>
                <w:sz w:val="18"/>
                <w:szCs w:val="18"/>
              </w:rPr>
            </w:pPr>
            <w:r>
              <w:rPr>
                <w:rFonts w:ascii="Arial" w:eastAsia="Arial" w:hAnsi="Arial" w:cs="Arial"/>
                <w:sz w:val="18"/>
                <w:szCs w:val="18"/>
              </w:rPr>
              <w:t>-</w:t>
            </w:r>
          </w:p>
        </w:tc>
        <w:tc>
          <w:tcPr>
            <w:tcW w:w="1696" w:type="dxa"/>
          </w:tcPr>
          <w:p w:rsidR="002C4AF7" w:rsidRDefault="007C2686">
            <w:pPr>
              <w:ind w:left="0" w:hanging="2"/>
              <w:jc w:val="center"/>
              <w:rPr>
                <w:rFonts w:ascii="Arial" w:eastAsia="Arial" w:hAnsi="Arial" w:cs="Arial"/>
                <w:sz w:val="18"/>
                <w:szCs w:val="18"/>
              </w:rPr>
            </w:pPr>
            <w:r>
              <w:rPr>
                <w:rFonts w:ascii="Arial" w:eastAsia="Arial" w:hAnsi="Arial" w:cs="Arial"/>
                <w:sz w:val="18"/>
                <w:szCs w:val="18"/>
              </w:rPr>
              <w:t>-</w:t>
            </w:r>
          </w:p>
        </w:tc>
        <w:tc>
          <w:tcPr>
            <w:tcW w:w="1875" w:type="dxa"/>
          </w:tcPr>
          <w:p w:rsidR="002C4AF7" w:rsidRDefault="007C2686">
            <w:pPr>
              <w:ind w:left="0" w:hanging="2"/>
              <w:jc w:val="center"/>
              <w:rPr>
                <w:rFonts w:ascii="Arial" w:eastAsia="Arial" w:hAnsi="Arial" w:cs="Arial"/>
                <w:sz w:val="18"/>
                <w:szCs w:val="18"/>
              </w:rPr>
            </w:pPr>
            <w:r>
              <w:rPr>
                <w:rFonts w:ascii="Arial" w:eastAsia="Arial" w:hAnsi="Arial" w:cs="Arial"/>
                <w:sz w:val="18"/>
                <w:szCs w:val="18"/>
              </w:rPr>
              <w:t>-</w:t>
            </w:r>
          </w:p>
        </w:tc>
        <w:tc>
          <w:tcPr>
            <w:tcW w:w="1905" w:type="dxa"/>
          </w:tcPr>
          <w:p w:rsidR="002C4AF7" w:rsidRDefault="007C2686">
            <w:pPr>
              <w:ind w:left="0" w:hanging="2"/>
              <w:jc w:val="center"/>
              <w:rPr>
                <w:rFonts w:ascii="Arial" w:eastAsia="Arial" w:hAnsi="Arial" w:cs="Arial"/>
                <w:sz w:val="18"/>
                <w:szCs w:val="18"/>
              </w:rPr>
            </w:pPr>
            <w:r>
              <w:rPr>
                <w:rFonts w:ascii="Arial" w:eastAsia="Arial" w:hAnsi="Arial" w:cs="Arial"/>
                <w:sz w:val="18"/>
                <w:szCs w:val="18"/>
              </w:rPr>
              <w:t>Precisa de hospital de día</w:t>
            </w:r>
          </w:p>
        </w:tc>
      </w:tr>
      <w:tr w:rsidR="002C4AF7">
        <w:tc>
          <w:tcPr>
            <w:tcW w:w="1725" w:type="dxa"/>
          </w:tcPr>
          <w:p w:rsidR="002C4AF7" w:rsidRDefault="007C2686">
            <w:pPr>
              <w:ind w:left="0" w:hanging="2"/>
              <w:rPr>
                <w:rFonts w:ascii="Arial" w:eastAsia="Arial" w:hAnsi="Arial" w:cs="Arial"/>
                <w:sz w:val="18"/>
                <w:szCs w:val="18"/>
              </w:rPr>
            </w:pPr>
            <w:r>
              <w:rPr>
                <w:rFonts w:ascii="Arial" w:eastAsia="Arial" w:hAnsi="Arial" w:cs="Arial"/>
                <w:sz w:val="18"/>
                <w:szCs w:val="18"/>
              </w:rPr>
              <w:t>Conveniencia</w:t>
            </w:r>
          </w:p>
        </w:tc>
        <w:tc>
          <w:tcPr>
            <w:tcW w:w="1689" w:type="dxa"/>
          </w:tcPr>
          <w:p w:rsidR="002C4AF7" w:rsidRDefault="002C4AF7">
            <w:pPr>
              <w:ind w:left="0" w:hanging="2"/>
              <w:jc w:val="center"/>
              <w:rPr>
                <w:rFonts w:ascii="Arial" w:eastAsia="Arial" w:hAnsi="Arial" w:cs="Arial"/>
                <w:sz w:val="18"/>
                <w:szCs w:val="18"/>
              </w:rPr>
            </w:pPr>
          </w:p>
        </w:tc>
        <w:tc>
          <w:tcPr>
            <w:tcW w:w="1696" w:type="dxa"/>
          </w:tcPr>
          <w:p w:rsidR="002C4AF7" w:rsidRDefault="002C4AF7">
            <w:pPr>
              <w:ind w:left="0" w:hanging="2"/>
              <w:jc w:val="center"/>
              <w:rPr>
                <w:rFonts w:ascii="Arial" w:eastAsia="Arial" w:hAnsi="Arial" w:cs="Arial"/>
                <w:sz w:val="18"/>
                <w:szCs w:val="18"/>
              </w:rPr>
            </w:pPr>
          </w:p>
        </w:tc>
        <w:tc>
          <w:tcPr>
            <w:tcW w:w="1875" w:type="dxa"/>
          </w:tcPr>
          <w:p w:rsidR="002C4AF7" w:rsidRDefault="002C4AF7">
            <w:pPr>
              <w:ind w:left="0" w:hanging="2"/>
              <w:jc w:val="center"/>
              <w:rPr>
                <w:rFonts w:ascii="Arial" w:eastAsia="Arial" w:hAnsi="Arial" w:cs="Arial"/>
                <w:sz w:val="18"/>
                <w:szCs w:val="18"/>
              </w:rPr>
            </w:pPr>
          </w:p>
        </w:tc>
        <w:tc>
          <w:tcPr>
            <w:tcW w:w="1905" w:type="dxa"/>
          </w:tcPr>
          <w:p w:rsidR="002C4AF7" w:rsidRDefault="002C4AF7">
            <w:pPr>
              <w:ind w:left="0" w:hanging="2"/>
              <w:jc w:val="center"/>
              <w:rPr>
                <w:rFonts w:ascii="Arial" w:eastAsia="Arial" w:hAnsi="Arial" w:cs="Arial"/>
                <w:sz w:val="18"/>
                <w:szCs w:val="18"/>
              </w:rPr>
            </w:pPr>
          </w:p>
        </w:tc>
      </w:tr>
      <w:tr w:rsidR="002C4AF7">
        <w:tc>
          <w:tcPr>
            <w:tcW w:w="1725" w:type="dxa"/>
          </w:tcPr>
          <w:p w:rsidR="002C4AF7" w:rsidRDefault="007C2686">
            <w:pPr>
              <w:ind w:left="0" w:hanging="2"/>
              <w:rPr>
                <w:rFonts w:ascii="Arial" w:eastAsia="Arial" w:hAnsi="Arial" w:cs="Arial"/>
                <w:sz w:val="18"/>
                <w:szCs w:val="18"/>
              </w:rPr>
            </w:pPr>
            <w:r>
              <w:rPr>
                <w:rFonts w:ascii="Arial" w:eastAsia="Arial" w:hAnsi="Arial" w:cs="Arial"/>
                <w:sz w:val="18"/>
                <w:szCs w:val="18"/>
              </w:rPr>
              <w:t>Otras características diferenciales</w:t>
            </w:r>
          </w:p>
        </w:tc>
        <w:tc>
          <w:tcPr>
            <w:tcW w:w="1689" w:type="dxa"/>
          </w:tcPr>
          <w:p w:rsidR="002C4AF7" w:rsidRDefault="007C2686">
            <w:pPr>
              <w:ind w:left="0" w:hanging="2"/>
              <w:jc w:val="center"/>
              <w:rPr>
                <w:rFonts w:ascii="Arial" w:eastAsia="Arial" w:hAnsi="Arial" w:cs="Arial"/>
                <w:sz w:val="18"/>
                <w:szCs w:val="18"/>
              </w:rPr>
            </w:pPr>
            <w:r>
              <w:rPr>
                <w:rFonts w:ascii="Arial" w:eastAsia="Arial" w:hAnsi="Arial" w:cs="Arial"/>
                <w:sz w:val="18"/>
                <w:szCs w:val="18"/>
              </w:rPr>
              <w:t>Vía de administración: oral.</w:t>
            </w:r>
          </w:p>
        </w:tc>
        <w:tc>
          <w:tcPr>
            <w:tcW w:w="1696" w:type="dxa"/>
          </w:tcPr>
          <w:p w:rsidR="002C4AF7" w:rsidRDefault="007C2686">
            <w:pPr>
              <w:ind w:left="0" w:hanging="2"/>
              <w:jc w:val="center"/>
              <w:rPr>
                <w:rFonts w:ascii="Arial" w:eastAsia="Arial" w:hAnsi="Arial" w:cs="Arial"/>
                <w:sz w:val="18"/>
                <w:szCs w:val="18"/>
              </w:rPr>
            </w:pPr>
            <w:r>
              <w:rPr>
                <w:rFonts w:ascii="Arial" w:eastAsia="Arial" w:hAnsi="Arial" w:cs="Arial"/>
                <w:sz w:val="18"/>
                <w:szCs w:val="18"/>
              </w:rPr>
              <w:t>Vía de administración: oral.</w:t>
            </w:r>
          </w:p>
        </w:tc>
        <w:tc>
          <w:tcPr>
            <w:tcW w:w="1875" w:type="dxa"/>
          </w:tcPr>
          <w:p w:rsidR="002C4AF7" w:rsidRDefault="007C2686">
            <w:pPr>
              <w:ind w:left="0" w:hanging="2"/>
              <w:jc w:val="center"/>
              <w:rPr>
                <w:rFonts w:ascii="Arial" w:eastAsia="Arial" w:hAnsi="Arial" w:cs="Arial"/>
                <w:sz w:val="18"/>
                <w:szCs w:val="18"/>
              </w:rPr>
            </w:pPr>
            <w:r>
              <w:rPr>
                <w:rFonts w:ascii="Arial" w:eastAsia="Arial" w:hAnsi="Arial" w:cs="Arial"/>
                <w:sz w:val="18"/>
                <w:szCs w:val="18"/>
              </w:rPr>
              <w:t>Vía de administración: oral.</w:t>
            </w:r>
          </w:p>
        </w:tc>
        <w:tc>
          <w:tcPr>
            <w:tcW w:w="1905" w:type="dxa"/>
          </w:tcPr>
          <w:p w:rsidR="002C4AF7" w:rsidRDefault="007C2686">
            <w:pPr>
              <w:ind w:left="0" w:hanging="2"/>
              <w:jc w:val="center"/>
              <w:rPr>
                <w:rFonts w:ascii="Arial" w:eastAsia="Arial" w:hAnsi="Arial" w:cs="Arial"/>
                <w:sz w:val="18"/>
                <w:szCs w:val="18"/>
              </w:rPr>
            </w:pPr>
            <w:r>
              <w:rPr>
                <w:rFonts w:ascii="Arial" w:eastAsia="Arial" w:hAnsi="Arial" w:cs="Arial"/>
                <w:sz w:val="18"/>
                <w:szCs w:val="18"/>
              </w:rPr>
              <w:t>Vía de administración: intravenosa en hospital de día.</w:t>
            </w:r>
          </w:p>
        </w:tc>
      </w:tr>
    </w:tbl>
    <w:p w:rsidR="002C4AF7" w:rsidRDefault="002C4AF7">
      <w:pPr>
        <w:ind w:left="0" w:hanging="2"/>
        <w:jc w:val="right"/>
        <w:rPr>
          <w:rFonts w:ascii="Arial" w:eastAsia="Arial" w:hAnsi="Arial" w:cs="Arial"/>
          <w:color w:val="0000FF"/>
        </w:rPr>
      </w:pPr>
    </w:p>
    <w:p w:rsidR="002C4AF7" w:rsidRDefault="002C4AF7">
      <w:pPr>
        <w:ind w:left="0" w:hanging="2"/>
        <w:rPr>
          <w:rFonts w:ascii="Arial" w:eastAsia="Arial" w:hAnsi="Arial" w:cs="Arial"/>
          <w:color w:val="0000FF"/>
        </w:rPr>
      </w:pPr>
      <w:bookmarkStart w:id="8" w:name="_heading=h.2s8eyo1" w:colFirst="0" w:colLast="0"/>
      <w:bookmarkEnd w:id="8"/>
    </w:p>
    <w:p w:rsidR="002C4AF7" w:rsidRDefault="002C4AF7">
      <w:pPr>
        <w:ind w:left="0" w:hanging="2"/>
        <w:rPr>
          <w:rFonts w:ascii="Arial" w:eastAsia="Arial" w:hAnsi="Arial" w:cs="Arial"/>
          <w:sz w:val="16"/>
          <w:szCs w:val="16"/>
        </w:rPr>
      </w:pPr>
    </w:p>
    <w:tbl>
      <w:tblPr>
        <w:tblStyle w:val="afff3"/>
        <w:tblW w:w="889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2C4AF7">
        <w:trPr>
          <w:trHeight w:val="90"/>
        </w:trPr>
        <w:tc>
          <w:tcPr>
            <w:tcW w:w="8890" w:type="dxa"/>
            <w:shd w:val="clear" w:color="auto" w:fill="B3B3B3"/>
          </w:tcPr>
          <w:p w:rsidR="002C4AF7" w:rsidRDefault="007C2686">
            <w:pPr>
              <w:keepNext/>
              <w:shd w:val="clear" w:color="auto" w:fill="A6A6A6"/>
              <w:spacing w:line="240" w:lineRule="auto"/>
              <w:ind w:left="0" w:hanging="2"/>
              <w:rPr>
                <w:rFonts w:ascii="Arial" w:eastAsia="Arial" w:hAnsi="Arial" w:cs="Arial"/>
                <w:color w:val="000000"/>
                <w:sz w:val="20"/>
                <w:szCs w:val="20"/>
              </w:rPr>
            </w:pPr>
            <w:bookmarkStart w:id="9" w:name="_heading=h.17dp8vu" w:colFirst="0" w:colLast="0"/>
            <w:bookmarkEnd w:id="9"/>
            <w:r>
              <w:rPr>
                <w:rFonts w:ascii="Arial" w:eastAsia="Arial" w:hAnsi="Arial" w:cs="Arial"/>
                <w:b/>
                <w:color w:val="000000"/>
                <w:sz w:val="20"/>
                <w:szCs w:val="20"/>
              </w:rPr>
              <w:t>4.- AREA DE ACCIÓN FARMACOLÓGICA.</w:t>
            </w:r>
          </w:p>
        </w:tc>
      </w:tr>
    </w:tbl>
    <w:p w:rsidR="002C4AF7" w:rsidRDefault="002C4AF7">
      <w:pPr>
        <w:ind w:left="0" w:hanging="2"/>
        <w:jc w:val="right"/>
        <w:rPr>
          <w:rFonts w:ascii="Arial" w:eastAsia="Arial" w:hAnsi="Arial" w:cs="Arial"/>
          <w:sz w:val="20"/>
          <w:szCs w:val="20"/>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r>
        <w:rPr>
          <w:rFonts w:ascii="Cambria" w:eastAsia="Cambria" w:hAnsi="Cambria" w:cs="Cambria"/>
          <w:b/>
          <w:i/>
          <w:color w:val="000000"/>
          <w:sz w:val="20"/>
          <w:szCs w:val="20"/>
        </w:rPr>
        <w:t xml:space="preserve">4.1 Mecanismo de acción. </w:t>
      </w:r>
    </w:p>
    <w:p w:rsidR="002C4AF7" w:rsidRDefault="007C2686">
      <w:pPr>
        <w:spacing w:before="240" w:after="240"/>
        <w:ind w:left="0" w:hanging="2"/>
        <w:jc w:val="both"/>
        <w:rPr>
          <w:rFonts w:ascii="Arial" w:eastAsia="Arial" w:hAnsi="Arial" w:cs="Arial"/>
          <w:sz w:val="20"/>
          <w:szCs w:val="20"/>
        </w:rPr>
      </w:pPr>
      <w:bookmarkStart w:id="10" w:name="_heading=h.3rdcrjn" w:colFirst="0" w:colLast="0"/>
      <w:bookmarkEnd w:id="10"/>
      <w:r>
        <w:rPr>
          <w:rFonts w:ascii="Arial" w:eastAsia="Arial" w:hAnsi="Arial" w:cs="Arial"/>
          <w:sz w:val="20"/>
          <w:szCs w:val="20"/>
        </w:rPr>
        <w:t>Enzalutamida es un inhibidor potente de la señalización de los receptores androgénicos que bloquea varios pasos en esta vía. Enzalutamida inhibe de manera competitiva la unión del andrógeno a sus receptores y, en consecuencia, inhibe la translocación nuclear de los receptores activados e inhibe la asociación del receptor androgénico activado con el ADN, incluso en situación de sobreexpresión del receptor y de células de cáncer de próstata resistentes a los antiandrógenos. El tratamiento con enzalutamida disminuye el crecimiento de las células del cáncer de próstata y puede inducir la muerte de las células cancerosas y la regresión del tumor. En estudios preclínicos, enzalutamida carece de actividad agonista de los receptores androgénicos.</w:t>
      </w:r>
    </w:p>
    <w:p w:rsidR="002C4AF7" w:rsidRDefault="002C4AF7">
      <w:pPr>
        <w:ind w:left="0" w:hanging="2"/>
        <w:jc w:val="both"/>
        <w:rPr>
          <w:rFonts w:ascii="Arial" w:eastAsia="Arial" w:hAnsi="Arial" w:cs="Arial"/>
          <w:sz w:val="20"/>
          <w:szCs w:val="20"/>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r>
        <w:rPr>
          <w:rFonts w:ascii="Cambria" w:eastAsia="Cambria" w:hAnsi="Cambria" w:cs="Cambria"/>
          <w:b/>
          <w:i/>
          <w:color w:val="000000"/>
          <w:sz w:val="20"/>
          <w:szCs w:val="20"/>
        </w:rPr>
        <w:t>4.2 Indicaciones clínicas formalmente aprobadas y fecha de aprobación.</w:t>
      </w:r>
    </w:p>
    <w:p w:rsidR="002C4AF7" w:rsidRDefault="002C4AF7">
      <w:pPr>
        <w:ind w:left="0" w:hanging="2"/>
        <w:jc w:val="both"/>
        <w:rPr>
          <w:rFonts w:ascii="Arial" w:eastAsia="Arial" w:hAnsi="Arial" w:cs="Arial"/>
          <w:sz w:val="20"/>
          <w:szCs w:val="20"/>
        </w:rPr>
      </w:pPr>
    </w:p>
    <w:p w:rsidR="002C4AF7" w:rsidRDefault="007C2686">
      <w:pPr>
        <w:shd w:val="clear" w:color="auto" w:fill="FFFFFF"/>
        <w:ind w:left="0" w:hanging="2"/>
        <w:jc w:val="both"/>
        <w:rPr>
          <w:rFonts w:ascii="Arial" w:eastAsia="Arial" w:hAnsi="Arial" w:cs="Arial"/>
          <w:sz w:val="20"/>
          <w:szCs w:val="20"/>
        </w:rPr>
      </w:pPr>
      <w:r>
        <w:rPr>
          <w:rFonts w:ascii="Arial" w:eastAsia="Arial" w:hAnsi="Arial" w:cs="Arial"/>
          <w:b/>
          <w:sz w:val="20"/>
          <w:szCs w:val="20"/>
        </w:rPr>
        <w:t>AEMPS y EMA:</w:t>
      </w:r>
    </w:p>
    <w:p w:rsidR="002C4AF7" w:rsidRDefault="007C2686">
      <w:pPr>
        <w:shd w:val="clear" w:color="auto" w:fill="FFFFFF"/>
        <w:ind w:left="0" w:hanging="2"/>
        <w:jc w:val="both"/>
        <w:rPr>
          <w:rFonts w:ascii="Arial" w:eastAsia="Arial" w:hAnsi="Arial" w:cs="Arial"/>
          <w:sz w:val="20"/>
          <w:szCs w:val="20"/>
        </w:rPr>
      </w:pPr>
      <w:r>
        <w:rPr>
          <w:rFonts w:ascii="Arial" w:eastAsia="Arial" w:hAnsi="Arial" w:cs="Arial"/>
          <w:sz w:val="20"/>
          <w:szCs w:val="20"/>
        </w:rPr>
        <w:t>- El tratamiento de hombres adultos con CPRC metastásico cuya enfermedad ha progresado durante o tras el tratamiento con docetaxel. Fecha aprobación: 21/06/2013.</w:t>
      </w:r>
    </w:p>
    <w:p w:rsidR="002C4AF7" w:rsidRDefault="007C2686">
      <w:pPr>
        <w:shd w:val="clear" w:color="auto" w:fill="FFFFFF"/>
        <w:spacing w:before="240" w:after="240"/>
        <w:ind w:left="0" w:hanging="2"/>
        <w:jc w:val="both"/>
        <w:rPr>
          <w:rFonts w:ascii="Arial" w:eastAsia="Arial" w:hAnsi="Arial" w:cs="Arial"/>
          <w:sz w:val="20"/>
          <w:szCs w:val="20"/>
        </w:rPr>
      </w:pPr>
      <w:r>
        <w:rPr>
          <w:rFonts w:ascii="Arial" w:eastAsia="Arial" w:hAnsi="Arial" w:cs="Arial"/>
          <w:sz w:val="20"/>
          <w:szCs w:val="20"/>
        </w:rPr>
        <w:t>- El tratamiento de hombres adultos con CPRC metastásico que sean asintomáticos o levemente sintomáticos tras el fracaso del tratamiento de deprivación de andrógenos en los cuales la quimioterapia no está aún clínicamente indicada. Fecha aprobación: 28/11/2014.</w:t>
      </w:r>
    </w:p>
    <w:p w:rsidR="002C4AF7" w:rsidRDefault="007C2686">
      <w:pPr>
        <w:shd w:val="clear" w:color="auto" w:fill="FFFFFF"/>
        <w:spacing w:before="240" w:after="240"/>
        <w:ind w:left="0" w:hanging="2"/>
        <w:jc w:val="both"/>
        <w:rPr>
          <w:rFonts w:ascii="Arial" w:eastAsia="Arial" w:hAnsi="Arial" w:cs="Arial"/>
          <w:sz w:val="20"/>
          <w:szCs w:val="20"/>
        </w:rPr>
      </w:pPr>
      <w:r>
        <w:rPr>
          <w:rFonts w:ascii="Arial" w:eastAsia="Arial" w:hAnsi="Arial" w:cs="Arial"/>
          <w:sz w:val="20"/>
          <w:szCs w:val="20"/>
        </w:rPr>
        <w:t xml:space="preserve">- El tratamiento de hombres adultos con CPRC no metastásico de alto riesgo. Fecha aprobación: 20/09/2018. </w:t>
      </w:r>
    </w:p>
    <w:p w:rsidR="002C4AF7" w:rsidRDefault="007C2686">
      <w:pPr>
        <w:shd w:val="clear" w:color="auto" w:fill="FFFFFF"/>
        <w:spacing w:before="240" w:after="240"/>
        <w:ind w:left="0" w:hanging="2"/>
        <w:jc w:val="both"/>
        <w:rPr>
          <w:rFonts w:ascii="Arial" w:eastAsia="Arial" w:hAnsi="Arial" w:cs="Arial"/>
          <w:sz w:val="20"/>
          <w:szCs w:val="20"/>
        </w:rPr>
      </w:pPr>
      <w:r>
        <w:rPr>
          <w:rFonts w:ascii="Arial" w:eastAsia="Arial" w:hAnsi="Arial" w:cs="Arial"/>
          <w:sz w:val="20"/>
          <w:szCs w:val="20"/>
        </w:rPr>
        <w:lastRenderedPageBreak/>
        <w:t>- Tratamiento de hombres adultos con cáncer de próstata hormonosensible metastásico (CPHSm) en combinación con la terapia de deprivación de andrógenos. 25/02/2021</w:t>
      </w:r>
    </w:p>
    <w:p w:rsidR="002C4AF7" w:rsidRDefault="007C2686">
      <w:pPr>
        <w:shd w:val="clear" w:color="auto" w:fill="FFFFFF"/>
        <w:spacing w:before="240" w:after="240"/>
        <w:ind w:left="0" w:hanging="2"/>
        <w:jc w:val="both"/>
        <w:rPr>
          <w:rFonts w:ascii="Arial" w:eastAsia="Arial" w:hAnsi="Arial" w:cs="Arial"/>
          <w:sz w:val="20"/>
          <w:szCs w:val="20"/>
        </w:rPr>
      </w:pPr>
      <w:r>
        <w:rPr>
          <w:rFonts w:ascii="Arial" w:eastAsia="Arial" w:hAnsi="Arial" w:cs="Arial"/>
          <w:b/>
          <w:sz w:val="20"/>
          <w:szCs w:val="20"/>
        </w:rPr>
        <w:t>FDA:</w:t>
      </w:r>
      <w:r>
        <w:rPr>
          <w:rFonts w:ascii="Arial" w:eastAsia="Arial" w:hAnsi="Arial" w:cs="Arial"/>
          <w:sz w:val="20"/>
          <w:szCs w:val="20"/>
        </w:rPr>
        <w:tab/>
      </w:r>
    </w:p>
    <w:p w:rsidR="002C4AF7" w:rsidRDefault="007C2686">
      <w:pPr>
        <w:shd w:val="clear" w:color="auto" w:fill="FFFFFF"/>
        <w:spacing w:before="240" w:after="240"/>
        <w:ind w:left="0" w:hanging="2"/>
        <w:jc w:val="both"/>
        <w:rPr>
          <w:rFonts w:ascii="Arial" w:eastAsia="Arial" w:hAnsi="Arial" w:cs="Arial"/>
          <w:sz w:val="20"/>
          <w:szCs w:val="20"/>
        </w:rPr>
      </w:pPr>
      <w:r>
        <w:rPr>
          <w:rFonts w:ascii="Arial" w:eastAsia="Arial" w:hAnsi="Arial" w:cs="Arial"/>
          <w:sz w:val="20"/>
          <w:szCs w:val="20"/>
        </w:rPr>
        <w:t xml:space="preserve">- El tratamiento de pacientes con CPRCnm. Fecha aprobación: 13/07/2018. </w:t>
      </w:r>
    </w:p>
    <w:p w:rsidR="002C4AF7" w:rsidRDefault="007C2686">
      <w:pPr>
        <w:shd w:val="clear" w:color="auto" w:fill="FFFFFF"/>
        <w:spacing w:before="240" w:after="240"/>
        <w:ind w:left="0" w:hanging="2"/>
        <w:jc w:val="both"/>
        <w:rPr>
          <w:rFonts w:ascii="Arial" w:eastAsia="Arial" w:hAnsi="Arial" w:cs="Arial"/>
          <w:sz w:val="20"/>
          <w:szCs w:val="20"/>
        </w:rPr>
      </w:pPr>
      <w:r>
        <w:rPr>
          <w:rFonts w:ascii="Arial" w:eastAsia="Arial" w:hAnsi="Arial" w:cs="Arial"/>
          <w:sz w:val="20"/>
          <w:szCs w:val="20"/>
        </w:rPr>
        <w:t>- El tratamiento de pacientes con CPRC metastásico tratados previamente con docetaxel. Fecha aprobación: 19/03/2013.</w:t>
      </w:r>
    </w:p>
    <w:p w:rsidR="002C4AF7" w:rsidRDefault="007C2686">
      <w:pPr>
        <w:shd w:val="clear" w:color="auto" w:fill="FFFFFF"/>
        <w:spacing w:before="240" w:after="240"/>
        <w:ind w:left="0" w:hanging="2"/>
        <w:jc w:val="both"/>
        <w:rPr>
          <w:rFonts w:ascii="Arial" w:eastAsia="Arial" w:hAnsi="Arial" w:cs="Arial"/>
          <w:sz w:val="20"/>
          <w:szCs w:val="20"/>
        </w:rPr>
      </w:pPr>
      <w:r>
        <w:rPr>
          <w:rFonts w:ascii="Arial" w:eastAsia="Arial" w:hAnsi="Arial" w:cs="Arial"/>
          <w:sz w:val="20"/>
          <w:szCs w:val="20"/>
        </w:rPr>
        <w:t>- El tratamiento de pacientes con CPRC metastásico. Fecha aprobación: 10/09/2014.</w:t>
      </w:r>
    </w:p>
    <w:p w:rsidR="002C4AF7" w:rsidRDefault="007C2686">
      <w:pPr>
        <w:shd w:val="clear" w:color="auto" w:fill="FFFFFF"/>
        <w:spacing w:before="240" w:after="240"/>
        <w:ind w:left="0" w:hanging="2"/>
        <w:jc w:val="both"/>
        <w:rPr>
          <w:rFonts w:ascii="Arial" w:eastAsia="Arial" w:hAnsi="Arial" w:cs="Arial"/>
          <w:sz w:val="20"/>
          <w:szCs w:val="20"/>
        </w:rPr>
      </w:pPr>
      <w:bookmarkStart w:id="11" w:name="_heading=h.26in1rg" w:colFirst="0" w:colLast="0"/>
      <w:bookmarkEnd w:id="11"/>
      <w:r>
        <w:rPr>
          <w:rFonts w:ascii="Arial" w:eastAsia="Arial" w:hAnsi="Arial" w:cs="Arial"/>
          <w:sz w:val="20"/>
          <w:szCs w:val="20"/>
        </w:rPr>
        <w:t>-</w:t>
      </w:r>
      <w:r>
        <w:t xml:space="preserve"> </w:t>
      </w:r>
      <w:r>
        <w:rPr>
          <w:rFonts w:ascii="Arial" w:eastAsia="Arial" w:hAnsi="Arial" w:cs="Arial"/>
          <w:sz w:val="20"/>
          <w:szCs w:val="20"/>
        </w:rPr>
        <w:t>El tratamiento de pacientes con CPHSm. Fecha aprobación: 16/12/2019</w:t>
      </w:r>
    </w:p>
    <w:p w:rsidR="002C4AF7" w:rsidRDefault="002C4AF7">
      <w:pPr>
        <w:shd w:val="clear" w:color="auto" w:fill="FFFFFF"/>
        <w:ind w:left="0" w:hanging="2"/>
        <w:jc w:val="both"/>
        <w:rPr>
          <w:rFonts w:ascii="Arial" w:eastAsia="Arial" w:hAnsi="Arial" w:cs="Arial"/>
          <w:color w:val="000080"/>
          <w:sz w:val="20"/>
          <w:szCs w:val="20"/>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r>
        <w:rPr>
          <w:rFonts w:ascii="Cambria" w:eastAsia="Cambria" w:hAnsi="Cambria" w:cs="Cambria"/>
          <w:b/>
          <w:i/>
          <w:color w:val="000000"/>
          <w:sz w:val="20"/>
          <w:szCs w:val="20"/>
        </w:rPr>
        <w:t xml:space="preserve">4.3 Posología, forma de preparación y administración. </w:t>
      </w:r>
    </w:p>
    <w:p w:rsidR="002C4AF7" w:rsidRDefault="007C2686">
      <w:pPr>
        <w:spacing w:before="240" w:after="240"/>
        <w:ind w:left="0" w:hanging="2"/>
        <w:jc w:val="both"/>
        <w:rPr>
          <w:rFonts w:ascii="Arial" w:eastAsia="Arial" w:hAnsi="Arial" w:cs="Arial"/>
          <w:sz w:val="20"/>
          <w:szCs w:val="20"/>
        </w:rPr>
      </w:pPr>
      <w:r>
        <w:rPr>
          <w:rFonts w:ascii="Arial" w:eastAsia="Arial" w:hAnsi="Arial" w:cs="Arial"/>
          <w:sz w:val="20"/>
          <w:szCs w:val="20"/>
        </w:rPr>
        <w:t>La dosis recomendada es de 160 mg de enzalutamida (cuatro comprimidos de 40 mg) en una sola dosis diaria oral.</w:t>
      </w:r>
    </w:p>
    <w:p w:rsidR="002C4AF7" w:rsidRDefault="007C2686">
      <w:pPr>
        <w:spacing w:before="240" w:after="240"/>
        <w:ind w:left="0" w:hanging="2"/>
        <w:jc w:val="both"/>
        <w:rPr>
          <w:rFonts w:ascii="Arial" w:eastAsia="Arial" w:hAnsi="Arial" w:cs="Arial"/>
          <w:sz w:val="20"/>
          <w:szCs w:val="20"/>
        </w:rPr>
      </w:pPr>
      <w:r>
        <w:rPr>
          <w:rFonts w:ascii="Arial" w:eastAsia="Arial" w:hAnsi="Arial" w:cs="Arial"/>
          <w:sz w:val="20"/>
          <w:szCs w:val="20"/>
        </w:rPr>
        <w:t xml:space="preserve">Se debe mantener la castración médica con un análogo de la hormona liberadora </w:t>
      </w:r>
      <w:r w:rsidR="00367227">
        <w:rPr>
          <w:rFonts w:ascii="Arial" w:eastAsia="Arial" w:hAnsi="Arial" w:cs="Arial"/>
          <w:sz w:val="20"/>
          <w:szCs w:val="20"/>
        </w:rPr>
        <w:t xml:space="preserve">de hormona luteinizante (LHRH) </w:t>
      </w:r>
      <w:r>
        <w:rPr>
          <w:rFonts w:ascii="Arial" w:eastAsia="Arial" w:hAnsi="Arial" w:cs="Arial"/>
          <w:sz w:val="20"/>
          <w:szCs w:val="20"/>
        </w:rPr>
        <w:t>durante el tratamiento en los pacientes no sometidos a castración quirúrgica.</w:t>
      </w: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r>
        <w:rPr>
          <w:rFonts w:ascii="Cambria" w:eastAsia="Cambria" w:hAnsi="Cambria" w:cs="Cambria"/>
          <w:b/>
          <w:i/>
          <w:color w:val="000000"/>
          <w:sz w:val="20"/>
          <w:szCs w:val="20"/>
        </w:rPr>
        <w:t>4.4 Utilización en poblaciones especiales.</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b/>
          <w:sz w:val="20"/>
          <w:szCs w:val="20"/>
        </w:rPr>
        <w:t>Pediatría:</w:t>
      </w:r>
      <w:r>
        <w:rPr>
          <w:rFonts w:ascii="Arial" w:eastAsia="Arial" w:hAnsi="Arial" w:cs="Arial"/>
          <w:sz w:val="20"/>
          <w:szCs w:val="20"/>
        </w:rPr>
        <w:t xml:space="preserve"> El uso de enzalutamida en la población pediátrica para la indicación de tratamiento de hombres adultos con CPRC y CPHSm no es apropiado.</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b/>
          <w:sz w:val="20"/>
          <w:szCs w:val="20"/>
        </w:rPr>
        <w:t>Mayores de 65 años:</w:t>
      </w:r>
      <w:r>
        <w:rPr>
          <w:rFonts w:ascii="Arial" w:eastAsia="Arial" w:hAnsi="Arial" w:cs="Arial"/>
          <w:sz w:val="20"/>
          <w:szCs w:val="20"/>
        </w:rPr>
        <w:t xml:space="preserve"> No es necesario ajustar la dosis en pacientes de edad avanzada.</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b/>
          <w:sz w:val="20"/>
          <w:szCs w:val="20"/>
        </w:rPr>
        <w:t>Insuficiencia renal:</w:t>
      </w:r>
      <w:r>
        <w:rPr>
          <w:rFonts w:ascii="Arial" w:eastAsia="Arial" w:hAnsi="Arial" w:cs="Arial"/>
          <w:sz w:val="20"/>
          <w:szCs w:val="20"/>
        </w:rPr>
        <w:t xml:space="preserve"> No es necesario ajustar la dosis en los pacientes con insuficiencia renal leve o moderada</w:t>
      </w:r>
      <w:r>
        <w:rPr>
          <w:rFonts w:ascii="Arial" w:eastAsia="Arial" w:hAnsi="Arial" w:cs="Arial"/>
          <w:i/>
          <w:sz w:val="20"/>
          <w:szCs w:val="20"/>
        </w:rPr>
        <w:t xml:space="preserve">. </w:t>
      </w:r>
      <w:r>
        <w:rPr>
          <w:rFonts w:ascii="Arial" w:eastAsia="Arial" w:hAnsi="Arial" w:cs="Arial"/>
          <w:sz w:val="20"/>
          <w:szCs w:val="20"/>
        </w:rPr>
        <w:t>Se recomienda precaución en los pacientes con insuficiencia renal grave o enfermedad renal terminal.</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b/>
          <w:sz w:val="20"/>
          <w:szCs w:val="20"/>
        </w:rPr>
        <w:t xml:space="preserve">Insuficiencia hepática: </w:t>
      </w:r>
      <w:r>
        <w:rPr>
          <w:rFonts w:ascii="Arial" w:eastAsia="Arial" w:hAnsi="Arial" w:cs="Arial"/>
          <w:sz w:val="20"/>
          <w:szCs w:val="20"/>
        </w:rPr>
        <w:t>No es necesario ajustar la dosis en los pacientes con insuficiencia hepática leve, moderada o grave (clase A, B o C de Child-Pugh, respectivamente). Sin embargo, se ha observado un aumento de la semivida de enzalutamida en pacientes con insuficiencia hepática grave.</w:t>
      </w:r>
    </w:p>
    <w:p w:rsidR="002C4AF7" w:rsidRDefault="002C4AF7">
      <w:pPr>
        <w:ind w:left="0" w:hanging="2"/>
        <w:jc w:val="both"/>
        <w:rPr>
          <w:rFonts w:ascii="Arial" w:eastAsia="Arial" w:hAnsi="Arial" w:cs="Arial"/>
          <w:sz w:val="20"/>
          <w:szCs w:val="20"/>
        </w:rPr>
      </w:pPr>
      <w:bookmarkStart w:id="12" w:name="_heading=h.lnxbz9" w:colFirst="0" w:colLast="0"/>
      <w:bookmarkEnd w:id="12"/>
    </w:p>
    <w:p w:rsidR="002C4AF7" w:rsidRDefault="002C4AF7">
      <w:pPr>
        <w:ind w:left="0" w:hanging="2"/>
        <w:jc w:val="both"/>
        <w:rPr>
          <w:rFonts w:ascii="Arial" w:eastAsia="Arial" w:hAnsi="Arial" w:cs="Arial"/>
          <w:color w:val="0000FF"/>
          <w:sz w:val="20"/>
          <w:szCs w:val="20"/>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r>
        <w:rPr>
          <w:rFonts w:ascii="Cambria" w:eastAsia="Cambria" w:hAnsi="Cambria" w:cs="Cambria"/>
          <w:b/>
          <w:i/>
          <w:color w:val="000000"/>
          <w:sz w:val="20"/>
          <w:szCs w:val="20"/>
        </w:rPr>
        <w:t xml:space="preserve">4.5 Farmacocinética. </w:t>
      </w:r>
    </w:p>
    <w:p w:rsidR="002C4AF7" w:rsidRDefault="007C2686">
      <w:pPr>
        <w:spacing w:before="240" w:after="240"/>
        <w:ind w:left="0" w:hanging="2"/>
        <w:jc w:val="both"/>
        <w:rPr>
          <w:rFonts w:ascii="Arial" w:eastAsia="Arial" w:hAnsi="Arial" w:cs="Arial"/>
          <w:sz w:val="20"/>
          <w:szCs w:val="20"/>
        </w:rPr>
      </w:pPr>
      <w:r>
        <w:rPr>
          <w:rFonts w:ascii="Arial" w:eastAsia="Arial" w:hAnsi="Arial" w:cs="Arial"/>
          <w:b/>
          <w:sz w:val="20"/>
          <w:szCs w:val="20"/>
        </w:rPr>
        <w:t>Absorción:</w:t>
      </w:r>
      <w:r>
        <w:rPr>
          <w:rFonts w:ascii="Arial" w:eastAsia="Arial" w:hAnsi="Arial" w:cs="Arial"/>
          <w:sz w:val="20"/>
          <w:szCs w:val="20"/>
        </w:rPr>
        <w:t xml:space="preserve"> La mediana del tiempo hasta alcanzar las concentraciones plasmáticas máximas de enzalutamida (Cmáx) es de 2 horas (intervalo de 0,5 a 6 horas). </w:t>
      </w:r>
    </w:p>
    <w:p w:rsidR="002C4AF7" w:rsidRDefault="007C2686">
      <w:pPr>
        <w:spacing w:before="240" w:after="240"/>
        <w:ind w:left="0" w:hanging="2"/>
        <w:jc w:val="both"/>
        <w:rPr>
          <w:rFonts w:ascii="Arial" w:eastAsia="Arial" w:hAnsi="Arial" w:cs="Arial"/>
          <w:sz w:val="20"/>
          <w:szCs w:val="20"/>
        </w:rPr>
      </w:pPr>
      <w:r>
        <w:rPr>
          <w:rFonts w:ascii="Arial" w:eastAsia="Arial" w:hAnsi="Arial" w:cs="Arial"/>
          <w:b/>
          <w:sz w:val="20"/>
          <w:szCs w:val="20"/>
        </w:rPr>
        <w:t xml:space="preserve">Distribución: </w:t>
      </w:r>
      <w:r>
        <w:rPr>
          <w:rFonts w:ascii="Arial" w:eastAsia="Arial" w:hAnsi="Arial" w:cs="Arial"/>
          <w:sz w:val="20"/>
          <w:szCs w:val="20"/>
        </w:rPr>
        <w:t>El volumen de distribución (V/F) medio aparente de enzalutamida, en pacientes tras una dosis oral única es de 110 L (CV 29%). El volumen de distribución de enzalutamida es mayor que el volumen de agua corporal total, lo que indica una amplia distribución extravascular. Los estudios realizados en roedores indican que la enzalutamida y su metabolito activo pueden atravesar la barrera hematoencefálica.</w:t>
      </w:r>
    </w:p>
    <w:p w:rsidR="002C4AF7" w:rsidRDefault="007C2686">
      <w:pPr>
        <w:spacing w:before="240" w:after="240"/>
        <w:ind w:left="0" w:hanging="2"/>
        <w:jc w:val="both"/>
        <w:rPr>
          <w:rFonts w:ascii="Arial" w:eastAsia="Arial" w:hAnsi="Arial" w:cs="Arial"/>
          <w:sz w:val="20"/>
          <w:szCs w:val="20"/>
        </w:rPr>
      </w:pPr>
      <w:r>
        <w:rPr>
          <w:rFonts w:ascii="Arial" w:eastAsia="Arial" w:hAnsi="Arial" w:cs="Arial"/>
          <w:sz w:val="20"/>
          <w:szCs w:val="20"/>
        </w:rPr>
        <w:t xml:space="preserve">Enzalutamida se une a las proteínas plasmáticas en un 97 a 98%, principalmente a la albúmina. El metabolito activo se une a las proteínas plasmáticas en un 95%. No hubo desplazamiento de la unión a proteínas entre enzalutamida y otros medicamentos de alta unión (warfarina, ibuprofeno y ácido salicílico) </w:t>
      </w:r>
      <w:r>
        <w:rPr>
          <w:rFonts w:ascii="Arial" w:eastAsia="Arial" w:hAnsi="Arial" w:cs="Arial"/>
          <w:i/>
          <w:sz w:val="20"/>
          <w:szCs w:val="20"/>
        </w:rPr>
        <w:t>in vitro</w:t>
      </w:r>
      <w:r>
        <w:rPr>
          <w:rFonts w:ascii="Arial" w:eastAsia="Arial" w:hAnsi="Arial" w:cs="Arial"/>
          <w:sz w:val="20"/>
          <w:szCs w:val="20"/>
        </w:rPr>
        <w:t>.</w:t>
      </w:r>
    </w:p>
    <w:p w:rsidR="002C4AF7" w:rsidRDefault="007C2686">
      <w:pPr>
        <w:spacing w:before="240" w:after="240"/>
        <w:ind w:left="0" w:hanging="2"/>
        <w:jc w:val="both"/>
        <w:rPr>
          <w:rFonts w:ascii="Arial" w:eastAsia="Arial" w:hAnsi="Arial" w:cs="Arial"/>
          <w:sz w:val="20"/>
          <w:szCs w:val="20"/>
        </w:rPr>
      </w:pPr>
      <w:r>
        <w:rPr>
          <w:rFonts w:ascii="Arial" w:eastAsia="Arial" w:hAnsi="Arial" w:cs="Arial"/>
          <w:b/>
          <w:sz w:val="20"/>
          <w:szCs w:val="20"/>
        </w:rPr>
        <w:lastRenderedPageBreak/>
        <w:t>Biotransformación:</w:t>
      </w:r>
      <w:r>
        <w:rPr>
          <w:rFonts w:ascii="Arial" w:eastAsia="Arial" w:hAnsi="Arial" w:cs="Arial"/>
          <w:sz w:val="20"/>
          <w:szCs w:val="20"/>
        </w:rPr>
        <w:t xml:space="preserve"> Enzalutamida se metaboliza ampliamente. En el plasma humano hay dos metabolitos principales: N-desmetil enzalutamida (activo) y un derivado del ácido carboxílico (inactivo). Enzalutamida se metaboliza por el CYP2C8 y, en menor grado, por el CYP3A4/5, los cuales participan en la formación del metabolito activo.</w:t>
      </w:r>
    </w:p>
    <w:p w:rsidR="002C4AF7" w:rsidRDefault="007C2686">
      <w:pPr>
        <w:spacing w:before="240" w:after="240"/>
        <w:ind w:left="0" w:hanging="2"/>
        <w:jc w:val="both"/>
        <w:rPr>
          <w:rFonts w:ascii="Arial" w:eastAsia="Arial" w:hAnsi="Arial" w:cs="Arial"/>
          <w:sz w:val="20"/>
          <w:szCs w:val="20"/>
        </w:rPr>
      </w:pPr>
      <w:r>
        <w:rPr>
          <w:rFonts w:ascii="Arial" w:eastAsia="Arial" w:hAnsi="Arial" w:cs="Arial"/>
          <w:b/>
          <w:sz w:val="20"/>
          <w:szCs w:val="20"/>
        </w:rPr>
        <w:t>Eliminación:</w:t>
      </w:r>
      <w:r>
        <w:rPr>
          <w:rFonts w:ascii="Arial" w:eastAsia="Arial" w:hAnsi="Arial" w:cs="Arial"/>
          <w:sz w:val="20"/>
          <w:szCs w:val="20"/>
        </w:rPr>
        <w:t xml:space="preserve"> El aclaramiento medio (CL/F) de enzalutamida en pacientes oscila entre 0,520 y 0,564 L/h.</w:t>
      </w:r>
    </w:p>
    <w:p w:rsidR="002C4AF7" w:rsidRDefault="007C2686">
      <w:pPr>
        <w:spacing w:before="240" w:after="240"/>
        <w:ind w:left="0" w:hanging="2"/>
        <w:jc w:val="both"/>
        <w:rPr>
          <w:rFonts w:ascii="Arial" w:eastAsia="Arial" w:hAnsi="Arial" w:cs="Arial"/>
          <w:sz w:val="20"/>
          <w:szCs w:val="20"/>
        </w:rPr>
      </w:pPr>
      <w:r>
        <w:rPr>
          <w:rFonts w:ascii="Arial" w:eastAsia="Arial" w:hAnsi="Arial" w:cs="Arial"/>
          <w:sz w:val="20"/>
          <w:szCs w:val="20"/>
        </w:rPr>
        <w:t>Tras la administración oral de 14C-enzalutamida, el 84,6% de la radiactividad se recupera 77 días después de la administración: el 71,0% se recupera en la orina (principalmente en forma de metabolito inactivo, con cantidades mínimas de enzalutamida y del metabolito activo) y el 13,6% en las heces (0,39% de la dosis en forma de enzalutamida sin modificar).</w:t>
      </w:r>
    </w:p>
    <w:tbl>
      <w:tblPr>
        <w:tblStyle w:val="afff4"/>
        <w:tblW w:w="889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2C4AF7">
        <w:tc>
          <w:tcPr>
            <w:tcW w:w="8890" w:type="dxa"/>
            <w:shd w:val="clear" w:color="auto" w:fill="B3B3B3"/>
          </w:tcPr>
          <w:p w:rsidR="002C4AF7" w:rsidRDefault="007C2686">
            <w:pPr>
              <w:keepNext/>
              <w:shd w:val="clear" w:color="auto" w:fill="A6A6A6"/>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5.- EVALUACIÓN DE LA EFICACIA.</w:t>
            </w:r>
          </w:p>
        </w:tc>
      </w:tr>
    </w:tbl>
    <w:p w:rsidR="002C4AF7" w:rsidRDefault="002C4AF7">
      <w:pPr>
        <w:ind w:left="0" w:hanging="2"/>
        <w:rPr>
          <w:rFonts w:ascii="Arial" w:eastAsia="Arial" w:hAnsi="Arial" w:cs="Arial"/>
          <w:sz w:val="20"/>
          <w:szCs w:val="20"/>
        </w:rPr>
      </w:pPr>
      <w:bookmarkStart w:id="13" w:name="_heading=h.1ksv4uv" w:colFirst="0" w:colLast="0"/>
      <w:bookmarkEnd w:id="13"/>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r>
        <w:rPr>
          <w:rFonts w:ascii="Cambria" w:eastAsia="Cambria" w:hAnsi="Cambria" w:cs="Cambria"/>
          <w:b/>
          <w:i/>
          <w:color w:val="000000"/>
          <w:sz w:val="20"/>
          <w:szCs w:val="20"/>
        </w:rPr>
        <w:t>5.1.a Ensayos clínicos disponibles para la indicación clínica evaluada</w:t>
      </w:r>
    </w:p>
    <w:p w:rsidR="002C4AF7" w:rsidRPr="00DB7ADA" w:rsidRDefault="007C2686">
      <w:pPr>
        <w:spacing w:before="100"/>
        <w:ind w:left="0" w:right="-40" w:hanging="2"/>
        <w:jc w:val="both"/>
        <w:rPr>
          <w:rFonts w:ascii="Arial" w:eastAsia="Arial" w:hAnsi="Arial" w:cs="Arial"/>
          <w:sz w:val="20"/>
          <w:szCs w:val="18"/>
        </w:rPr>
      </w:pPr>
      <w:r w:rsidRPr="00DB7ADA">
        <w:rPr>
          <w:rFonts w:ascii="Arial" w:eastAsia="Arial" w:hAnsi="Arial" w:cs="Arial"/>
          <w:sz w:val="20"/>
          <w:szCs w:val="18"/>
        </w:rPr>
        <w:t xml:space="preserve">En fecha 15/06/2021, se realizó una búsqueda bibliográfica en Pubmed con los siguientes descriptores: (“enzalutamide”) (“metastatic”) y (“Hormone sensitive”). Se obtuvo un ensayo clínico Fase III publicado: ARCHES (9) descrito en el informe EPAR (10).  </w:t>
      </w:r>
      <w:r w:rsidR="00F53EF4" w:rsidRPr="00DB7ADA">
        <w:rPr>
          <w:rFonts w:ascii="Arial" w:eastAsia="Arial" w:hAnsi="Arial" w:cs="Arial"/>
          <w:sz w:val="20"/>
          <w:szCs w:val="18"/>
        </w:rPr>
        <w:t>Además,</w:t>
      </w:r>
      <w:r w:rsidRPr="00DB7ADA">
        <w:rPr>
          <w:rFonts w:ascii="Arial" w:eastAsia="Arial" w:hAnsi="Arial" w:cs="Arial"/>
          <w:sz w:val="20"/>
          <w:szCs w:val="18"/>
        </w:rPr>
        <w:t xml:space="preserve"> se dispone de un estudio de soporte ENZAMET (11). Posteriormente se ha localizado la publicación correspondiente a la actualización del ensayo ARCHES (12)</w:t>
      </w:r>
    </w:p>
    <w:p w:rsidR="002C4AF7" w:rsidRPr="00DB7ADA" w:rsidRDefault="007C2686">
      <w:pPr>
        <w:spacing w:before="100"/>
        <w:ind w:left="0" w:right="-40" w:hanging="2"/>
        <w:jc w:val="both"/>
        <w:rPr>
          <w:rFonts w:ascii="Arial" w:eastAsia="Arial" w:hAnsi="Arial" w:cs="Arial"/>
          <w:sz w:val="20"/>
          <w:szCs w:val="18"/>
        </w:rPr>
      </w:pPr>
      <w:r w:rsidRPr="00DB7ADA">
        <w:rPr>
          <w:rFonts w:ascii="Arial" w:eastAsia="Arial" w:hAnsi="Arial" w:cs="Arial"/>
          <w:sz w:val="20"/>
          <w:szCs w:val="18"/>
        </w:rPr>
        <w:t>ARCHES es un ensayo de fase III multinacional, doble ciego, donde 1.150 hombres con CPHSm fueron asignados aleatoriamente 1:1 para recibir tratamiento con enzalutamida más TDA o placebo más TDA (TDA, definida como uso de un análogo de la LHRH u orquiectomía bilateral previa). La variable principal fue la supervivencia libre de progresión radiográfica (SLPr).</w:t>
      </w:r>
    </w:p>
    <w:p w:rsidR="002C4AF7" w:rsidRPr="00DB7ADA" w:rsidRDefault="007C2686">
      <w:pPr>
        <w:spacing w:before="100"/>
        <w:ind w:left="0" w:right="-40" w:hanging="2"/>
        <w:jc w:val="both"/>
        <w:rPr>
          <w:rFonts w:ascii="Arial" w:eastAsia="Arial" w:hAnsi="Arial" w:cs="Arial"/>
          <w:color w:val="000080"/>
          <w:sz w:val="22"/>
          <w:szCs w:val="20"/>
        </w:rPr>
      </w:pPr>
      <w:bookmarkStart w:id="14" w:name="_heading=h.44sinio" w:colFirst="0" w:colLast="0"/>
      <w:bookmarkEnd w:id="14"/>
      <w:r w:rsidRPr="00DB7ADA">
        <w:rPr>
          <w:rFonts w:ascii="Arial" w:eastAsia="Arial" w:hAnsi="Arial" w:cs="Arial"/>
          <w:sz w:val="20"/>
          <w:szCs w:val="18"/>
        </w:rPr>
        <w:t>ENZAMET es un estudio de soporte fase III, abierto, donde 1.125 hombres con CPHSm fueron aleatorizados a recibir enzalutamida o un antiandrógeno no esteroideo (AANS), todos ellos además con TPA. La variable principal fue la supervivencia global (SG).</w:t>
      </w:r>
    </w:p>
    <w:p w:rsidR="002C4AF7" w:rsidRDefault="002C4AF7">
      <w:pPr>
        <w:ind w:left="0" w:hanging="2"/>
        <w:rPr>
          <w:rFonts w:ascii="Arial" w:eastAsia="Arial" w:hAnsi="Arial" w:cs="Arial"/>
          <w:color w:val="FF0000"/>
          <w:sz w:val="20"/>
          <w:szCs w:val="20"/>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r>
        <w:rPr>
          <w:rFonts w:ascii="Cambria" w:eastAsia="Cambria" w:hAnsi="Cambria" w:cs="Cambria"/>
          <w:b/>
          <w:i/>
          <w:color w:val="000000"/>
          <w:sz w:val="20"/>
          <w:szCs w:val="20"/>
        </w:rPr>
        <w:t xml:space="preserve">5.1.b Variables utilizadas en los ensayos </w:t>
      </w:r>
    </w:p>
    <w:p w:rsidR="002C4AF7" w:rsidRDefault="002C4AF7">
      <w:pPr>
        <w:ind w:left="0" w:hanging="2"/>
        <w:jc w:val="both"/>
        <w:rPr>
          <w:rFonts w:ascii="Arial" w:eastAsia="Arial" w:hAnsi="Arial" w:cs="Arial"/>
          <w:color w:val="000080"/>
          <w:sz w:val="20"/>
          <w:szCs w:val="20"/>
        </w:rPr>
      </w:pPr>
    </w:p>
    <w:tbl>
      <w:tblPr>
        <w:tblStyle w:val="afff5"/>
        <w:tblW w:w="8765" w:type="dxa"/>
        <w:tblInd w:w="-120" w:type="dxa"/>
        <w:tblLayout w:type="fixed"/>
        <w:tblLook w:val="0000" w:firstRow="0" w:lastRow="0" w:firstColumn="0" w:lastColumn="0" w:noHBand="0" w:noVBand="0"/>
      </w:tblPr>
      <w:tblGrid>
        <w:gridCol w:w="2262"/>
        <w:gridCol w:w="1350"/>
        <w:gridCol w:w="3300"/>
        <w:gridCol w:w="1853"/>
      </w:tblGrid>
      <w:tr w:rsidR="002C4AF7">
        <w:tc>
          <w:tcPr>
            <w:tcW w:w="8765" w:type="dxa"/>
            <w:gridSpan w:val="4"/>
            <w:tcBorders>
              <w:top w:val="single" w:sz="4" w:space="0" w:color="000000"/>
              <w:left w:val="single" w:sz="4" w:space="0" w:color="000000"/>
              <w:bottom w:val="single" w:sz="4" w:space="0" w:color="000000"/>
              <w:right w:val="single" w:sz="4" w:space="0" w:color="000000"/>
            </w:tcBorders>
            <w:shd w:val="clear" w:color="auto" w:fill="CCFFCC"/>
          </w:tcPr>
          <w:p w:rsidR="002C4AF7" w:rsidRDefault="007C2686">
            <w:pPr>
              <w:spacing w:line="240" w:lineRule="auto"/>
              <w:ind w:left="0" w:hanging="2"/>
              <w:rPr>
                <w:color w:val="000000"/>
              </w:rPr>
            </w:pPr>
            <w:r>
              <w:rPr>
                <w:rFonts w:ascii="Arial" w:eastAsia="Arial" w:hAnsi="Arial" w:cs="Arial"/>
                <w:color w:val="000000"/>
                <w:sz w:val="16"/>
                <w:szCs w:val="16"/>
              </w:rPr>
              <w:t xml:space="preserve">Variables empleadas en el ensayo clínico ARCHES </w:t>
            </w:r>
          </w:p>
        </w:tc>
      </w:tr>
      <w:tr w:rsidR="002C4AF7">
        <w:tc>
          <w:tcPr>
            <w:tcW w:w="2262" w:type="dxa"/>
            <w:tcBorders>
              <w:top w:val="single" w:sz="4" w:space="0" w:color="000000"/>
              <w:left w:val="single" w:sz="4" w:space="0" w:color="000000"/>
              <w:bottom w:val="single" w:sz="4" w:space="0" w:color="000000"/>
            </w:tcBorders>
            <w:shd w:val="clear" w:color="auto" w:fill="D9D9D9"/>
          </w:tcPr>
          <w:p w:rsidR="002C4AF7" w:rsidRDefault="007C2686">
            <w:pPr>
              <w:ind w:left="0" w:hanging="2"/>
            </w:pPr>
            <w:r>
              <w:rPr>
                <w:rFonts w:ascii="Arial" w:eastAsia="Arial" w:hAnsi="Arial" w:cs="Arial"/>
                <w:b/>
                <w:color w:val="000000"/>
                <w:sz w:val="16"/>
                <w:szCs w:val="16"/>
              </w:rPr>
              <w:t>EFICACIA</w:t>
            </w:r>
          </w:p>
        </w:tc>
        <w:tc>
          <w:tcPr>
            <w:tcW w:w="1350" w:type="dxa"/>
            <w:tcBorders>
              <w:top w:val="single" w:sz="4" w:space="0" w:color="000000"/>
              <w:left w:val="single" w:sz="4" w:space="0" w:color="000000"/>
              <w:bottom w:val="single" w:sz="4" w:space="0" w:color="000000"/>
            </w:tcBorders>
            <w:shd w:val="clear" w:color="auto" w:fill="D9D9D9"/>
          </w:tcPr>
          <w:p w:rsidR="002C4AF7" w:rsidRDefault="007C2686">
            <w:pPr>
              <w:ind w:left="0" w:hanging="2"/>
            </w:pPr>
            <w:r>
              <w:rPr>
                <w:rFonts w:ascii="Arial" w:eastAsia="Arial" w:hAnsi="Arial" w:cs="Arial"/>
                <w:b/>
                <w:color w:val="000000"/>
                <w:sz w:val="16"/>
                <w:szCs w:val="16"/>
              </w:rPr>
              <w:t>Enunciado</w:t>
            </w:r>
          </w:p>
        </w:tc>
        <w:tc>
          <w:tcPr>
            <w:tcW w:w="3300" w:type="dxa"/>
            <w:tcBorders>
              <w:top w:val="single" w:sz="4" w:space="0" w:color="000000"/>
              <w:left w:val="single" w:sz="4" w:space="0" w:color="000000"/>
              <w:bottom w:val="single" w:sz="4" w:space="0" w:color="000000"/>
            </w:tcBorders>
            <w:shd w:val="clear" w:color="auto" w:fill="D9D9D9"/>
          </w:tcPr>
          <w:p w:rsidR="002C4AF7" w:rsidRDefault="007C2686">
            <w:pPr>
              <w:ind w:left="0" w:hanging="2"/>
            </w:pPr>
            <w:r>
              <w:rPr>
                <w:rFonts w:ascii="Arial" w:eastAsia="Arial" w:hAnsi="Arial" w:cs="Arial"/>
                <w:b/>
                <w:color w:val="000000"/>
                <w:sz w:val="16"/>
                <w:szCs w:val="16"/>
              </w:rPr>
              <w:t>Descripción</w:t>
            </w:r>
          </w:p>
        </w:tc>
        <w:tc>
          <w:tcPr>
            <w:tcW w:w="1853" w:type="dxa"/>
            <w:tcBorders>
              <w:top w:val="single" w:sz="4" w:space="0" w:color="000000"/>
              <w:left w:val="single" w:sz="4" w:space="0" w:color="000000"/>
              <w:bottom w:val="single" w:sz="4" w:space="0" w:color="000000"/>
              <w:right w:val="single" w:sz="4" w:space="0" w:color="000000"/>
            </w:tcBorders>
            <w:shd w:val="clear" w:color="auto" w:fill="D9D9D9"/>
          </w:tcPr>
          <w:p w:rsidR="002C4AF7" w:rsidRDefault="007C2686">
            <w:pPr>
              <w:tabs>
                <w:tab w:val="left" w:pos="2924"/>
              </w:tabs>
              <w:ind w:left="0" w:hanging="2"/>
            </w:pPr>
            <w:r>
              <w:rPr>
                <w:rFonts w:ascii="Arial" w:eastAsia="Arial" w:hAnsi="Arial" w:cs="Arial"/>
                <w:b/>
                <w:color w:val="000000"/>
                <w:sz w:val="16"/>
                <w:szCs w:val="16"/>
              </w:rPr>
              <w:t>Variable intermedia o final</w:t>
            </w:r>
          </w:p>
        </w:tc>
      </w:tr>
      <w:tr w:rsidR="002C4AF7">
        <w:tc>
          <w:tcPr>
            <w:tcW w:w="2262" w:type="dxa"/>
            <w:tcBorders>
              <w:top w:val="single" w:sz="4" w:space="0" w:color="000000"/>
              <w:left w:val="single" w:sz="4" w:space="0" w:color="000000"/>
              <w:bottom w:val="single" w:sz="4" w:space="0" w:color="000000"/>
            </w:tcBorders>
            <w:shd w:val="clear" w:color="auto" w:fill="auto"/>
          </w:tcPr>
          <w:p w:rsidR="002C4AF7" w:rsidRDefault="007C2686">
            <w:pPr>
              <w:ind w:left="0" w:hanging="2"/>
            </w:pPr>
            <w:r>
              <w:rPr>
                <w:rFonts w:ascii="Arial" w:eastAsia="Arial" w:hAnsi="Arial" w:cs="Arial"/>
                <w:color w:val="000000"/>
                <w:sz w:val="16"/>
                <w:szCs w:val="16"/>
              </w:rPr>
              <w:t xml:space="preserve">Variable principal </w:t>
            </w:r>
          </w:p>
        </w:tc>
        <w:tc>
          <w:tcPr>
            <w:tcW w:w="1350" w:type="dxa"/>
            <w:tcBorders>
              <w:top w:val="single" w:sz="4" w:space="0" w:color="000000"/>
              <w:left w:val="single" w:sz="4" w:space="0" w:color="000000"/>
              <w:bottom w:val="single" w:sz="4" w:space="0" w:color="000000"/>
            </w:tcBorders>
            <w:shd w:val="clear" w:color="auto" w:fill="auto"/>
          </w:tcPr>
          <w:p w:rsidR="002C4AF7" w:rsidRDefault="007C2686">
            <w:pPr>
              <w:shd w:val="clear" w:color="auto" w:fill="FFFFFF"/>
              <w:spacing w:line="240" w:lineRule="auto"/>
              <w:ind w:left="0" w:hanging="2"/>
              <w:rPr>
                <w:color w:val="000000"/>
              </w:rPr>
            </w:pPr>
            <w:r>
              <w:rPr>
                <w:rFonts w:ascii="ArialMT" w:eastAsia="ArialMT" w:hAnsi="ArialMT" w:cs="ArialMT"/>
                <w:color w:val="000000"/>
                <w:sz w:val="16"/>
                <w:szCs w:val="16"/>
              </w:rPr>
              <w:t xml:space="preserve">Supervivencia libre de progresión radiográfica (SLPr) </w:t>
            </w:r>
          </w:p>
        </w:tc>
        <w:tc>
          <w:tcPr>
            <w:tcW w:w="3300" w:type="dxa"/>
            <w:tcBorders>
              <w:top w:val="single" w:sz="4" w:space="0" w:color="000000"/>
              <w:left w:val="single" w:sz="4" w:space="0" w:color="000000"/>
              <w:bottom w:val="single" w:sz="4" w:space="0" w:color="000000"/>
            </w:tcBorders>
            <w:shd w:val="clear" w:color="auto" w:fill="auto"/>
          </w:tcPr>
          <w:p w:rsidR="002C4AF7" w:rsidRDefault="007C2686">
            <w:pPr>
              <w:widowControl w:val="0"/>
              <w:spacing w:after="240"/>
              <w:ind w:left="0" w:hanging="2"/>
              <w:rPr>
                <w:rFonts w:ascii="Arial" w:eastAsia="Arial" w:hAnsi="Arial" w:cs="Arial"/>
                <w:sz w:val="16"/>
                <w:szCs w:val="16"/>
              </w:rPr>
            </w:pPr>
            <w:r>
              <w:rPr>
                <w:rFonts w:ascii="Arial" w:eastAsia="Arial" w:hAnsi="Arial" w:cs="Arial"/>
                <w:color w:val="000000"/>
                <w:sz w:val="16"/>
                <w:szCs w:val="16"/>
              </w:rPr>
              <w:t>SLPr: tiempo desde la aleatorización hasta la fecha de la primera progresión tumoral documentada (por RECIST 1.1) o la m</w:t>
            </w:r>
            <w:r>
              <w:rPr>
                <w:rFonts w:ascii="Arial" w:eastAsia="Arial" w:hAnsi="Arial" w:cs="Arial"/>
                <w:sz w:val="16"/>
                <w:szCs w:val="16"/>
              </w:rPr>
              <w:t xml:space="preserve">uerte debido a cualquier causa. </w:t>
            </w:r>
          </w:p>
          <w:p w:rsidR="002C4AF7" w:rsidRDefault="007C2686">
            <w:pPr>
              <w:widowControl w:val="0"/>
              <w:spacing w:after="240"/>
              <w:ind w:left="0" w:hanging="2"/>
              <w:rPr>
                <w:rFonts w:ascii="Arial" w:eastAsia="Arial" w:hAnsi="Arial" w:cs="Arial"/>
                <w:color w:val="000000"/>
                <w:sz w:val="16"/>
                <w:szCs w:val="16"/>
              </w:rPr>
            </w:pPr>
            <w:r>
              <w:rPr>
                <w:rFonts w:ascii="Arial" w:eastAsia="Arial" w:hAnsi="Arial" w:cs="Arial"/>
                <w:sz w:val="16"/>
                <w:szCs w:val="16"/>
              </w:rPr>
              <w:t>Se considera progresión radiológica la aparición de cualquier lesión sugestiva de progresión en tejidos blandos y huesos, detectada mediante tomografía computarizada (TC) o resonancia magnética (RM).</w:t>
            </w:r>
          </w:p>
        </w:tc>
        <w:tc>
          <w:tcPr>
            <w:tcW w:w="1853" w:type="dxa"/>
            <w:tcBorders>
              <w:top w:val="single" w:sz="4" w:space="0" w:color="000000"/>
              <w:left w:val="single" w:sz="4" w:space="0" w:color="000000"/>
              <w:bottom w:val="single" w:sz="4" w:space="0" w:color="000000"/>
              <w:right w:val="single" w:sz="4" w:space="0" w:color="000000"/>
            </w:tcBorders>
            <w:shd w:val="clear" w:color="auto" w:fill="CCFFCC"/>
          </w:tcPr>
          <w:p w:rsidR="002C4AF7" w:rsidRDefault="007C2686">
            <w:pPr>
              <w:tabs>
                <w:tab w:val="left" w:pos="2924"/>
              </w:tabs>
              <w:ind w:left="0" w:hanging="2"/>
            </w:pPr>
            <w:r>
              <w:rPr>
                <w:rFonts w:ascii="Arial" w:eastAsia="Arial" w:hAnsi="Arial" w:cs="Arial"/>
                <w:color w:val="000000"/>
                <w:sz w:val="16"/>
                <w:szCs w:val="16"/>
              </w:rPr>
              <w:t>Intermedia</w:t>
            </w:r>
          </w:p>
        </w:tc>
      </w:tr>
      <w:tr w:rsidR="002C4AF7">
        <w:trPr>
          <w:cantSplit/>
          <w:trHeight w:val="389"/>
        </w:trPr>
        <w:tc>
          <w:tcPr>
            <w:tcW w:w="2262" w:type="dxa"/>
            <w:vMerge w:val="restart"/>
            <w:tcBorders>
              <w:top w:val="single" w:sz="4" w:space="0" w:color="000000"/>
              <w:left w:val="single" w:sz="4" w:space="0" w:color="000000"/>
            </w:tcBorders>
            <w:shd w:val="clear" w:color="auto" w:fill="auto"/>
          </w:tcPr>
          <w:p w:rsidR="002C4AF7" w:rsidRDefault="007C2686">
            <w:pPr>
              <w:ind w:left="0" w:hanging="2"/>
            </w:pPr>
            <w:r>
              <w:rPr>
                <w:rFonts w:ascii="Arial" w:eastAsia="Arial" w:hAnsi="Arial" w:cs="Arial"/>
                <w:color w:val="000000"/>
                <w:sz w:val="16"/>
                <w:szCs w:val="16"/>
              </w:rPr>
              <w:t>Variables secundarias</w:t>
            </w:r>
          </w:p>
        </w:tc>
        <w:tc>
          <w:tcPr>
            <w:tcW w:w="1350" w:type="dxa"/>
            <w:tcBorders>
              <w:top w:val="single" w:sz="4" w:space="0" w:color="000000"/>
              <w:left w:val="single" w:sz="4" w:space="0" w:color="000000"/>
              <w:bottom w:val="single" w:sz="4" w:space="0" w:color="000000"/>
            </w:tcBorders>
            <w:shd w:val="clear" w:color="auto" w:fill="auto"/>
          </w:tcPr>
          <w:p w:rsidR="002C4AF7" w:rsidRDefault="007C2686">
            <w:pPr>
              <w:ind w:left="0" w:hanging="2"/>
            </w:pPr>
            <w:r>
              <w:rPr>
                <w:rFonts w:ascii="Arial" w:eastAsia="Arial" w:hAnsi="Arial" w:cs="Arial"/>
                <w:color w:val="000000"/>
                <w:sz w:val="16"/>
                <w:szCs w:val="16"/>
              </w:rPr>
              <w:t>Tiempo hasta progresión de PSA</w:t>
            </w:r>
          </w:p>
        </w:tc>
        <w:tc>
          <w:tcPr>
            <w:tcW w:w="3300" w:type="dxa"/>
            <w:tcBorders>
              <w:top w:val="single" w:sz="4" w:space="0" w:color="000000"/>
              <w:left w:val="single" w:sz="4" w:space="0" w:color="000000"/>
              <w:bottom w:val="single" w:sz="4" w:space="0" w:color="000000"/>
            </w:tcBorders>
            <w:shd w:val="clear" w:color="auto" w:fill="auto"/>
          </w:tcPr>
          <w:p w:rsidR="002C4AF7" w:rsidRDefault="007C2686">
            <w:pPr>
              <w:ind w:left="0" w:hanging="2"/>
            </w:pPr>
            <w:r>
              <w:rPr>
                <w:rFonts w:ascii="Arial" w:eastAsia="Arial" w:hAnsi="Arial" w:cs="Arial"/>
                <w:color w:val="000000"/>
                <w:sz w:val="16"/>
                <w:szCs w:val="16"/>
              </w:rPr>
              <w:t>Tiempo desde la aleatorización hasta aumento de PSA del 25% o superior y un aumento absoluto de 2 ng/ml sobre el basal.</w:t>
            </w:r>
          </w:p>
          <w:p w:rsidR="002C4AF7" w:rsidRDefault="002C4AF7">
            <w:pPr>
              <w:ind w:left="0" w:hanging="2"/>
              <w:rPr>
                <w:rFonts w:ascii="Arial" w:eastAsia="Arial" w:hAnsi="Arial" w:cs="Arial"/>
                <w:color w:val="000000"/>
                <w:sz w:val="16"/>
                <w:szCs w:val="16"/>
              </w:rPr>
            </w:pPr>
          </w:p>
        </w:tc>
        <w:tc>
          <w:tcPr>
            <w:tcW w:w="1853" w:type="dxa"/>
            <w:tcBorders>
              <w:top w:val="single" w:sz="4" w:space="0" w:color="000000"/>
              <w:left w:val="single" w:sz="4" w:space="0" w:color="000000"/>
              <w:bottom w:val="single" w:sz="4" w:space="0" w:color="000000"/>
              <w:right w:val="single" w:sz="4" w:space="0" w:color="000000"/>
            </w:tcBorders>
            <w:shd w:val="clear" w:color="auto" w:fill="CCFFCC"/>
          </w:tcPr>
          <w:p w:rsidR="002C4AF7" w:rsidRDefault="007C2686">
            <w:pPr>
              <w:ind w:left="0" w:hanging="2"/>
            </w:pPr>
            <w:r>
              <w:rPr>
                <w:rFonts w:ascii="Arial" w:eastAsia="Arial" w:hAnsi="Arial" w:cs="Arial"/>
                <w:color w:val="000000"/>
                <w:sz w:val="16"/>
                <w:szCs w:val="16"/>
              </w:rPr>
              <w:t>Intermedia</w:t>
            </w:r>
          </w:p>
          <w:p w:rsidR="002C4AF7" w:rsidRDefault="002C4AF7">
            <w:pPr>
              <w:tabs>
                <w:tab w:val="left" w:pos="2924"/>
              </w:tabs>
              <w:ind w:left="0" w:hanging="2"/>
            </w:pPr>
          </w:p>
        </w:tc>
      </w:tr>
      <w:tr w:rsidR="002C4AF7">
        <w:trPr>
          <w:cantSplit/>
          <w:trHeight w:val="572"/>
        </w:trPr>
        <w:tc>
          <w:tcPr>
            <w:tcW w:w="2262" w:type="dxa"/>
            <w:vMerge/>
            <w:tcBorders>
              <w:top w:val="single" w:sz="4" w:space="0" w:color="000000"/>
              <w:left w:val="single" w:sz="4" w:space="0" w:color="000000"/>
            </w:tcBorders>
            <w:shd w:val="clear" w:color="auto" w:fill="auto"/>
          </w:tcPr>
          <w:p w:rsidR="002C4AF7" w:rsidRDefault="002C4AF7">
            <w:pPr>
              <w:widowControl w:val="0"/>
              <w:pBdr>
                <w:top w:val="nil"/>
                <w:left w:val="nil"/>
                <w:bottom w:val="nil"/>
                <w:right w:val="nil"/>
                <w:between w:val="nil"/>
              </w:pBdr>
              <w:spacing w:line="276" w:lineRule="auto"/>
              <w:ind w:left="0" w:hanging="2"/>
            </w:pPr>
          </w:p>
        </w:tc>
        <w:tc>
          <w:tcPr>
            <w:tcW w:w="1350" w:type="dxa"/>
            <w:tcBorders>
              <w:top w:val="single" w:sz="4" w:space="0" w:color="000000"/>
              <w:left w:val="single" w:sz="4" w:space="0" w:color="000000"/>
              <w:bottom w:val="single" w:sz="4" w:space="0" w:color="000000"/>
            </w:tcBorders>
            <w:shd w:val="clear" w:color="auto" w:fill="auto"/>
          </w:tcPr>
          <w:p w:rsidR="002C4AF7" w:rsidRDefault="007C2686">
            <w:pPr>
              <w:ind w:left="0" w:hanging="2"/>
            </w:pPr>
            <w:r>
              <w:rPr>
                <w:rFonts w:ascii="Arial" w:eastAsia="Arial" w:hAnsi="Arial" w:cs="Arial"/>
                <w:color w:val="000000"/>
                <w:sz w:val="16"/>
                <w:szCs w:val="16"/>
              </w:rPr>
              <w:t>Tiempo hasta el primer uso de una nueva terapia antineoplásica</w:t>
            </w:r>
          </w:p>
        </w:tc>
        <w:tc>
          <w:tcPr>
            <w:tcW w:w="3300" w:type="dxa"/>
            <w:tcBorders>
              <w:top w:val="single" w:sz="4" w:space="0" w:color="000000"/>
              <w:left w:val="single" w:sz="4" w:space="0" w:color="000000"/>
              <w:bottom w:val="single" w:sz="4" w:space="0" w:color="000000"/>
            </w:tcBorders>
            <w:shd w:val="clear" w:color="auto" w:fill="auto"/>
          </w:tcPr>
          <w:p w:rsidR="002C4AF7" w:rsidRDefault="007C2686">
            <w:pPr>
              <w:ind w:left="0" w:hanging="2"/>
            </w:pPr>
            <w:r>
              <w:rPr>
                <w:rFonts w:ascii="Arial" w:eastAsia="Arial" w:hAnsi="Arial" w:cs="Arial"/>
                <w:color w:val="000000"/>
                <w:sz w:val="16"/>
                <w:szCs w:val="16"/>
              </w:rPr>
              <w:t>Tiempo desde la aleatorización hasta el primer uso de una nueva terapia antineoplásica para cáncer de próstata.</w:t>
            </w:r>
          </w:p>
          <w:p w:rsidR="002C4AF7" w:rsidRDefault="002C4AF7">
            <w:pPr>
              <w:ind w:left="0" w:hanging="2"/>
              <w:rPr>
                <w:rFonts w:ascii="Arial" w:eastAsia="Arial" w:hAnsi="Arial" w:cs="Arial"/>
                <w:color w:val="000000"/>
                <w:sz w:val="16"/>
                <w:szCs w:val="16"/>
              </w:rPr>
            </w:pPr>
          </w:p>
        </w:tc>
        <w:tc>
          <w:tcPr>
            <w:tcW w:w="1853" w:type="dxa"/>
            <w:tcBorders>
              <w:top w:val="single" w:sz="4" w:space="0" w:color="000000"/>
              <w:left w:val="single" w:sz="4" w:space="0" w:color="000000"/>
              <w:bottom w:val="single" w:sz="4" w:space="0" w:color="000000"/>
              <w:right w:val="single" w:sz="4" w:space="0" w:color="000000"/>
            </w:tcBorders>
            <w:shd w:val="clear" w:color="auto" w:fill="CCFFCC"/>
          </w:tcPr>
          <w:p w:rsidR="002C4AF7" w:rsidRDefault="007C2686">
            <w:pPr>
              <w:ind w:left="0" w:hanging="2"/>
            </w:pPr>
            <w:r>
              <w:rPr>
                <w:rFonts w:ascii="Arial" w:eastAsia="Arial" w:hAnsi="Arial" w:cs="Arial"/>
                <w:color w:val="000000"/>
                <w:sz w:val="16"/>
                <w:szCs w:val="16"/>
              </w:rPr>
              <w:t>Intermedia</w:t>
            </w:r>
          </w:p>
          <w:p w:rsidR="002C4AF7" w:rsidRDefault="002C4AF7">
            <w:pPr>
              <w:tabs>
                <w:tab w:val="left" w:pos="2924"/>
              </w:tabs>
              <w:ind w:left="0" w:hanging="2"/>
            </w:pPr>
          </w:p>
        </w:tc>
      </w:tr>
      <w:tr w:rsidR="002C4AF7">
        <w:trPr>
          <w:cantSplit/>
        </w:trPr>
        <w:tc>
          <w:tcPr>
            <w:tcW w:w="2262" w:type="dxa"/>
            <w:vMerge/>
            <w:tcBorders>
              <w:top w:val="single" w:sz="4" w:space="0" w:color="000000"/>
              <w:left w:val="single" w:sz="4" w:space="0" w:color="000000"/>
            </w:tcBorders>
            <w:shd w:val="clear" w:color="auto" w:fill="auto"/>
          </w:tcPr>
          <w:p w:rsidR="002C4AF7" w:rsidRDefault="002C4AF7">
            <w:pPr>
              <w:widowControl w:val="0"/>
              <w:pBdr>
                <w:top w:val="nil"/>
                <w:left w:val="nil"/>
                <w:bottom w:val="nil"/>
                <w:right w:val="nil"/>
                <w:between w:val="nil"/>
              </w:pBdr>
              <w:spacing w:line="276" w:lineRule="auto"/>
              <w:ind w:left="0" w:hanging="2"/>
            </w:pPr>
          </w:p>
        </w:tc>
        <w:tc>
          <w:tcPr>
            <w:tcW w:w="1350" w:type="dxa"/>
            <w:tcBorders>
              <w:top w:val="single" w:sz="4" w:space="0" w:color="000000"/>
              <w:left w:val="single" w:sz="4" w:space="0" w:color="000000"/>
              <w:bottom w:val="single" w:sz="4" w:space="0" w:color="000000"/>
            </w:tcBorders>
            <w:shd w:val="clear" w:color="auto" w:fill="auto"/>
          </w:tcPr>
          <w:p w:rsidR="002C4AF7" w:rsidRDefault="007C2686">
            <w:pPr>
              <w:ind w:left="0" w:hanging="2"/>
            </w:pPr>
            <w:r>
              <w:rPr>
                <w:rFonts w:ascii="Arial" w:eastAsia="Arial" w:hAnsi="Arial" w:cs="Arial"/>
                <w:sz w:val="16"/>
                <w:szCs w:val="16"/>
              </w:rPr>
              <w:t>Tasa de PSA indetectable</w:t>
            </w:r>
          </w:p>
        </w:tc>
        <w:tc>
          <w:tcPr>
            <w:tcW w:w="3300" w:type="dxa"/>
            <w:tcBorders>
              <w:top w:val="single" w:sz="4" w:space="0" w:color="000000"/>
              <w:left w:val="single" w:sz="4" w:space="0" w:color="000000"/>
              <w:bottom w:val="single" w:sz="4" w:space="0" w:color="000000"/>
            </w:tcBorders>
            <w:shd w:val="clear" w:color="auto" w:fill="auto"/>
          </w:tcPr>
          <w:p w:rsidR="002C4AF7" w:rsidRDefault="007C2686">
            <w:pPr>
              <w:ind w:left="0" w:hanging="2"/>
              <w:rPr>
                <w:rFonts w:ascii="Arial" w:eastAsia="Arial" w:hAnsi="Arial" w:cs="Arial"/>
                <w:color w:val="000000"/>
                <w:sz w:val="16"/>
                <w:szCs w:val="16"/>
              </w:rPr>
            </w:pPr>
            <w:r>
              <w:rPr>
                <w:rFonts w:ascii="Arial" w:eastAsia="Arial" w:hAnsi="Arial" w:cs="Arial"/>
                <w:sz w:val="16"/>
                <w:szCs w:val="16"/>
              </w:rPr>
              <w:t xml:space="preserve">Porcentaje de pacientes con PSA detectable basal </w:t>
            </w:r>
            <w:sdt>
              <w:sdtPr>
                <w:tag w:val="goog_rdk_0"/>
                <w:id w:val="1537627838"/>
              </w:sdtPr>
              <w:sdtEndPr/>
              <w:sdtContent>
                <w:r>
                  <w:rPr>
                    <w:rFonts w:ascii="Arial Unicode MS" w:eastAsia="Arial Unicode MS" w:hAnsi="Arial Unicode MS" w:cs="Arial Unicode MS"/>
                    <w:color w:val="000000"/>
                    <w:sz w:val="16"/>
                    <w:szCs w:val="16"/>
                  </w:rPr>
                  <w:t>(≥0.2</w:t>
                </w:r>
              </w:sdtContent>
            </w:sdt>
          </w:p>
          <w:p w:rsidR="002C4AF7" w:rsidRDefault="007C2686">
            <w:pPr>
              <w:ind w:left="0" w:hanging="2"/>
            </w:pPr>
            <w:r>
              <w:rPr>
                <w:rFonts w:ascii="Arial" w:eastAsia="Arial" w:hAnsi="Arial" w:cs="Arial"/>
                <w:color w:val="000000"/>
                <w:sz w:val="16"/>
                <w:szCs w:val="16"/>
              </w:rPr>
              <w:t>ng /ml) que pasa</w:t>
            </w:r>
            <w:r>
              <w:rPr>
                <w:rFonts w:ascii="Arial" w:eastAsia="Arial" w:hAnsi="Arial" w:cs="Arial"/>
                <w:sz w:val="16"/>
                <w:szCs w:val="16"/>
              </w:rPr>
              <w:t>n a ser indetectables (&lt;0.2 ng/ml) durante el tratamiento.</w:t>
            </w:r>
          </w:p>
        </w:tc>
        <w:tc>
          <w:tcPr>
            <w:tcW w:w="1853" w:type="dxa"/>
            <w:tcBorders>
              <w:top w:val="single" w:sz="4" w:space="0" w:color="000000"/>
              <w:left w:val="single" w:sz="4" w:space="0" w:color="000000"/>
              <w:bottom w:val="single" w:sz="4" w:space="0" w:color="000000"/>
              <w:right w:val="single" w:sz="4" w:space="0" w:color="000000"/>
            </w:tcBorders>
            <w:shd w:val="clear" w:color="auto" w:fill="CCFFCC"/>
          </w:tcPr>
          <w:p w:rsidR="002C4AF7" w:rsidRDefault="007C2686">
            <w:pPr>
              <w:ind w:left="0" w:hanging="2"/>
            </w:pPr>
            <w:r>
              <w:rPr>
                <w:rFonts w:ascii="Arial" w:eastAsia="Arial" w:hAnsi="Arial" w:cs="Arial"/>
                <w:sz w:val="16"/>
                <w:szCs w:val="16"/>
              </w:rPr>
              <w:t>Intermedia</w:t>
            </w:r>
          </w:p>
          <w:p w:rsidR="002C4AF7" w:rsidRDefault="002C4AF7">
            <w:pPr>
              <w:tabs>
                <w:tab w:val="left" w:pos="2924"/>
              </w:tabs>
              <w:ind w:left="0" w:hanging="2"/>
            </w:pPr>
          </w:p>
        </w:tc>
      </w:tr>
      <w:tr w:rsidR="002C4AF7">
        <w:trPr>
          <w:cantSplit/>
        </w:trPr>
        <w:tc>
          <w:tcPr>
            <w:tcW w:w="2262" w:type="dxa"/>
            <w:vMerge/>
            <w:tcBorders>
              <w:top w:val="single" w:sz="4" w:space="0" w:color="000000"/>
              <w:left w:val="single" w:sz="4" w:space="0" w:color="000000"/>
            </w:tcBorders>
            <w:shd w:val="clear" w:color="auto" w:fill="auto"/>
          </w:tcPr>
          <w:p w:rsidR="002C4AF7" w:rsidRDefault="002C4AF7">
            <w:pPr>
              <w:widowControl w:val="0"/>
              <w:pBdr>
                <w:top w:val="nil"/>
                <w:left w:val="nil"/>
                <w:bottom w:val="nil"/>
                <w:right w:val="nil"/>
                <w:between w:val="nil"/>
              </w:pBdr>
              <w:spacing w:line="276" w:lineRule="auto"/>
              <w:ind w:left="0" w:hanging="2"/>
            </w:pPr>
          </w:p>
        </w:tc>
        <w:tc>
          <w:tcPr>
            <w:tcW w:w="1350" w:type="dxa"/>
            <w:tcBorders>
              <w:top w:val="single" w:sz="4" w:space="0" w:color="000000"/>
              <w:left w:val="single" w:sz="4" w:space="0" w:color="000000"/>
              <w:bottom w:val="single" w:sz="4" w:space="0" w:color="000000"/>
            </w:tcBorders>
            <w:shd w:val="clear" w:color="auto" w:fill="auto"/>
          </w:tcPr>
          <w:p w:rsidR="002C4AF7" w:rsidRDefault="007C2686">
            <w:pPr>
              <w:ind w:left="0" w:hanging="2"/>
            </w:pPr>
            <w:r>
              <w:rPr>
                <w:rFonts w:ascii="Arial" w:eastAsia="Arial" w:hAnsi="Arial" w:cs="Arial"/>
                <w:sz w:val="16"/>
                <w:szCs w:val="16"/>
              </w:rPr>
              <w:t>Tasa de respuesta objetiva</w:t>
            </w:r>
          </w:p>
        </w:tc>
        <w:tc>
          <w:tcPr>
            <w:tcW w:w="3300" w:type="dxa"/>
            <w:tcBorders>
              <w:top w:val="single" w:sz="4" w:space="0" w:color="000000"/>
              <w:left w:val="single" w:sz="4" w:space="0" w:color="000000"/>
              <w:bottom w:val="single" w:sz="4" w:space="0" w:color="000000"/>
            </w:tcBorders>
            <w:shd w:val="clear" w:color="auto" w:fill="auto"/>
          </w:tcPr>
          <w:p w:rsidR="002C4AF7" w:rsidRDefault="007C2686">
            <w:pPr>
              <w:ind w:left="0" w:hanging="2"/>
              <w:rPr>
                <w:rFonts w:ascii="Arial" w:eastAsia="Arial" w:hAnsi="Arial" w:cs="Arial"/>
                <w:color w:val="000000"/>
                <w:sz w:val="16"/>
                <w:szCs w:val="16"/>
              </w:rPr>
            </w:pPr>
            <w:r>
              <w:rPr>
                <w:rFonts w:ascii="Arial" w:eastAsia="Arial" w:hAnsi="Arial" w:cs="Arial"/>
                <w:sz w:val="16"/>
                <w:szCs w:val="16"/>
              </w:rPr>
              <w:t>Porcentaje de pacientes con respuesta completa o parcial según la versión RECIST 1.1</w:t>
            </w:r>
          </w:p>
        </w:tc>
        <w:tc>
          <w:tcPr>
            <w:tcW w:w="1853" w:type="dxa"/>
            <w:tcBorders>
              <w:top w:val="single" w:sz="4" w:space="0" w:color="000000"/>
              <w:left w:val="single" w:sz="4" w:space="0" w:color="000000"/>
              <w:bottom w:val="single" w:sz="4" w:space="0" w:color="000000"/>
              <w:right w:val="single" w:sz="4" w:space="0" w:color="000000"/>
            </w:tcBorders>
            <w:shd w:val="clear" w:color="auto" w:fill="CCFFCC"/>
          </w:tcPr>
          <w:p w:rsidR="002C4AF7" w:rsidRDefault="007C2686">
            <w:pPr>
              <w:ind w:left="0" w:hanging="2"/>
            </w:pPr>
            <w:r>
              <w:rPr>
                <w:rFonts w:ascii="Arial" w:eastAsia="Arial" w:hAnsi="Arial" w:cs="Arial"/>
                <w:sz w:val="16"/>
                <w:szCs w:val="16"/>
              </w:rPr>
              <w:t>Intermedia</w:t>
            </w:r>
          </w:p>
          <w:p w:rsidR="002C4AF7" w:rsidRDefault="002C4AF7">
            <w:pPr>
              <w:tabs>
                <w:tab w:val="left" w:pos="2924"/>
              </w:tabs>
              <w:ind w:left="0" w:hanging="2"/>
            </w:pPr>
          </w:p>
        </w:tc>
      </w:tr>
      <w:tr w:rsidR="002C4AF7">
        <w:trPr>
          <w:cantSplit/>
          <w:trHeight w:val="781"/>
        </w:trPr>
        <w:tc>
          <w:tcPr>
            <w:tcW w:w="2262" w:type="dxa"/>
            <w:vMerge/>
            <w:tcBorders>
              <w:top w:val="single" w:sz="4" w:space="0" w:color="000000"/>
              <w:left w:val="single" w:sz="4" w:space="0" w:color="000000"/>
            </w:tcBorders>
            <w:shd w:val="clear" w:color="auto" w:fill="auto"/>
          </w:tcPr>
          <w:p w:rsidR="002C4AF7" w:rsidRDefault="002C4AF7">
            <w:pPr>
              <w:widowControl w:val="0"/>
              <w:pBdr>
                <w:top w:val="nil"/>
                <w:left w:val="nil"/>
                <w:bottom w:val="nil"/>
                <w:right w:val="nil"/>
                <w:between w:val="nil"/>
              </w:pBdr>
              <w:spacing w:line="276" w:lineRule="auto"/>
              <w:ind w:left="0" w:hanging="2"/>
            </w:pPr>
          </w:p>
        </w:tc>
        <w:tc>
          <w:tcPr>
            <w:tcW w:w="1350" w:type="dxa"/>
            <w:tcBorders>
              <w:top w:val="single" w:sz="4" w:space="0" w:color="000000"/>
              <w:left w:val="single" w:sz="4" w:space="0" w:color="000000"/>
              <w:bottom w:val="single" w:sz="4" w:space="0" w:color="000000"/>
            </w:tcBorders>
            <w:shd w:val="clear" w:color="auto" w:fill="auto"/>
          </w:tcPr>
          <w:p w:rsidR="002C4AF7" w:rsidRDefault="007C2686">
            <w:pPr>
              <w:ind w:left="0" w:hanging="2"/>
              <w:rPr>
                <w:rFonts w:ascii="Arial" w:eastAsia="Arial" w:hAnsi="Arial" w:cs="Arial"/>
                <w:color w:val="000000"/>
                <w:sz w:val="16"/>
                <w:szCs w:val="16"/>
              </w:rPr>
            </w:pPr>
            <w:r>
              <w:rPr>
                <w:rFonts w:ascii="Arial" w:eastAsia="Arial" w:hAnsi="Arial" w:cs="Arial"/>
                <w:sz w:val="16"/>
                <w:szCs w:val="16"/>
              </w:rPr>
              <w:t>Tiempo hasta el deterioro de los síntomas urinarios</w:t>
            </w:r>
          </w:p>
        </w:tc>
        <w:tc>
          <w:tcPr>
            <w:tcW w:w="3300" w:type="dxa"/>
            <w:tcBorders>
              <w:top w:val="single" w:sz="4" w:space="0" w:color="000000"/>
              <w:left w:val="single" w:sz="4" w:space="0" w:color="000000"/>
              <w:bottom w:val="single" w:sz="4" w:space="0" w:color="000000"/>
            </w:tcBorders>
            <w:shd w:val="clear" w:color="auto" w:fill="auto"/>
          </w:tcPr>
          <w:p w:rsidR="002C4AF7" w:rsidRDefault="007C2686">
            <w:pPr>
              <w:ind w:left="0" w:hanging="2"/>
              <w:rPr>
                <w:rFonts w:ascii="Arial" w:eastAsia="Arial" w:hAnsi="Arial" w:cs="Arial"/>
                <w:sz w:val="16"/>
                <w:szCs w:val="16"/>
              </w:rPr>
            </w:pPr>
            <w:r>
              <w:rPr>
                <w:rFonts w:ascii="Arial" w:eastAsia="Arial" w:hAnsi="Arial" w:cs="Arial"/>
                <w:sz w:val="16"/>
                <w:szCs w:val="16"/>
              </w:rPr>
              <w:t>Cuestionario calidad de vida QLQ-PR25</w:t>
            </w:r>
          </w:p>
          <w:p w:rsidR="002C4AF7" w:rsidRDefault="007C2686">
            <w:pPr>
              <w:ind w:left="0" w:hanging="2"/>
              <w:rPr>
                <w:rFonts w:ascii="Arial" w:eastAsia="Arial" w:hAnsi="Arial" w:cs="Arial"/>
                <w:color w:val="000000"/>
                <w:sz w:val="16"/>
                <w:szCs w:val="16"/>
              </w:rPr>
            </w:pPr>
            <w:r>
              <w:rPr>
                <w:rFonts w:ascii="Arial" w:eastAsia="Arial" w:hAnsi="Arial" w:cs="Arial"/>
                <w:sz w:val="16"/>
                <w:szCs w:val="16"/>
              </w:rPr>
              <w:t xml:space="preserve">Elevación en la puntuación de la subescala sintomatología urinaria del cuestionario </w:t>
            </w:r>
            <w:r>
              <w:rPr>
                <w:rFonts w:ascii="Arial" w:eastAsia="Arial" w:hAnsi="Arial" w:cs="Arial"/>
                <w:color w:val="000000"/>
                <w:sz w:val="16"/>
                <w:szCs w:val="16"/>
              </w:rPr>
              <w:t>QLQ-PR25 (3 items):</w:t>
            </w:r>
          </w:p>
          <w:p w:rsidR="002C4AF7" w:rsidRDefault="007C2686">
            <w:pPr>
              <w:ind w:left="0" w:hanging="2"/>
              <w:rPr>
                <w:rFonts w:ascii="Arial" w:eastAsia="Arial" w:hAnsi="Arial" w:cs="Arial"/>
                <w:color w:val="000000"/>
                <w:sz w:val="16"/>
                <w:szCs w:val="16"/>
              </w:rPr>
            </w:pPr>
            <w:r>
              <w:rPr>
                <w:rFonts w:ascii="Arial" w:eastAsia="Arial" w:hAnsi="Arial" w:cs="Arial"/>
                <w:color w:val="000000"/>
                <w:sz w:val="16"/>
                <w:szCs w:val="16"/>
              </w:rPr>
              <w:t>Q31</w:t>
            </w:r>
            <w:r>
              <w:rPr>
                <w:rFonts w:ascii="Arial" w:eastAsia="Arial" w:hAnsi="Arial" w:cs="Arial"/>
                <w:sz w:val="16"/>
                <w:szCs w:val="16"/>
              </w:rPr>
              <w:t xml:space="preserve"> a </w:t>
            </w:r>
            <w:r>
              <w:rPr>
                <w:rFonts w:ascii="Arial" w:eastAsia="Arial" w:hAnsi="Arial" w:cs="Arial"/>
                <w:color w:val="000000"/>
                <w:sz w:val="16"/>
                <w:szCs w:val="16"/>
              </w:rPr>
              <w:t xml:space="preserve"> Q33) mediante un</w:t>
            </w:r>
            <w:r>
              <w:rPr>
                <w:rFonts w:ascii="Arial" w:eastAsia="Arial" w:hAnsi="Arial" w:cs="Arial"/>
                <w:sz w:val="16"/>
                <w:szCs w:val="16"/>
              </w:rPr>
              <w:t xml:space="preserve"> aumento del 50% superior de la desviación estandar observada a nivel basal. </w:t>
            </w:r>
          </w:p>
        </w:tc>
        <w:tc>
          <w:tcPr>
            <w:tcW w:w="1853" w:type="dxa"/>
            <w:tcBorders>
              <w:top w:val="single" w:sz="4" w:space="0" w:color="000000"/>
              <w:left w:val="single" w:sz="4" w:space="0" w:color="000000"/>
              <w:bottom w:val="single" w:sz="4" w:space="0" w:color="000000"/>
              <w:right w:val="single" w:sz="4" w:space="0" w:color="000000"/>
            </w:tcBorders>
            <w:shd w:val="clear" w:color="auto" w:fill="CCFFCC"/>
          </w:tcPr>
          <w:p w:rsidR="002C4AF7" w:rsidRDefault="007C2686">
            <w:pPr>
              <w:ind w:left="0" w:hanging="2"/>
            </w:pPr>
            <w:r>
              <w:rPr>
                <w:rFonts w:ascii="Arial" w:eastAsia="Arial" w:hAnsi="Arial" w:cs="Arial"/>
                <w:sz w:val="16"/>
                <w:szCs w:val="16"/>
              </w:rPr>
              <w:t>Intermedia</w:t>
            </w:r>
          </w:p>
          <w:p w:rsidR="002C4AF7" w:rsidRDefault="002C4AF7">
            <w:pPr>
              <w:tabs>
                <w:tab w:val="left" w:pos="2924"/>
              </w:tabs>
              <w:ind w:left="0" w:hanging="2"/>
              <w:rPr>
                <w:rFonts w:ascii="Arial" w:eastAsia="Arial" w:hAnsi="Arial" w:cs="Arial"/>
                <w:sz w:val="16"/>
                <w:szCs w:val="16"/>
              </w:rPr>
            </w:pPr>
          </w:p>
        </w:tc>
      </w:tr>
      <w:tr w:rsidR="002C4AF7">
        <w:trPr>
          <w:cantSplit/>
        </w:trPr>
        <w:tc>
          <w:tcPr>
            <w:tcW w:w="2262" w:type="dxa"/>
            <w:vMerge/>
            <w:tcBorders>
              <w:top w:val="single" w:sz="4" w:space="0" w:color="000000"/>
              <w:left w:val="single" w:sz="4" w:space="0" w:color="000000"/>
            </w:tcBorders>
            <w:shd w:val="clear" w:color="auto" w:fill="auto"/>
          </w:tcPr>
          <w:p w:rsidR="002C4AF7" w:rsidRDefault="002C4AF7">
            <w:pPr>
              <w:widowControl w:val="0"/>
              <w:pBdr>
                <w:top w:val="nil"/>
                <w:left w:val="nil"/>
                <w:bottom w:val="nil"/>
                <w:right w:val="nil"/>
                <w:between w:val="nil"/>
              </w:pBdr>
              <w:spacing w:line="276" w:lineRule="auto"/>
              <w:ind w:left="0" w:hanging="2"/>
              <w:rPr>
                <w:rFonts w:ascii="Arial" w:eastAsia="Arial" w:hAnsi="Arial" w:cs="Arial"/>
                <w:sz w:val="16"/>
                <w:szCs w:val="16"/>
              </w:rPr>
            </w:pPr>
          </w:p>
        </w:tc>
        <w:tc>
          <w:tcPr>
            <w:tcW w:w="1350" w:type="dxa"/>
            <w:tcBorders>
              <w:top w:val="single" w:sz="4" w:space="0" w:color="000000"/>
              <w:left w:val="single" w:sz="4" w:space="0" w:color="000000"/>
              <w:bottom w:val="single" w:sz="4" w:space="0" w:color="000000"/>
            </w:tcBorders>
            <w:shd w:val="clear" w:color="auto" w:fill="auto"/>
          </w:tcPr>
          <w:p w:rsidR="002C4AF7" w:rsidRDefault="007C2686">
            <w:pPr>
              <w:spacing w:before="40" w:after="40"/>
              <w:ind w:left="0" w:hanging="2"/>
            </w:pPr>
            <w:r>
              <w:rPr>
                <w:rFonts w:ascii="Arial" w:eastAsia="Arial" w:hAnsi="Arial" w:cs="Arial"/>
                <w:color w:val="000000"/>
                <w:sz w:val="16"/>
                <w:szCs w:val="16"/>
              </w:rPr>
              <w:t>Supervivencia global</w:t>
            </w:r>
          </w:p>
        </w:tc>
        <w:tc>
          <w:tcPr>
            <w:tcW w:w="3300" w:type="dxa"/>
            <w:tcBorders>
              <w:top w:val="single" w:sz="4" w:space="0" w:color="000000"/>
              <w:left w:val="single" w:sz="4" w:space="0" w:color="000000"/>
              <w:bottom w:val="single" w:sz="4" w:space="0" w:color="000000"/>
            </w:tcBorders>
            <w:shd w:val="clear" w:color="auto" w:fill="auto"/>
          </w:tcPr>
          <w:p w:rsidR="002C4AF7" w:rsidRDefault="007C2686">
            <w:pPr>
              <w:ind w:left="0" w:hanging="2"/>
            </w:pPr>
            <w:r>
              <w:rPr>
                <w:rFonts w:ascii="Arial" w:eastAsia="Arial" w:hAnsi="Arial" w:cs="Arial"/>
                <w:color w:val="000000"/>
                <w:sz w:val="16"/>
                <w:szCs w:val="16"/>
              </w:rPr>
              <w:t>Tiempo desde la aleatorización hasta la muerte por cualquier causa o abandono del ensayo.</w:t>
            </w:r>
          </w:p>
          <w:p w:rsidR="002C4AF7" w:rsidRDefault="002C4AF7">
            <w:pPr>
              <w:ind w:left="0" w:hanging="2"/>
              <w:rPr>
                <w:rFonts w:ascii="Arial" w:eastAsia="Arial" w:hAnsi="Arial" w:cs="Arial"/>
                <w:color w:val="000000"/>
                <w:sz w:val="16"/>
                <w:szCs w:val="16"/>
              </w:rPr>
            </w:pPr>
          </w:p>
        </w:tc>
        <w:tc>
          <w:tcPr>
            <w:tcW w:w="1853" w:type="dxa"/>
            <w:tcBorders>
              <w:top w:val="single" w:sz="4" w:space="0" w:color="000000"/>
              <w:left w:val="single" w:sz="4" w:space="0" w:color="000000"/>
              <w:bottom w:val="single" w:sz="4" w:space="0" w:color="000000"/>
              <w:right w:val="single" w:sz="4" w:space="0" w:color="000000"/>
            </w:tcBorders>
            <w:shd w:val="clear" w:color="auto" w:fill="CCFFCC"/>
          </w:tcPr>
          <w:p w:rsidR="002C4AF7" w:rsidRDefault="007C2686">
            <w:pPr>
              <w:ind w:left="0" w:hanging="2"/>
            </w:pPr>
            <w:r>
              <w:rPr>
                <w:rFonts w:ascii="Arial" w:eastAsia="Arial" w:hAnsi="Arial" w:cs="Arial"/>
                <w:color w:val="000000"/>
                <w:sz w:val="16"/>
                <w:szCs w:val="16"/>
              </w:rPr>
              <w:t>Final</w:t>
            </w:r>
          </w:p>
        </w:tc>
      </w:tr>
      <w:tr w:rsidR="002C4AF7">
        <w:trPr>
          <w:trHeight w:val="390"/>
        </w:trPr>
        <w:tc>
          <w:tcPr>
            <w:tcW w:w="2262" w:type="dxa"/>
            <w:tcBorders>
              <w:top w:val="single" w:sz="4" w:space="0" w:color="000000"/>
              <w:left w:val="single" w:sz="4" w:space="0" w:color="000000"/>
              <w:bottom w:val="single" w:sz="4" w:space="0" w:color="000000"/>
            </w:tcBorders>
            <w:shd w:val="clear" w:color="auto" w:fill="D9D9D9"/>
          </w:tcPr>
          <w:p w:rsidR="002C4AF7" w:rsidRDefault="007C2686">
            <w:pPr>
              <w:ind w:left="0" w:hanging="2"/>
            </w:pPr>
            <w:r>
              <w:rPr>
                <w:rFonts w:ascii="Arial" w:eastAsia="Arial" w:hAnsi="Arial" w:cs="Arial"/>
                <w:b/>
                <w:color w:val="000000"/>
                <w:sz w:val="16"/>
                <w:szCs w:val="16"/>
              </w:rPr>
              <w:t>SEGURIDAD</w:t>
            </w:r>
          </w:p>
        </w:tc>
        <w:tc>
          <w:tcPr>
            <w:tcW w:w="1350" w:type="dxa"/>
            <w:tcBorders>
              <w:top w:val="single" w:sz="4" w:space="0" w:color="000000"/>
              <w:left w:val="single" w:sz="4" w:space="0" w:color="000000"/>
              <w:bottom w:val="single" w:sz="4" w:space="0" w:color="000000"/>
            </w:tcBorders>
            <w:shd w:val="clear" w:color="auto" w:fill="D9D9D9"/>
          </w:tcPr>
          <w:p w:rsidR="002C4AF7" w:rsidRDefault="007C2686">
            <w:pPr>
              <w:ind w:left="0" w:hanging="2"/>
            </w:pPr>
            <w:r>
              <w:rPr>
                <w:rFonts w:ascii="Arial" w:eastAsia="Arial" w:hAnsi="Arial" w:cs="Arial"/>
                <w:b/>
                <w:color w:val="000000"/>
                <w:sz w:val="16"/>
                <w:szCs w:val="16"/>
              </w:rPr>
              <w:t>Enunciado</w:t>
            </w:r>
          </w:p>
        </w:tc>
        <w:tc>
          <w:tcPr>
            <w:tcW w:w="3300" w:type="dxa"/>
            <w:tcBorders>
              <w:top w:val="single" w:sz="4" w:space="0" w:color="000000"/>
              <w:left w:val="single" w:sz="4" w:space="0" w:color="000000"/>
              <w:bottom w:val="single" w:sz="4" w:space="0" w:color="000000"/>
            </w:tcBorders>
            <w:shd w:val="clear" w:color="auto" w:fill="D9D9D9"/>
          </w:tcPr>
          <w:p w:rsidR="002C4AF7" w:rsidRDefault="007C2686">
            <w:pPr>
              <w:ind w:left="0" w:hanging="2"/>
            </w:pPr>
            <w:r>
              <w:rPr>
                <w:rFonts w:ascii="Arial" w:eastAsia="Arial" w:hAnsi="Arial" w:cs="Arial"/>
                <w:b/>
                <w:color w:val="000000"/>
                <w:sz w:val="16"/>
                <w:szCs w:val="16"/>
              </w:rPr>
              <w:t>Descripción</w:t>
            </w:r>
          </w:p>
        </w:tc>
        <w:tc>
          <w:tcPr>
            <w:tcW w:w="1853" w:type="dxa"/>
            <w:tcBorders>
              <w:top w:val="single" w:sz="4" w:space="0" w:color="000000"/>
              <w:left w:val="single" w:sz="4" w:space="0" w:color="000000"/>
              <w:bottom w:val="single" w:sz="4" w:space="0" w:color="000000"/>
              <w:right w:val="single" w:sz="4" w:space="0" w:color="000000"/>
            </w:tcBorders>
            <w:shd w:val="clear" w:color="auto" w:fill="D9D9D9"/>
          </w:tcPr>
          <w:p w:rsidR="002C4AF7" w:rsidRDefault="007C2686">
            <w:pPr>
              <w:tabs>
                <w:tab w:val="left" w:pos="2924"/>
              </w:tabs>
              <w:ind w:left="0" w:hanging="2"/>
            </w:pPr>
            <w:r>
              <w:rPr>
                <w:rFonts w:ascii="Arial" w:eastAsia="Arial" w:hAnsi="Arial" w:cs="Arial"/>
                <w:b/>
                <w:color w:val="000000"/>
                <w:sz w:val="16"/>
                <w:szCs w:val="16"/>
              </w:rPr>
              <w:t>Variable intermedia o final</w:t>
            </w:r>
          </w:p>
        </w:tc>
      </w:tr>
      <w:tr w:rsidR="002C4AF7">
        <w:tc>
          <w:tcPr>
            <w:tcW w:w="2262" w:type="dxa"/>
            <w:tcBorders>
              <w:top w:val="single" w:sz="4" w:space="0" w:color="000000"/>
              <w:left w:val="single" w:sz="4" w:space="0" w:color="000000"/>
              <w:bottom w:val="single" w:sz="4" w:space="0" w:color="000000"/>
            </w:tcBorders>
            <w:shd w:val="clear" w:color="auto" w:fill="auto"/>
          </w:tcPr>
          <w:p w:rsidR="002C4AF7" w:rsidRDefault="007C2686">
            <w:pPr>
              <w:ind w:left="0" w:hanging="2"/>
            </w:pPr>
            <w:r>
              <w:rPr>
                <w:rFonts w:ascii="Arial" w:eastAsia="Arial" w:hAnsi="Arial" w:cs="Arial"/>
                <w:color w:val="000000"/>
                <w:sz w:val="16"/>
                <w:szCs w:val="16"/>
              </w:rPr>
              <w:t>Variable secundaria</w:t>
            </w:r>
          </w:p>
        </w:tc>
        <w:tc>
          <w:tcPr>
            <w:tcW w:w="1350" w:type="dxa"/>
            <w:tcBorders>
              <w:top w:val="single" w:sz="4" w:space="0" w:color="000000"/>
              <w:left w:val="single" w:sz="4" w:space="0" w:color="000000"/>
              <w:bottom w:val="single" w:sz="4" w:space="0" w:color="000000"/>
            </w:tcBorders>
            <w:shd w:val="clear" w:color="auto" w:fill="auto"/>
          </w:tcPr>
          <w:p w:rsidR="002C4AF7" w:rsidRDefault="007C2686">
            <w:pPr>
              <w:spacing w:before="40" w:after="40" w:line="240" w:lineRule="auto"/>
              <w:ind w:left="0" w:hanging="2"/>
              <w:rPr>
                <w:color w:val="000000"/>
              </w:rPr>
            </w:pPr>
            <w:r>
              <w:rPr>
                <w:rFonts w:ascii="Arial" w:eastAsia="Arial" w:hAnsi="Arial" w:cs="Arial"/>
                <w:color w:val="000000"/>
                <w:sz w:val="16"/>
                <w:szCs w:val="16"/>
              </w:rPr>
              <w:t>% de eventos adversos</w:t>
            </w:r>
          </w:p>
        </w:tc>
        <w:tc>
          <w:tcPr>
            <w:tcW w:w="3300" w:type="dxa"/>
            <w:tcBorders>
              <w:top w:val="single" w:sz="4" w:space="0" w:color="000000"/>
              <w:left w:val="single" w:sz="4" w:space="0" w:color="000000"/>
              <w:bottom w:val="single" w:sz="4" w:space="0" w:color="000000"/>
            </w:tcBorders>
            <w:shd w:val="clear" w:color="auto" w:fill="auto"/>
          </w:tcPr>
          <w:p w:rsidR="002C4AF7" w:rsidRDefault="007C2686">
            <w:pPr>
              <w:spacing w:before="40" w:after="40" w:line="240" w:lineRule="auto"/>
              <w:ind w:left="0" w:hanging="2"/>
              <w:rPr>
                <w:color w:val="000000"/>
              </w:rPr>
            </w:pPr>
            <w:r>
              <w:rPr>
                <w:rFonts w:ascii="Arial" w:eastAsia="Arial" w:hAnsi="Arial" w:cs="Arial"/>
                <w:color w:val="000000"/>
                <w:sz w:val="16"/>
                <w:szCs w:val="16"/>
              </w:rPr>
              <w:t>Porcentaje de pacientes con eventos adversos</w:t>
            </w:r>
          </w:p>
        </w:tc>
        <w:tc>
          <w:tcPr>
            <w:tcW w:w="1853" w:type="dxa"/>
            <w:tcBorders>
              <w:top w:val="single" w:sz="4" w:space="0" w:color="000000"/>
              <w:left w:val="single" w:sz="4" w:space="0" w:color="000000"/>
              <w:bottom w:val="single" w:sz="4" w:space="0" w:color="000000"/>
              <w:right w:val="single" w:sz="4" w:space="0" w:color="000000"/>
            </w:tcBorders>
            <w:shd w:val="clear" w:color="auto" w:fill="CCFFCC"/>
          </w:tcPr>
          <w:p w:rsidR="002C4AF7" w:rsidRDefault="007C2686">
            <w:pPr>
              <w:spacing w:before="40" w:after="40" w:line="240" w:lineRule="auto"/>
              <w:ind w:left="0" w:hanging="2"/>
              <w:rPr>
                <w:color w:val="000000"/>
              </w:rPr>
            </w:pPr>
            <w:r>
              <w:rPr>
                <w:rFonts w:ascii="Arial" w:eastAsia="Arial" w:hAnsi="Arial" w:cs="Arial"/>
                <w:color w:val="000000"/>
                <w:sz w:val="16"/>
                <w:szCs w:val="16"/>
              </w:rPr>
              <w:t>Final</w:t>
            </w:r>
          </w:p>
        </w:tc>
      </w:tr>
      <w:tr w:rsidR="002C4AF7">
        <w:tc>
          <w:tcPr>
            <w:tcW w:w="8765" w:type="dxa"/>
            <w:gridSpan w:val="4"/>
            <w:tcBorders>
              <w:top w:val="single" w:sz="4" w:space="0" w:color="000000"/>
              <w:left w:val="single" w:sz="4" w:space="0" w:color="000000"/>
              <w:bottom w:val="single" w:sz="4" w:space="0" w:color="000000"/>
              <w:right w:val="single" w:sz="4" w:space="0" w:color="000000"/>
            </w:tcBorders>
          </w:tcPr>
          <w:p w:rsidR="002C4AF7" w:rsidRDefault="002C4AF7">
            <w:pPr>
              <w:ind w:left="0" w:hanging="2"/>
            </w:pPr>
          </w:p>
        </w:tc>
      </w:tr>
    </w:tbl>
    <w:p w:rsidR="002C4AF7" w:rsidRDefault="002C4AF7">
      <w:pPr>
        <w:ind w:left="0" w:hanging="2"/>
        <w:jc w:val="both"/>
        <w:rPr>
          <w:rFonts w:ascii="Arial" w:eastAsia="Arial" w:hAnsi="Arial" w:cs="Arial"/>
          <w:color w:val="000080"/>
          <w:sz w:val="20"/>
          <w:szCs w:val="20"/>
        </w:rPr>
      </w:pPr>
    </w:p>
    <w:p w:rsidR="002C4AF7" w:rsidRDefault="002C4AF7">
      <w:pPr>
        <w:ind w:left="0" w:hanging="2"/>
        <w:jc w:val="both"/>
        <w:rPr>
          <w:rFonts w:ascii="Arial" w:eastAsia="Arial" w:hAnsi="Arial" w:cs="Arial"/>
          <w:color w:val="000080"/>
          <w:sz w:val="20"/>
          <w:szCs w:val="20"/>
        </w:rPr>
      </w:pPr>
    </w:p>
    <w:tbl>
      <w:tblPr>
        <w:tblStyle w:val="afff6"/>
        <w:tblW w:w="8765" w:type="dxa"/>
        <w:tblInd w:w="-120" w:type="dxa"/>
        <w:tblLayout w:type="fixed"/>
        <w:tblLook w:val="0000" w:firstRow="0" w:lastRow="0" w:firstColumn="0" w:lastColumn="0" w:noHBand="0" w:noVBand="0"/>
      </w:tblPr>
      <w:tblGrid>
        <w:gridCol w:w="2262"/>
        <w:gridCol w:w="1273"/>
        <w:gridCol w:w="3377"/>
        <w:gridCol w:w="1853"/>
      </w:tblGrid>
      <w:tr w:rsidR="002C4AF7">
        <w:tc>
          <w:tcPr>
            <w:tcW w:w="8765" w:type="dxa"/>
            <w:gridSpan w:val="4"/>
            <w:tcBorders>
              <w:top w:val="single" w:sz="4" w:space="0" w:color="000000"/>
              <w:left w:val="single" w:sz="4" w:space="0" w:color="000000"/>
              <w:bottom w:val="single" w:sz="4" w:space="0" w:color="000000"/>
              <w:right w:val="single" w:sz="4" w:space="0" w:color="000000"/>
            </w:tcBorders>
            <w:shd w:val="clear" w:color="auto" w:fill="CCFFCC"/>
          </w:tcPr>
          <w:p w:rsidR="002C4AF7" w:rsidRDefault="007C2686">
            <w:pPr>
              <w:ind w:left="0" w:hanging="2"/>
            </w:pPr>
            <w:r>
              <w:rPr>
                <w:rFonts w:ascii="Arial" w:eastAsia="Arial" w:hAnsi="Arial" w:cs="Arial"/>
                <w:sz w:val="16"/>
                <w:szCs w:val="16"/>
              </w:rPr>
              <w:t>Tabla 1. Variables empleadas en el ensayo clínico ENZAMET</w:t>
            </w:r>
          </w:p>
        </w:tc>
      </w:tr>
      <w:tr w:rsidR="002C4AF7">
        <w:tc>
          <w:tcPr>
            <w:tcW w:w="2262" w:type="dxa"/>
            <w:tcBorders>
              <w:top w:val="single" w:sz="4" w:space="0" w:color="000000"/>
              <w:left w:val="single" w:sz="4" w:space="0" w:color="000000"/>
              <w:bottom w:val="single" w:sz="4" w:space="0" w:color="000000"/>
            </w:tcBorders>
            <w:shd w:val="clear" w:color="auto" w:fill="D9D9D9"/>
          </w:tcPr>
          <w:p w:rsidR="002C4AF7" w:rsidRDefault="007C2686">
            <w:pPr>
              <w:ind w:left="0" w:hanging="2"/>
            </w:pPr>
            <w:r>
              <w:rPr>
                <w:rFonts w:ascii="Arial" w:eastAsia="Arial" w:hAnsi="Arial" w:cs="Arial"/>
                <w:b/>
                <w:sz w:val="16"/>
                <w:szCs w:val="16"/>
              </w:rPr>
              <w:t>EFICACIA</w:t>
            </w:r>
          </w:p>
        </w:tc>
        <w:tc>
          <w:tcPr>
            <w:tcW w:w="1273" w:type="dxa"/>
            <w:tcBorders>
              <w:top w:val="single" w:sz="4" w:space="0" w:color="000000"/>
              <w:left w:val="single" w:sz="4" w:space="0" w:color="000000"/>
              <w:bottom w:val="single" w:sz="4" w:space="0" w:color="000000"/>
            </w:tcBorders>
            <w:shd w:val="clear" w:color="auto" w:fill="D9D9D9"/>
          </w:tcPr>
          <w:p w:rsidR="002C4AF7" w:rsidRDefault="007C2686">
            <w:pPr>
              <w:ind w:left="0" w:hanging="2"/>
            </w:pPr>
            <w:r>
              <w:rPr>
                <w:rFonts w:ascii="Arial" w:eastAsia="Arial" w:hAnsi="Arial" w:cs="Arial"/>
                <w:b/>
                <w:sz w:val="16"/>
                <w:szCs w:val="16"/>
              </w:rPr>
              <w:t>Enunciado</w:t>
            </w:r>
          </w:p>
        </w:tc>
        <w:tc>
          <w:tcPr>
            <w:tcW w:w="3377" w:type="dxa"/>
            <w:tcBorders>
              <w:top w:val="single" w:sz="4" w:space="0" w:color="000000"/>
              <w:left w:val="single" w:sz="4" w:space="0" w:color="000000"/>
              <w:bottom w:val="single" w:sz="4" w:space="0" w:color="000000"/>
            </w:tcBorders>
            <w:shd w:val="clear" w:color="auto" w:fill="D9D9D9"/>
          </w:tcPr>
          <w:p w:rsidR="002C4AF7" w:rsidRDefault="007C2686">
            <w:pPr>
              <w:ind w:left="0" w:hanging="2"/>
            </w:pPr>
            <w:r>
              <w:rPr>
                <w:rFonts w:ascii="Arial" w:eastAsia="Arial" w:hAnsi="Arial" w:cs="Arial"/>
                <w:b/>
                <w:sz w:val="16"/>
                <w:szCs w:val="16"/>
              </w:rPr>
              <w:t>Descripción</w:t>
            </w:r>
          </w:p>
        </w:tc>
        <w:tc>
          <w:tcPr>
            <w:tcW w:w="1853" w:type="dxa"/>
            <w:tcBorders>
              <w:top w:val="single" w:sz="4" w:space="0" w:color="000000"/>
              <w:left w:val="single" w:sz="4" w:space="0" w:color="000000"/>
              <w:bottom w:val="single" w:sz="4" w:space="0" w:color="000000"/>
              <w:right w:val="single" w:sz="4" w:space="0" w:color="000000"/>
            </w:tcBorders>
            <w:shd w:val="clear" w:color="auto" w:fill="D9D9D9"/>
          </w:tcPr>
          <w:p w:rsidR="002C4AF7" w:rsidRDefault="007C2686">
            <w:pPr>
              <w:tabs>
                <w:tab w:val="left" w:pos="2924"/>
              </w:tabs>
              <w:ind w:left="0" w:hanging="2"/>
            </w:pPr>
            <w:r>
              <w:rPr>
                <w:rFonts w:ascii="Arial" w:eastAsia="Arial" w:hAnsi="Arial" w:cs="Arial"/>
                <w:b/>
                <w:sz w:val="16"/>
                <w:szCs w:val="16"/>
              </w:rPr>
              <w:t>Variable intermedia o final</w:t>
            </w:r>
          </w:p>
        </w:tc>
      </w:tr>
      <w:tr w:rsidR="002C4AF7">
        <w:tc>
          <w:tcPr>
            <w:tcW w:w="2262" w:type="dxa"/>
            <w:tcBorders>
              <w:top w:val="single" w:sz="4" w:space="0" w:color="000000"/>
              <w:left w:val="single" w:sz="4" w:space="0" w:color="000000"/>
              <w:bottom w:val="single" w:sz="4" w:space="0" w:color="000000"/>
            </w:tcBorders>
            <w:shd w:val="clear" w:color="auto" w:fill="auto"/>
          </w:tcPr>
          <w:p w:rsidR="002C4AF7" w:rsidRDefault="007C2686">
            <w:pPr>
              <w:ind w:left="0" w:hanging="2"/>
            </w:pPr>
            <w:r>
              <w:rPr>
                <w:rFonts w:ascii="Arial" w:eastAsia="Arial" w:hAnsi="Arial" w:cs="Arial"/>
                <w:sz w:val="16"/>
                <w:szCs w:val="16"/>
              </w:rPr>
              <w:t xml:space="preserve">Variable principal </w:t>
            </w:r>
          </w:p>
        </w:tc>
        <w:tc>
          <w:tcPr>
            <w:tcW w:w="1273" w:type="dxa"/>
            <w:tcBorders>
              <w:top w:val="single" w:sz="4" w:space="0" w:color="000000"/>
              <w:left w:val="single" w:sz="4" w:space="0" w:color="000000"/>
              <w:bottom w:val="single" w:sz="4" w:space="0" w:color="000000"/>
            </w:tcBorders>
            <w:shd w:val="clear" w:color="auto" w:fill="auto"/>
          </w:tcPr>
          <w:p w:rsidR="002C4AF7" w:rsidRDefault="007C2686">
            <w:pPr>
              <w:spacing w:before="40" w:after="40"/>
              <w:ind w:left="0" w:hanging="2"/>
            </w:pPr>
            <w:r>
              <w:rPr>
                <w:rFonts w:ascii="Arial" w:eastAsia="Arial" w:hAnsi="Arial" w:cs="Arial"/>
                <w:sz w:val="16"/>
                <w:szCs w:val="16"/>
              </w:rPr>
              <w:t>Supervivencia global</w:t>
            </w:r>
          </w:p>
        </w:tc>
        <w:tc>
          <w:tcPr>
            <w:tcW w:w="3377" w:type="dxa"/>
            <w:tcBorders>
              <w:top w:val="single" w:sz="4" w:space="0" w:color="000000"/>
              <w:left w:val="single" w:sz="4" w:space="0" w:color="000000"/>
              <w:bottom w:val="single" w:sz="4" w:space="0" w:color="000000"/>
            </w:tcBorders>
            <w:shd w:val="clear" w:color="auto" w:fill="auto"/>
          </w:tcPr>
          <w:p w:rsidR="002C4AF7" w:rsidRDefault="007C2686">
            <w:pPr>
              <w:ind w:left="0" w:hanging="2"/>
            </w:pPr>
            <w:r>
              <w:rPr>
                <w:rFonts w:ascii="Arial" w:eastAsia="Arial" w:hAnsi="Arial" w:cs="Arial"/>
                <w:sz w:val="16"/>
                <w:szCs w:val="16"/>
              </w:rPr>
              <w:t>Tiempo desde la aleatorización hasta la muerte por cualquier causa o abandono del ensayo.</w:t>
            </w:r>
          </w:p>
          <w:p w:rsidR="002C4AF7" w:rsidRDefault="002C4AF7">
            <w:pPr>
              <w:widowControl w:val="0"/>
              <w:spacing w:after="240"/>
              <w:ind w:left="0" w:hanging="2"/>
              <w:rPr>
                <w:rFonts w:ascii="Arial" w:eastAsia="Arial" w:hAnsi="Arial" w:cs="Arial"/>
                <w:sz w:val="16"/>
                <w:szCs w:val="16"/>
              </w:rPr>
            </w:pPr>
          </w:p>
          <w:p w:rsidR="002C4AF7" w:rsidRDefault="002C4AF7">
            <w:pPr>
              <w:shd w:val="clear" w:color="auto" w:fill="FFFFFF"/>
              <w:spacing w:before="280"/>
              <w:ind w:left="0" w:hanging="2"/>
              <w:rPr>
                <w:rFonts w:ascii="Arial" w:eastAsia="Arial" w:hAnsi="Arial" w:cs="Arial"/>
                <w:sz w:val="16"/>
                <w:szCs w:val="16"/>
              </w:rPr>
            </w:pPr>
          </w:p>
        </w:tc>
        <w:tc>
          <w:tcPr>
            <w:tcW w:w="1853" w:type="dxa"/>
            <w:tcBorders>
              <w:top w:val="single" w:sz="4" w:space="0" w:color="000000"/>
              <w:left w:val="single" w:sz="4" w:space="0" w:color="000000"/>
              <w:bottom w:val="single" w:sz="4" w:space="0" w:color="000000"/>
              <w:right w:val="single" w:sz="4" w:space="0" w:color="000000"/>
            </w:tcBorders>
            <w:shd w:val="clear" w:color="auto" w:fill="CCFFCC"/>
          </w:tcPr>
          <w:p w:rsidR="002C4AF7" w:rsidRDefault="007C2686">
            <w:pPr>
              <w:tabs>
                <w:tab w:val="left" w:pos="2924"/>
              </w:tabs>
              <w:ind w:left="0" w:hanging="2"/>
            </w:pPr>
            <w:r>
              <w:rPr>
                <w:rFonts w:ascii="Arial" w:eastAsia="Arial" w:hAnsi="Arial" w:cs="Arial"/>
                <w:sz w:val="16"/>
                <w:szCs w:val="16"/>
              </w:rPr>
              <w:t>Final</w:t>
            </w:r>
          </w:p>
        </w:tc>
      </w:tr>
      <w:tr w:rsidR="002C4AF7">
        <w:trPr>
          <w:cantSplit/>
          <w:trHeight w:val="389"/>
        </w:trPr>
        <w:tc>
          <w:tcPr>
            <w:tcW w:w="2262" w:type="dxa"/>
            <w:vMerge w:val="restart"/>
            <w:tcBorders>
              <w:top w:val="single" w:sz="4" w:space="0" w:color="000000"/>
              <w:left w:val="single" w:sz="4" w:space="0" w:color="000000"/>
            </w:tcBorders>
            <w:shd w:val="clear" w:color="auto" w:fill="auto"/>
          </w:tcPr>
          <w:p w:rsidR="002C4AF7" w:rsidRDefault="007C2686">
            <w:pPr>
              <w:ind w:left="0" w:hanging="2"/>
            </w:pPr>
            <w:r>
              <w:rPr>
                <w:rFonts w:ascii="Arial" w:eastAsia="Arial" w:hAnsi="Arial" w:cs="Arial"/>
                <w:sz w:val="16"/>
                <w:szCs w:val="16"/>
              </w:rPr>
              <w:t>Variables secundarias</w:t>
            </w:r>
          </w:p>
        </w:tc>
        <w:tc>
          <w:tcPr>
            <w:tcW w:w="1273" w:type="dxa"/>
            <w:tcBorders>
              <w:top w:val="single" w:sz="4" w:space="0" w:color="000000"/>
              <w:left w:val="single" w:sz="4" w:space="0" w:color="000000"/>
              <w:bottom w:val="single" w:sz="4" w:space="0" w:color="000000"/>
            </w:tcBorders>
            <w:shd w:val="clear" w:color="auto" w:fill="auto"/>
          </w:tcPr>
          <w:p w:rsidR="002C4AF7" w:rsidRDefault="007C2686">
            <w:pPr>
              <w:ind w:left="0" w:hanging="2"/>
            </w:pPr>
            <w:r>
              <w:rPr>
                <w:rFonts w:ascii="Arial" w:eastAsia="Arial" w:hAnsi="Arial" w:cs="Arial"/>
                <w:sz w:val="16"/>
                <w:szCs w:val="16"/>
              </w:rPr>
              <w:t>Tiempo hasta progresión de PSA</w:t>
            </w:r>
          </w:p>
        </w:tc>
        <w:tc>
          <w:tcPr>
            <w:tcW w:w="3377" w:type="dxa"/>
            <w:tcBorders>
              <w:top w:val="single" w:sz="4" w:space="0" w:color="000000"/>
              <w:left w:val="single" w:sz="4" w:space="0" w:color="000000"/>
              <w:bottom w:val="single" w:sz="4" w:space="0" w:color="000000"/>
            </w:tcBorders>
            <w:shd w:val="clear" w:color="auto" w:fill="auto"/>
          </w:tcPr>
          <w:p w:rsidR="002C4AF7" w:rsidRDefault="007C2686">
            <w:pPr>
              <w:ind w:left="0" w:hanging="2"/>
            </w:pPr>
            <w:r>
              <w:rPr>
                <w:rFonts w:ascii="Arial" w:eastAsia="Arial" w:hAnsi="Arial" w:cs="Arial"/>
                <w:sz w:val="16"/>
                <w:szCs w:val="16"/>
              </w:rPr>
              <w:t>Tiempo desde la aleatorización hasta aumento de PSA del 25% o superior y un aumento absoluto de 2 ng/ml sobre el basal.</w:t>
            </w:r>
          </w:p>
          <w:p w:rsidR="002C4AF7" w:rsidRDefault="002C4AF7">
            <w:pPr>
              <w:ind w:left="0" w:hanging="2"/>
              <w:rPr>
                <w:rFonts w:ascii="Arial" w:eastAsia="Arial" w:hAnsi="Arial" w:cs="Arial"/>
                <w:sz w:val="16"/>
                <w:szCs w:val="16"/>
              </w:rPr>
            </w:pPr>
          </w:p>
        </w:tc>
        <w:tc>
          <w:tcPr>
            <w:tcW w:w="1853" w:type="dxa"/>
            <w:tcBorders>
              <w:top w:val="single" w:sz="4" w:space="0" w:color="000000"/>
              <w:left w:val="single" w:sz="4" w:space="0" w:color="000000"/>
              <w:bottom w:val="single" w:sz="4" w:space="0" w:color="000000"/>
              <w:right w:val="single" w:sz="4" w:space="0" w:color="000000"/>
            </w:tcBorders>
            <w:shd w:val="clear" w:color="auto" w:fill="CCFFCC"/>
          </w:tcPr>
          <w:p w:rsidR="002C4AF7" w:rsidRDefault="007C2686">
            <w:pPr>
              <w:ind w:left="0" w:hanging="2"/>
            </w:pPr>
            <w:r>
              <w:rPr>
                <w:rFonts w:ascii="Arial" w:eastAsia="Arial" w:hAnsi="Arial" w:cs="Arial"/>
                <w:sz w:val="16"/>
                <w:szCs w:val="16"/>
              </w:rPr>
              <w:t>Intermedia</w:t>
            </w:r>
          </w:p>
          <w:p w:rsidR="002C4AF7" w:rsidRDefault="002C4AF7">
            <w:pPr>
              <w:tabs>
                <w:tab w:val="left" w:pos="2924"/>
              </w:tabs>
              <w:ind w:left="0" w:hanging="2"/>
            </w:pPr>
          </w:p>
        </w:tc>
      </w:tr>
      <w:tr w:rsidR="002C4AF7">
        <w:trPr>
          <w:cantSplit/>
          <w:trHeight w:val="572"/>
        </w:trPr>
        <w:tc>
          <w:tcPr>
            <w:tcW w:w="2262" w:type="dxa"/>
            <w:vMerge/>
            <w:tcBorders>
              <w:top w:val="single" w:sz="4" w:space="0" w:color="000000"/>
              <w:left w:val="single" w:sz="4" w:space="0" w:color="000000"/>
            </w:tcBorders>
            <w:shd w:val="clear" w:color="auto" w:fill="auto"/>
          </w:tcPr>
          <w:p w:rsidR="002C4AF7" w:rsidRDefault="002C4AF7">
            <w:pPr>
              <w:widowControl w:val="0"/>
              <w:pBdr>
                <w:top w:val="nil"/>
                <w:left w:val="nil"/>
                <w:bottom w:val="nil"/>
                <w:right w:val="nil"/>
                <w:between w:val="nil"/>
              </w:pBdr>
              <w:spacing w:line="276" w:lineRule="auto"/>
              <w:ind w:left="0" w:hanging="2"/>
            </w:pPr>
          </w:p>
        </w:tc>
        <w:tc>
          <w:tcPr>
            <w:tcW w:w="1273" w:type="dxa"/>
            <w:tcBorders>
              <w:top w:val="single" w:sz="4" w:space="0" w:color="000000"/>
              <w:left w:val="single" w:sz="4" w:space="0" w:color="000000"/>
              <w:bottom w:val="single" w:sz="4" w:space="0" w:color="000000"/>
            </w:tcBorders>
            <w:shd w:val="clear" w:color="auto" w:fill="auto"/>
          </w:tcPr>
          <w:p w:rsidR="002C4AF7" w:rsidRDefault="007C2686">
            <w:pPr>
              <w:ind w:left="0" w:hanging="2"/>
              <w:rPr>
                <w:rFonts w:ascii="Arial" w:eastAsia="Arial" w:hAnsi="Arial" w:cs="Arial"/>
                <w:sz w:val="16"/>
                <w:szCs w:val="16"/>
              </w:rPr>
            </w:pPr>
            <w:r>
              <w:rPr>
                <w:rFonts w:ascii="Arial" w:eastAsia="Arial" w:hAnsi="Arial" w:cs="Arial"/>
                <w:sz w:val="16"/>
                <w:szCs w:val="16"/>
              </w:rPr>
              <w:t>Supervivencia libre de progresión clínica</w:t>
            </w:r>
          </w:p>
        </w:tc>
        <w:tc>
          <w:tcPr>
            <w:tcW w:w="3377" w:type="dxa"/>
            <w:tcBorders>
              <w:top w:val="single" w:sz="4" w:space="0" w:color="000000"/>
              <w:left w:val="single" w:sz="4" w:space="0" w:color="000000"/>
              <w:bottom w:val="single" w:sz="4" w:space="0" w:color="000000"/>
            </w:tcBorders>
            <w:shd w:val="clear" w:color="auto" w:fill="auto"/>
          </w:tcPr>
          <w:p w:rsidR="002C4AF7" w:rsidRDefault="007C2686">
            <w:pPr>
              <w:spacing w:line="308" w:lineRule="auto"/>
              <w:ind w:left="0" w:hanging="2"/>
              <w:rPr>
                <w:rFonts w:ascii="Arial" w:eastAsia="Arial" w:hAnsi="Arial" w:cs="Arial"/>
                <w:sz w:val="16"/>
                <w:szCs w:val="16"/>
              </w:rPr>
            </w:pPr>
            <w:r>
              <w:rPr>
                <w:rFonts w:ascii="Arial" w:eastAsia="Arial" w:hAnsi="Arial" w:cs="Arial"/>
                <w:sz w:val="16"/>
                <w:szCs w:val="16"/>
              </w:rPr>
              <w:t>La progresión se definió como el primer signo de progresión radiográfica de acuerdo con los criterios del Grupo de Trabajo de Cáncer de Próstata 2 para lesiones óseas y los Criterios de Evaluación de Respuesta en Tumores Sólidos, versión 1.1,19 para lesiones de tejidos blandos;</w:t>
            </w:r>
          </w:p>
          <w:p w:rsidR="002C4AF7" w:rsidRDefault="002C4AF7">
            <w:pPr>
              <w:ind w:left="0" w:hanging="2"/>
              <w:rPr>
                <w:rFonts w:ascii="Arial" w:eastAsia="Arial" w:hAnsi="Arial" w:cs="Arial"/>
                <w:sz w:val="16"/>
                <w:szCs w:val="16"/>
              </w:rPr>
            </w:pPr>
          </w:p>
        </w:tc>
        <w:tc>
          <w:tcPr>
            <w:tcW w:w="1853" w:type="dxa"/>
            <w:tcBorders>
              <w:top w:val="single" w:sz="4" w:space="0" w:color="000000"/>
              <w:left w:val="single" w:sz="4" w:space="0" w:color="000000"/>
              <w:bottom w:val="single" w:sz="4" w:space="0" w:color="000000"/>
              <w:right w:val="single" w:sz="4" w:space="0" w:color="000000"/>
            </w:tcBorders>
            <w:shd w:val="clear" w:color="auto" w:fill="CCFFCC"/>
          </w:tcPr>
          <w:p w:rsidR="002C4AF7" w:rsidRDefault="007C2686">
            <w:pPr>
              <w:ind w:left="0" w:hanging="2"/>
            </w:pPr>
            <w:r>
              <w:rPr>
                <w:rFonts w:ascii="Arial" w:eastAsia="Arial" w:hAnsi="Arial" w:cs="Arial"/>
                <w:sz w:val="16"/>
                <w:szCs w:val="16"/>
              </w:rPr>
              <w:t>Intermedia</w:t>
            </w:r>
          </w:p>
          <w:p w:rsidR="002C4AF7" w:rsidRDefault="002C4AF7">
            <w:pPr>
              <w:tabs>
                <w:tab w:val="left" w:pos="2924"/>
              </w:tabs>
              <w:ind w:left="0" w:hanging="2"/>
            </w:pPr>
          </w:p>
        </w:tc>
      </w:tr>
      <w:tr w:rsidR="002C4AF7">
        <w:trPr>
          <w:trHeight w:val="390"/>
        </w:trPr>
        <w:tc>
          <w:tcPr>
            <w:tcW w:w="2262" w:type="dxa"/>
            <w:tcBorders>
              <w:top w:val="single" w:sz="4" w:space="0" w:color="000000"/>
              <w:left w:val="single" w:sz="4" w:space="0" w:color="000000"/>
              <w:bottom w:val="single" w:sz="4" w:space="0" w:color="000000"/>
            </w:tcBorders>
            <w:shd w:val="clear" w:color="auto" w:fill="D9D9D9"/>
          </w:tcPr>
          <w:p w:rsidR="002C4AF7" w:rsidRDefault="007C2686">
            <w:pPr>
              <w:ind w:left="0" w:hanging="2"/>
            </w:pPr>
            <w:r>
              <w:rPr>
                <w:rFonts w:ascii="Arial" w:eastAsia="Arial" w:hAnsi="Arial" w:cs="Arial"/>
                <w:b/>
                <w:sz w:val="16"/>
                <w:szCs w:val="16"/>
              </w:rPr>
              <w:t>SEGURIDAD</w:t>
            </w:r>
          </w:p>
        </w:tc>
        <w:tc>
          <w:tcPr>
            <w:tcW w:w="1273" w:type="dxa"/>
            <w:tcBorders>
              <w:top w:val="single" w:sz="4" w:space="0" w:color="000000"/>
              <w:left w:val="single" w:sz="4" w:space="0" w:color="000000"/>
              <w:bottom w:val="single" w:sz="4" w:space="0" w:color="000000"/>
            </w:tcBorders>
            <w:shd w:val="clear" w:color="auto" w:fill="D9D9D9"/>
          </w:tcPr>
          <w:p w:rsidR="002C4AF7" w:rsidRDefault="007C2686">
            <w:pPr>
              <w:ind w:left="0" w:hanging="2"/>
            </w:pPr>
            <w:r>
              <w:rPr>
                <w:rFonts w:ascii="Arial" w:eastAsia="Arial" w:hAnsi="Arial" w:cs="Arial"/>
                <w:b/>
                <w:sz w:val="16"/>
                <w:szCs w:val="16"/>
              </w:rPr>
              <w:t>Enunciado</w:t>
            </w:r>
          </w:p>
        </w:tc>
        <w:tc>
          <w:tcPr>
            <w:tcW w:w="3377" w:type="dxa"/>
            <w:tcBorders>
              <w:top w:val="single" w:sz="4" w:space="0" w:color="000000"/>
              <w:left w:val="single" w:sz="4" w:space="0" w:color="000000"/>
              <w:bottom w:val="single" w:sz="4" w:space="0" w:color="000000"/>
            </w:tcBorders>
            <w:shd w:val="clear" w:color="auto" w:fill="D9D9D9"/>
          </w:tcPr>
          <w:p w:rsidR="002C4AF7" w:rsidRDefault="007C2686">
            <w:pPr>
              <w:ind w:left="0" w:hanging="2"/>
            </w:pPr>
            <w:r>
              <w:rPr>
                <w:rFonts w:ascii="Arial" w:eastAsia="Arial" w:hAnsi="Arial" w:cs="Arial"/>
                <w:b/>
                <w:sz w:val="16"/>
                <w:szCs w:val="16"/>
              </w:rPr>
              <w:t>Descripción</w:t>
            </w:r>
          </w:p>
        </w:tc>
        <w:tc>
          <w:tcPr>
            <w:tcW w:w="1853" w:type="dxa"/>
            <w:tcBorders>
              <w:top w:val="single" w:sz="4" w:space="0" w:color="000000"/>
              <w:left w:val="single" w:sz="4" w:space="0" w:color="000000"/>
              <w:bottom w:val="single" w:sz="4" w:space="0" w:color="000000"/>
              <w:right w:val="single" w:sz="4" w:space="0" w:color="000000"/>
            </w:tcBorders>
            <w:shd w:val="clear" w:color="auto" w:fill="D9D9D9"/>
          </w:tcPr>
          <w:p w:rsidR="002C4AF7" w:rsidRDefault="007C2686">
            <w:pPr>
              <w:tabs>
                <w:tab w:val="left" w:pos="2924"/>
              </w:tabs>
              <w:ind w:left="0" w:hanging="2"/>
            </w:pPr>
            <w:r>
              <w:rPr>
                <w:rFonts w:ascii="Arial" w:eastAsia="Arial" w:hAnsi="Arial" w:cs="Arial"/>
                <w:b/>
                <w:sz w:val="16"/>
                <w:szCs w:val="16"/>
              </w:rPr>
              <w:t>Variable intermedia o final</w:t>
            </w:r>
          </w:p>
        </w:tc>
      </w:tr>
      <w:tr w:rsidR="002C4AF7">
        <w:tc>
          <w:tcPr>
            <w:tcW w:w="2262" w:type="dxa"/>
            <w:tcBorders>
              <w:top w:val="single" w:sz="4" w:space="0" w:color="000000"/>
              <w:left w:val="single" w:sz="4" w:space="0" w:color="000000"/>
              <w:bottom w:val="single" w:sz="4" w:space="0" w:color="000000"/>
            </w:tcBorders>
            <w:shd w:val="clear" w:color="auto" w:fill="auto"/>
          </w:tcPr>
          <w:p w:rsidR="002C4AF7" w:rsidRDefault="007C2686">
            <w:pPr>
              <w:ind w:left="0" w:hanging="2"/>
            </w:pPr>
            <w:r>
              <w:rPr>
                <w:rFonts w:ascii="Arial" w:eastAsia="Arial" w:hAnsi="Arial" w:cs="Arial"/>
                <w:sz w:val="16"/>
                <w:szCs w:val="16"/>
              </w:rPr>
              <w:t>Variable secundaria</w:t>
            </w:r>
          </w:p>
        </w:tc>
        <w:tc>
          <w:tcPr>
            <w:tcW w:w="1273" w:type="dxa"/>
            <w:tcBorders>
              <w:top w:val="single" w:sz="4" w:space="0" w:color="000000"/>
              <w:left w:val="single" w:sz="4" w:space="0" w:color="000000"/>
              <w:bottom w:val="single" w:sz="4" w:space="0" w:color="000000"/>
            </w:tcBorders>
            <w:shd w:val="clear" w:color="auto" w:fill="auto"/>
          </w:tcPr>
          <w:p w:rsidR="002C4AF7" w:rsidRDefault="007C2686">
            <w:pPr>
              <w:spacing w:before="40" w:after="40"/>
              <w:ind w:left="0" w:hanging="2"/>
            </w:pPr>
            <w:r>
              <w:rPr>
                <w:rFonts w:ascii="Arial" w:eastAsia="Arial" w:hAnsi="Arial" w:cs="Arial"/>
                <w:sz w:val="16"/>
                <w:szCs w:val="16"/>
              </w:rPr>
              <w:t>% de eventos adversos</w:t>
            </w:r>
          </w:p>
        </w:tc>
        <w:tc>
          <w:tcPr>
            <w:tcW w:w="3377" w:type="dxa"/>
            <w:tcBorders>
              <w:top w:val="single" w:sz="4" w:space="0" w:color="000000"/>
              <w:left w:val="single" w:sz="4" w:space="0" w:color="000000"/>
              <w:bottom w:val="single" w:sz="4" w:space="0" w:color="000000"/>
            </w:tcBorders>
            <w:shd w:val="clear" w:color="auto" w:fill="auto"/>
          </w:tcPr>
          <w:p w:rsidR="002C4AF7" w:rsidRDefault="007C2686">
            <w:pPr>
              <w:spacing w:before="40" w:after="40"/>
              <w:ind w:left="0" w:hanging="2"/>
            </w:pPr>
            <w:r>
              <w:rPr>
                <w:rFonts w:ascii="Arial" w:eastAsia="Arial" w:hAnsi="Arial" w:cs="Arial"/>
                <w:sz w:val="16"/>
                <w:szCs w:val="16"/>
              </w:rPr>
              <w:t>Porcentaje de pacientes con eventos adversos</w:t>
            </w:r>
          </w:p>
        </w:tc>
        <w:tc>
          <w:tcPr>
            <w:tcW w:w="1853" w:type="dxa"/>
            <w:tcBorders>
              <w:top w:val="single" w:sz="4" w:space="0" w:color="000000"/>
              <w:left w:val="single" w:sz="4" w:space="0" w:color="000000"/>
              <w:bottom w:val="single" w:sz="4" w:space="0" w:color="000000"/>
              <w:right w:val="single" w:sz="4" w:space="0" w:color="000000"/>
            </w:tcBorders>
            <w:shd w:val="clear" w:color="auto" w:fill="CCFFCC"/>
          </w:tcPr>
          <w:p w:rsidR="002C4AF7" w:rsidRDefault="007C2686">
            <w:pPr>
              <w:spacing w:before="40" w:after="40"/>
              <w:ind w:left="0" w:hanging="2"/>
            </w:pPr>
            <w:r>
              <w:rPr>
                <w:rFonts w:ascii="Arial" w:eastAsia="Arial" w:hAnsi="Arial" w:cs="Arial"/>
                <w:sz w:val="16"/>
                <w:szCs w:val="16"/>
              </w:rPr>
              <w:t>Final</w:t>
            </w:r>
          </w:p>
        </w:tc>
      </w:tr>
    </w:tbl>
    <w:p w:rsidR="002C4AF7" w:rsidRDefault="002C4AF7">
      <w:pPr>
        <w:ind w:left="0" w:hanging="2"/>
        <w:jc w:val="both"/>
        <w:rPr>
          <w:rFonts w:ascii="Arial" w:eastAsia="Arial" w:hAnsi="Arial" w:cs="Arial"/>
          <w:color w:val="000080"/>
          <w:sz w:val="20"/>
          <w:szCs w:val="20"/>
        </w:rPr>
      </w:pPr>
      <w:bookmarkStart w:id="15" w:name="_heading=h.2jxsxqh" w:colFirst="0" w:colLast="0"/>
      <w:bookmarkEnd w:id="15"/>
    </w:p>
    <w:p w:rsidR="002C4AF7" w:rsidRDefault="002C4AF7">
      <w:pPr>
        <w:ind w:left="0" w:hanging="2"/>
        <w:jc w:val="right"/>
        <w:rPr>
          <w:rFonts w:ascii="Arial" w:eastAsia="Arial" w:hAnsi="Arial" w:cs="Arial"/>
          <w:color w:val="0000FF"/>
          <w:sz w:val="20"/>
          <w:szCs w:val="20"/>
          <w:u w:val="single"/>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r>
        <w:rPr>
          <w:rFonts w:ascii="Cambria" w:eastAsia="Cambria" w:hAnsi="Cambria" w:cs="Cambria"/>
          <w:b/>
          <w:i/>
          <w:color w:val="000000"/>
          <w:sz w:val="20"/>
          <w:szCs w:val="20"/>
        </w:rPr>
        <w:t xml:space="preserve">5.2.a Resultados de los ensayos clínicos </w:t>
      </w:r>
    </w:p>
    <w:p w:rsidR="002C4AF7" w:rsidRDefault="002C4AF7">
      <w:pPr>
        <w:ind w:left="0" w:hanging="2"/>
        <w:jc w:val="both"/>
        <w:rPr>
          <w:rFonts w:ascii="Arial" w:eastAsia="Arial" w:hAnsi="Arial" w:cs="Arial"/>
          <w:color w:val="0000FF"/>
          <w:sz w:val="18"/>
          <w:szCs w:val="18"/>
        </w:rPr>
      </w:pPr>
    </w:p>
    <w:p w:rsidR="002C4AF7" w:rsidRDefault="002C4AF7">
      <w:pPr>
        <w:ind w:left="0" w:hanging="2"/>
        <w:jc w:val="both"/>
        <w:rPr>
          <w:rFonts w:ascii="Arial" w:eastAsia="Arial" w:hAnsi="Arial" w:cs="Arial"/>
          <w:sz w:val="18"/>
          <w:szCs w:val="18"/>
        </w:rPr>
      </w:pPr>
    </w:p>
    <w:tbl>
      <w:tblPr>
        <w:tblStyle w:val="afff7"/>
        <w:tblW w:w="8902"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02"/>
        <w:gridCol w:w="1395"/>
        <w:gridCol w:w="1109"/>
        <w:gridCol w:w="1252"/>
        <w:gridCol w:w="1492"/>
        <w:gridCol w:w="752"/>
      </w:tblGrid>
      <w:tr w:rsidR="002C4AF7">
        <w:trPr>
          <w:trHeight w:val="488"/>
        </w:trPr>
        <w:tc>
          <w:tcPr>
            <w:tcW w:w="8902" w:type="dxa"/>
            <w:gridSpan w:val="6"/>
            <w:shd w:val="clear" w:color="auto" w:fill="CCFFCC"/>
          </w:tcPr>
          <w:p w:rsidR="002C4AF7" w:rsidRDefault="007C2686">
            <w:pPr>
              <w:ind w:left="0" w:hanging="2"/>
              <w:rPr>
                <w:rFonts w:ascii="Arial" w:eastAsia="Arial" w:hAnsi="Arial" w:cs="Arial"/>
                <w:sz w:val="18"/>
                <w:szCs w:val="18"/>
              </w:rPr>
            </w:pPr>
            <w:r>
              <w:rPr>
                <w:rFonts w:ascii="Arial" w:eastAsia="Arial" w:hAnsi="Arial" w:cs="Arial"/>
                <w:b/>
                <w:i/>
                <w:sz w:val="18"/>
                <w:szCs w:val="18"/>
              </w:rPr>
              <w:t xml:space="preserve">Tabla 2.  </w:t>
            </w:r>
            <w:r>
              <w:rPr>
                <w:rFonts w:ascii="Arial" w:eastAsia="Arial" w:hAnsi="Arial" w:cs="Arial"/>
                <w:b/>
                <w:sz w:val="18"/>
                <w:szCs w:val="18"/>
              </w:rPr>
              <w:t>ARCHES (9)(12)</w:t>
            </w:r>
          </w:p>
        </w:tc>
      </w:tr>
      <w:tr w:rsidR="002C4AF7">
        <w:trPr>
          <w:trHeight w:val="2372"/>
        </w:trPr>
        <w:tc>
          <w:tcPr>
            <w:tcW w:w="8902" w:type="dxa"/>
            <w:gridSpan w:val="6"/>
            <w:vAlign w:val="center"/>
          </w:tcPr>
          <w:p w:rsidR="002C4AF7" w:rsidRDefault="007C2686">
            <w:pPr>
              <w:ind w:left="0" w:hanging="2"/>
              <w:jc w:val="both"/>
              <w:rPr>
                <w:rFonts w:ascii="Arial" w:eastAsia="Arial" w:hAnsi="Arial" w:cs="Arial"/>
                <w:sz w:val="16"/>
                <w:szCs w:val="16"/>
              </w:rPr>
            </w:pPr>
            <w:r>
              <w:rPr>
                <w:rFonts w:ascii="Arial" w:eastAsia="Arial" w:hAnsi="Arial" w:cs="Arial"/>
                <w:sz w:val="16"/>
                <w:szCs w:val="16"/>
              </w:rPr>
              <w:lastRenderedPageBreak/>
              <w:t>-Nº de pacientes: 1.150</w:t>
            </w:r>
          </w:p>
          <w:p w:rsidR="002C4AF7" w:rsidRDefault="007C2686">
            <w:pPr>
              <w:ind w:left="0" w:hanging="2"/>
              <w:rPr>
                <w:sz w:val="16"/>
                <w:szCs w:val="16"/>
              </w:rPr>
            </w:pPr>
            <w:r>
              <w:rPr>
                <w:rFonts w:ascii="Arial" w:eastAsia="Arial" w:hAnsi="Arial" w:cs="Arial"/>
                <w:sz w:val="16"/>
                <w:szCs w:val="16"/>
              </w:rPr>
              <w:t>-Diseño: Fase III, multicéntrico, aleatorizado 1:1, doble ciego, controlado con placebo.</w:t>
            </w:r>
          </w:p>
          <w:p w:rsidR="002C4AF7" w:rsidRDefault="007C2686">
            <w:pPr>
              <w:ind w:left="0" w:hanging="2"/>
              <w:rPr>
                <w:sz w:val="16"/>
                <w:szCs w:val="16"/>
              </w:rPr>
            </w:pPr>
            <w:r>
              <w:rPr>
                <w:rFonts w:ascii="Arial" w:eastAsia="Arial" w:hAnsi="Arial" w:cs="Arial"/>
                <w:sz w:val="16"/>
                <w:szCs w:val="16"/>
              </w:rPr>
              <w:t>-Tratamiento grupo activo: Enzalutamida 160 mg/día vía oral (4 cápsulas de 40 mg una vez al día) + TDA.</w:t>
            </w:r>
          </w:p>
          <w:p w:rsidR="002C4AF7" w:rsidRDefault="007C2686">
            <w:pPr>
              <w:ind w:left="0" w:hanging="2"/>
              <w:jc w:val="both"/>
              <w:rPr>
                <w:rFonts w:ascii="Arial" w:eastAsia="Arial" w:hAnsi="Arial" w:cs="Arial"/>
                <w:sz w:val="16"/>
                <w:szCs w:val="16"/>
              </w:rPr>
            </w:pPr>
            <w:r>
              <w:rPr>
                <w:rFonts w:ascii="Arial" w:eastAsia="Arial" w:hAnsi="Arial" w:cs="Arial"/>
                <w:sz w:val="16"/>
                <w:szCs w:val="16"/>
              </w:rPr>
              <w:t>-Tratamiento del grupo control: Placebo + TDA.</w:t>
            </w:r>
          </w:p>
          <w:p w:rsidR="002C4AF7" w:rsidRDefault="007C2686">
            <w:pPr>
              <w:ind w:left="0" w:hanging="2"/>
              <w:jc w:val="both"/>
              <w:rPr>
                <w:rFonts w:ascii="Arial" w:eastAsia="Arial" w:hAnsi="Arial" w:cs="Arial"/>
                <w:sz w:val="16"/>
                <w:szCs w:val="16"/>
              </w:rPr>
            </w:pPr>
            <w:r>
              <w:rPr>
                <w:rFonts w:ascii="Arial" w:eastAsia="Arial" w:hAnsi="Arial" w:cs="Arial"/>
                <w:sz w:val="16"/>
                <w:szCs w:val="16"/>
              </w:rPr>
              <w:t>Los pacientes recibían el tratamiento asignado hasta toxicidad inaceptable, progresión radiográfica, inicio de un nuevo tratamiento para el cáncer de próstata o si cumplían otro criterio de discontinuación. Tras el análisis primario se eliminó el ciego y se permitió el cruce de pacientes del grupo control al tratamiento activo (fase de extensión).</w:t>
            </w:r>
          </w:p>
          <w:p w:rsidR="002C4AF7" w:rsidRDefault="007C2686">
            <w:pPr>
              <w:spacing w:line="240" w:lineRule="auto"/>
              <w:ind w:left="0" w:hanging="2"/>
              <w:jc w:val="both"/>
              <w:rPr>
                <w:rFonts w:ascii="Arial" w:eastAsia="Arial" w:hAnsi="Arial" w:cs="Arial"/>
                <w:sz w:val="16"/>
                <w:szCs w:val="16"/>
              </w:rPr>
            </w:pPr>
            <w:r>
              <w:rPr>
                <w:rFonts w:ascii="Arial" w:eastAsia="Arial" w:hAnsi="Arial" w:cs="Arial"/>
                <w:sz w:val="16"/>
                <w:szCs w:val="16"/>
              </w:rPr>
              <w:t>-</w:t>
            </w:r>
            <w:r>
              <w:rPr>
                <w:rFonts w:ascii="Arial" w:eastAsia="Arial" w:hAnsi="Arial" w:cs="Arial"/>
                <w:sz w:val="16"/>
                <w:szCs w:val="16"/>
                <w:u w:val="single"/>
              </w:rPr>
              <w:t>Criterios de inclusión</w:t>
            </w:r>
            <w:r>
              <w:rPr>
                <w:rFonts w:ascii="Arial" w:eastAsia="Arial" w:hAnsi="Arial" w:cs="Arial"/>
                <w:sz w:val="16"/>
                <w:szCs w:val="16"/>
              </w:rPr>
              <w:t>: Pacientes mayores de 18 años con diagnóstico de adenocarcinoma de próstata, sin diferenciación neuroendocrina. Enfermedad metastásica hormonosensible, ya sea de novo o después de terapia local previa. ECOG 0-1. Se permitió previamente TDA y hasta 6 ciclos de quimioterapia con docetaxel. La aleatorización se estratificó según volumen de enfermedad (bajo vs. alto) y tratamiento previo con docetaxel (ningún ciclo, de uno a cinco, o seis ciclos).</w:t>
            </w:r>
          </w:p>
          <w:p w:rsidR="002C4AF7" w:rsidRDefault="007C2686">
            <w:pPr>
              <w:spacing w:line="240" w:lineRule="auto"/>
              <w:ind w:left="0" w:hanging="2"/>
              <w:jc w:val="both"/>
              <w:rPr>
                <w:rFonts w:ascii="Arial" w:eastAsia="Arial" w:hAnsi="Arial" w:cs="Arial"/>
                <w:sz w:val="16"/>
                <w:szCs w:val="16"/>
              </w:rPr>
            </w:pPr>
            <w:r>
              <w:rPr>
                <w:rFonts w:ascii="Arial" w:eastAsia="Arial" w:hAnsi="Arial" w:cs="Arial"/>
                <w:sz w:val="16"/>
                <w:szCs w:val="16"/>
              </w:rPr>
              <w:t>-</w:t>
            </w:r>
            <w:r>
              <w:rPr>
                <w:rFonts w:ascii="Arial" w:eastAsia="Arial" w:hAnsi="Arial" w:cs="Arial"/>
                <w:sz w:val="16"/>
                <w:szCs w:val="16"/>
                <w:u w:val="single"/>
              </w:rPr>
              <w:t>Criterios de exclusión</w:t>
            </w:r>
            <w:r>
              <w:rPr>
                <w:rFonts w:ascii="Arial" w:eastAsia="Arial" w:hAnsi="Arial" w:cs="Arial"/>
                <w:sz w:val="16"/>
                <w:szCs w:val="16"/>
              </w:rPr>
              <w:t>: Pacientes que progresaron antes de la aleatorización mientras recibían TDA y/o docetaxel. Pacientes con sospecha o confirmación de metástasis cerebrales o enfermedad leptomeníngea activa o con antecedentes de crisis epiléptica o de cualquier factor que pudiera predisponer a las crisis epilépticas. Las metástasis se documentaban mediante scan (metástasis óseas) o lesiones metastásicas con TC o RMI (para tejido blando). Sujetos con enfermedad diseminada a la región de nódulos pélvicos no eran elegibles.</w:t>
            </w:r>
          </w:p>
          <w:p w:rsidR="002C4AF7" w:rsidRDefault="007C2686">
            <w:pPr>
              <w:spacing w:line="240" w:lineRule="auto"/>
              <w:ind w:left="0" w:hanging="2"/>
              <w:jc w:val="both"/>
              <w:rPr>
                <w:rFonts w:ascii="Arial" w:eastAsia="Arial" w:hAnsi="Arial" w:cs="Arial"/>
                <w:sz w:val="16"/>
                <w:szCs w:val="16"/>
              </w:rPr>
            </w:pPr>
            <w:r>
              <w:rPr>
                <w:rFonts w:ascii="Arial" w:eastAsia="Arial" w:hAnsi="Arial" w:cs="Arial"/>
                <w:sz w:val="16"/>
                <w:szCs w:val="16"/>
              </w:rPr>
              <w:t>-</w:t>
            </w:r>
            <w:r>
              <w:rPr>
                <w:rFonts w:ascii="Arial" w:eastAsia="Arial" w:hAnsi="Arial" w:cs="Arial"/>
                <w:sz w:val="16"/>
                <w:szCs w:val="16"/>
                <w:u w:val="single"/>
              </w:rPr>
              <w:t>Pérdidas</w:t>
            </w:r>
            <w:r>
              <w:rPr>
                <w:rFonts w:ascii="Arial" w:eastAsia="Arial" w:hAnsi="Arial" w:cs="Arial"/>
                <w:sz w:val="16"/>
                <w:szCs w:val="16"/>
              </w:rPr>
              <w:t>: 2 pérdidas en el grupo activo y 2 en el grupo control.</w:t>
            </w:r>
          </w:p>
          <w:p w:rsidR="002C4AF7" w:rsidRDefault="007C2686">
            <w:pPr>
              <w:spacing w:line="240" w:lineRule="auto"/>
              <w:ind w:left="0" w:hanging="2"/>
              <w:jc w:val="both"/>
              <w:rPr>
                <w:rFonts w:ascii="Arial" w:eastAsia="Arial" w:hAnsi="Arial" w:cs="Arial"/>
                <w:sz w:val="16"/>
                <w:szCs w:val="16"/>
              </w:rPr>
            </w:pPr>
            <w:r>
              <w:rPr>
                <w:rFonts w:ascii="Arial" w:eastAsia="Arial" w:hAnsi="Arial" w:cs="Arial"/>
                <w:sz w:val="16"/>
                <w:szCs w:val="16"/>
                <w:u w:val="single"/>
              </w:rPr>
              <w:t>-Tipo de análisis</w:t>
            </w:r>
            <w:r>
              <w:rPr>
                <w:rFonts w:ascii="Arial" w:eastAsia="Arial" w:hAnsi="Arial" w:cs="Arial"/>
                <w:sz w:val="16"/>
                <w:szCs w:val="16"/>
              </w:rPr>
              <w:t>: por intención de tratar.</w:t>
            </w:r>
          </w:p>
          <w:p w:rsidR="002C4AF7" w:rsidRDefault="007C2686">
            <w:pPr>
              <w:spacing w:line="240" w:lineRule="auto"/>
              <w:ind w:left="0" w:hanging="2"/>
              <w:jc w:val="both"/>
              <w:rPr>
                <w:rFonts w:ascii="Arial" w:eastAsia="Arial" w:hAnsi="Arial" w:cs="Arial"/>
                <w:sz w:val="16"/>
                <w:szCs w:val="16"/>
              </w:rPr>
            </w:pPr>
            <w:r>
              <w:rPr>
                <w:rFonts w:ascii="Arial" w:eastAsia="Arial" w:hAnsi="Arial" w:cs="Arial"/>
                <w:sz w:val="16"/>
                <w:szCs w:val="16"/>
              </w:rPr>
              <w:t xml:space="preserve">- </w:t>
            </w:r>
            <w:r>
              <w:rPr>
                <w:rFonts w:ascii="Arial" w:eastAsia="Arial" w:hAnsi="Arial" w:cs="Arial"/>
                <w:sz w:val="16"/>
                <w:szCs w:val="16"/>
                <w:u w:val="single"/>
              </w:rPr>
              <w:t>Cálculo de tamaño muestral</w:t>
            </w:r>
            <w:r>
              <w:rPr>
                <w:rFonts w:ascii="Arial" w:eastAsia="Arial" w:hAnsi="Arial" w:cs="Arial"/>
                <w:sz w:val="16"/>
                <w:szCs w:val="16"/>
              </w:rPr>
              <w:t>:  El estudio fue diseñado con una potencia estadística del 90% para, con 262 eventos de SLPr, detectar un HR=0,67 en SLPr (30 meses grupo enzalutamida vs 20 meses grupo placebo), y una significación</w:t>
            </w:r>
          </w:p>
          <w:p w:rsidR="002C4AF7" w:rsidRDefault="007C2686">
            <w:pPr>
              <w:spacing w:line="240" w:lineRule="auto"/>
              <w:ind w:left="0" w:hanging="2"/>
              <w:jc w:val="both"/>
              <w:rPr>
                <w:rFonts w:ascii="Arial" w:eastAsia="Arial" w:hAnsi="Arial" w:cs="Arial"/>
                <w:sz w:val="16"/>
                <w:szCs w:val="16"/>
              </w:rPr>
            </w:pPr>
            <w:r>
              <w:rPr>
                <w:rFonts w:ascii="Arial" w:eastAsia="Arial" w:hAnsi="Arial" w:cs="Arial"/>
                <w:sz w:val="16"/>
                <w:szCs w:val="16"/>
              </w:rPr>
              <w:t>estadística de p=0,05.  El tamaño de muestra estimado fue de 1.100 pacientes. Para SG, se requerían 342 muertes para detectar un HR de 0,73 (55 meses con enzalutamida vs. 40 meses con placebo), con una potencia estadística del 80% y una significación de p=0,04.</w:t>
            </w:r>
          </w:p>
          <w:p w:rsidR="002C4AF7" w:rsidRDefault="002C4AF7">
            <w:pPr>
              <w:spacing w:before="40"/>
              <w:ind w:left="-2" w:firstLine="0"/>
              <w:jc w:val="both"/>
              <w:rPr>
                <w:rFonts w:ascii="Arial" w:eastAsia="Arial" w:hAnsi="Arial" w:cs="Arial"/>
                <w:sz w:val="4"/>
                <w:szCs w:val="4"/>
              </w:rPr>
            </w:pPr>
          </w:p>
        </w:tc>
      </w:tr>
      <w:tr w:rsidR="002C4AF7">
        <w:trPr>
          <w:trHeight w:val="238"/>
        </w:trPr>
        <w:tc>
          <w:tcPr>
            <w:tcW w:w="8902" w:type="dxa"/>
            <w:gridSpan w:val="6"/>
            <w:shd w:val="clear" w:color="auto" w:fill="CCFFCC"/>
            <w:vAlign w:val="center"/>
          </w:tcPr>
          <w:p w:rsidR="002C4AF7" w:rsidRDefault="007C2686">
            <w:pPr>
              <w:ind w:left="0" w:hanging="2"/>
              <w:rPr>
                <w:rFonts w:ascii="Arial" w:eastAsia="Arial" w:hAnsi="Arial" w:cs="Arial"/>
                <w:sz w:val="16"/>
                <w:szCs w:val="16"/>
              </w:rPr>
            </w:pPr>
            <w:r>
              <w:rPr>
                <w:rFonts w:ascii="Arial" w:eastAsia="Arial" w:hAnsi="Arial" w:cs="Arial"/>
                <w:b/>
                <w:sz w:val="16"/>
                <w:szCs w:val="16"/>
              </w:rPr>
              <w:t xml:space="preserve">Resultados  </w:t>
            </w:r>
          </w:p>
        </w:tc>
      </w:tr>
      <w:tr w:rsidR="002C4AF7">
        <w:trPr>
          <w:trHeight w:val="767"/>
        </w:trPr>
        <w:tc>
          <w:tcPr>
            <w:tcW w:w="2902" w:type="dxa"/>
          </w:tcPr>
          <w:p w:rsidR="002C4AF7" w:rsidRDefault="007C2686">
            <w:pPr>
              <w:ind w:left="0" w:hanging="2"/>
              <w:jc w:val="center"/>
              <w:rPr>
                <w:rFonts w:ascii="Arial" w:eastAsia="Arial" w:hAnsi="Arial" w:cs="Arial"/>
                <w:sz w:val="16"/>
                <w:szCs w:val="16"/>
              </w:rPr>
            </w:pPr>
            <w:r>
              <w:rPr>
                <w:rFonts w:ascii="Arial" w:eastAsia="Arial" w:hAnsi="Arial" w:cs="Arial"/>
                <w:b/>
                <w:sz w:val="16"/>
                <w:szCs w:val="16"/>
              </w:rPr>
              <w:t>Variable evaluada en el estudio</w:t>
            </w:r>
          </w:p>
        </w:tc>
        <w:tc>
          <w:tcPr>
            <w:tcW w:w="1395" w:type="dxa"/>
          </w:tcPr>
          <w:p w:rsidR="002C4AF7" w:rsidRDefault="007C2686">
            <w:pPr>
              <w:tabs>
                <w:tab w:val="left" w:pos="1673"/>
              </w:tabs>
              <w:ind w:left="0" w:hanging="2"/>
              <w:rPr>
                <w:rFonts w:ascii="Arial" w:eastAsia="Arial" w:hAnsi="Arial" w:cs="Arial"/>
                <w:sz w:val="16"/>
                <w:szCs w:val="16"/>
              </w:rPr>
            </w:pPr>
            <w:r>
              <w:rPr>
                <w:rFonts w:ascii="Arial" w:eastAsia="Arial" w:hAnsi="Arial" w:cs="Arial"/>
                <w:b/>
                <w:i/>
                <w:sz w:val="16"/>
                <w:szCs w:val="16"/>
              </w:rPr>
              <w:t xml:space="preserve">Enzalutamida + TDA </w:t>
            </w:r>
          </w:p>
          <w:p w:rsidR="002C4AF7" w:rsidRDefault="007C2686">
            <w:pPr>
              <w:ind w:left="0" w:hanging="2"/>
              <w:rPr>
                <w:rFonts w:ascii="Arial" w:eastAsia="Arial" w:hAnsi="Arial" w:cs="Arial"/>
                <w:sz w:val="16"/>
                <w:szCs w:val="16"/>
              </w:rPr>
            </w:pPr>
            <w:r>
              <w:rPr>
                <w:rFonts w:ascii="Arial" w:eastAsia="Arial" w:hAnsi="Arial" w:cs="Arial"/>
                <w:b/>
                <w:i/>
                <w:sz w:val="16"/>
                <w:szCs w:val="16"/>
              </w:rPr>
              <w:t xml:space="preserve">N=574 </w:t>
            </w:r>
          </w:p>
          <w:p w:rsidR="002C4AF7" w:rsidRDefault="007C2686">
            <w:pPr>
              <w:ind w:left="0" w:hanging="2"/>
              <w:rPr>
                <w:rFonts w:ascii="Arial" w:eastAsia="Arial" w:hAnsi="Arial" w:cs="Arial"/>
                <w:sz w:val="16"/>
                <w:szCs w:val="16"/>
              </w:rPr>
            </w:pPr>
            <w:r>
              <w:rPr>
                <w:rFonts w:ascii="Arial" w:eastAsia="Arial" w:hAnsi="Arial" w:cs="Arial"/>
                <w:b/>
                <w:sz w:val="16"/>
                <w:szCs w:val="16"/>
              </w:rPr>
              <w:t>(IC95%)</w:t>
            </w:r>
          </w:p>
          <w:p w:rsidR="002C4AF7" w:rsidRDefault="002C4AF7">
            <w:pPr>
              <w:tabs>
                <w:tab w:val="left" w:pos="1673"/>
              </w:tabs>
              <w:ind w:left="0" w:hanging="2"/>
              <w:jc w:val="center"/>
              <w:rPr>
                <w:rFonts w:ascii="Arial" w:eastAsia="Arial" w:hAnsi="Arial" w:cs="Arial"/>
                <w:sz w:val="16"/>
                <w:szCs w:val="16"/>
              </w:rPr>
            </w:pPr>
          </w:p>
        </w:tc>
        <w:tc>
          <w:tcPr>
            <w:tcW w:w="1109" w:type="dxa"/>
          </w:tcPr>
          <w:p w:rsidR="002C4AF7" w:rsidRDefault="007C2686">
            <w:pPr>
              <w:tabs>
                <w:tab w:val="left" w:pos="1673"/>
              </w:tabs>
              <w:ind w:left="0" w:hanging="2"/>
              <w:rPr>
                <w:rFonts w:ascii="Arial" w:eastAsia="Arial" w:hAnsi="Arial" w:cs="Arial"/>
                <w:sz w:val="16"/>
                <w:szCs w:val="16"/>
              </w:rPr>
            </w:pPr>
            <w:r>
              <w:rPr>
                <w:rFonts w:ascii="Arial" w:eastAsia="Arial" w:hAnsi="Arial" w:cs="Arial"/>
                <w:b/>
                <w:i/>
                <w:sz w:val="16"/>
                <w:szCs w:val="16"/>
              </w:rPr>
              <w:t>Placebo + TDA</w:t>
            </w:r>
          </w:p>
          <w:p w:rsidR="002C4AF7" w:rsidRDefault="007C2686">
            <w:pPr>
              <w:tabs>
                <w:tab w:val="left" w:pos="1673"/>
              </w:tabs>
              <w:ind w:left="0" w:hanging="2"/>
              <w:rPr>
                <w:rFonts w:ascii="Arial" w:eastAsia="Arial" w:hAnsi="Arial" w:cs="Arial"/>
                <w:sz w:val="16"/>
                <w:szCs w:val="16"/>
              </w:rPr>
            </w:pPr>
            <w:r>
              <w:rPr>
                <w:rFonts w:ascii="Arial" w:eastAsia="Arial" w:hAnsi="Arial" w:cs="Arial"/>
                <w:b/>
                <w:i/>
                <w:sz w:val="16"/>
                <w:szCs w:val="16"/>
              </w:rPr>
              <w:t>N=576</w:t>
            </w:r>
          </w:p>
          <w:p w:rsidR="002C4AF7" w:rsidRDefault="007C2686">
            <w:pPr>
              <w:ind w:left="0" w:hanging="2"/>
              <w:rPr>
                <w:rFonts w:ascii="Arial" w:eastAsia="Arial" w:hAnsi="Arial" w:cs="Arial"/>
                <w:sz w:val="16"/>
                <w:szCs w:val="16"/>
              </w:rPr>
            </w:pPr>
            <w:r>
              <w:rPr>
                <w:rFonts w:ascii="Arial" w:eastAsia="Arial" w:hAnsi="Arial" w:cs="Arial"/>
                <w:b/>
                <w:sz w:val="16"/>
                <w:szCs w:val="16"/>
              </w:rPr>
              <w:t>(IC95%)</w:t>
            </w:r>
          </w:p>
        </w:tc>
        <w:tc>
          <w:tcPr>
            <w:tcW w:w="1252" w:type="dxa"/>
          </w:tcPr>
          <w:p w:rsidR="002C4AF7" w:rsidRDefault="007C2686">
            <w:pPr>
              <w:tabs>
                <w:tab w:val="left" w:pos="1673"/>
              </w:tabs>
              <w:ind w:left="0" w:hanging="2"/>
              <w:jc w:val="center"/>
              <w:rPr>
                <w:rFonts w:ascii="Arial" w:eastAsia="Arial" w:hAnsi="Arial" w:cs="Arial"/>
                <w:sz w:val="16"/>
                <w:szCs w:val="16"/>
              </w:rPr>
            </w:pPr>
            <w:r>
              <w:rPr>
                <w:rFonts w:ascii="Arial" w:eastAsia="Arial" w:hAnsi="Arial" w:cs="Arial"/>
                <w:b/>
                <w:i/>
                <w:sz w:val="16"/>
                <w:szCs w:val="16"/>
              </w:rPr>
              <w:t>Diferencia de medianas</w:t>
            </w:r>
          </w:p>
        </w:tc>
        <w:tc>
          <w:tcPr>
            <w:tcW w:w="1492" w:type="dxa"/>
          </w:tcPr>
          <w:p w:rsidR="002C4AF7" w:rsidRDefault="007C2686">
            <w:pPr>
              <w:tabs>
                <w:tab w:val="left" w:pos="1673"/>
              </w:tabs>
              <w:ind w:left="0" w:hanging="2"/>
              <w:jc w:val="both"/>
              <w:rPr>
                <w:rFonts w:ascii="Arial" w:eastAsia="Arial" w:hAnsi="Arial" w:cs="Arial"/>
                <w:sz w:val="16"/>
                <w:szCs w:val="16"/>
              </w:rPr>
            </w:pPr>
            <w:r>
              <w:rPr>
                <w:rFonts w:ascii="Arial" w:eastAsia="Arial" w:hAnsi="Arial" w:cs="Arial"/>
                <w:b/>
                <w:i/>
                <w:sz w:val="16"/>
                <w:szCs w:val="16"/>
              </w:rPr>
              <w:t>HR (IC95%)</w:t>
            </w:r>
          </w:p>
        </w:tc>
        <w:tc>
          <w:tcPr>
            <w:tcW w:w="752" w:type="dxa"/>
          </w:tcPr>
          <w:p w:rsidR="002C4AF7" w:rsidRDefault="007C2686">
            <w:pPr>
              <w:ind w:left="0" w:hanging="2"/>
              <w:jc w:val="both"/>
              <w:rPr>
                <w:rFonts w:ascii="Arial" w:eastAsia="Arial" w:hAnsi="Arial" w:cs="Arial"/>
                <w:sz w:val="16"/>
                <w:szCs w:val="16"/>
              </w:rPr>
            </w:pPr>
            <w:r>
              <w:rPr>
                <w:rFonts w:ascii="Arial" w:eastAsia="Arial" w:hAnsi="Arial" w:cs="Arial"/>
                <w:b/>
                <w:i/>
                <w:sz w:val="16"/>
                <w:szCs w:val="16"/>
              </w:rPr>
              <w:t>p</w:t>
            </w:r>
          </w:p>
        </w:tc>
      </w:tr>
      <w:tr w:rsidR="002C4AF7">
        <w:trPr>
          <w:trHeight w:val="637"/>
        </w:trPr>
        <w:tc>
          <w:tcPr>
            <w:tcW w:w="2902" w:type="dxa"/>
          </w:tcPr>
          <w:p w:rsidR="002C4AF7" w:rsidRDefault="007C2686">
            <w:pPr>
              <w:widowControl w:val="0"/>
              <w:ind w:left="0" w:hanging="2"/>
              <w:jc w:val="center"/>
              <w:rPr>
                <w:rFonts w:ascii="Arial" w:eastAsia="Arial" w:hAnsi="Arial" w:cs="Arial"/>
                <w:sz w:val="16"/>
                <w:szCs w:val="16"/>
              </w:rPr>
            </w:pPr>
            <w:r>
              <w:rPr>
                <w:rFonts w:ascii="Arial" w:eastAsia="Arial" w:hAnsi="Arial" w:cs="Arial"/>
                <w:b/>
                <w:sz w:val="16"/>
                <w:szCs w:val="16"/>
              </w:rPr>
              <w:t>Variable primaria</w:t>
            </w:r>
          </w:p>
          <w:p w:rsidR="002C4AF7" w:rsidRDefault="007C2686">
            <w:pPr>
              <w:ind w:left="0" w:hanging="2"/>
              <w:rPr>
                <w:rFonts w:ascii="Arial" w:eastAsia="Arial" w:hAnsi="Arial" w:cs="Arial"/>
                <w:sz w:val="16"/>
                <w:szCs w:val="16"/>
              </w:rPr>
            </w:pPr>
            <w:r>
              <w:rPr>
                <w:rFonts w:ascii="Arial" w:eastAsia="Arial" w:hAnsi="Arial" w:cs="Arial"/>
                <w:sz w:val="16"/>
                <w:szCs w:val="16"/>
              </w:rPr>
              <w:t>Supervivencia libre de progresión radiográfica (SLPr) (mediana, meses)*</w:t>
            </w:r>
          </w:p>
          <w:p w:rsidR="002C4AF7" w:rsidRDefault="002C4AF7">
            <w:pPr>
              <w:ind w:left="0" w:hanging="2"/>
              <w:rPr>
                <w:rFonts w:ascii="Arial" w:eastAsia="Arial" w:hAnsi="Arial" w:cs="Arial"/>
                <w:sz w:val="16"/>
                <w:szCs w:val="16"/>
              </w:rPr>
            </w:pPr>
          </w:p>
          <w:p w:rsidR="002C4AF7" w:rsidRDefault="007C2686">
            <w:pPr>
              <w:ind w:left="0" w:hanging="2"/>
              <w:rPr>
                <w:rFonts w:ascii="Arial" w:eastAsia="Arial" w:hAnsi="Arial" w:cs="Arial"/>
                <w:sz w:val="16"/>
                <w:szCs w:val="16"/>
              </w:rPr>
            </w:pPr>
            <w:r>
              <w:rPr>
                <w:rFonts w:ascii="Arial" w:eastAsia="Arial" w:hAnsi="Arial" w:cs="Arial"/>
                <w:sz w:val="16"/>
                <w:szCs w:val="16"/>
              </w:rPr>
              <w:t>Supervivencia libre de progresión radiográfica (SLPr) (mediana, meses)$</w:t>
            </w:r>
          </w:p>
          <w:p w:rsidR="002C4AF7" w:rsidRDefault="002C4AF7">
            <w:pPr>
              <w:ind w:left="0" w:hanging="2"/>
              <w:rPr>
                <w:rFonts w:ascii="Arial" w:eastAsia="Arial" w:hAnsi="Arial" w:cs="Arial"/>
                <w:sz w:val="16"/>
                <w:szCs w:val="16"/>
              </w:rPr>
            </w:pPr>
          </w:p>
          <w:p w:rsidR="002C4AF7" w:rsidRDefault="002C4AF7">
            <w:pPr>
              <w:ind w:left="0" w:hanging="2"/>
              <w:rPr>
                <w:rFonts w:ascii="Arial" w:eastAsia="Arial" w:hAnsi="Arial" w:cs="Arial"/>
                <w:sz w:val="16"/>
                <w:szCs w:val="16"/>
              </w:rPr>
            </w:pPr>
          </w:p>
        </w:tc>
        <w:tc>
          <w:tcPr>
            <w:tcW w:w="1395" w:type="dxa"/>
          </w:tcPr>
          <w:p w:rsidR="002C4AF7" w:rsidRDefault="002C4AF7">
            <w:pPr>
              <w:ind w:left="0" w:hanging="2"/>
              <w:jc w:val="center"/>
              <w:rPr>
                <w:rFonts w:ascii="Arial" w:eastAsia="Arial" w:hAnsi="Arial" w:cs="Arial"/>
                <w:color w:val="FF0000"/>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NA</w:t>
            </w: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color w:val="FF0000"/>
                <w:sz w:val="16"/>
                <w:szCs w:val="16"/>
              </w:rPr>
            </w:pPr>
            <w:r>
              <w:rPr>
                <w:rFonts w:ascii="Arial" w:eastAsia="Arial" w:hAnsi="Arial" w:cs="Arial"/>
                <w:sz w:val="16"/>
                <w:szCs w:val="16"/>
              </w:rPr>
              <w:t>49,8</w:t>
            </w:r>
          </w:p>
        </w:tc>
        <w:tc>
          <w:tcPr>
            <w:tcW w:w="1109" w:type="dxa"/>
          </w:tcPr>
          <w:p w:rsidR="002C4AF7" w:rsidRDefault="002C4AF7">
            <w:pPr>
              <w:ind w:left="0" w:hanging="2"/>
              <w:jc w:val="center"/>
              <w:rPr>
                <w:rFonts w:ascii="Arial" w:eastAsia="Arial" w:hAnsi="Arial" w:cs="Arial"/>
                <w:color w:val="FF0000"/>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sz w:val="16"/>
                <w:szCs w:val="16"/>
              </w:rPr>
              <w:t>19,0</w:t>
            </w:r>
          </w:p>
          <w:p w:rsidR="002C4AF7" w:rsidRDefault="002C4AF7">
            <w:pPr>
              <w:ind w:left="0" w:hanging="2"/>
              <w:jc w:val="center"/>
              <w:rPr>
                <w:rFonts w:ascii="Arial" w:eastAsia="Arial" w:hAnsi="Arial" w:cs="Arial"/>
                <w:sz w:val="16"/>
                <w:szCs w:val="16"/>
              </w:rPr>
            </w:pP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color w:val="FF0000"/>
                <w:sz w:val="16"/>
                <w:szCs w:val="16"/>
              </w:rPr>
            </w:pPr>
            <w:r>
              <w:rPr>
                <w:rFonts w:ascii="Arial" w:eastAsia="Arial" w:hAnsi="Arial" w:cs="Arial"/>
                <w:sz w:val="16"/>
                <w:szCs w:val="16"/>
              </w:rPr>
              <w:t>38,9</w:t>
            </w:r>
          </w:p>
          <w:p w:rsidR="002C4AF7" w:rsidRDefault="002C4AF7">
            <w:pPr>
              <w:ind w:left="0" w:hanging="2"/>
              <w:jc w:val="center"/>
              <w:rPr>
                <w:rFonts w:ascii="Arial" w:eastAsia="Arial" w:hAnsi="Arial" w:cs="Arial"/>
                <w:color w:val="FF0000"/>
                <w:sz w:val="16"/>
                <w:szCs w:val="16"/>
              </w:rPr>
            </w:pPr>
          </w:p>
        </w:tc>
        <w:tc>
          <w:tcPr>
            <w:tcW w:w="1252" w:type="dxa"/>
          </w:tcPr>
          <w:p w:rsidR="002C4AF7" w:rsidRDefault="002C4AF7">
            <w:pPr>
              <w:ind w:left="0" w:hanging="2"/>
              <w:jc w:val="center"/>
              <w:rPr>
                <w:rFonts w:ascii="Arial" w:eastAsia="Arial" w:hAnsi="Arial" w:cs="Arial"/>
                <w:color w:val="FF0000"/>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sz w:val="16"/>
                <w:szCs w:val="16"/>
              </w:rPr>
              <w:t>-</w:t>
            </w:r>
          </w:p>
        </w:tc>
        <w:tc>
          <w:tcPr>
            <w:tcW w:w="1492" w:type="dxa"/>
          </w:tcPr>
          <w:p w:rsidR="002C4AF7" w:rsidRDefault="002C4AF7">
            <w:pPr>
              <w:widowControl w:val="0"/>
              <w:ind w:left="0" w:hanging="2"/>
              <w:jc w:val="center"/>
              <w:rPr>
                <w:rFonts w:ascii="Arial" w:eastAsia="Arial" w:hAnsi="Arial" w:cs="Arial"/>
                <w:color w:val="FF0000"/>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sz w:val="16"/>
                <w:szCs w:val="16"/>
              </w:rPr>
              <w:t>0,39 (0,30 a 0,50)</w:t>
            </w:r>
          </w:p>
          <w:p w:rsidR="002C4AF7" w:rsidRDefault="002C4AF7">
            <w:pPr>
              <w:ind w:left="0" w:hanging="2"/>
              <w:jc w:val="center"/>
              <w:rPr>
                <w:rFonts w:ascii="Arial" w:eastAsia="Arial" w:hAnsi="Arial" w:cs="Arial"/>
                <w:sz w:val="16"/>
                <w:szCs w:val="16"/>
              </w:rPr>
            </w:pP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color w:val="FF0000"/>
                <w:sz w:val="16"/>
                <w:szCs w:val="16"/>
              </w:rPr>
            </w:pPr>
            <w:r>
              <w:rPr>
                <w:rFonts w:ascii="Arial" w:eastAsia="Arial" w:hAnsi="Arial" w:cs="Arial"/>
                <w:sz w:val="16"/>
                <w:szCs w:val="16"/>
              </w:rPr>
              <w:t>0,63 (0,52 a 0,76)</w:t>
            </w:r>
          </w:p>
        </w:tc>
        <w:tc>
          <w:tcPr>
            <w:tcW w:w="752" w:type="dxa"/>
          </w:tcPr>
          <w:p w:rsidR="002C4AF7" w:rsidRDefault="002C4AF7">
            <w:pPr>
              <w:ind w:left="0" w:hanging="2"/>
              <w:jc w:val="center"/>
              <w:rPr>
                <w:rFonts w:ascii="Arial" w:eastAsia="Arial" w:hAnsi="Arial" w:cs="Arial"/>
                <w:color w:val="FF0000"/>
                <w:sz w:val="16"/>
                <w:szCs w:val="16"/>
              </w:rPr>
            </w:pPr>
          </w:p>
          <w:p w:rsidR="002C4AF7" w:rsidRDefault="007C2686">
            <w:pPr>
              <w:ind w:left="0" w:hanging="2"/>
              <w:jc w:val="center"/>
              <w:rPr>
                <w:rFonts w:ascii="Arial" w:eastAsia="Arial" w:hAnsi="Arial" w:cs="Arial"/>
                <w:color w:val="FF0000"/>
                <w:sz w:val="16"/>
                <w:szCs w:val="16"/>
              </w:rPr>
            </w:pPr>
            <w:r>
              <w:rPr>
                <w:rFonts w:ascii="Arial" w:eastAsia="Arial" w:hAnsi="Arial" w:cs="Arial"/>
                <w:sz w:val="16"/>
                <w:szCs w:val="16"/>
              </w:rPr>
              <w:t>&lt;0,001</w:t>
            </w:r>
          </w:p>
          <w:p w:rsidR="002C4AF7" w:rsidRDefault="002C4AF7">
            <w:pPr>
              <w:ind w:left="0" w:hanging="2"/>
              <w:jc w:val="center"/>
              <w:rPr>
                <w:rFonts w:ascii="Arial" w:eastAsia="Arial" w:hAnsi="Arial" w:cs="Arial"/>
                <w:color w:val="FF0000"/>
                <w:sz w:val="16"/>
                <w:szCs w:val="16"/>
              </w:rPr>
            </w:pPr>
          </w:p>
          <w:p w:rsidR="002C4AF7" w:rsidRDefault="002C4AF7">
            <w:pPr>
              <w:ind w:left="0" w:hanging="2"/>
              <w:jc w:val="center"/>
              <w:rPr>
                <w:rFonts w:ascii="Arial" w:eastAsia="Arial" w:hAnsi="Arial" w:cs="Arial"/>
                <w:color w:val="FF0000"/>
                <w:sz w:val="16"/>
                <w:szCs w:val="16"/>
              </w:rPr>
            </w:pPr>
          </w:p>
          <w:p w:rsidR="002C4AF7" w:rsidRDefault="007C2686">
            <w:pPr>
              <w:ind w:left="0" w:hanging="2"/>
              <w:jc w:val="center"/>
              <w:rPr>
                <w:rFonts w:ascii="Arial" w:eastAsia="Arial" w:hAnsi="Arial" w:cs="Arial"/>
                <w:color w:val="FF0000"/>
                <w:sz w:val="16"/>
                <w:szCs w:val="16"/>
              </w:rPr>
            </w:pPr>
            <w:r>
              <w:rPr>
                <w:rFonts w:ascii="Arial" w:eastAsia="Arial" w:hAnsi="Arial" w:cs="Arial"/>
                <w:sz w:val="16"/>
                <w:szCs w:val="16"/>
              </w:rPr>
              <w:t>&lt;0,001</w:t>
            </w:r>
          </w:p>
          <w:p w:rsidR="002C4AF7" w:rsidRDefault="002C4AF7">
            <w:pPr>
              <w:ind w:left="0" w:hanging="2"/>
              <w:jc w:val="center"/>
              <w:rPr>
                <w:rFonts w:ascii="Arial" w:eastAsia="Arial" w:hAnsi="Arial" w:cs="Arial"/>
                <w:color w:val="FF0000"/>
                <w:sz w:val="16"/>
                <w:szCs w:val="16"/>
              </w:rPr>
            </w:pPr>
          </w:p>
        </w:tc>
      </w:tr>
      <w:tr w:rsidR="002C4AF7">
        <w:trPr>
          <w:trHeight w:val="70"/>
        </w:trPr>
        <w:tc>
          <w:tcPr>
            <w:tcW w:w="2902" w:type="dxa"/>
          </w:tcPr>
          <w:p w:rsidR="002C4AF7" w:rsidRDefault="007C2686">
            <w:pPr>
              <w:widowControl w:val="0"/>
              <w:ind w:left="0" w:hanging="2"/>
              <w:jc w:val="center"/>
              <w:rPr>
                <w:rFonts w:ascii="Arial" w:eastAsia="Arial" w:hAnsi="Arial" w:cs="Arial"/>
                <w:sz w:val="16"/>
                <w:szCs w:val="16"/>
              </w:rPr>
            </w:pPr>
            <w:r>
              <w:rPr>
                <w:rFonts w:ascii="Arial" w:eastAsia="Arial" w:hAnsi="Arial" w:cs="Arial"/>
                <w:b/>
                <w:sz w:val="16"/>
                <w:szCs w:val="16"/>
              </w:rPr>
              <w:t>Variables secundarias y exploratorias</w:t>
            </w:r>
          </w:p>
          <w:p w:rsidR="002C4AF7" w:rsidRDefault="002C4AF7">
            <w:pPr>
              <w:ind w:left="0" w:hanging="2"/>
              <w:rPr>
                <w:rFonts w:ascii="Arial" w:eastAsia="Arial" w:hAnsi="Arial" w:cs="Arial"/>
                <w:sz w:val="16"/>
                <w:szCs w:val="16"/>
              </w:rPr>
            </w:pPr>
          </w:p>
          <w:p w:rsidR="002C4AF7" w:rsidRDefault="007C2686">
            <w:pPr>
              <w:ind w:left="0" w:hanging="2"/>
              <w:rPr>
                <w:rFonts w:ascii="Arial" w:eastAsia="Arial" w:hAnsi="Arial" w:cs="Arial"/>
                <w:sz w:val="16"/>
                <w:szCs w:val="16"/>
              </w:rPr>
            </w:pPr>
            <w:r>
              <w:rPr>
                <w:rFonts w:ascii="Arial" w:eastAsia="Arial" w:hAnsi="Arial" w:cs="Arial"/>
                <w:sz w:val="16"/>
                <w:szCs w:val="16"/>
              </w:rPr>
              <w:t>Tiempo hasta progresión de PSA</w:t>
            </w: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rPr>
                <w:rFonts w:ascii="Arial" w:eastAsia="Arial" w:hAnsi="Arial" w:cs="Arial"/>
                <w:sz w:val="16"/>
                <w:szCs w:val="16"/>
              </w:rPr>
            </w:pPr>
          </w:p>
          <w:p w:rsidR="002C4AF7" w:rsidRDefault="007C2686">
            <w:pPr>
              <w:widowControl w:val="0"/>
              <w:ind w:left="0" w:hanging="2"/>
              <w:rPr>
                <w:rFonts w:ascii="Arial" w:eastAsia="Arial" w:hAnsi="Arial" w:cs="Arial"/>
                <w:sz w:val="16"/>
                <w:szCs w:val="16"/>
              </w:rPr>
            </w:pPr>
            <w:r>
              <w:rPr>
                <w:rFonts w:ascii="Arial" w:eastAsia="Arial" w:hAnsi="Arial" w:cs="Arial"/>
                <w:sz w:val="16"/>
                <w:szCs w:val="16"/>
              </w:rPr>
              <w:t>Tiempo hasta el primer uso de una nueva terapia antineoplásica (meses)</w:t>
            </w:r>
          </w:p>
          <w:p w:rsidR="002C4AF7" w:rsidRDefault="002C4AF7">
            <w:pPr>
              <w:widowControl w:val="0"/>
              <w:ind w:left="0" w:hanging="2"/>
              <w:jc w:val="center"/>
              <w:rPr>
                <w:rFonts w:ascii="Arial" w:eastAsia="Arial" w:hAnsi="Arial" w:cs="Arial"/>
                <w:sz w:val="16"/>
                <w:szCs w:val="16"/>
              </w:rPr>
            </w:pPr>
          </w:p>
          <w:p w:rsidR="002C4AF7" w:rsidRDefault="007C2686">
            <w:pPr>
              <w:ind w:left="0" w:hanging="2"/>
              <w:rPr>
                <w:rFonts w:ascii="Arial" w:eastAsia="Arial" w:hAnsi="Arial" w:cs="Arial"/>
                <w:sz w:val="16"/>
                <w:szCs w:val="16"/>
              </w:rPr>
            </w:pPr>
            <w:r>
              <w:rPr>
                <w:rFonts w:ascii="Arial" w:eastAsia="Arial" w:hAnsi="Arial" w:cs="Arial"/>
                <w:sz w:val="16"/>
                <w:szCs w:val="16"/>
              </w:rPr>
              <w:t xml:space="preserve">Tasa de PSA indetectable </w:t>
            </w:r>
          </w:p>
          <w:p w:rsidR="002C4AF7" w:rsidRDefault="002C4AF7">
            <w:pPr>
              <w:widowControl w:val="0"/>
              <w:ind w:left="0" w:hanging="2"/>
              <w:jc w:val="center"/>
              <w:rPr>
                <w:rFonts w:ascii="Arial" w:eastAsia="Arial" w:hAnsi="Arial" w:cs="Arial"/>
                <w:sz w:val="16"/>
                <w:szCs w:val="16"/>
              </w:rPr>
            </w:pPr>
          </w:p>
          <w:p w:rsidR="002C4AF7" w:rsidRDefault="007C2686">
            <w:pPr>
              <w:ind w:left="0" w:hanging="2"/>
              <w:rPr>
                <w:rFonts w:ascii="Arial" w:eastAsia="Arial" w:hAnsi="Arial" w:cs="Arial"/>
                <w:sz w:val="16"/>
                <w:szCs w:val="16"/>
              </w:rPr>
            </w:pPr>
            <w:r>
              <w:rPr>
                <w:rFonts w:ascii="Arial" w:eastAsia="Arial" w:hAnsi="Arial" w:cs="Arial"/>
                <w:sz w:val="16"/>
                <w:szCs w:val="16"/>
              </w:rPr>
              <w:t>Tasa de respuesta objetiva</w:t>
            </w:r>
          </w:p>
          <w:p w:rsidR="002C4AF7" w:rsidRDefault="002C4AF7">
            <w:pPr>
              <w:widowControl w:val="0"/>
              <w:ind w:left="0" w:hanging="2"/>
              <w:jc w:val="center"/>
              <w:rPr>
                <w:rFonts w:ascii="Arial" w:eastAsia="Arial" w:hAnsi="Arial" w:cs="Arial"/>
                <w:sz w:val="16"/>
                <w:szCs w:val="16"/>
              </w:rPr>
            </w:pPr>
          </w:p>
          <w:p w:rsidR="002C4AF7" w:rsidRDefault="007C2686">
            <w:pPr>
              <w:ind w:left="0" w:hanging="2"/>
              <w:rPr>
                <w:rFonts w:ascii="Arial" w:eastAsia="Arial" w:hAnsi="Arial" w:cs="Arial"/>
                <w:sz w:val="16"/>
                <w:szCs w:val="16"/>
              </w:rPr>
            </w:pPr>
            <w:r>
              <w:rPr>
                <w:rFonts w:ascii="Arial" w:eastAsia="Arial" w:hAnsi="Arial" w:cs="Arial"/>
                <w:sz w:val="16"/>
                <w:szCs w:val="16"/>
              </w:rPr>
              <w:t>Tiempo hasta deterioro de los síntomas urinarios</w:t>
            </w:r>
          </w:p>
          <w:p w:rsidR="002C4AF7" w:rsidRDefault="002C4AF7">
            <w:pPr>
              <w:widowControl w:val="0"/>
              <w:ind w:left="0" w:hanging="2"/>
              <w:jc w:val="center"/>
              <w:rPr>
                <w:rFonts w:ascii="Arial" w:eastAsia="Arial" w:hAnsi="Arial" w:cs="Arial"/>
                <w:sz w:val="16"/>
                <w:szCs w:val="16"/>
              </w:rPr>
            </w:pPr>
          </w:p>
          <w:p w:rsidR="002C4AF7" w:rsidRDefault="007C2686">
            <w:pPr>
              <w:spacing w:before="40" w:after="40"/>
              <w:ind w:left="0" w:hanging="2"/>
              <w:rPr>
                <w:rFonts w:ascii="Arial" w:eastAsia="Arial" w:hAnsi="Arial" w:cs="Arial"/>
                <w:sz w:val="16"/>
                <w:szCs w:val="16"/>
              </w:rPr>
            </w:pPr>
            <w:r>
              <w:rPr>
                <w:rFonts w:ascii="Arial" w:eastAsia="Arial" w:hAnsi="Arial" w:cs="Arial"/>
                <w:sz w:val="16"/>
                <w:szCs w:val="16"/>
              </w:rPr>
              <w:t>Supervivencia global*</w:t>
            </w:r>
          </w:p>
          <w:p w:rsidR="002C4AF7" w:rsidRDefault="007C2686">
            <w:pPr>
              <w:spacing w:before="40" w:after="40"/>
              <w:ind w:left="0" w:hanging="2"/>
              <w:rPr>
                <w:rFonts w:ascii="Arial" w:eastAsia="Arial" w:hAnsi="Arial" w:cs="Arial"/>
                <w:sz w:val="16"/>
                <w:szCs w:val="16"/>
              </w:rPr>
            </w:pPr>
            <w:r>
              <w:rPr>
                <w:rFonts w:ascii="Arial" w:eastAsia="Arial" w:hAnsi="Arial" w:cs="Arial"/>
                <w:sz w:val="16"/>
                <w:szCs w:val="16"/>
              </w:rPr>
              <w:t>Supervivencia global$</w:t>
            </w:r>
          </w:p>
          <w:p w:rsidR="002C4AF7" w:rsidRDefault="007C2686">
            <w:pPr>
              <w:spacing w:before="40" w:after="40"/>
              <w:ind w:left="0" w:hanging="2"/>
              <w:rPr>
                <w:rFonts w:ascii="Arial" w:eastAsia="Arial" w:hAnsi="Arial" w:cs="Arial"/>
                <w:sz w:val="16"/>
                <w:szCs w:val="16"/>
              </w:rPr>
            </w:pPr>
            <w:r>
              <w:rPr>
                <w:rFonts w:ascii="Arial" w:eastAsia="Arial" w:hAnsi="Arial" w:cs="Arial"/>
                <w:sz w:val="16"/>
                <w:szCs w:val="16"/>
              </w:rPr>
              <w:t>Supervivencia global&amp;</w:t>
            </w:r>
          </w:p>
          <w:p w:rsidR="002C4AF7" w:rsidRDefault="002C4AF7">
            <w:pPr>
              <w:widowControl w:val="0"/>
              <w:ind w:left="0" w:hanging="2"/>
              <w:rPr>
                <w:rFonts w:ascii="Arial" w:eastAsia="Arial" w:hAnsi="Arial" w:cs="Arial"/>
                <w:sz w:val="16"/>
                <w:szCs w:val="16"/>
              </w:rPr>
            </w:pPr>
          </w:p>
        </w:tc>
        <w:tc>
          <w:tcPr>
            <w:tcW w:w="1395" w:type="dxa"/>
          </w:tcPr>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NA</w:t>
            </w: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30,2</w:t>
            </w: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348 (68,1)</w:t>
            </w: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147 (83,1)</w:t>
            </w: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NA</w:t>
            </w: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NA</w:t>
            </w: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NA</w:t>
            </w: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NA</w:t>
            </w:r>
          </w:p>
          <w:p w:rsidR="002C4AF7" w:rsidRDefault="002C4AF7">
            <w:pPr>
              <w:ind w:left="0" w:hanging="2"/>
              <w:rPr>
                <w:rFonts w:ascii="Arial" w:eastAsia="Arial" w:hAnsi="Arial" w:cs="Arial"/>
                <w:sz w:val="16"/>
                <w:szCs w:val="16"/>
              </w:rPr>
            </w:pPr>
          </w:p>
        </w:tc>
        <w:tc>
          <w:tcPr>
            <w:tcW w:w="1109" w:type="dxa"/>
          </w:tcPr>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NA</w:t>
            </w: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NA</w:t>
            </w: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89 (17,6)</w:t>
            </w: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116 (63,7)</w:t>
            </w: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16,8</w:t>
            </w: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NA</w:t>
            </w: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NA</w:t>
            </w: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47,7</w:t>
            </w:r>
          </w:p>
          <w:p w:rsidR="002C4AF7" w:rsidRDefault="002C4AF7">
            <w:pPr>
              <w:widowControl w:val="0"/>
              <w:ind w:left="0" w:hanging="2"/>
              <w:jc w:val="center"/>
              <w:rPr>
                <w:rFonts w:ascii="Arial" w:eastAsia="Arial" w:hAnsi="Arial" w:cs="Arial"/>
                <w:sz w:val="16"/>
                <w:szCs w:val="16"/>
              </w:rPr>
            </w:pPr>
          </w:p>
          <w:p w:rsidR="002C4AF7" w:rsidRDefault="002C4AF7">
            <w:pPr>
              <w:ind w:left="0" w:hanging="2"/>
              <w:rPr>
                <w:rFonts w:ascii="Arial" w:eastAsia="Arial" w:hAnsi="Arial" w:cs="Arial"/>
                <w:sz w:val="16"/>
                <w:szCs w:val="16"/>
              </w:rPr>
            </w:pPr>
          </w:p>
        </w:tc>
        <w:tc>
          <w:tcPr>
            <w:tcW w:w="1252" w:type="dxa"/>
          </w:tcPr>
          <w:p w:rsidR="002C4AF7" w:rsidRDefault="002C4AF7">
            <w:pPr>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w:t>
            </w: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w:t>
            </w: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w:t>
            </w: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w:t>
            </w: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w:t>
            </w: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w:t>
            </w: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2C4AF7">
            <w:pPr>
              <w:ind w:left="0" w:hanging="2"/>
              <w:rPr>
                <w:rFonts w:ascii="Arial" w:eastAsia="Arial" w:hAnsi="Arial" w:cs="Arial"/>
                <w:sz w:val="16"/>
                <w:szCs w:val="16"/>
              </w:rPr>
            </w:pPr>
          </w:p>
        </w:tc>
        <w:tc>
          <w:tcPr>
            <w:tcW w:w="1492" w:type="dxa"/>
          </w:tcPr>
          <w:p w:rsidR="002C4AF7" w:rsidRDefault="002C4AF7">
            <w:pPr>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0,19 (0,13 a 0,26)</w:t>
            </w: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0,28 (0,20 a 0,40)</w:t>
            </w: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w:t>
            </w: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w:t>
            </w: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0,88 (0,72 a 1,08)</w:t>
            </w: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 xml:space="preserve"> 0,81(0,53 a 1,25)</w:t>
            </w: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0,66 (0,53 a 0,81)</w:t>
            </w: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0,57 (0,45 a 0,70)</w:t>
            </w: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2C4AF7">
            <w:pPr>
              <w:ind w:left="0" w:hanging="2"/>
              <w:rPr>
                <w:rFonts w:ascii="Arial" w:eastAsia="Arial" w:hAnsi="Arial" w:cs="Arial"/>
                <w:sz w:val="16"/>
                <w:szCs w:val="16"/>
              </w:rPr>
            </w:pPr>
          </w:p>
          <w:p w:rsidR="002C4AF7" w:rsidRDefault="002C4AF7">
            <w:pPr>
              <w:ind w:left="0" w:hanging="2"/>
              <w:rPr>
                <w:rFonts w:ascii="Arial" w:eastAsia="Arial" w:hAnsi="Arial" w:cs="Arial"/>
                <w:sz w:val="16"/>
                <w:szCs w:val="16"/>
              </w:rPr>
            </w:pPr>
          </w:p>
        </w:tc>
        <w:tc>
          <w:tcPr>
            <w:tcW w:w="752" w:type="dxa"/>
          </w:tcPr>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&lt;0,001</w:t>
            </w: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rPr>
                <w:rFonts w:ascii="Arial" w:eastAsia="Arial" w:hAnsi="Arial" w:cs="Arial"/>
                <w:sz w:val="16"/>
                <w:szCs w:val="16"/>
              </w:rPr>
            </w:pPr>
          </w:p>
          <w:p w:rsidR="002C4AF7" w:rsidRDefault="007C2686">
            <w:pPr>
              <w:widowControl w:val="0"/>
              <w:ind w:left="0" w:hanging="2"/>
              <w:rPr>
                <w:rFonts w:ascii="Arial" w:eastAsia="Arial" w:hAnsi="Arial" w:cs="Arial"/>
                <w:sz w:val="16"/>
                <w:szCs w:val="16"/>
              </w:rPr>
            </w:pPr>
            <w:r>
              <w:rPr>
                <w:rFonts w:ascii="Arial" w:eastAsia="Arial" w:hAnsi="Arial" w:cs="Arial"/>
                <w:sz w:val="16"/>
                <w:szCs w:val="16"/>
              </w:rPr>
              <w:t>&lt;0,001</w:t>
            </w: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rPr>
                <w:rFonts w:ascii="Arial" w:eastAsia="Arial" w:hAnsi="Arial" w:cs="Arial"/>
                <w:sz w:val="16"/>
                <w:szCs w:val="16"/>
              </w:rPr>
            </w:pPr>
            <w:r>
              <w:rPr>
                <w:rFonts w:ascii="Arial" w:eastAsia="Arial" w:hAnsi="Arial" w:cs="Arial"/>
                <w:sz w:val="16"/>
                <w:szCs w:val="16"/>
              </w:rPr>
              <w:t>&lt;0,001</w:t>
            </w: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rPr>
                <w:rFonts w:ascii="Arial" w:eastAsia="Arial" w:hAnsi="Arial" w:cs="Arial"/>
                <w:sz w:val="16"/>
                <w:szCs w:val="16"/>
              </w:rPr>
            </w:pPr>
            <w:r>
              <w:rPr>
                <w:rFonts w:ascii="Arial" w:eastAsia="Arial" w:hAnsi="Arial" w:cs="Arial"/>
                <w:sz w:val="16"/>
                <w:szCs w:val="16"/>
              </w:rPr>
              <w:t>&lt;0,001</w:t>
            </w: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0,2162</w:t>
            </w: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0,3361</w:t>
            </w:r>
          </w:p>
          <w:p w:rsidR="002C4AF7" w:rsidRDefault="007C2686">
            <w:pPr>
              <w:widowControl w:val="0"/>
              <w:ind w:left="0" w:hanging="2"/>
              <w:rPr>
                <w:rFonts w:ascii="Arial" w:eastAsia="Arial" w:hAnsi="Arial" w:cs="Arial"/>
                <w:sz w:val="16"/>
                <w:szCs w:val="16"/>
              </w:rPr>
            </w:pPr>
            <w:r>
              <w:rPr>
                <w:rFonts w:ascii="Arial" w:eastAsia="Arial" w:hAnsi="Arial" w:cs="Arial"/>
                <w:sz w:val="16"/>
                <w:szCs w:val="16"/>
              </w:rPr>
              <w:t>&lt;0,001</w:t>
            </w: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2C4AF7">
            <w:pPr>
              <w:ind w:left="0" w:hanging="2"/>
              <w:rPr>
                <w:rFonts w:ascii="Arial" w:eastAsia="Arial" w:hAnsi="Arial" w:cs="Arial"/>
                <w:sz w:val="16"/>
                <w:szCs w:val="16"/>
              </w:rPr>
            </w:pPr>
          </w:p>
        </w:tc>
      </w:tr>
    </w:tbl>
    <w:p w:rsidR="002C4AF7" w:rsidRDefault="007C2686">
      <w:pPr>
        <w:ind w:left="0" w:hanging="2"/>
        <w:rPr>
          <w:rFonts w:ascii="Arial" w:eastAsia="Arial" w:hAnsi="Arial" w:cs="Arial"/>
          <w:sz w:val="18"/>
          <w:szCs w:val="18"/>
        </w:rPr>
      </w:pPr>
      <w:r>
        <w:rPr>
          <w:rFonts w:ascii="Arial" w:eastAsia="Arial" w:hAnsi="Arial" w:cs="Arial"/>
          <w:sz w:val="18"/>
          <w:szCs w:val="18"/>
        </w:rPr>
        <w:t>*Análisis intermedio</w:t>
      </w:r>
    </w:p>
    <w:p w:rsidR="002C4AF7" w:rsidRDefault="007C2686">
      <w:pPr>
        <w:ind w:left="0" w:hanging="2"/>
        <w:rPr>
          <w:rFonts w:ascii="Arial" w:eastAsia="Arial" w:hAnsi="Arial" w:cs="Arial"/>
          <w:sz w:val="18"/>
          <w:szCs w:val="18"/>
        </w:rPr>
      </w:pPr>
      <w:r>
        <w:rPr>
          <w:rFonts w:ascii="Arial" w:eastAsia="Arial" w:hAnsi="Arial" w:cs="Arial"/>
          <w:sz w:val="18"/>
          <w:szCs w:val="18"/>
        </w:rPr>
        <w:t>$Análisis final</w:t>
      </w:r>
    </w:p>
    <w:p w:rsidR="002C4AF7" w:rsidRDefault="00DB7ADA">
      <w:pPr>
        <w:ind w:left="0" w:hanging="2"/>
        <w:rPr>
          <w:rFonts w:ascii="Arial" w:eastAsia="Arial" w:hAnsi="Arial" w:cs="Arial"/>
          <w:sz w:val="18"/>
          <w:szCs w:val="18"/>
        </w:rPr>
      </w:pPr>
      <w:r>
        <w:rPr>
          <w:rFonts w:ascii="Arial" w:eastAsia="Arial" w:hAnsi="Arial" w:cs="Arial"/>
          <w:sz w:val="18"/>
          <w:szCs w:val="18"/>
        </w:rPr>
        <w:t xml:space="preserve">&amp; Análisis final </w:t>
      </w:r>
      <w:r w:rsidR="007C2686">
        <w:rPr>
          <w:rFonts w:ascii="Arial" w:eastAsia="Arial" w:hAnsi="Arial" w:cs="Arial"/>
          <w:sz w:val="18"/>
          <w:szCs w:val="18"/>
        </w:rPr>
        <w:t>con análisis de sensibilidad preespecificado para ajustar el efecto del cruce de pacientes</w:t>
      </w:r>
    </w:p>
    <w:p w:rsidR="002C4AF7" w:rsidRDefault="002C4AF7">
      <w:pPr>
        <w:ind w:left="0" w:hanging="2"/>
        <w:rPr>
          <w:rFonts w:ascii="Arial" w:eastAsia="Arial" w:hAnsi="Arial" w:cs="Arial"/>
          <w:sz w:val="18"/>
          <w:szCs w:val="18"/>
        </w:rPr>
      </w:pPr>
    </w:p>
    <w:p w:rsidR="002C4AF7" w:rsidRPr="00823B12" w:rsidRDefault="007C2686">
      <w:pPr>
        <w:ind w:left="0" w:hanging="2"/>
        <w:jc w:val="both"/>
        <w:rPr>
          <w:rFonts w:ascii="Arial" w:eastAsia="Arial" w:hAnsi="Arial" w:cs="Arial"/>
          <w:sz w:val="20"/>
          <w:szCs w:val="20"/>
        </w:rPr>
      </w:pPr>
      <w:r w:rsidRPr="00823B12">
        <w:rPr>
          <w:rFonts w:ascii="Arial" w:eastAsia="Arial" w:hAnsi="Arial" w:cs="Arial"/>
          <w:sz w:val="20"/>
          <w:szCs w:val="20"/>
        </w:rPr>
        <w:t xml:space="preserve">La variable principal fue la supervivencia libre de progresión radiológica (SLPr), de acuerdo con una revisión central independiente, definida como el tiempo desde la aleatorización hasta la primera evidencia objetiva de progresión radiológica o la muerte (por cualquier causa, desde el momento </w:t>
      </w:r>
      <w:r w:rsidRPr="00823B12">
        <w:rPr>
          <w:rFonts w:ascii="Arial" w:eastAsia="Arial" w:hAnsi="Arial" w:cs="Arial"/>
          <w:sz w:val="20"/>
          <w:szCs w:val="20"/>
        </w:rPr>
        <w:lastRenderedPageBreak/>
        <w:t>de la aleatorización hasta 24 semanas después de la interrupción del fármaco en estudio), lo que primero ocurriera.</w:t>
      </w:r>
    </w:p>
    <w:p w:rsidR="002C4AF7" w:rsidRPr="00823B12" w:rsidRDefault="002C4AF7">
      <w:pPr>
        <w:ind w:left="0" w:hanging="2"/>
        <w:jc w:val="both"/>
        <w:rPr>
          <w:rFonts w:ascii="Arial" w:eastAsia="Arial" w:hAnsi="Arial" w:cs="Arial"/>
          <w:sz w:val="20"/>
          <w:szCs w:val="20"/>
        </w:rPr>
      </w:pPr>
    </w:p>
    <w:p w:rsidR="002C4AF7" w:rsidRPr="00823B12" w:rsidRDefault="00883B7B">
      <w:pPr>
        <w:spacing w:line="240" w:lineRule="auto"/>
        <w:ind w:left="0" w:hanging="2"/>
        <w:jc w:val="both"/>
        <w:rPr>
          <w:rFonts w:ascii="Arial" w:eastAsia="Arial" w:hAnsi="Arial" w:cs="Arial"/>
          <w:sz w:val="20"/>
          <w:szCs w:val="20"/>
        </w:rPr>
      </w:pPr>
      <w:sdt>
        <w:sdtPr>
          <w:rPr>
            <w:sz w:val="20"/>
            <w:szCs w:val="20"/>
          </w:rPr>
          <w:tag w:val="goog_rdk_1"/>
          <w:id w:val="-26419165"/>
        </w:sdtPr>
        <w:sdtEndPr/>
        <w:sdtContent>
          <w:r w:rsidR="007C2686" w:rsidRPr="00823B12">
            <w:rPr>
              <w:rFonts w:ascii="Arial Unicode MS" w:eastAsia="Arial Unicode MS" w:hAnsi="Arial Unicode MS" w:cs="Arial Unicode MS"/>
              <w:sz w:val="20"/>
              <w:szCs w:val="20"/>
            </w:rPr>
            <w:t>En el análisis intermedio, con fecha 14 de octubre de 2018 (mediana de seguimiento de 14,4 meses), la mediana de SLPr no se alcanzó con enzalutamida + TDA, frente a 19 meses (IC 95%: 16,6 a 22,2 meses) con placebo más TDA. La enzalutamida se asoció con una mejora significativa en la SLPr en comparación con  placebo (HR 0,39; 95% IC: 0,30 a 0,50; p ≤0,001) (9).</w:t>
          </w:r>
        </w:sdtContent>
      </w:sdt>
    </w:p>
    <w:p w:rsidR="002C4AF7" w:rsidRPr="00823B12" w:rsidRDefault="007C2686">
      <w:pPr>
        <w:ind w:left="0" w:hanging="2"/>
        <w:jc w:val="both"/>
        <w:rPr>
          <w:rFonts w:ascii="Arial" w:eastAsia="Arial" w:hAnsi="Arial" w:cs="Arial"/>
          <w:sz w:val="20"/>
          <w:szCs w:val="20"/>
        </w:rPr>
      </w:pPr>
      <w:r w:rsidRPr="00823B12">
        <w:rPr>
          <w:rFonts w:ascii="Arial" w:eastAsia="Arial" w:hAnsi="Arial" w:cs="Arial"/>
          <w:sz w:val="20"/>
          <w:szCs w:val="20"/>
        </w:rPr>
        <w:t>Tras eliminar el ciego, 184 pacientes (31,9%) que estaban asignados al brazo control y permanecían libres de progresión, cruzaron al tratamiento con enzalutamida, 180 de los cuales recibieron el tratatmiento (mediana del tiempo hasta el cruce de 21,5 meses). Tras un total de 356 muertes (enzalutamida n= 154 y placebo =202), el corte de datos para el análisis final de SG fue 28 de mayo del 2021 y la mediana de seguimiento fue de 44,6 meses (12).</w:t>
      </w:r>
    </w:p>
    <w:p w:rsidR="002C4AF7" w:rsidRPr="00823B12" w:rsidRDefault="002C4AF7">
      <w:pPr>
        <w:ind w:left="0" w:hanging="2"/>
        <w:jc w:val="both"/>
        <w:rPr>
          <w:rFonts w:ascii="Arial" w:eastAsia="Arial" w:hAnsi="Arial" w:cs="Arial"/>
          <w:sz w:val="20"/>
          <w:szCs w:val="20"/>
        </w:rPr>
      </w:pPr>
    </w:p>
    <w:p w:rsidR="002C4AF7" w:rsidRPr="00823B12" w:rsidRDefault="007C2686">
      <w:pPr>
        <w:ind w:left="0" w:hanging="2"/>
        <w:jc w:val="both"/>
        <w:rPr>
          <w:rFonts w:ascii="Arial" w:eastAsia="Arial" w:hAnsi="Arial" w:cs="Arial"/>
          <w:sz w:val="20"/>
          <w:szCs w:val="20"/>
        </w:rPr>
      </w:pPr>
      <w:r w:rsidRPr="00823B12">
        <w:rPr>
          <w:rFonts w:ascii="Arial" w:eastAsia="Arial" w:hAnsi="Arial" w:cs="Arial"/>
          <w:sz w:val="20"/>
          <w:szCs w:val="20"/>
        </w:rPr>
        <w:t>Las curvas de Kaplan-Meier para SLPr se presentan en la Figura 1. Estudio ARCHES (9) (12).</w:t>
      </w:r>
    </w:p>
    <w:p w:rsidR="002C4AF7" w:rsidRDefault="007C2686">
      <w:pPr>
        <w:ind w:left="0" w:hanging="2"/>
        <w:jc w:val="both"/>
        <w:rPr>
          <w:rFonts w:ascii="Arial" w:eastAsia="Arial" w:hAnsi="Arial" w:cs="Arial"/>
          <w:color w:val="000080"/>
          <w:sz w:val="20"/>
          <w:szCs w:val="20"/>
        </w:rPr>
      </w:pPr>
      <w:r>
        <w:rPr>
          <w:rFonts w:ascii="Arial" w:eastAsia="Arial" w:hAnsi="Arial" w:cs="Arial"/>
          <w:noProof/>
          <w:color w:val="000080"/>
          <w:sz w:val="20"/>
          <w:szCs w:val="20"/>
        </w:rPr>
        <w:drawing>
          <wp:inline distT="0" distB="0" distL="114300" distR="114300">
            <wp:extent cx="5482590" cy="2850515"/>
            <wp:effectExtent l="0" t="0" r="0" b="0"/>
            <wp:docPr id="109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5482590" cy="2850515"/>
                    </a:xfrm>
                    <a:prstGeom prst="rect">
                      <a:avLst/>
                    </a:prstGeom>
                    <a:ln/>
                  </pic:spPr>
                </pic:pic>
              </a:graphicData>
            </a:graphic>
          </wp:inline>
        </w:drawing>
      </w:r>
    </w:p>
    <w:p w:rsidR="002C4AF7" w:rsidRDefault="002C4AF7">
      <w:pPr>
        <w:ind w:left="0" w:hanging="2"/>
        <w:jc w:val="both"/>
        <w:rPr>
          <w:rFonts w:ascii="Arial" w:eastAsia="Arial" w:hAnsi="Arial" w:cs="Arial"/>
          <w:color w:val="000080"/>
          <w:sz w:val="20"/>
          <w:szCs w:val="20"/>
        </w:rPr>
      </w:pPr>
    </w:p>
    <w:p w:rsidR="002C4AF7" w:rsidRDefault="002C4AF7">
      <w:pPr>
        <w:ind w:left="0" w:hanging="2"/>
        <w:jc w:val="both"/>
        <w:rPr>
          <w:rFonts w:ascii="Arial" w:eastAsia="Arial" w:hAnsi="Arial" w:cs="Arial"/>
          <w:sz w:val="18"/>
          <w:szCs w:val="18"/>
        </w:rPr>
      </w:pPr>
    </w:p>
    <w:p w:rsidR="002C4AF7" w:rsidRDefault="002C4AF7">
      <w:pPr>
        <w:ind w:left="0" w:hanging="2"/>
        <w:jc w:val="both"/>
        <w:rPr>
          <w:rFonts w:ascii="Arial" w:eastAsia="Arial" w:hAnsi="Arial" w:cs="Arial"/>
          <w:sz w:val="18"/>
          <w:szCs w:val="18"/>
        </w:rPr>
      </w:pPr>
    </w:p>
    <w:p w:rsidR="002C4AF7" w:rsidRDefault="002C4AF7">
      <w:pPr>
        <w:ind w:left="0" w:hanging="2"/>
        <w:jc w:val="both"/>
        <w:rPr>
          <w:rFonts w:ascii="Arial" w:eastAsia="Arial" w:hAnsi="Arial" w:cs="Arial"/>
          <w:sz w:val="18"/>
          <w:szCs w:val="18"/>
        </w:rPr>
      </w:pPr>
    </w:p>
    <w:p w:rsidR="002C4AF7" w:rsidRDefault="002C4AF7">
      <w:pPr>
        <w:ind w:left="0" w:hanging="2"/>
        <w:jc w:val="both"/>
        <w:rPr>
          <w:rFonts w:ascii="Arial" w:eastAsia="Arial" w:hAnsi="Arial" w:cs="Arial"/>
          <w:sz w:val="18"/>
          <w:szCs w:val="18"/>
        </w:rPr>
      </w:pPr>
    </w:p>
    <w:p w:rsidR="002C4AF7" w:rsidRDefault="007C2686">
      <w:pPr>
        <w:ind w:left="0" w:hanging="2"/>
        <w:jc w:val="both"/>
        <w:rPr>
          <w:rFonts w:ascii="Arial" w:eastAsia="Arial" w:hAnsi="Arial" w:cs="Arial"/>
          <w:sz w:val="18"/>
          <w:szCs w:val="18"/>
        </w:rPr>
      </w:pPr>
      <w:r>
        <w:rPr>
          <w:rFonts w:ascii="Arial" w:eastAsia="Arial" w:hAnsi="Arial" w:cs="Arial"/>
          <w:noProof/>
          <w:sz w:val="18"/>
          <w:szCs w:val="18"/>
        </w:rPr>
        <w:drawing>
          <wp:inline distT="0" distB="0" distL="114300" distR="114300">
            <wp:extent cx="5362575" cy="2705100"/>
            <wp:effectExtent l="0" t="0" r="0" b="0"/>
            <wp:docPr id="109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5362575" cy="2705100"/>
                    </a:xfrm>
                    <a:prstGeom prst="rect">
                      <a:avLst/>
                    </a:prstGeom>
                    <a:ln/>
                  </pic:spPr>
                </pic:pic>
              </a:graphicData>
            </a:graphic>
          </wp:inline>
        </w:drawing>
      </w:r>
    </w:p>
    <w:p w:rsidR="002C4AF7" w:rsidRDefault="002C4AF7">
      <w:pPr>
        <w:ind w:left="0" w:hanging="2"/>
        <w:jc w:val="both"/>
        <w:rPr>
          <w:rFonts w:ascii="Arial" w:eastAsia="Arial" w:hAnsi="Arial" w:cs="Arial"/>
          <w:sz w:val="18"/>
          <w:szCs w:val="18"/>
        </w:rPr>
      </w:pPr>
    </w:p>
    <w:p w:rsidR="002C4AF7" w:rsidRDefault="002C4AF7">
      <w:pPr>
        <w:ind w:left="0" w:hanging="2"/>
        <w:jc w:val="both"/>
        <w:rPr>
          <w:rFonts w:ascii="Arial" w:eastAsia="Arial" w:hAnsi="Arial" w:cs="Arial"/>
          <w:sz w:val="18"/>
          <w:szCs w:val="18"/>
        </w:rPr>
      </w:pPr>
    </w:p>
    <w:p w:rsidR="002C4AF7" w:rsidRDefault="002C4AF7">
      <w:pPr>
        <w:ind w:left="0" w:hanging="2"/>
        <w:jc w:val="both"/>
        <w:rPr>
          <w:rFonts w:ascii="Arial" w:eastAsia="Arial" w:hAnsi="Arial" w:cs="Arial"/>
          <w:sz w:val="18"/>
          <w:szCs w:val="18"/>
        </w:rPr>
      </w:pPr>
    </w:p>
    <w:p w:rsidR="002C4AF7" w:rsidRDefault="002C4AF7">
      <w:pPr>
        <w:ind w:left="0" w:hanging="2"/>
        <w:jc w:val="both"/>
        <w:rPr>
          <w:rFonts w:ascii="Arial" w:eastAsia="Arial" w:hAnsi="Arial" w:cs="Arial"/>
          <w:sz w:val="18"/>
          <w:szCs w:val="18"/>
        </w:rPr>
      </w:pPr>
    </w:p>
    <w:p w:rsidR="002C4AF7" w:rsidRPr="00823B12" w:rsidRDefault="007C2686">
      <w:pPr>
        <w:ind w:left="0" w:hanging="2"/>
        <w:jc w:val="both"/>
        <w:rPr>
          <w:rFonts w:ascii="Arial" w:eastAsia="Arial" w:hAnsi="Arial" w:cs="Arial"/>
          <w:sz w:val="20"/>
          <w:szCs w:val="20"/>
        </w:rPr>
      </w:pPr>
      <w:r w:rsidRPr="00823B12">
        <w:rPr>
          <w:rFonts w:ascii="Arial" w:eastAsia="Arial" w:hAnsi="Arial" w:cs="Arial"/>
          <w:sz w:val="20"/>
          <w:szCs w:val="20"/>
        </w:rPr>
        <w:t xml:space="preserve">Para el análisis de subgrupos, se observaron resultados de SLPr consistentes en pacientes con alto o bajo volumen de enfermedad y en pacientes con y sin terapia previa con docetaxel. </w:t>
      </w:r>
    </w:p>
    <w:p w:rsidR="002C4AF7" w:rsidRPr="00823B12" w:rsidRDefault="002C4AF7">
      <w:pPr>
        <w:ind w:left="0" w:hanging="2"/>
        <w:jc w:val="both"/>
        <w:rPr>
          <w:rFonts w:ascii="Arial" w:eastAsia="Arial" w:hAnsi="Arial" w:cs="Arial"/>
          <w:sz w:val="20"/>
          <w:szCs w:val="20"/>
        </w:rPr>
      </w:pPr>
    </w:p>
    <w:p w:rsidR="002C4AF7" w:rsidRPr="00823B12" w:rsidRDefault="007C2686">
      <w:pPr>
        <w:ind w:left="0" w:hanging="2"/>
        <w:jc w:val="both"/>
        <w:rPr>
          <w:rFonts w:ascii="Arial" w:eastAsia="Arial" w:hAnsi="Arial" w:cs="Arial"/>
          <w:sz w:val="20"/>
          <w:szCs w:val="20"/>
        </w:rPr>
      </w:pPr>
      <w:r w:rsidRPr="00823B12">
        <w:rPr>
          <w:rFonts w:ascii="Arial" w:eastAsia="Arial" w:hAnsi="Arial" w:cs="Arial"/>
          <w:sz w:val="20"/>
          <w:szCs w:val="20"/>
        </w:rPr>
        <w:t>Figura 2. Estudio ARCHES (9).</w:t>
      </w:r>
    </w:p>
    <w:p w:rsidR="002C4AF7" w:rsidRDefault="007C2686">
      <w:pPr>
        <w:ind w:left="0" w:hanging="2"/>
        <w:jc w:val="both"/>
        <w:rPr>
          <w:rFonts w:ascii="Arial" w:eastAsia="Arial" w:hAnsi="Arial" w:cs="Arial"/>
          <w:color w:val="000080"/>
          <w:sz w:val="20"/>
          <w:szCs w:val="20"/>
        </w:rPr>
      </w:pPr>
      <w:r>
        <w:rPr>
          <w:rFonts w:ascii="Arial" w:eastAsia="Arial" w:hAnsi="Arial" w:cs="Arial"/>
          <w:noProof/>
          <w:color w:val="000080"/>
          <w:sz w:val="20"/>
          <w:szCs w:val="20"/>
        </w:rPr>
        <w:drawing>
          <wp:inline distT="0" distB="0" distL="114300" distR="114300">
            <wp:extent cx="4893945" cy="3140075"/>
            <wp:effectExtent l="0" t="0" r="0" b="0"/>
            <wp:docPr id="109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4893945" cy="3140075"/>
                    </a:xfrm>
                    <a:prstGeom prst="rect">
                      <a:avLst/>
                    </a:prstGeom>
                    <a:ln/>
                  </pic:spPr>
                </pic:pic>
              </a:graphicData>
            </a:graphic>
          </wp:inline>
        </w:drawing>
      </w:r>
    </w:p>
    <w:p w:rsidR="002C4AF7" w:rsidRDefault="002C4AF7">
      <w:pPr>
        <w:ind w:left="0" w:hanging="2"/>
        <w:jc w:val="both"/>
        <w:rPr>
          <w:rFonts w:ascii="Arial" w:eastAsia="Arial" w:hAnsi="Arial" w:cs="Arial"/>
          <w:color w:val="000080"/>
          <w:sz w:val="20"/>
          <w:szCs w:val="20"/>
        </w:rPr>
      </w:pPr>
    </w:p>
    <w:p w:rsidR="002C4AF7" w:rsidRPr="00570E2A" w:rsidRDefault="007C2686">
      <w:pPr>
        <w:ind w:left="0" w:hanging="2"/>
        <w:jc w:val="both"/>
        <w:rPr>
          <w:rFonts w:ascii="Arial" w:eastAsia="Arial" w:hAnsi="Arial" w:cs="Arial"/>
          <w:sz w:val="20"/>
          <w:szCs w:val="20"/>
        </w:rPr>
      </w:pPr>
      <w:r w:rsidRPr="00570E2A">
        <w:rPr>
          <w:rFonts w:ascii="Arial" w:eastAsia="Arial" w:hAnsi="Arial" w:cs="Arial"/>
          <w:sz w:val="20"/>
          <w:szCs w:val="20"/>
        </w:rPr>
        <w:t>Tiempo de progresión de PSA</w:t>
      </w:r>
    </w:p>
    <w:p w:rsidR="002C4AF7" w:rsidRPr="00570E2A" w:rsidRDefault="007C2686">
      <w:pPr>
        <w:ind w:left="0" w:hanging="2"/>
        <w:jc w:val="both"/>
        <w:rPr>
          <w:rFonts w:ascii="Arial" w:eastAsia="Arial" w:hAnsi="Arial" w:cs="Arial"/>
          <w:sz w:val="20"/>
          <w:szCs w:val="20"/>
        </w:rPr>
      </w:pPr>
      <w:r w:rsidRPr="00570E2A">
        <w:rPr>
          <w:rFonts w:ascii="Arial" w:eastAsia="Arial" w:hAnsi="Arial" w:cs="Arial"/>
          <w:sz w:val="20"/>
          <w:szCs w:val="20"/>
        </w:rPr>
        <w:t>En el grupo de enzalutamida, el 7,8% de los pacientes presentó progresión del PSA (N = 45) en comparación con el 32,8% de los pacientes del grupo placebo (N = 189). La mediana del tiempo hasta la progresión del PSA no se alcanzó para ambos grupos de tratamiento. La enzalutamida se asoció con una mejora significativa en el tiempo hasta la progresión del PSA en comparación con placebo (HR 0,19; IC 95%: 0,13 a 0,26; p &lt;0,001) .</w:t>
      </w:r>
    </w:p>
    <w:p w:rsidR="002C4AF7" w:rsidRPr="00570E2A" w:rsidRDefault="007C2686">
      <w:pPr>
        <w:ind w:left="0" w:hanging="2"/>
        <w:jc w:val="both"/>
        <w:rPr>
          <w:rFonts w:ascii="Arial" w:eastAsia="Arial" w:hAnsi="Arial" w:cs="Arial"/>
          <w:sz w:val="20"/>
          <w:szCs w:val="20"/>
        </w:rPr>
      </w:pPr>
      <w:r w:rsidRPr="00570E2A">
        <w:rPr>
          <w:rFonts w:ascii="Arial" w:eastAsia="Arial" w:hAnsi="Arial" w:cs="Arial"/>
          <w:sz w:val="20"/>
          <w:szCs w:val="20"/>
        </w:rPr>
        <w:t>Las curvas de Kaplan-Meier se presentan en la Figura 3. Estudio ARCHES (9).</w:t>
      </w:r>
    </w:p>
    <w:p w:rsidR="002C4AF7" w:rsidRDefault="002C4AF7">
      <w:pPr>
        <w:ind w:left="0" w:hanging="2"/>
        <w:jc w:val="both"/>
        <w:rPr>
          <w:rFonts w:ascii="Arial" w:eastAsia="Arial" w:hAnsi="Arial" w:cs="Arial"/>
          <w:color w:val="000080"/>
          <w:sz w:val="20"/>
          <w:szCs w:val="20"/>
        </w:rPr>
      </w:pPr>
    </w:p>
    <w:p w:rsidR="002C4AF7" w:rsidRDefault="002C4AF7">
      <w:pPr>
        <w:ind w:left="0" w:hanging="2"/>
        <w:jc w:val="both"/>
        <w:rPr>
          <w:rFonts w:ascii="Arial" w:eastAsia="Arial" w:hAnsi="Arial" w:cs="Arial"/>
          <w:color w:val="000080"/>
          <w:sz w:val="20"/>
          <w:szCs w:val="20"/>
        </w:rPr>
      </w:pPr>
    </w:p>
    <w:p w:rsidR="002C4AF7" w:rsidRDefault="007C2686">
      <w:pPr>
        <w:ind w:left="0" w:hanging="2"/>
        <w:jc w:val="both"/>
        <w:rPr>
          <w:rFonts w:ascii="Arial" w:eastAsia="Arial" w:hAnsi="Arial" w:cs="Arial"/>
          <w:color w:val="000080"/>
          <w:sz w:val="20"/>
          <w:szCs w:val="20"/>
        </w:rPr>
      </w:pPr>
      <w:r>
        <w:rPr>
          <w:rFonts w:ascii="Arial" w:eastAsia="Arial" w:hAnsi="Arial" w:cs="Arial"/>
          <w:noProof/>
          <w:color w:val="000080"/>
          <w:sz w:val="20"/>
          <w:szCs w:val="20"/>
        </w:rPr>
        <w:drawing>
          <wp:inline distT="0" distB="0" distL="114300" distR="114300">
            <wp:extent cx="4777105" cy="2800350"/>
            <wp:effectExtent l="0" t="0" r="0" b="0"/>
            <wp:docPr id="109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4777105" cy="2800350"/>
                    </a:xfrm>
                    <a:prstGeom prst="rect">
                      <a:avLst/>
                    </a:prstGeom>
                    <a:ln/>
                  </pic:spPr>
                </pic:pic>
              </a:graphicData>
            </a:graphic>
          </wp:inline>
        </w:drawing>
      </w:r>
    </w:p>
    <w:p w:rsidR="002C4AF7" w:rsidRDefault="007C2686" w:rsidP="00333AA4">
      <w:pPr>
        <w:ind w:leftChars="0" w:left="0" w:firstLineChars="0" w:firstLine="0"/>
        <w:jc w:val="both"/>
        <w:rPr>
          <w:rFonts w:ascii="Arial" w:eastAsia="Arial" w:hAnsi="Arial" w:cs="Arial"/>
          <w:sz w:val="18"/>
          <w:szCs w:val="18"/>
        </w:rPr>
      </w:pPr>
      <w:r>
        <w:rPr>
          <w:rFonts w:ascii="Arial" w:eastAsia="Arial" w:hAnsi="Arial" w:cs="Arial"/>
          <w:sz w:val="20"/>
          <w:szCs w:val="20"/>
        </w:rPr>
        <w:lastRenderedPageBreak/>
        <w:t>Tiempo hasta el inicio de nueva terapia antineoplásica:</w:t>
      </w:r>
    </w:p>
    <w:p w:rsidR="002C4AF7" w:rsidRPr="00804DA3" w:rsidRDefault="007C2686">
      <w:pPr>
        <w:ind w:left="0" w:hanging="2"/>
        <w:jc w:val="both"/>
        <w:rPr>
          <w:rFonts w:ascii="Arial" w:eastAsia="Arial" w:hAnsi="Arial" w:cs="Arial"/>
          <w:sz w:val="20"/>
          <w:szCs w:val="20"/>
        </w:rPr>
      </w:pPr>
      <w:r w:rsidRPr="00804DA3">
        <w:rPr>
          <w:rFonts w:ascii="Arial" w:eastAsia="Arial" w:hAnsi="Arial" w:cs="Arial"/>
          <w:sz w:val="20"/>
          <w:szCs w:val="20"/>
        </w:rPr>
        <w:t>El 8% de los pacientes del grupo de enzalutamida inició una nueva terapia antineoplásica (N = 46) en comparación con el 23,1% de los pacientes en el grupo placebo (N = 133). La enzalutamida se asoció con una mejora significativa en el tiempo hasta el inicio de nueva terapia antineoplásica en comparación con placebo (HR: 0,28, IC 95%: 0,20 a 0,40; p &lt;0,0001).</w:t>
      </w:r>
    </w:p>
    <w:p w:rsidR="002C4AF7" w:rsidRDefault="002C4AF7">
      <w:pPr>
        <w:ind w:left="2" w:hanging="4"/>
        <w:jc w:val="both"/>
        <w:rPr>
          <w:rFonts w:ascii="Arial" w:eastAsia="Arial" w:hAnsi="Arial" w:cs="Arial"/>
          <w:color w:val="202124"/>
          <w:sz w:val="42"/>
          <w:szCs w:val="42"/>
          <w:shd w:val="clear" w:color="auto" w:fill="F8F9FA"/>
        </w:rPr>
      </w:pPr>
    </w:p>
    <w:p w:rsidR="002C4AF7" w:rsidRDefault="007C2686">
      <w:pPr>
        <w:ind w:left="0" w:hanging="2"/>
        <w:jc w:val="both"/>
        <w:rPr>
          <w:rFonts w:ascii="Arial" w:eastAsia="Arial" w:hAnsi="Arial" w:cs="Arial"/>
          <w:sz w:val="18"/>
          <w:szCs w:val="18"/>
        </w:rPr>
      </w:pPr>
      <w:r>
        <w:rPr>
          <w:rFonts w:ascii="Arial" w:eastAsia="Arial" w:hAnsi="Arial" w:cs="Arial"/>
          <w:sz w:val="18"/>
          <w:szCs w:val="18"/>
        </w:rPr>
        <w:t>Las curvas de Kaplan-Meier se presentan en la Figura 4. Estudio ARCHES (9).</w:t>
      </w:r>
    </w:p>
    <w:p w:rsidR="002C4AF7" w:rsidRDefault="007C2686">
      <w:pPr>
        <w:ind w:left="0" w:hanging="2"/>
        <w:jc w:val="both"/>
        <w:rPr>
          <w:rFonts w:ascii="Arial" w:eastAsia="Arial" w:hAnsi="Arial" w:cs="Arial"/>
          <w:color w:val="000080"/>
          <w:sz w:val="20"/>
          <w:szCs w:val="20"/>
        </w:rPr>
      </w:pPr>
      <w:r>
        <w:rPr>
          <w:rFonts w:ascii="Arial" w:eastAsia="Arial" w:hAnsi="Arial" w:cs="Arial"/>
          <w:noProof/>
          <w:color w:val="000080"/>
          <w:sz w:val="20"/>
          <w:szCs w:val="20"/>
        </w:rPr>
        <w:drawing>
          <wp:inline distT="0" distB="0" distL="114300" distR="114300">
            <wp:extent cx="4796155" cy="2894965"/>
            <wp:effectExtent l="0" t="0" r="0" b="0"/>
            <wp:docPr id="109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4796155" cy="2894965"/>
                    </a:xfrm>
                    <a:prstGeom prst="rect">
                      <a:avLst/>
                    </a:prstGeom>
                    <a:ln/>
                  </pic:spPr>
                </pic:pic>
              </a:graphicData>
            </a:graphic>
          </wp:inline>
        </w:drawing>
      </w:r>
    </w:p>
    <w:p w:rsidR="002C4AF7" w:rsidRDefault="002C4AF7">
      <w:pPr>
        <w:ind w:left="0" w:hanging="2"/>
        <w:jc w:val="both"/>
        <w:rPr>
          <w:rFonts w:ascii="Arial" w:eastAsia="Arial" w:hAnsi="Arial" w:cs="Arial"/>
          <w:sz w:val="18"/>
          <w:szCs w:val="18"/>
        </w:rPr>
      </w:pPr>
    </w:p>
    <w:p w:rsidR="002C4AF7" w:rsidRPr="00804DA3" w:rsidRDefault="007C2686">
      <w:pPr>
        <w:ind w:left="0" w:hanging="2"/>
        <w:jc w:val="both"/>
        <w:rPr>
          <w:rFonts w:ascii="Arial" w:eastAsia="Arial" w:hAnsi="Arial" w:cs="Arial"/>
          <w:sz w:val="20"/>
          <w:szCs w:val="20"/>
        </w:rPr>
      </w:pPr>
      <w:r w:rsidRPr="00804DA3">
        <w:rPr>
          <w:rFonts w:ascii="Arial" w:eastAsia="Arial" w:hAnsi="Arial" w:cs="Arial"/>
          <w:sz w:val="20"/>
          <w:szCs w:val="20"/>
        </w:rPr>
        <w:t>Supervivencia global:</w:t>
      </w:r>
    </w:p>
    <w:p w:rsidR="002C4AF7" w:rsidRPr="00804DA3" w:rsidRDefault="007C2686">
      <w:pPr>
        <w:ind w:left="0" w:hanging="2"/>
        <w:jc w:val="both"/>
        <w:rPr>
          <w:rFonts w:ascii="Arial" w:eastAsia="Arial" w:hAnsi="Arial" w:cs="Arial"/>
          <w:sz w:val="20"/>
          <w:szCs w:val="20"/>
        </w:rPr>
      </w:pPr>
      <w:r w:rsidRPr="00804DA3">
        <w:rPr>
          <w:rFonts w:ascii="Arial" w:eastAsia="Arial" w:hAnsi="Arial" w:cs="Arial"/>
          <w:sz w:val="20"/>
          <w:szCs w:val="20"/>
        </w:rPr>
        <w:t>La SG fue una variable secundaria en el ensayo ARCHES. En el momento del corte de los datos, habían sucedido solo el 24,6% de los eventos requeridos para el análisis final. En el grupo de enzalutamida, el 6,8% de los pacientes murieron (N = 39) mientras que en el grup</w:t>
      </w:r>
      <w:r w:rsidR="00344EFD">
        <w:rPr>
          <w:rFonts w:ascii="Arial" w:eastAsia="Arial" w:hAnsi="Arial" w:cs="Arial"/>
          <w:sz w:val="20"/>
          <w:szCs w:val="20"/>
        </w:rPr>
        <w:t>o placebo fue del 7,8% (N = 45)</w:t>
      </w:r>
      <w:r w:rsidRPr="00804DA3">
        <w:rPr>
          <w:rFonts w:ascii="Arial" w:eastAsia="Arial" w:hAnsi="Arial" w:cs="Arial"/>
          <w:sz w:val="20"/>
          <w:szCs w:val="20"/>
        </w:rPr>
        <w:t>. Por lo tanto, en el momento del primer análisis intermedio (con un seguimiento de 14,4 meses), los datos de supervivencia global no eran maduros y no se observó una diferencia estadísticamente significativa entre los pacientes tratados con enzalutamida y placebo [HR = 0,81 (IC del 95%: 0,53-1,25), p = 0,3361]. Por lo tanto, en el análisis final de SLP se realizó un análisis intermedio de SG. Habían sucedido 84 muertes de las 342 especificadas en el análisis estadístico planificado para el análisis final.</w:t>
      </w:r>
    </w:p>
    <w:p w:rsidR="002C4AF7" w:rsidRPr="00804DA3" w:rsidRDefault="007C2686">
      <w:pPr>
        <w:ind w:left="0" w:hanging="2"/>
        <w:jc w:val="both"/>
        <w:rPr>
          <w:rFonts w:ascii="Arial" w:eastAsia="Arial" w:hAnsi="Arial" w:cs="Arial"/>
          <w:color w:val="212121"/>
          <w:sz w:val="20"/>
          <w:szCs w:val="20"/>
          <w:highlight w:val="white"/>
        </w:rPr>
      </w:pPr>
      <w:r w:rsidRPr="00804DA3">
        <w:rPr>
          <w:rFonts w:ascii="Arial" w:eastAsia="Arial" w:hAnsi="Arial" w:cs="Arial"/>
          <w:sz w:val="20"/>
          <w:szCs w:val="20"/>
        </w:rPr>
        <w:t xml:space="preserve">En el análisis final de la SG (28 mayo 2021), </w:t>
      </w:r>
      <w:r w:rsidRPr="00804DA3">
        <w:rPr>
          <w:rFonts w:ascii="Arial" w:eastAsia="Arial" w:hAnsi="Arial" w:cs="Arial"/>
          <w:color w:val="212121"/>
          <w:sz w:val="20"/>
          <w:szCs w:val="20"/>
          <w:highlight w:val="white"/>
        </w:rPr>
        <w:t>397 (34,5%) pacientes continuaban en tratamiento, con una mediana de seguimiento de 44,6 meses. La duración mediana de tratamiento fue 40,2 meses para el grupo enzalutamida más TDA vs. 13,8 meses para grupo placebo más TDA y 23,9 meses para el grupo de pacientes que cruzó al brazo de enzalutamida. Se observó un HR 0,66; (95% IC 0,53 a 0,81; p&lt;0,0001).  La mediana del tiempo de supervivencia no se alcanzó en ninguno de los dos grupos de tratamiento.</w:t>
      </w:r>
    </w:p>
    <w:p w:rsidR="002C4AF7" w:rsidRPr="00804DA3" w:rsidRDefault="002C4AF7">
      <w:pPr>
        <w:ind w:left="0" w:hanging="2"/>
        <w:jc w:val="both"/>
        <w:rPr>
          <w:rFonts w:ascii="Arial" w:eastAsia="Arial" w:hAnsi="Arial" w:cs="Arial"/>
          <w:sz w:val="20"/>
          <w:szCs w:val="20"/>
        </w:rPr>
      </w:pPr>
    </w:p>
    <w:p w:rsidR="002C4AF7" w:rsidRPr="00804DA3" w:rsidRDefault="007C2686">
      <w:pPr>
        <w:ind w:left="0" w:hanging="2"/>
        <w:jc w:val="both"/>
        <w:rPr>
          <w:rFonts w:ascii="Arial" w:eastAsia="Arial" w:hAnsi="Arial" w:cs="Arial"/>
          <w:sz w:val="20"/>
          <w:szCs w:val="20"/>
        </w:rPr>
      </w:pPr>
      <w:r w:rsidRPr="00804DA3">
        <w:rPr>
          <w:rFonts w:ascii="Arial" w:eastAsia="Arial" w:hAnsi="Arial" w:cs="Arial"/>
          <w:sz w:val="20"/>
          <w:szCs w:val="20"/>
        </w:rPr>
        <w:t xml:space="preserve">Calidad de vida: </w:t>
      </w:r>
    </w:p>
    <w:p w:rsidR="002C4AF7" w:rsidRPr="00804DA3" w:rsidRDefault="007C2686">
      <w:pPr>
        <w:ind w:left="0" w:hanging="2"/>
        <w:jc w:val="both"/>
        <w:rPr>
          <w:rFonts w:ascii="Arial" w:eastAsia="Arial" w:hAnsi="Arial" w:cs="Arial"/>
          <w:sz w:val="20"/>
          <w:szCs w:val="20"/>
        </w:rPr>
      </w:pPr>
      <w:r w:rsidRPr="00804DA3">
        <w:rPr>
          <w:rFonts w:ascii="Arial" w:eastAsia="Arial" w:hAnsi="Arial" w:cs="Arial"/>
          <w:sz w:val="20"/>
          <w:szCs w:val="20"/>
        </w:rPr>
        <w:t xml:space="preserve">Se evaluó empleando las escalas BPI-SF, FACT-P, QLQ-PR25 y EuroQoL 5-Dimensiones, 5-niveles escala visual analógica. Se valoraron cambios longitudinales desde el basal hasta la semana 73 y se ajustaron para la puntuación basal, volumen de enfermedad y terapia previa de docetaxel. </w:t>
      </w:r>
    </w:p>
    <w:p w:rsidR="002C4AF7" w:rsidRPr="00804DA3" w:rsidRDefault="007C2686">
      <w:pPr>
        <w:ind w:left="0" w:hanging="2"/>
        <w:jc w:val="both"/>
        <w:rPr>
          <w:rFonts w:ascii="Arial" w:eastAsia="Arial" w:hAnsi="Arial" w:cs="Arial"/>
          <w:sz w:val="20"/>
          <w:szCs w:val="20"/>
        </w:rPr>
      </w:pPr>
      <w:r w:rsidRPr="00804DA3">
        <w:rPr>
          <w:rFonts w:ascii="Arial" w:eastAsia="Arial" w:hAnsi="Arial" w:cs="Arial"/>
          <w:sz w:val="20"/>
          <w:szCs w:val="20"/>
        </w:rPr>
        <w:t>El ítem 3 BPI-SF y la puntuación total FACT-P permanecieron estables en el tiempo. La puntuación media de gravedad de dolor permaneció estable durante el estudio. Los autores también indicaron que no hubo diferencias estadísticamente significativas para la puntuación BPI-SF, para ninguna d</w:t>
      </w:r>
      <w:r w:rsidR="00804DA3">
        <w:rPr>
          <w:rFonts w:ascii="Arial" w:eastAsia="Arial" w:hAnsi="Arial" w:cs="Arial"/>
          <w:sz w:val="20"/>
          <w:szCs w:val="20"/>
        </w:rPr>
        <w:t xml:space="preserve">e las subescalas FACT-P o para </w:t>
      </w:r>
      <w:r w:rsidRPr="00804DA3">
        <w:rPr>
          <w:rFonts w:ascii="Arial" w:eastAsia="Arial" w:hAnsi="Arial" w:cs="Arial"/>
          <w:sz w:val="20"/>
          <w:szCs w:val="20"/>
        </w:rPr>
        <w:t xml:space="preserve">EQ-5D-5L VAS. Hubo diferencia significativa para escala de FACT-P bienestar personal, que favoreció placebo sobre enzalutamida, pero sin diferencia clínicamente relevante. </w:t>
      </w:r>
    </w:p>
    <w:p w:rsidR="002C4AF7" w:rsidRPr="00804DA3" w:rsidRDefault="002C4AF7">
      <w:pPr>
        <w:ind w:left="0" w:hanging="2"/>
        <w:jc w:val="both"/>
        <w:rPr>
          <w:rFonts w:ascii="Arial" w:eastAsia="Arial" w:hAnsi="Arial" w:cs="Arial"/>
          <w:sz w:val="20"/>
          <w:szCs w:val="20"/>
        </w:rPr>
      </w:pPr>
    </w:p>
    <w:p w:rsidR="002C4AF7" w:rsidRPr="00804DA3" w:rsidRDefault="007C2686">
      <w:pPr>
        <w:ind w:left="0" w:hanging="2"/>
        <w:jc w:val="both"/>
        <w:rPr>
          <w:rFonts w:ascii="Arial" w:eastAsia="Arial" w:hAnsi="Arial" w:cs="Arial"/>
          <w:sz w:val="20"/>
          <w:szCs w:val="20"/>
        </w:rPr>
      </w:pPr>
      <w:r w:rsidRPr="00804DA3">
        <w:rPr>
          <w:rFonts w:ascii="Arial" w:eastAsia="Arial" w:hAnsi="Arial" w:cs="Arial"/>
          <w:sz w:val="20"/>
          <w:szCs w:val="20"/>
        </w:rPr>
        <w:t xml:space="preserve">Los resultados relacionados con calidad de vida descritos en el ensayo son: </w:t>
      </w:r>
    </w:p>
    <w:p w:rsidR="002C4AF7" w:rsidRPr="00804DA3" w:rsidRDefault="002C4AF7">
      <w:pPr>
        <w:ind w:left="0" w:hanging="2"/>
        <w:jc w:val="both"/>
        <w:rPr>
          <w:rFonts w:ascii="Arial" w:eastAsia="Arial" w:hAnsi="Arial" w:cs="Arial"/>
          <w:sz w:val="20"/>
          <w:szCs w:val="20"/>
        </w:rPr>
      </w:pPr>
    </w:p>
    <w:p w:rsidR="002C4AF7" w:rsidRPr="00804DA3" w:rsidRDefault="007C2686">
      <w:pPr>
        <w:numPr>
          <w:ilvl w:val="0"/>
          <w:numId w:val="2"/>
        </w:numPr>
        <w:pBdr>
          <w:top w:val="nil"/>
          <w:left w:val="nil"/>
          <w:bottom w:val="nil"/>
          <w:right w:val="nil"/>
          <w:between w:val="nil"/>
        </w:pBdr>
        <w:spacing w:line="240" w:lineRule="auto"/>
        <w:ind w:left="0" w:hanging="2"/>
        <w:jc w:val="both"/>
        <w:rPr>
          <w:rFonts w:ascii="Arial" w:eastAsia="Arial" w:hAnsi="Arial" w:cs="Arial"/>
          <w:color w:val="000000"/>
          <w:sz w:val="20"/>
          <w:szCs w:val="20"/>
        </w:rPr>
      </w:pPr>
      <w:r w:rsidRPr="00804DA3">
        <w:rPr>
          <w:rFonts w:ascii="Arial" w:eastAsia="Arial" w:hAnsi="Arial" w:cs="Arial"/>
          <w:color w:val="000000"/>
          <w:sz w:val="20"/>
          <w:szCs w:val="20"/>
        </w:rPr>
        <w:t xml:space="preserve">Mediana del tiempo transcurrido hasta el deterioro de los síntomas urinarios (meses) </w:t>
      </w:r>
      <w:r w:rsidRPr="00804DA3">
        <w:rPr>
          <w:rFonts w:ascii="Wingdings" w:eastAsia="Wingdings" w:hAnsi="Wingdings" w:cs="Wingdings"/>
          <w:color w:val="000000"/>
          <w:sz w:val="20"/>
          <w:szCs w:val="20"/>
        </w:rPr>
        <w:t>🡪</w:t>
      </w:r>
      <w:r w:rsidRPr="00804DA3">
        <w:rPr>
          <w:rFonts w:ascii="Arial" w:eastAsia="Arial" w:hAnsi="Arial" w:cs="Arial"/>
          <w:color w:val="000000"/>
          <w:sz w:val="20"/>
          <w:szCs w:val="20"/>
        </w:rPr>
        <w:t xml:space="preserve"> no significativo (p=0,2162)</w:t>
      </w:r>
    </w:p>
    <w:p w:rsidR="002C4AF7" w:rsidRPr="00804DA3" w:rsidRDefault="007C2686">
      <w:pPr>
        <w:numPr>
          <w:ilvl w:val="0"/>
          <w:numId w:val="2"/>
        </w:numPr>
        <w:pBdr>
          <w:top w:val="nil"/>
          <w:left w:val="nil"/>
          <w:bottom w:val="nil"/>
          <w:right w:val="nil"/>
          <w:between w:val="nil"/>
        </w:pBdr>
        <w:spacing w:line="240" w:lineRule="auto"/>
        <w:ind w:left="0" w:hanging="2"/>
        <w:jc w:val="both"/>
        <w:rPr>
          <w:rFonts w:ascii="Arial" w:eastAsia="Arial" w:hAnsi="Arial" w:cs="Arial"/>
          <w:color w:val="000000"/>
          <w:sz w:val="20"/>
          <w:szCs w:val="20"/>
        </w:rPr>
      </w:pPr>
      <w:r w:rsidRPr="00804DA3">
        <w:rPr>
          <w:rFonts w:ascii="Arial" w:eastAsia="Arial" w:hAnsi="Arial" w:cs="Arial"/>
          <w:color w:val="000000"/>
          <w:sz w:val="20"/>
          <w:szCs w:val="20"/>
        </w:rPr>
        <w:t xml:space="preserve">Mediana del tiempo transcurrido hasta el deterioro de la CdV (meses) </w:t>
      </w:r>
      <w:r w:rsidRPr="00804DA3">
        <w:rPr>
          <w:rFonts w:ascii="Wingdings" w:eastAsia="Wingdings" w:hAnsi="Wingdings" w:cs="Wingdings"/>
          <w:color w:val="000000"/>
          <w:sz w:val="20"/>
          <w:szCs w:val="20"/>
        </w:rPr>
        <w:t>🡪</w:t>
      </w:r>
      <w:r w:rsidRPr="00804DA3">
        <w:rPr>
          <w:rFonts w:ascii="Arial" w:eastAsia="Arial" w:hAnsi="Arial" w:cs="Arial"/>
          <w:color w:val="000000"/>
          <w:sz w:val="20"/>
          <w:szCs w:val="20"/>
        </w:rPr>
        <w:t xml:space="preserve"> no significativo (p=0,6548)</w:t>
      </w:r>
    </w:p>
    <w:p w:rsidR="002C4AF7" w:rsidRPr="00804DA3" w:rsidRDefault="007C2686">
      <w:pPr>
        <w:numPr>
          <w:ilvl w:val="0"/>
          <w:numId w:val="2"/>
        </w:numPr>
        <w:pBdr>
          <w:top w:val="nil"/>
          <w:left w:val="nil"/>
          <w:bottom w:val="nil"/>
          <w:right w:val="nil"/>
          <w:between w:val="nil"/>
        </w:pBdr>
        <w:spacing w:line="240" w:lineRule="auto"/>
        <w:ind w:left="0" w:hanging="2"/>
        <w:jc w:val="both"/>
        <w:rPr>
          <w:rFonts w:ascii="Arial" w:eastAsia="Arial" w:hAnsi="Arial" w:cs="Arial"/>
          <w:color w:val="000000"/>
          <w:sz w:val="20"/>
          <w:szCs w:val="20"/>
        </w:rPr>
      </w:pPr>
      <w:r w:rsidRPr="00804DA3">
        <w:rPr>
          <w:rFonts w:ascii="Arial" w:eastAsia="Arial" w:hAnsi="Arial" w:cs="Arial"/>
          <w:color w:val="000000"/>
          <w:sz w:val="20"/>
          <w:szCs w:val="20"/>
        </w:rPr>
        <w:t xml:space="preserve">Mediana del tiempo transcurrido hasta la progresión del dolor (meses) </w:t>
      </w:r>
      <w:r w:rsidRPr="00804DA3">
        <w:rPr>
          <w:rFonts w:ascii="Wingdings" w:eastAsia="Wingdings" w:hAnsi="Wingdings" w:cs="Wingdings"/>
          <w:color w:val="000000"/>
          <w:sz w:val="20"/>
          <w:szCs w:val="20"/>
        </w:rPr>
        <w:t>🡪</w:t>
      </w:r>
      <w:r w:rsidRPr="00804DA3">
        <w:rPr>
          <w:rFonts w:ascii="Arial" w:eastAsia="Arial" w:hAnsi="Arial" w:cs="Arial"/>
          <w:color w:val="000000"/>
          <w:sz w:val="20"/>
          <w:szCs w:val="20"/>
        </w:rPr>
        <w:t xml:space="preserve"> no significativo (p=0,2715)</w:t>
      </w:r>
    </w:p>
    <w:p w:rsidR="002C4AF7" w:rsidRPr="00804DA3" w:rsidRDefault="002C4AF7">
      <w:pPr>
        <w:ind w:left="0" w:hanging="2"/>
        <w:jc w:val="both"/>
        <w:rPr>
          <w:rFonts w:ascii="Arial" w:eastAsia="Arial" w:hAnsi="Arial" w:cs="Arial"/>
          <w:sz w:val="20"/>
          <w:szCs w:val="20"/>
        </w:rPr>
      </w:pPr>
    </w:p>
    <w:p w:rsidR="002C4AF7" w:rsidRPr="00804DA3" w:rsidRDefault="007C2686">
      <w:pPr>
        <w:ind w:left="0" w:hanging="2"/>
        <w:jc w:val="both"/>
        <w:rPr>
          <w:rFonts w:ascii="Arial" w:eastAsia="Arial" w:hAnsi="Arial" w:cs="Arial"/>
          <w:sz w:val="20"/>
          <w:szCs w:val="20"/>
        </w:rPr>
      </w:pPr>
      <w:r w:rsidRPr="00804DA3">
        <w:rPr>
          <w:rFonts w:ascii="Arial" w:eastAsia="Arial" w:hAnsi="Arial" w:cs="Arial"/>
          <w:sz w:val="20"/>
          <w:szCs w:val="20"/>
        </w:rPr>
        <w:t>Se incluye también un análisis de sensibilidad preespecificado del tiempo transcurrido hasta la progresión del dolor:</w:t>
      </w:r>
    </w:p>
    <w:p w:rsidR="002C4AF7" w:rsidRPr="00804DA3" w:rsidRDefault="002C4AF7">
      <w:pPr>
        <w:ind w:left="0" w:hanging="2"/>
        <w:jc w:val="both"/>
        <w:rPr>
          <w:rFonts w:ascii="Arial" w:eastAsia="Arial" w:hAnsi="Arial" w:cs="Arial"/>
          <w:sz w:val="20"/>
          <w:szCs w:val="20"/>
        </w:rPr>
      </w:pPr>
    </w:p>
    <w:p w:rsidR="002C4AF7" w:rsidRPr="00804DA3" w:rsidRDefault="007C2686">
      <w:pPr>
        <w:numPr>
          <w:ilvl w:val="0"/>
          <w:numId w:val="2"/>
        </w:numPr>
        <w:pBdr>
          <w:top w:val="nil"/>
          <w:left w:val="nil"/>
          <w:bottom w:val="nil"/>
          <w:right w:val="nil"/>
          <w:between w:val="nil"/>
        </w:pBdr>
        <w:spacing w:line="240" w:lineRule="auto"/>
        <w:ind w:left="0" w:hanging="2"/>
        <w:jc w:val="both"/>
        <w:rPr>
          <w:rFonts w:ascii="Arial" w:eastAsia="Arial" w:hAnsi="Arial" w:cs="Arial"/>
          <w:color w:val="000000"/>
          <w:sz w:val="20"/>
          <w:szCs w:val="20"/>
        </w:rPr>
      </w:pPr>
      <w:r w:rsidRPr="00804DA3">
        <w:rPr>
          <w:rFonts w:ascii="Arial" w:eastAsia="Arial" w:hAnsi="Arial" w:cs="Arial"/>
          <w:color w:val="000000"/>
          <w:sz w:val="20"/>
          <w:szCs w:val="20"/>
        </w:rPr>
        <w:t xml:space="preserve">Mediana del tiempo transcurrido hasta el peor dolor (ítem 3) (meses) </w:t>
      </w:r>
      <w:r w:rsidRPr="00804DA3">
        <w:rPr>
          <w:rFonts w:ascii="Wingdings" w:eastAsia="Wingdings" w:hAnsi="Wingdings" w:cs="Wingdings"/>
          <w:color w:val="000000"/>
          <w:sz w:val="20"/>
          <w:szCs w:val="20"/>
        </w:rPr>
        <w:t>🡪</w:t>
      </w:r>
      <w:r w:rsidRPr="00804DA3">
        <w:rPr>
          <w:rFonts w:ascii="Arial" w:eastAsia="Arial" w:hAnsi="Arial" w:cs="Arial"/>
          <w:color w:val="000000"/>
          <w:sz w:val="20"/>
          <w:szCs w:val="20"/>
        </w:rPr>
        <w:t xml:space="preserve"> 14,1 vs. 11,1 [HR=0,82 (0,69 a 0,98)]; p=0,0322</w:t>
      </w:r>
    </w:p>
    <w:p w:rsidR="002C4AF7" w:rsidRPr="00804DA3" w:rsidRDefault="007C2686">
      <w:pPr>
        <w:numPr>
          <w:ilvl w:val="0"/>
          <w:numId w:val="2"/>
        </w:numPr>
        <w:pBdr>
          <w:top w:val="nil"/>
          <w:left w:val="nil"/>
          <w:bottom w:val="nil"/>
          <w:right w:val="nil"/>
          <w:between w:val="nil"/>
        </w:pBdr>
        <w:spacing w:line="240" w:lineRule="auto"/>
        <w:ind w:left="0" w:hanging="2"/>
        <w:jc w:val="both"/>
        <w:rPr>
          <w:rFonts w:ascii="Arial" w:eastAsia="Arial" w:hAnsi="Arial" w:cs="Arial"/>
          <w:color w:val="000000"/>
          <w:sz w:val="20"/>
          <w:szCs w:val="20"/>
        </w:rPr>
      </w:pPr>
      <w:r w:rsidRPr="00804DA3">
        <w:rPr>
          <w:rFonts w:ascii="Arial" w:eastAsia="Arial" w:hAnsi="Arial" w:cs="Arial"/>
          <w:color w:val="000000"/>
          <w:sz w:val="20"/>
          <w:szCs w:val="20"/>
        </w:rPr>
        <w:t xml:space="preserve">Mediana de tiempo hasta la intensidad del dolor (meses) </w:t>
      </w:r>
      <w:r w:rsidRPr="00804DA3">
        <w:rPr>
          <w:rFonts w:ascii="Wingdings" w:eastAsia="Wingdings" w:hAnsi="Wingdings" w:cs="Wingdings"/>
          <w:color w:val="000000"/>
          <w:sz w:val="20"/>
          <w:szCs w:val="20"/>
        </w:rPr>
        <w:t>🡪</w:t>
      </w:r>
      <w:r w:rsidRPr="00804DA3">
        <w:rPr>
          <w:rFonts w:ascii="Arial" w:eastAsia="Arial" w:hAnsi="Arial" w:cs="Arial"/>
          <w:color w:val="000000"/>
          <w:sz w:val="20"/>
          <w:szCs w:val="20"/>
        </w:rPr>
        <w:t xml:space="preserve"> 19,4 vs. 16,8 [HR=0,79 (0,65 a 0,97)]; p=0,0209</w:t>
      </w:r>
    </w:p>
    <w:p w:rsidR="002C4AF7" w:rsidRPr="00804DA3" w:rsidRDefault="002C4AF7">
      <w:pPr>
        <w:ind w:left="0" w:hanging="2"/>
        <w:jc w:val="both"/>
        <w:rPr>
          <w:rFonts w:ascii="Arial" w:eastAsia="Arial" w:hAnsi="Arial" w:cs="Arial"/>
          <w:sz w:val="20"/>
          <w:szCs w:val="20"/>
        </w:rPr>
      </w:pPr>
      <w:bookmarkStart w:id="16" w:name="_heading=h.z337ya" w:colFirst="0" w:colLast="0"/>
      <w:bookmarkEnd w:id="16"/>
    </w:p>
    <w:tbl>
      <w:tblPr>
        <w:tblStyle w:val="afff8"/>
        <w:tblW w:w="8902"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02"/>
        <w:gridCol w:w="1395"/>
        <w:gridCol w:w="1109"/>
        <w:gridCol w:w="1252"/>
        <w:gridCol w:w="1492"/>
        <w:gridCol w:w="752"/>
      </w:tblGrid>
      <w:tr w:rsidR="002C4AF7">
        <w:trPr>
          <w:trHeight w:val="488"/>
        </w:trPr>
        <w:tc>
          <w:tcPr>
            <w:tcW w:w="8902" w:type="dxa"/>
            <w:gridSpan w:val="6"/>
            <w:shd w:val="clear" w:color="auto" w:fill="CCFFCC"/>
          </w:tcPr>
          <w:p w:rsidR="002C4AF7" w:rsidRDefault="007C2686">
            <w:pPr>
              <w:ind w:left="0" w:hanging="2"/>
              <w:rPr>
                <w:rFonts w:ascii="Arial" w:eastAsia="Arial" w:hAnsi="Arial" w:cs="Arial"/>
                <w:sz w:val="18"/>
                <w:szCs w:val="18"/>
              </w:rPr>
            </w:pPr>
            <w:r>
              <w:rPr>
                <w:rFonts w:ascii="Arial" w:eastAsia="Arial" w:hAnsi="Arial" w:cs="Arial"/>
                <w:b/>
                <w:i/>
                <w:sz w:val="18"/>
                <w:szCs w:val="18"/>
              </w:rPr>
              <w:t>Tabla 3.  ENZAMET (11)</w:t>
            </w:r>
          </w:p>
        </w:tc>
      </w:tr>
      <w:tr w:rsidR="002C4AF7">
        <w:trPr>
          <w:trHeight w:val="1581"/>
        </w:trPr>
        <w:tc>
          <w:tcPr>
            <w:tcW w:w="8902" w:type="dxa"/>
            <w:gridSpan w:val="6"/>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rsidR="002C4AF7" w:rsidRDefault="007C2686">
            <w:pPr>
              <w:ind w:left="0" w:hanging="2"/>
              <w:jc w:val="both"/>
              <w:rPr>
                <w:rFonts w:ascii="Arial" w:eastAsia="Arial" w:hAnsi="Arial" w:cs="Arial"/>
                <w:sz w:val="16"/>
                <w:szCs w:val="16"/>
              </w:rPr>
            </w:pPr>
            <w:r>
              <w:rPr>
                <w:rFonts w:ascii="Arial" w:eastAsia="Arial" w:hAnsi="Arial" w:cs="Arial"/>
                <w:sz w:val="16"/>
                <w:szCs w:val="16"/>
              </w:rPr>
              <w:t>-Nº de pacientes: 1.125</w:t>
            </w:r>
          </w:p>
          <w:p w:rsidR="002C4AF7" w:rsidRDefault="007C2686">
            <w:pPr>
              <w:ind w:left="0" w:hanging="2"/>
              <w:rPr>
                <w:sz w:val="16"/>
                <w:szCs w:val="16"/>
              </w:rPr>
            </w:pPr>
            <w:r>
              <w:rPr>
                <w:rFonts w:ascii="Arial" w:eastAsia="Arial" w:hAnsi="Arial" w:cs="Arial"/>
                <w:sz w:val="16"/>
                <w:szCs w:val="16"/>
              </w:rPr>
              <w:t>-Diseño: Fase III, multicéntrico, aleatorizado 1:1, abierto, controlado con un antiandrógeno no esteroideo convencional.</w:t>
            </w:r>
          </w:p>
          <w:p w:rsidR="002C4AF7" w:rsidRDefault="007C2686">
            <w:pPr>
              <w:ind w:left="0" w:hanging="2"/>
              <w:rPr>
                <w:sz w:val="16"/>
                <w:szCs w:val="16"/>
              </w:rPr>
            </w:pPr>
            <w:r>
              <w:rPr>
                <w:rFonts w:ascii="Arial" w:eastAsia="Arial" w:hAnsi="Arial" w:cs="Arial"/>
                <w:sz w:val="16"/>
                <w:szCs w:val="16"/>
              </w:rPr>
              <w:t>-Tratamiento grupo activo: Enzalutamida 160 mg/día vía oral (4 cápsulas de 40 mg una vez al día) + TDA.</w:t>
            </w:r>
          </w:p>
          <w:p w:rsidR="002C4AF7" w:rsidRDefault="007C2686">
            <w:pPr>
              <w:ind w:left="0" w:hanging="2"/>
              <w:jc w:val="both"/>
              <w:rPr>
                <w:rFonts w:ascii="Arial" w:eastAsia="Arial" w:hAnsi="Arial" w:cs="Arial"/>
                <w:sz w:val="16"/>
                <w:szCs w:val="16"/>
              </w:rPr>
            </w:pPr>
            <w:r>
              <w:rPr>
                <w:rFonts w:ascii="Arial" w:eastAsia="Arial" w:hAnsi="Arial" w:cs="Arial"/>
                <w:sz w:val="16"/>
                <w:szCs w:val="16"/>
              </w:rPr>
              <w:t>- Tratamiento del grupo control: antiandrógenos no esteroideos (AANS) + TDA. El tipo de AANS se elegía a discreción del médico (bicalutamida, nilutamida o flutamida). Los pacientes recibieron el tratamiento asignado hasta toxicidad inaceptable o progresión clínica.</w:t>
            </w:r>
          </w:p>
          <w:p w:rsidR="002C4AF7" w:rsidRDefault="007C2686">
            <w:pPr>
              <w:ind w:left="0" w:hanging="2"/>
              <w:jc w:val="both"/>
              <w:rPr>
                <w:rFonts w:ascii="Arial" w:eastAsia="Arial" w:hAnsi="Arial" w:cs="Arial"/>
                <w:sz w:val="16"/>
                <w:szCs w:val="16"/>
              </w:rPr>
            </w:pPr>
            <w:r>
              <w:rPr>
                <w:rFonts w:ascii="Arial" w:eastAsia="Arial" w:hAnsi="Arial" w:cs="Arial"/>
                <w:sz w:val="16"/>
                <w:szCs w:val="16"/>
                <w:u w:val="single"/>
              </w:rPr>
              <w:t>-Criterios de inclusión</w:t>
            </w:r>
            <w:r>
              <w:rPr>
                <w:rFonts w:ascii="Arial" w:eastAsia="Arial" w:hAnsi="Arial" w:cs="Arial"/>
                <w:sz w:val="16"/>
                <w:szCs w:val="16"/>
              </w:rPr>
              <w:t>: Los pacientes elegibles tenían adenocarcinoma de próstata con metástasis en tomografía computarizada y/o, gammagrafía ósea con tecnecio-99. ECOG 0-1. Los pacientes eran elegibles si la TDA había empezado hasta 12 semanas antes de la aleatorización o si la terapia había sido hasta 24 meses antes y se había finalizado al menos 12 meses antes. Los pacientes que iniciaron docetaxel previo al estudio eran elegibles si toleraban dosis completas de docetaxel con TDA y no habían recibido más de dos ciclos previo a la aleatorización. La primera dosis de docetaxel debía administrarse al menos cuatro semanas tras iniciar enzalutamida y no más allá de seis semanas tras la aleatorización. La aleatorización se estratificó según volumen de la enfermedad (baja vs. alta), lugar de estudio, terapia antiresortiva (sí denosumab, zoledronico vs. no), comorbilidades según  ACE-27 (0 a 1 vs. 2 a 3) y uso planificado temprano de docetaxel (si vs. no).</w:t>
            </w:r>
          </w:p>
          <w:p w:rsidR="002C4AF7" w:rsidRDefault="007C2686">
            <w:pPr>
              <w:ind w:left="0" w:hanging="2"/>
              <w:jc w:val="both"/>
              <w:rPr>
                <w:rFonts w:ascii="Arial" w:eastAsia="Arial" w:hAnsi="Arial" w:cs="Arial"/>
                <w:sz w:val="16"/>
                <w:szCs w:val="16"/>
              </w:rPr>
            </w:pPr>
            <w:r>
              <w:rPr>
                <w:rFonts w:ascii="Arial" w:eastAsia="Arial" w:hAnsi="Arial" w:cs="Arial"/>
                <w:sz w:val="16"/>
                <w:szCs w:val="16"/>
              </w:rPr>
              <w:t>-</w:t>
            </w:r>
            <w:r>
              <w:rPr>
                <w:rFonts w:ascii="Arial" w:eastAsia="Arial" w:hAnsi="Arial" w:cs="Arial"/>
                <w:sz w:val="16"/>
                <w:szCs w:val="16"/>
                <w:u w:val="single"/>
              </w:rPr>
              <w:t>Criterios de exclusión</w:t>
            </w:r>
            <w:r>
              <w:rPr>
                <w:rFonts w:ascii="Arial" w:eastAsia="Arial" w:hAnsi="Arial" w:cs="Arial"/>
                <w:sz w:val="16"/>
                <w:szCs w:val="16"/>
              </w:rPr>
              <w:t>: Los pacientes que tenían una progresión previa de la enfermedad mientras recibían TDA  y / o docetaxel fueron excluidos del ensayo.</w:t>
            </w:r>
          </w:p>
          <w:p w:rsidR="002C4AF7" w:rsidRDefault="007C2686">
            <w:pPr>
              <w:ind w:left="0" w:hanging="2"/>
              <w:jc w:val="both"/>
              <w:rPr>
                <w:rFonts w:ascii="Arial" w:eastAsia="Arial" w:hAnsi="Arial" w:cs="Arial"/>
                <w:sz w:val="16"/>
                <w:szCs w:val="16"/>
              </w:rPr>
            </w:pPr>
            <w:r>
              <w:rPr>
                <w:rFonts w:ascii="Arial" w:eastAsia="Arial" w:hAnsi="Arial" w:cs="Arial"/>
                <w:sz w:val="16"/>
                <w:szCs w:val="16"/>
              </w:rPr>
              <w:t xml:space="preserve">-Pérdidas: </w:t>
            </w:r>
          </w:p>
          <w:p w:rsidR="002C4AF7" w:rsidRDefault="007C2686">
            <w:pPr>
              <w:ind w:left="0" w:hanging="2"/>
              <w:jc w:val="both"/>
              <w:rPr>
                <w:rFonts w:ascii="Arial" w:eastAsia="Arial" w:hAnsi="Arial" w:cs="Arial"/>
                <w:sz w:val="16"/>
                <w:szCs w:val="16"/>
              </w:rPr>
            </w:pPr>
            <w:r>
              <w:rPr>
                <w:rFonts w:ascii="Arial" w:eastAsia="Arial" w:hAnsi="Arial" w:cs="Arial"/>
                <w:sz w:val="16"/>
                <w:szCs w:val="16"/>
              </w:rPr>
              <w:t>-</w:t>
            </w:r>
            <w:r>
              <w:rPr>
                <w:rFonts w:ascii="Arial" w:eastAsia="Arial" w:hAnsi="Arial" w:cs="Arial"/>
                <w:sz w:val="16"/>
                <w:szCs w:val="16"/>
                <w:u w:val="single"/>
              </w:rPr>
              <w:t>Tipo de análisis</w:t>
            </w:r>
            <w:r>
              <w:rPr>
                <w:rFonts w:ascii="Arial" w:eastAsia="Arial" w:hAnsi="Arial" w:cs="Arial"/>
                <w:sz w:val="16"/>
                <w:szCs w:val="16"/>
              </w:rPr>
              <w:t>: por intención de tratar.</w:t>
            </w:r>
          </w:p>
          <w:p w:rsidR="002C4AF7" w:rsidRDefault="007C2686">
            <w:pPr>
              <w:ind w:left="0" w:hanging="2"/>
              <w:jc w:val="both"/>
              <w:rPr>
                <w:rFonts w:ascii="Arial" w:eastAsia="Arial" w:hAnsi="Arial" w:cs="Arial"/>
                <w:sz w:val="4"/>
                <w:szCs w:val="4"/>
              </w:rPr>
            </w:pPr>
            <w:r>
              <w:rPr>
                <w:rFonts w:ascii="Arial" w:eastAsia="Arial" w:hAnsi="Arial" w:cs="Arial"/>
                <w:sz w:val="16"/>
                <w:szCs w:val="16"/>
              </w:rPr>
              <w:t xml:space="preserve">- Cálculo de tamaño muestral: El estudio fue diseñado con una potencia estadística del 80% para detectar un HR=0,75 en SG asumiendo una tasa de supervivencia a 3 años del 65% en el grupo de antiandrogénicos no esteroideos, y una significación estadística de p=0,05 (se necesitaban 470 muertes). </w:t>
            </w:r>
          </w:p>
        </w:tc>
      </w:tr>
      <w:tr w:rsidR="002C4AF7">
        <w:trPr>
          <w:trHeight w:val="238"/>
        </w:trPr>
        <w:tc>
          <w:tcPr>
            <w:tcW w:w="8902" w:type="dxa"/>
            <w:gridSpan w:val="6"/>
            <w:shd w:val="clear" w:color="auto" w:fill="CCFFCC"/>
            <w:vAlign w:val="center"/>
          </w:tcPr>
          <w:p w:rsidR="002C4AF7" w:rsidRDefault="007C2686">
            <w:pPr>
              <w:ind w:left="0" w:hanging="2"/>
              <w:rPr>
                <w:rFonts w:ascii="Arial" w:eastAsia="Arial" w:hAnsi="Arial" w:cs="Arial"/>
                <w:sz w:val="16"/>
                <w:szCs w:val="16"/>
              </w:rPr>
            </w:pPr>
            <w:r>
              <w:rPr>
                <w:rFonts w:ascii="Arial" w:eastAsia="Arial" w:hAnsi="Arial" w:cs="Arial"/>
                <w:b/>
                <w:sz w:val="16"/>
                <w:szCs w:val="16"/>
              </w:rPr>
              <w:t xml:space="preserve">Resultados  </w:t>
            </w:r>
          </w:p>
        </w:tc>
      </w:tr>
      <w:tr w:rsidR="002C4AF7">
        <w:trPr>
          <w:trHeight w:val="767"/>
        </w:trPr>
        <w:tc>
          <w:tcPr>
            <w:tcW w:w="2902" w:type="dxa"/>
          </w:tcPr>
          <w:p w:rsidR="002C4AF7" w:rsidRDefault="007C2686">
            <w:pPr>
              <w:ind w:left="0" w:hanging="2"/>
              <w:jc w:val="center"/>
              <w:rPr>
                <w:rFonts w:ascii="Arial" w:eastAsia="Arial" w:hAnsi="Arial" w:cs="Arial"/>
                <w:sz w:val="16"/>
                <w:szCs w:val="16"/>
              </w:rPr>
            </w:pPr>
            <w:r>
              <w:rPr>
                <w:rFonts w:ascii="Arial" w:eastAsia="Arial" w:hAnsi="Arial" w:cs="Arial"/>
                <w:b/>
                <w:sz w:val="16"/>
                <w:szCs w:val="16"/>
              </w:rPr>
              <w:t>Variable evaluada en el estudio</w:t>
            </w:r>
          </w:p>
        </w:tc>
        <w:tc>
          <w:tcPr>
            <w:tcW w:w="1395" w:type="dxa"/>
          </w:tcPr>
          <w:p w:rsidR="002C4AF7" w:rsidRDefault="007C2686">
            <w:pPr>
              <w:tabs>
                <w:tab w:val="left" w:pos="1673"/>
              </w:tabs>
              <w:ind w:left="0" w:hanging="2"/>
              <w:rPr>
                <w:rFonts w:ascii="Arial" w:eastAsia="Arial" w:hAnsi="Arial" w:cs="Arial"/>
                <w:sz w:val="16"/>
                <w:szCs w:val="16"/>
              </w:rPr>
            </w:pPr>
            <w:r>
              <w:rPr>
                <w:rFonts w:ascii="Arial" w:eastAsia="Arial" w:hAnsi="Arial" w:cs="Arial"/>
                <w:b/>
                <w:i/>
                <w:sz w:val="16"/>
                <w:szCs w:val="16"/>
              </w:rPr>
              <w:t xml:space="preserve">Enzalutamida + TDA </w:t>
            </w:r>
          </w:p>
          <w:p w:rsidR="002C4AF7" w:rsidRDefault="007C2686">
            <w:pPr>
              <w:ind w:left="0" w:hanging="2"/>
              <w:rPr>
                <w:rFonts w:ascii="Arial" w:eastAsia="Arial" w:hAnsi="Arial" w:cs="Arial"/>
                <w:sz w:val="16"/>
                <w:szCs w:val="16"/>
              </w:rPr>
            </w:pPr>
            <w:r>
              <w:rPr>
                <w:rFonts w:ascii="Arial" w:eastAsia="Arial" w:hAnsi="Arial" w:cs="Arial"/>
                <w:b/>
                <w:i/>
                <w:sz w:val="16"/>
                <w:szCs w:val="16"/>
              </w:rPr>
              <w:t xml:space="preserve">N=563 </w:t>
            </w:r>
          </w:p>
          <w:p w:rsidR="002C4AF7" w:rsidRDefault="007C2686">
            <w:pPr>
              <w:ind w:left="0" w:hanging="2"/>
              <w:rPr>
                <w:rFonts w:ascii="Arial" w:eastAsia="Arial" w:hAnsi="Arial" w:cs="Arial"/>
                <w:sz w:val="16"/>
                <w:szCs w:val="16"/>
              </w:rPr>
            </w:pPr>
            <w:r>
              <w:rPr>
                <w:rFonts w:ascii="Arial" w:eastAsia="Arial" w:hAnsi="Arial" w:cs="Arial"/>
                <w:b/>
                <w:sz w:val="16"/>
                <w:szCs w:val="16"/>
              </w:rPr>
              <w:t>(IC95%)</w:t>
            </w:r>
          </w:p>
          <w:p w:rsidR="002C4AF7" w:rsidRDefault="002C4AF7">
            <w:pPr>
              <w:tabs>
                <w:tab w:val="left" w:pos="1673"/>
              </w:tabs>
              <w:ind w:left="0" w:hanging="2"/>
              <w:jc w:val="center"/>
              <w:rPr>
                <w:rFonts w:ascii="Arial" w:eastAsia="Arial" w:hAnsi="Arial" w:cs="Arial"/>
                <w:sz w:val="16"/>
                <w:szCs w:val="16"/>
              </w:rPr>
            </w:pPr>
          </w:p>
        </w:tc>
        <w:tc>
          <w:tcPr>
            <w:tcW w:w="1109" w:type="dxa"/>
          </w:tcPr>
          <w:p w:rsidR="002C4AF7" w:rsidRDefault="007C2686">
            <w:pPr>
              <w:tabs>
                <w:tab w:val="left" w:pos="1673"/>
              </w:tabs>
              <w:ind w:left="0" w:hanging="2"/>
              <w:rPr>
                <w:rFonts w:ascii="Arial" w:eastAsia="Arial" w:hAnsi="Arial" w:cs="Arial"/>
                <w:sz w:val="16"/>
                <w:szCs w:val="16"/>
              </w:rPr>
            </w:pPr>
            <w:r>
              <w:rPr>
                <w:rFonts w:ascii="Arial" w:eastAsia="Arial" w:hAnsi="Arial" w:cs="Arial"/>
                <w:b/>
                <w:i/>
                <w:sz w:val="16"/>
                <w:szCs w:val="16"/>
              </w:rPr>
              <w:t>Antiandrógenos no esteroideos + TDA</w:t>
            </w:r>
          </w:p>
          <w:p w:rsidR="002C4AF7" w:rsidRDefault="007C2686">
            <w:pPr>
              <w:tabs>
                <w:tab w:val="left" w:pos="1673"/>
              </w:tabs>
              <w:ind w:left="0" w:hanging="2"/>
              <w:rPr>
                <w:rFonts w:ascii="Arial" w:eastAsia="Arial" w:hAnsi="Arial" w:cs="Arial"/>
                <w:sz w:val="16"/>
                <w:szCs w:val="16"/>
              </w:rPr>
            </w:pPr>
            <w:r>
              <w:rPr>
                <w:rFonts w:ascii="Arial" w:eastAsia="Arial" w:hAnsi="Arial" w:cs="Arial"/>
                <w:b/>
                <w:i/>
                <w:sz w:val="16"/>
                <w:szCs w:val="16"/>
              </w:rPr>
              <w:t>N=562</w:t>
            </w:r>
          </w:p>
          <w:p w:rsidR="002C4AF7" w:rsidRDefault="007C2686">
            <w:pPr>
              <w:ind w:left="0" w:hanging="2"/>
              <w:rPr>
                <w:rFonts w:ascii="Arial" w:eastAsia="Arial" w:hAnsi="Arial" w:cs="Arial"/>
                <w:sz w:val="16"/>
                <w:szCs w:val="16"/>
              </w:rPr>
            </w:pPr>
            <w:r>
              <w:rPr>
                <w:rFonts w:ascii="Arial" w:eastAsia="Arial" w:hAnsi="Arial" w:cs="Arial"/>
                <w:b/>
                <w:sz w:val="16"/>
                <w:szCs w:val="16"/>
              </w:rPr>
              <w:t>(IC95%)</w:t>
            </w:r>
          </w:p>
        </w:tc>
        <w:tc>
          <w:tcPr>
            <w:tcW w:w="1252" w:type="dxa"/>
          </w:tcPr>
          <w:p w:rsidR="002C4AF7" w:rsidRDefault="007C2686">
            <w:pPr>
              <w:tabs>
                <w:tab w:val="left" w:pos="1673"/>
              </w:tabs>
              <w:ind w:left="0" w:hanging="2"/>
              <w:jc w:val="center"/>
              <w:rPr>
                <w:rFonts w:ascii="Arial" w:eastAsia="Arial" w:hAnsi="Arial" w:cs="Arial"/>
                <w:sz w:val="16"/>
                <w:szCs w:val="16"/>
              </w:rPr>
            </w:pPr>
            <w:r>
              <w:rPr>
                <w:rFonts w:ascii="Arial" w:eastAsia="Arial" w:hAnsi="Arial" w:cs="Arial"/>
                <w:b/>
                <w:i/>
                <w:sz w:val="16"/>
                <w:szCs w:val="16"/>
              </w:rPr>
              <w:t>Diferencia de medianas</w:t>
            </w:r>
          </w:p>
        </w:tc>
        <w:tc>
          <w:tcPr>
            <w:tcW w:w="1492" w:type="dxa"/>
          </w:tcPr>
          <w:p w:rsidR="002C4AF7" w:rsidRDefault="007C2686">
            <w:pPr>
              <w:tabs>
                <w:tab w:val="left" w:pos="1673"/>
              </w:tabs>
              <w:ind w:left="0" w:hanging="2"/>
              <w:jc w:val="both"/>
              <w:rPr>
                <w:rFonts w:ascii="Arial" w:eastAsia="Arial" w:hAnsi="Arial" w:cs="Arial"/>
                <w:sz w:val="16"/>
                <w:szCs w:val="16"/>
              </w:rPr>
            </w:pPr>
            <w:r>
              <w:rPr>
                <w:rFonts w:ascii="Arial" w:eastAsia="Arial" w:hAnsi="Arial" w:cs="Arial"/>
                <w:b/>
                <w:i/>
                <w:sz w:val="16"/>
                <w:szCs w:val="16"/>
              </w:rPr>
              <w:t>HR (IC95%)</w:t>
            </w:r>
          </w:p>
        </w:tc>
        <w:tc>
          <w:tcPr>
            <w:tcW w:w="752" w:type="dxa"/>
          </w:tcPr>
          <w:p w:rsidR="002C4AF7" w:rsidRDefault="007C2686">
            <w:pPr>
              <w:ind w:left="0" w:hanging="2"/>
              <w:jc w:val="both"/>
              <w:rPr>
                <w:rFonts w:ascii="Arial" w:eastAsia="Arial" w:hAnsi="Arial" w:cs="Arial"/>
                <w:sz w:val="16"/>
                <w:szCs w:val="16"/>
              </w:rPr>
            </w:pPr>
            <w:r>
              <w:rPr>
                <w:rFonts w:ascii="Arial" w:eastAsia="Arial" w:hAnsi="Arial" w:cs="Arial"/>
                <w:b/>
                <w:i/>
                <w:sz w:val="16"/>
                <w:szCs w:val="16"/>
              </w:rPr>
              <w:t>p</w:t>
            </w:r>
          </w:p>
        </w:tc>
      </w:tr>
      <w:tr w:rsidR="002C4AF7">
        <w:trPr>
          <w:trHeight w:val="637"/>
        </w:trPr>
        <w:tc>
          <w:tcPr>
            <w:tcW w:w="2902" w:type="dxa"/>
          </w:tcPr>
          <w:p w:rsidR="002C4AF7" w:rsidRDefault="007C2686">
            <w:pPr>
              <w:widowControl w:val="0"/>
              <w:ind w:left="0" w:hanging="2"/>
              <w:jc w:val="center"/>
              <w:rPr>
                <w:rFonts w:ascii="Arial" w:eastAsia="Arial" w:hAnsi="Arial" w:cs="Arial"/>
                <w:sz w:val="16"/>
                <w:szCs w:val="16"/>
              </w:rPr>
            </w:pPr>
            <w:r>
              <w:rPr>
                <w:rFonts w:ascii="Arial" w:eastAsia="Arial" w:hAnsi="Arial" w:cs="Arial"/>
                <w:b/>
                <w:sz w:val="16"/>
                <w:szCs w:val="16"/>
              </w:rPr>
              <w:t>Variable primaria</w:t>
            </w:r>
          </w:p>
          <w:p w:rsidR="002C4AF7" w:rsidRDefault="007C2686">
            <w:pPr>
              <w:ind w:left="0" w:hanging="2"/>
              <w:rPr>
                <w:rFonts w:ascii="Arial" w:eastAsia="Arial" w:hAnsi="Arial" w:cs="Arial"/>
                <w:sz w:val="16"/>
                <w:szCs w:val="16"/>
              </w:rPr>
            </w:pPr>
            <w:r>
              <w:rPr>
                <w:rFonts w:ascii="Arial" w:eastAsia="Arial" w:hAnsi="Arial" w:cs="Arial"/>
                <w:sz w:val="16"/>
                <w:szCs w:val="16"/>
              </w:rPr>
              <w:t xml:space="preserve">Supervivencia Global </w:t>
            </w:r>
          </w:p>
        </w:tc>
        <w:tc>
          <w:tcPr>
            <w:tcW w:w="1395" w:type="dxa"/>
          </w:tcPr>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NA</w:t>
            </w:r>
          </w:p>
          <w:p w:rsidR="002C4AF7" w:rsidRDefault="002C4AF7">
            <w:pPr>
              <w:widowControl w:val="0"/>
              <w:ind w:left="0" w:hanging="2"/>
              <w:jc w:val="center"/>
              <w:rPr>
                <w:rFonts w:ascii="Arial" w:eastAsia="Arial" w:hAnsi="Arial" w:cs="Arial"/>
                <w:sz w:val="16"/>
                <w:szCs w:val="16"/>
              </w:rPr>
            </w:pPr>
          </w:p>
        </w:tc>
        <w:tc>
          <w:tcPr>
            <w:tcW w:w="1109" w:type="dxa"/>
          </w:tcPr>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sz w:val="16"/>
                <w:szCs w:val="16"/>
              </w:rPr>
              <w:t>NA</w:t>
            </w:r>
          </w:p>
          <w:p w:rsidR="002C4AF7" w:rsidRDefault="002C4AF7">
            <w:pPr>
              <w:ind w:left="0" w:hanging="2"/>
              <w:jc w:val="center"/>
              <w:rPr>
                <w:rFonts w:ascii="Arial" w:eastAsia="Arial" w:hAnsi="Arial" w:cs="Arial"/>
                <w:sz w:val="16"/>
                <w:szCs w:val="16"/>
              </w:rPr>
            </w:pPr>
          </w:p>
        </w:tc>
        <w:tc>
          <w:tcPr>
            <w:tcW w:w="1252" w:type="dxa"/>
          </w:tcPr>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sz w:val="16"/>
                <w:szCs w:val="16"/>
              </w:rPr>
              <w:t>-</w:t>
            </w:r>
          </w:p>
        </w:tc>
        <w:tc>
          <w:tcPr>
            <w:tcW w:w="1492" w:type="dxa"/>
          </w:tcPr>
          <w:p w:rsidR="002C4AF7" w:rsidRDefault="002C4AF7">
            <w:pPr>
              <w:widowControl w:val="0"/>
              <w:ind w:left="0" w:hanging="2"/>
              <w:jc w:val="center"/>
              <w:rPr>
                <w:rFonts w:ascii="Arial" w:eastAsia="Arial" w:hAnsi="Arial" w:cs="Arial"/>
                <w:color w:val="FF0000"/>
                <w:sz w:val="16"/>
                <w:szCs w:val="16"/>
              </w:rPr>
            </w:pPr>
          </w:p>
          <w:p w:rsidR="002C4AF7" w:rsidRDefault="007C2686">
            <w:pPr>
              <w:ind w:left="0" w:hanging="2"/>
              <w:jc w:val="center"/>
              <w:rPr>
                <w:rFonts w:ascii="Arial" w:eastAsia="Arial" w:hAnsi="Arial" w:cs="Arial"/>
                <w:color w:val="FF0000"/>
                <w:sz w:val="16"/>
                <w:szCs w:val="16"/>
              </w:rPr>
            </w:pPr>
            <w:r>
              <w:rPr>
                <w:rFonts w:ascii="Arial" w:eastAsia="Arial" w:hAnsi="Arial" w:cs="Arial"/>
                <w:sz w:val="16"/>
                <w:szCs w:val="16"/>
              </w:rPr>
              <w:t>0,67 (0.52 a 0.86)</w:t>
            </w:r>
          </w:p>
        </w:tc>
        <w:tc>
          <w:tcPr>
            <w:tcW w:w="752" w:type="dxa"/>
          </w:tcPr>
          <w:p w:rsidR="002C4AF7" w:rsidRDefault="007C2686">
            <w:pPr>
              <w:ind w:left="0" w:hanging="2"/>
              <w:jc w:val="both"/>
              <w:rPr>
                <w:rFonts w:ascii="Arial" w:eastAsia="Arial" w:hAnsi="Arial" w:cs="Arial"/>
                <w:color w:val="FF0000"/>
                <w:sz w:val="16"/>
                <w:szCs w:val="16"/>
              </w:rPr>
            </w:pPr>
            <w:r>
              <w:rPr>
                <w:rFonts w:ascii="Arial" w:eastAsia="Arial" w:hAnsi="Arial" w:cs="Arial"/>
                <w:sz w:val="18"/>
                <w:szCs w:val="18"/>
              </w:rPr>
              <w:t xml:space="preserve"> = </w:t>
            </w:r>
            <w:r>
              <w:rPr>
                <w:rFonts w:ascii="Arial" w:eastAsia="Arial" w:hAnsi="Arial" w:cs="Arial"/>
                <w:sz w:val="16"/>
                <w:szCs w:val="16"/>
              </w:rPr>
              <w:t>0,002</w:t>
            </w:r>
          </w:p>
          <w:p w:rsidR="002C4AF7" w:rsidRDefault="002C4AF7">
            <w:pPr>
              <w:ind w:left="0" w:hanging="2"/>
              <w:jc w:val="center"/>
              <w:rPr>
                <w:rFonts w:ascii="Arial" w:eastAsia="Arial" w:hAnsi="Arial" w:cs="Arial"/>
                <w:color w:val="FF0000"/>
                <w:sz w:val="16"/>
                <w:szCs w:val="16"/>
              </w:rPr>
            </w:pPr>
          </w:p>
        </w:tc>
      </w:tr>
      <w:tr w:rsidR="002C4AF7">
        <w:trPr>
          <w:trHeight w:val="1700"/>
        </w:trPr>
        <w:tc>
          <w:tcPr>
            <w:tcW w:w="2902" w:type="dxa"/>
          </w:tcPr>
          <w:p w:rsidR="002C4AF7" w:rsidRDefault="007C2686">
            <w:pPr>
              <w:widowControl w:val="0"/>
              <w:ind w:left="0" w:hanging="2"/>
              <w:jc w:val="center"/>
              <w:rPr>
                <w:rFonts w:ascii="Arial" w:eastAsia="Arial" w:hAnsi="Arial" w:cs="Arial"/>
                <w:sz w:val="16"/>
                <w:szCs w:val="16"/>
              </w:rPr>
            </w:pPr>
            <w:r>
              <w:rPr>
                <w:rFonts w:ascii="Arial" w:eastAsia="Arial" w:hAnsi="Arial" w:cs="Arial"/>
                <w:b/>
                <w:sz w:val="16"/>
                <w:szCs w:val="16"/>
              </w:rPr>
              <w:t>Variables secundarias y exploratorias</w:t>
            </w:r>
          </w:p>
          <w:p w:rsidR="002C4AF7" w:rsidRDefault="002C4AF7">
            <w:pPr>
              <w:ind w:left="0" w:hanging="2"/>
              <w:rPr>
                <w:rFonts w:ascii="Arial" w:eastAsia="Arial" w:hAnsi="Arial" w:cs="Arial"/>
                <w:sz w:val="16"/>
                <w:szCs w:val="16"/>
              </w:rPr>
            </w:pPr>
          </w:p>
          <w:p w:rsidR="002C4AF7" w:rsidRDefault="007C2686">
            <w:pPr>
              <w:ind w:left="0" w:hanging="2"/>
              <w:rPr>
                <w:rFonts w:ascii="Arial" w:eastAsia="Arial" w:hAnsi="Arial" w:cs="Arial"/>
                <w:sz w:val="16"/>
                <w:szCs w:val="16"/>
              </w:rPr>
            </w:pPr>
            <w:r>
              <w:rPr>
                <w:rFonts w:ascii="Arial" w:eastAsia="Arial" w:hAnsi="Arial" w:cs="Arial"/>
                <w:sz w:val="16"/>
                <w:szCs w:val="16"/>
              </w:rPr>
              <w:t>Tiempo hasta progresión de PSA</w:t>
            </w:r>
          </w:p>
          <w:p w:rsidR="002C4AF7" w:rsidRDefault="002C4AF7">
            <w:pPr>
              <w:widowControl w:val="0"/>
              <w:ind w:left="0" w:hanging="2"/>
              <w:jc w:val="center"/>
              <w:rPr>
                <w:rFonts w:ascii="Arial" w:eastAsia="Arial" w:hAnsi="Arial" w:cs="Arial"/>
                <w:sz w:val="16"/>
                <w:szCs w:val="16"/>
              </w:rPr>
            </w:pPr>
          </w:p>
          <w:p w:rsidR="002C4AF7" w:rsidRDefault="007C2686">
            <w:pPr>
              <w:spacing w:before="40" w:after="40"/>
              <w:ind w:left="0" w:hanging="2"/>
              <w:rPr>
                <w:rFonts w:ascii="Arial" w:eastAsia="Arial" w:hAnsi="Arial" w:cs="Arial"/>
                <w:sz w:val="16"/>
                <w:szCs w:val="16"/>
              </w:rPr>
            </w:pPr>
            <w:r>
              <w:rPr>
                <w:rFonts w:ascii="Arial" w:eastAsia="Arial" w:hAnsi="Arial" w:cs="Arial"/>
                <w:sz w:val="16"/>
                <w:szCs w:val="16"/>
              </w:rPr>
              <w:t>Supervivencia libre de progresión clínica</w:t>
            </w:r>
          </w:p>
        </w:tc>
        <w:tc>
          <w:tcPr>
            <w:tcW w:w="1395" w:type="dxa"/>
          </w:tcPr>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NA</w:t>
            </w:r>
          </w:p>
          <w:p w:rsidR="002C4AF7" w:rsidRDefault="002C4AF7">
            <w:pPr>
              <w:widowControl w:val="0"/>
              <w:ind w:left="0" w:hanging="2"/>
              <w:jc w:val="center"/>
              <w:rPr>
                <w:rFonts w:ascii="Arial" w:eastAsia="Arial" w:hAnsi="Arial" w:cs="Arial"/>
                <w:sz w:val="16"/>
                <w:szCs w:val="16"/>
              </w:rPr>
            </w:pPr>
          </w:p>
          <w:p w:rsidR="002C4AF7" w:rsidRDefault="007C2686">
            <w:pPr>
              <w:ind w:left="0" w:hanging="2"/>
              <w:rPr>
                <w:rFonts w:ascii="Arial" w:eastAsia="Arial" w:hAnsi="Arial" w:cs="Arial"/>
                <w:sz w:val="16"/>
                <w:szCs w:val="16"/>
              </w:rPr>
            </w:pPr>
            <w:r>
              <w:rPr>
                <w:rFonts w:ascii="Arial" w:eastAsia="Arial" w:hAnsi="Arial" w:cs="Arial"/>
                <w:sz w:val="16"/>
                <w:szCs w:val="16"/>
              </w:rPr>
              <w:t xml:space="preserve">           NA</w:t>
            </w:r>
          </w:p>
        </w:tc>
        <w:tc>
          <w:tcPr>
            <w:tcW w:w="1109" w:type="dxa"/>
          </w:tcPr>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NA</w:t>
            </w:r>
          </w:p>
          <w:p w:rsidR="002C4AF7" w:rsidRDefault="002C4AF7">
            <w:pPr>
              <w:widowControl w:val="0"/>
              <w:ind w:left="0" w:hanging="2"/>
              <w:jc w:val="center"/>
              <w:rPr>
                <w:rFonts w:ascii="Arial" w:eastAsia="Arial" w:hAnsi="Arial" w:cs="Arial"/>
                <w:sz w:val="16"/>
                <w:szCs w:val="16"/>
              </w:rPr>
            </w:pPr>
          </w:p>
          <w:p w:rsidR="002C4AF7" w:rsidRDefault="007C2686">
            <w:pPr>
              <w:ind w:left="0" w:hanging="2"/>
              <w:rPr>
                <w:rFonts w:ascii="Arial" w:eastAsia="Arial" w:hAnsi="Arial" w:cs="Arial"/>
                <w:sz w:val="16"/>
                <w:szCs w:val="16"/>
              </w:rPr>
            </w:pPr>
            <w:r>
              <w:rPr>
                <w:rFonts w:ascii="Arial" w:eastAsia="Arial" w:hAnsi="Arial" w:cs="Arial"/>
                <w:sz w:val="16"/>
                <w:szCs w:val="16"/>
              </w:rPr>
              <w:t xml:space="preserve">       NA</w:t>
            </w:r>
          </w:p>
        </w:tc>
        <w:tc>
          <w:tcPr>
            <w:tcW w:w="1252" w:type="dxa"/>
          </w:tcPr>
          <w:p w:rsidR="002C4AF7" w:rsidRDefault="002C4AF7">
            <w:pPr>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w:t>
            </w:r>
          </w:p>
          <w:p w:rsidR="002C4AF7" w:rsidRDefault="002C4AF7">
            <w:pPr>
              <w:widowControl w:val="0"/>
              <w:ind w:left="0" w:hanging="2"/>
              <w:jc w:val="center"/>
              <w:rPr>
                <w:rFonts w:ascii="Arial" w:eastAsia="Arial" w:hAnsi="Arial" w:cs="Arial"/>
                <w:sz w:val="16"/>
                <w:szCs w:val="16"/>
              </w:rPr>
            </w:pPr>
          </w:p>
          <w:p w:rsidR="002C4AF7" w:rsidRDefault="007C2686">
            <w:pPr>
              <w:ind w:left="0" w:hanging="2"/>
              <w:rPr>
                <w:rFonts w:ascii="Arial" w:eastAsia="Arial" w:hAnsi="Arial" w:cs="Arial"/>
                <w:sz w:val="16"/>
                <w:szCs w:val="16"/>
              </w:rPr>
            </w:pPr>
            <w:r>
              <w:rPr>
                <w:rFonts w:ascii="Arial" w:eastAsia="Arial" w:hAnsi="Arial" w:cs="Arial"/>
                <w:sz w:val="16"/>
                <w:szCs w:val="16"/>
              </w:rPr>
              <w:t xml:space="preserve">           -</w:t>
            </w:r>
          </w:p>
        </w:tc>
        <w:tc>
          <w:tcPr>
            <w:tcW w:w="1492" w:type="dxa"/>
          </w:tcPr>
          <w:p w:rsidR="002C4AF7" w:rsidRDefault="002C4AF7">
            <w:pPr>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0,39 (0,33 a 0,47)</w:t>
            </w:r>
          </w:p>
          <w:p w:rsidR="002C4AF7" w:rsidRDefault="002C4AF7">
            <w:pPr>
              <w:widowControl w:val="0"/>
              <w:ind w:left="0" w:hanging="2"/>
              <w:jc w:val="center"/>
              <w:rPr>
                <w:rFonts w:ascii="Arial" w:eastAsia="Arial" w:hAnsi="Arial" w:cs="Arial"/>
                <w:sz w:val="16"/>
                <w:szCs w:val="16"/>
              </w:rPr>
            </w:pPr>
          </w:p>
          <w:p w:rsidR="002C4AF7" w:rsidRDefault="007C2686">
            <w:pPr>
              <w:ind w:left="0" w:hanging="2"/>
              <w:rPr>
                <w:rFonts w:ascii="Arial" w:eastAsia="Arial" w:hAnsi="Arial" w:cs="Arial"/>
                <w:sz w:val="16"/>
                <w:szCs w:val="16"/>
              </w:rPr>
            </w:pPr>
            <w:r>
              <w:rPr>
                <w:rFonts w:ascii="Arial" w:eastAsia="Arial" w:hAnsi="Arial" w:cs="Arial"/>
                <w:sz w:val="16"/>
                <w:szCs w:val="16"/>
              </w:rPr>
              <w:t>0,40 (0,33 a 0,49)</w:t>
            </w:r>
          </w:p>
        </w:tc>
        <w:tc>
          <w:tcPr>
            <w:tcW w:w="752" w:type="dxa"/>
          </w:tcPr>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&lt;0,001</w:t>
            </w:r>
          </w:p>
          <w:p w:rsidR="002C4AF7" w:rsidRDefault="002C4AF7">
            <w:pPr>
              <w:widowControl w:val="0"/>
              <w:ind w:left="0" w:hanging="2"/>
              <w:jc w:val="center"/>
              <w:rPr>
                <w:rFonts w:ascii="Arial" w:eastAsia="Arial" w:hAnsi="Arial" w:cs="Arial"/>
                <w:sz w:val="16"/>
                <w:szCs w:val="16"/>
              </w:rPr>
            </w:pPr>
          </w:p>
          <w:p w:rsidR="002C4AF7" w:rsidRDefault="007C2686">
            <w:pPr>
              <w:widowControl w:val="0"/>
              <w:ind w:left="0" w:hanging="2"/>
              <w:jc w:val="center"/>
              <w:rPr>
                <w:rFonts w:ascii="Arial" w:eastAsia="Arial" w:hAnsi="Arial" w:cs="Arial"/>
                <w:sz w:val="16"/>
                <w:szCs w:val="16"/>
              </w:rPr>
            </w:pPr>
            <w:r>
              <w:rPr>
                <w:rFonts w:ascii="Arial" w:eastAsia="Arial" w:hAnsi="Arial" w:cs="Arial"/>
                <w:sz w:val="16"/>
                <w:szCs w:val="16"/>
              </w:rPr>
              <w:t>&lt;0,001</w:t>
            </w: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jc w:val="center"/>
              <w:rPr>
                <w:rFonts w:ascii="Arial" w:eastAsia="Arial" w:hAnsi="Arial" w:cs="Arial"/>
                <w:sz w:val="16"/>
                <w:szCs w:val="16"/>
              </w:rPr>
            </w:pPr>
          </w:p>
          <w:p w:rsidR="002C4AF7" w:rsidRDefault="002C4AF7">
            <w:pPr>
              <w:widowControl w:val="0"/>
              <w:ind w:left="0" w:hanging="2"/>
              <w:rPr>
                <w:rFonts w:ascii="Arial" w:eastAsia="Arial" w:hAnsi="Arial" w:cs="Arial"/>
                <w:sz w:val="16"/>
                <w:szCs w:val="16"/>
              </w:rPr>
            </w:pPr>
          </w:p>
          <w:p w:rsidR="002C4AF7" w:rsidRDefault="002C4AF7">
            <w:pPr>
              <w:ind w:left="0" w:hanging="2"/>
              <w:jc w:val="center"/>
              <w:rPr>
                <w:rFonts w:ascii="Arial" w:eastAsia="Arial" w:hAnsi="Arial" w:cs="Arial"/>
                <w:sz w:val="16"/>
                <w:szCs w:val="16"/>
              </w:rPr>
            </w:pPr>
          </w:p>
        </w:tc>
      </w:tr>
    </w:tbl>
    <w:p w:rsidR="002C4AF7" w:rsidRDefault="002C4AF7">
      <w:pPr>
        <w:spacing w:line="240" w:lineRule="auto"/>
        <w:ind w:left="0" w:hanging="2"/>
        <w:jc w:val="both"/>
        <w:rPr>
          <w:rFonts w:ascii="Arial" w:eastAsia="Arial" w:hAnsi="Arial" w:cs="Arial"/>
          <w:sz w:val="18"/>
          <w:szCs w:val="18"/>
        </w:rPr>
      </w:pPr>
    </w:p>
    <w:p w:rsidR="002C4AF7" w:rsidRPr="00333AA4" w:rsidRDefault="007C2686">
      <w:pPr>
        <w:spacing w:line="240" w:lineRule="auto"/>
        <w:ind w:left="0" w:hanging="2"/>
        <w:jc w:val="both"/>
        <w:rPr>
          <w:rFonts w:ascii="Arial" w:eastAsia="Arial" w:hAnsi="Arial" w:cs="Arial"/>
          <w:sz w:val="20"/>
          <w:szCs w:val="20"/>
          <w:highlight w:val="yellow"/>
        </w:rPr>
      </w:pPr>
      <w:r w:rsidRPr="00333AA4">
        <w:rPr>
          <w:rFonts w:ascii="Arial" w:eastAsia="Arial" w:hAnsi="Arial" w:cs="Arial"/>
          <w:sz w:val="20"/>
          <w:szCs w:val="20"/>
        </w:rPr>
        <w:t xml:space="preserve">Se planificó análisis intermedio cuando se alcanzaran el 50, 67 y 80% de los eventos requeridos para SG. El análisis intermedio del 28 de febrero de 2019, el 18,1% de los pacientes fallecieron (N = 102) en el grupo de enzalutamida en comparación con el 25,4% de los pacientes del grupo placebo (N = 143). Por lo tanto, habían sucedido 245 muertes de las 470 especificadas para el </w:t>
      </w:r>
      <w:r w:rsidRPr="00333AA4">
        <w:rPr>
          <w:rFonts w:ascii="Arial" w:eastAsia="Arial" w:hAnsi="Arial" w:cs="Arial"/>
          <w:sz w:val="20"/>
          <w:szCs w:val="20"/>
        </w:rPr>
        <w:lastRenderedPageBreak/>
        <w:t>análisis final. La mediana de seguimiento fue de 34 meses. No se alcanzó la mediana de SG para ninguno de los grupos de tratamiento.</w:t>
      </w:r>
    </w:p>
    <w:p w:rsidR="002C4AF7" w:rsidRPr="00333AA4" w:rsidRDefault="007C2686">
      <w:pPr>
        <w:spacing w:line="240" w:lineRule="auto"/>
        <w:ind w:left="0" w:hanging="2"/>
        <w:jc w:val="both"/>
        <w:rPr>
          <w:rFonts w:ascii="Arial" w:eastAsia="Arial" w:hAnsi="Arial" w:cs="Arial"/>
          <w:sz w:val="20"/>
          <w:szCs w:val="20"/>
        </w:rPr>
      </w:pPr>
      <w:r w:rsidRPr="00333AA4">
        <w:rPr>
          <w:rFonts w:ascii="Arial" w:eastAsia="Arial" w:hAnsi="Arial" w:cs="Arial"/>
          <w:sz w:val="20"/>
          <w:szCs w:val="20"/>
        </w:rPr>
        <w:t>El tratamiento con enzalutamida se asoció con una mejora significativa de la SG en comparación con el grupo AANS (HR: 0,67, IC del 95%: 0,52 a 0,86; valor de p = 0,002). La tasa de supervivencia a los tres años fue del 80% (N = 94) en el grupo de enzalutamida y del 72% (N = 130) en el grupo NSAA. Según el protocolo, pacientes que discontinuaban su grupo de tratamiento podían recibir terapia posterior a discreción del médico. Las principales terapias para los pacientes que progresaron: para el grupo enzalutamida fueron: docetaxel (33,0%), no tratamiento (31,8%) y abiraterona combinada con prednisona o prednisolona (30,7%). Los pacientes del grupo control emplearon: enzalutamida (45,2%), abiraterona con prednisona o prednisolona (35,7%), docetaxel (34,8%) y cabazitaxel (30,4%).</w:t>
      </w:r>
    </w:p>
    <w:p w:rsidR="002C4AF7" w:rsidRPr="00333AA4" w:rsidRDefault="002C4AF7">
      <w:pPr>
        <w:spacing w:line="240" w:lineRule="auto"/>
        <w:ind w:left="0" w:hanging="2"/>
        <w:jc w:val="both"/>
        <w:rPr>
          <w:rFonts w:ascii="Arial" w:eastAsia="Arial" w:hAnsi="Arial" w:cs="Arial"/>
          <w:sz w:val="20"/>
          <w:szCs w:val="20"/>
        </w:rPr>
      </w:pPr>
    </w:p>
    <w:p w:rsidR="002C4AF7" w:rsidRPr="00333AA4" w:rsidRDefault="007C2686">
      <w:pPr>
        <w:spacing w:line="240" w:lineRule="auto"/>
        <w:ind w:left="0" w:hanging="2"/>
        <w:rPr>
          <w:rFonts w:ascii="Arial" w:eastAsia="Arial" w:hAnsi="Arial" w:cs="Arial"/>
          <w:sz w:val="20"/>
          <w:szCs w:val="20"/>
        </w:rPr>
      </w:pPr>
      <w:r w:rsidRPr="00333AA4">
        <w:rPr>
          <w:rFonts w:ascii="Arial" w:eastAsia="Arial" w:hAnsi="Arial" w:cs="Arial"/>
          <w:sz w:val="20"/>
          <w:szCs w:val="20"/>
        </w:rPr>
        <w:t>Para el análisis final de los datos pre especificado tras 476  muertes, se hizo un corte en enero 2022 con una mediana de seguimiento de 68 meses. Para SG se obtuvo un HR de 0,70 (IC 0,58 a 0,84) (13)</w:t>
      </w:r>
    </w:p>
    <w:p w:rsidR="002C4AF7" w:rsidRPr="00333AA4" w:rsidRDefault="002C4AF7">
      <w:pPr>
        <w:spacing w:line="240" w:lineRule="auto"/>
        <w:ind w:left="0" w:hanging="2"/>
        <w:jc w:val="both"/>
        <w:rPr>
          <w:rFonts w:ascii="Arial" w:eastAsia="Arial" w:hAnsi="Arial" w:cs="Arial"/>
          <w:sz w:val="20"/>
          <w:szCs w:val="20"/>
        </w:rPr>
      </w:pPr>
    </w:p>
    <w:p w:rsidR="002C4AF7" w:rsidRPr="00333AA4" w:rsidRDefault="002C4AF7">
      <w:pPr>
        <w:spacing w:line="240" w:lineRule="auto"/>
        <w:ind w:left="0" w:hanging="2"/>
        <w:jc w:val="both"/>
        <w:rPr>
          <w:rFonts w:ascii="Arial" w:eastAsia="Arial" w:hAnsi="Arial" w:cs="Arial"/>
          <w:sz w:val="20"/>
          <w:szCs w:val="20"/>
        </w:rPr>
      </w:pPr>
    </w:p>
    <w:p w:rsidR="002C4AF7" w:rsidRPr="00333AA4" w:rsidRDefault="007C2686">
      <w:pPr>
        <w:spacing w:line="240" w:lineRule="auto"/>
        <w:ind w:left="0" w:hanging="2"/>
        <w:jc w:val="both"/>
        <w:rPr>
          <w:rFonts w:ascii="Arial" w:eastAsia="Arial" w:hAnsi="Arial" w:cs="Arial"/>
          <w:sz w:val="20"/>
          <w:szCs w:val="20"/>
        </w:rPr>
      </w:pPr>
      <w:r w:rsidRPr="00333AA4">
        <w:rPr>
          <w:rFonts w:ascii="Arial" w:eastAsia="Arial" w:hAnsi="Arial" w:cs="Arial"/>
          <w:sz w:val="20"/>
          <w:szCs w:val="20"/>
        </w:rPr>
        <w:t>En relación al análisis de subgrupos para la variable principal, de forma global, los análisis fueron consistentes con los resultados ITT. Tras realizar el ajuste de test múltiple, no había diferencias significativas entre los subgrupos.</w:t>
      </w:r>
    </w:p>
    <w:p w:rsidR="002C4AF7" w:rsidRDefault="002C4AF7">
      <w:pPr>
        <w:spacing w:line="240" w:lineRule="auto"/>
        <w:ind w:left="0" w:hanging="2"/>
        <w:jc w:val="both"/>
        <w:rPr>
          <w:rFonts w:ascii="Arial" w:eastAsia="Arial" w:hAnsi="Arial" w:cs="Arial"/>
          <w:sz w:val="18"/>
          <w:szCs w:val="18"/>
        </w:rPr>
      </w:pPr>
    </w:p>
    <w:p w:rsidR="002C4AF7" w:rsidRDefault="007C2686">
      <w:pPr>
        <w:spacing w:line="240" w:lineRule="auto"/>
        <w:ind w:left="0" w:hanging="2"/>
        <w:jc w:val="both"/>
        <w:rPr>
          <w:rFonts w:ascii="Arial" w:eastAsia="Arial" w:hAnsi="Arial" w:cs="Arial"/>
          <w:sz w:val="18"/>
          <w:szCs w:val="18"/>
        </w:rPr>
      </w:pPr>
      <w:r>
        <w:rPr>
          <w:rFonts w:ascii="Arial" w:eastAsia="Arial" w:hAnsi="Arial" w:cs="Arial"/>
          <w:sz w:val="18"/>
          <w:szCs w:val="18"/>
        </w:rPr>
        <w:t>Figura 5. Estudio ENZAMET (11).</w:t>
      </w:r>
    </w:p>
    <w:p w:rsidR="002C4AF7" w:rsidRDefault="007C2686">
      <w:pPr>
        <w:spacing w:line="240" w:lineRule="auto"/>
        <w:ind w:left="0" w:hanging="2"/>
        <w:jc w:val="both"/>
        <w:rPr>
          <w:rFonts w:ascii="Arial" w:eastAsia="Arial" w:hAnsi="Arial" w:cs="Arial"/>
          <w:sz w:val="18"/>
          <w:szCs w:val="18"/>
        </w:rPr>
      </w:pPr>
      <w:r>
        <w:rPr>
          <w:rFonts w:ascii="Arial" w:eastAsia="Arial" w:hAnsi="Arial" w:cs="Arial"/>
          <w:noProof/>
          <w:sz w:val="18"/>
          <w:szCs w:val="18"/>
        </w:rPr>
        <w:drawing>
          <wp:inline distT="0" distB="0" distL="114300" distR="114300">
            <wp:extent cx="5507355" cy="4592955"/>
            <wp:effectExtent l="0" t="0" r="0" b="0"/>
            <wp:docPr id="109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5507355" cy="4592955"/>
                    </a:xfrm>
                    <a:prstGeom prst="rect">
                      <a:avLst/>
                    </a:prstGeom>
                    <a:ln/>
                  </pic:spPr>
                </pic:pic>
              </a:graphicData>
            </a:graphic>
          </wp:inline>
        </w:drawing>
      </w:r>
    </w:p>
    <w:p w:rsidR="002C4AF7" w:rsidRDefault="002C4AF7">
      <w:pPr>
        <w:spacing w:line="240" w:lineRule="auto"/>
        <w:ind w:left="0" w:hanging="2"/>
        <w:jc w:val="both"/>
        <w:rPr>
          <w:rFonts w:ascii="Arial" w:eastAsia="Arial" w:hAnsi="Arial" w:cs="Arial"/>
          <w:sz w:val="18"/>
          <w:szCs w:val="18"/>
          <w:highlight w:val="cyan"/>
        </w:rPr>
      </w:pPr>
    </w:p>
    <w:p w:rsidR="002C4AF7" w:rsidRPr="00333AA4" w:rsidRDefault="007C2686">
      <w:pPr>
        <w:spacing w:line="240" w:lineRule="auto"/>
        <w:ind w:left="0" w:hanging="2"/>
        <w:jc w:val="both"/>
        <w:rPr>
          <w:rFonts w:ascii="Arial" w:eastAsia="Arial" w:hAnsi="Arial" w:cs="Arial"/>
          <w:color w:val="3C4043"/>
          <w:sz w:val="20"/>
          <w:szCs w:val="20"/>
        </w:rPr>
      </w:pPr>
      <w:r w:rsidRPr="00333AA4">
        <w:rPr>
          <w:rFonts w:ascii="Arial" w:eastAsia="Arial" w:hAnsi="Arial" w:cs="Arial"/>
          <w:color w:val="3C4043"/>
          <w:sz w:val="20"/>
          <w:szCs w:val="20"/>
        </w:rPr>
        <w:t>En relación a los subgrupos que presentaban asociación/interacción estadística: volumen de enfermedad, uso planificado temprano o no de docetaxel, empleo de terapia antirresortiva, Se proporciona en el análisis de estos, evaluando los siguientes parámetros:</w:t>
      </w:r>
    </w:p>
    <w:p w:rsidR="002C4AF7" w:rsidRPr="00333AA4" w:rsidRDefault="007C2686">
      <w:pPr>
        <w:spacing w:line="240" w:lineRule="auto"/>
        <w:ind w:left="0" w:hanging="2"/>
        <w:jc w:val="both"/>
        <w:rPr>
          <w:rFonts w:ascii="Arial" w:eastAsia="Arial" w:hAnsi="Arial" w:cs="Arial"/>
          <w:color w:val="3C4043"/>
          <w:sz w:val="20"/>
          <w:szCs w:val="20"/>
        </w:rPr>
      </w:pPr>
      <w:r w:rsidRPr="00333AA4">
        <w:rPr>
          <w:rFonts w:ascii="Arial" w:eastAsia="Arial" w:hAnsi="Arial" w:cs="Arial"/>
          <w:color w:val="3C4043"/>
          <w:sz w:val="20"/>
          <w:szCs w:val="20"/>
        </w:rPr>
        <w:lastRenderedPageBreak/>
        <w:t>-Pre-especificación: La aleatorización se había estratificado en función del volumen de la enfermedad, tratamiento antirresortivo concomitante y uso concomitante de docetaxel.</w:t>
      </w:r>
    </w:p>
    <w:p w:rsidR="002C4AF7" w:rsidRPr="00333AA4" w:rsidRDefault="007C2686">
      <w:pPr>
        <w:spacing w:line="240" w:lineRule="auto"/>
        <w:ind w:left="0" w:hanging="2"/>
        <w:jc w:val="both"/>
        <w:rPr>
          <w:rFonts w:ascii="Arial" w:eastAsia="Arial" w:hAnsi="Arial" w:cs="Arial"/>
          <w:color w:val="3C4043"/>
          <w:sz w:val="20"/>
          <w:szCs w:val="20"/>
        </w:rPr>
      </w:pPr>
      <w:r w:rsidRPr="00333AA4">
        <w:rPr>
          <w:rFonts w:ascii="Arial" w:eastAsia="Arial" w:hAnsi="Arial" w:cs="Arial"/>
          <w:color w:val="3C4043"/>
          <w:sz w:val="20"/>
          <w:szCs w:val="20"/>
        </w:rPr>
        <w:t>-Plausibilidad biológica: No se ha encontrado bibliografía que avale este hecho.</w:t>
      </w:r>
    </w:p>
    <w:p w:rsidR="002C4AF7" w:rsidRPr="00333AA4" w:rsidRDefault="002C4AF7">
      <w:pPr>
        <w:spacing w:line="240" w:lineRule="auto"/>
        <w:ind w:left="0" w:hanging="2"/>
        <w:jc w:val="both"/>
        <w:rPr>
          <w:rFonts w:ascii="Arial" w:eastAsia="Arial" w:hAnsi="Arial" w:cs="Arial"/>
          <w:color w:val="3C4043"/>
          <w:sz w:val="20"/>
          <w:szCs w:val="20"/>
        </w:rPr>
      </w:pPr>
    </w:p>
    <w:p w:rsidR="002C4AF7" w:rsidRPr="00333AA4" w:rsidRDefault="007C2686">
      <w:pPr>
        <w:spacing w:line="240" w:lineRule="auto"/>
        <w:ind w:left="0" w:hanging="2"/>
        <w:jc w:val="both"/>
        <w:rPr>
          <w:rFonts w:ascii="Arial" w:eastAsia="Arial" w:hAnsi="Arial" w:cs="Arial"/>
          <w:color w:val="3C4043"/>
          <w:sz w:val="20"/>
          <w:szCs w:val="20"/>
        </w:rPr>
      </w:pPr>
      <w:r w:rsidRPr="00333AA4">
        <w:rPr>
          <w:rFonts w:ascii="Arial" w:eastAsia="Arial" w:hAnsi="Arial" w:cs="Arial"/>
          <w:color w:val="3C4043"/>
          <w:sz w:val="20"/>
          <w:szCs w:val="20"/>
        </w:rPr>
        <w:t>-Consistencia/coherencia: Existe consistencia interna para los subgrupos de volumen de enfermedad y uso temprano de docetaxel ya que los resultados de SLP clínica son concordantes. Sin embargo, estos hallazgos no se repiten para SLPr en el estudio ARCHES. Tampoco sucede para los resultados de estos subgrupos para la SG en el ensayo pivotal de la apalutamida.</w:t>
      </w:r>
    </w:p>
    <w:p w:rsidR="002C4AF7" w:rsidRPr="00333AA4" w:rsidRDefault="002C4AF7">
      <w:pPr>
        <w:spacing w:line="240" w:lineRule="auto"/>
        <w:ind w:left="0" w:hanging="2"/>
        <w:rPr>
          <w:rFonts w:ascii="Arial" w:eastAsia="Arial" w:hAnsi="Arial" w:cs="Arial"/>
          <w:color w:val="3C4043"/>
          <w:sz w:val="20"/>
          <w:szCs w:val="20"/>
          <w:highlight w:val="cyan"/>
        </w:rPr>
      </w:pPr>
    </w:p>
    <w:p w:rsidR="002C4AF7" w:rsidRPr="00333AA4" w:rsidRDefault="007C2686">
      <w:pPr>
        <w:ind w:left="0" w:right="1080" w:hanging="2"/>
        <w:jc w:val="both"/>
        <w:rPr>
          <w:rFonts w:ascii="Arial" w:eastAsia="Arial" w:hAnsi="Arial" w:cs="Arial"/>
          <w:color w:val="3C4043"/>
          <w:sz w:val="20"/>
          <w:szCs w:val="20"/>
        </w:rPr>
      </w:pPr>
      <w:r w:rsidRPr="00333AA4">
        <w:rPr>
          <w:rFonts w:ascii="Arial" w:eastAsia="Arial" w:hAnsi="Arial" w:cs="Arial"/>
          <w:color w:val="3C4043"/>
          <w:sz w:val="20"/>
          <w:szCs w:val="20"/>
        </w:rPr>
        <w:t>Por lo que, tras analizar la asociación estadística, la pre especificación, la plausibilidad biológica y la consistencia se obtuvo una aplicabilidad nula, es decir, el análisis de subgrupos no muestra diferencias que puedan ser consideradas en la práctica clínica de forma fiable.</w:t>
      </w:r>
    </w:p>
    <w:p w:rsidR="002C4AF7" w:rsidRPr="00333AA4" w:rsidRDefault="002C4AF7">
      <w:pPr>
        <w:spacing w:line="240" w:lineRule="auto"/>
        <w:ind w:left="0" w:hanging="2"/>
        <w:rPr>
          <w:rFonts w:ascii="Arial" w:eastAsia="Arial" w:hAnsi="Arial" w:cs="Arial"/>
          <w:color w:val="3C4043"/>
          <w:sz w:val="20"/>
          <w:szCs w:val="20"/>
          <w:highlight w:val="cyan"/>
        </w:rPr>
      </w:pPr>
    </w:p>
    <w:p w:rsidR="002C4AF7" w:rsidRPr="00333AA4" w:rsidRDefault="007C2686">
      <w:pPr>
        <w:spacing w:line="240" w:lineRule="auto"/>
        <w:ind w:left="0" w:hanging="2"/>
        <w:rPr>
          <w:rFonts w:ascii="Arial" w:eastAsia="Arial" w:hAnsi="Arial" w:cs="Arial"/>
          <w:color w:val="3C4043"/>
          <w:sz w:val="20"/>
          <w:szCs w:val="20"/>
        </w:rPr>
      </w:pPr>
      <w:r w:rsidRPr="00333AA4">
        <w:rPr>
          <w:rFonts w:ascii="Arial" w:eastAsia="Arial" w:hAnsi="Arial" w:cs="Arial"/>
          <w:color w:val="3C4043"/>
          <w:sz w:val="20"/>
          <w:szCs w:val="20"/>
        </w:rPr>
        <w:t xml:space="preserve">Análisis de subgrupos actualizados en el abstract publicado </w:t>
      </w:r>
      <w:r w:rsidR="00333AA4" w:rsidRPr="00333AA4">
        <w:rPr>
          <w:rFonts w:ascii="Arial" w:eastAsia="Arial" w:hAnsi="Arial" w:cs="Arial"/>
          <w:color w:val="3C4043"/>
          <w:sz w:val="20"/>
          <w:szCs w:val="20"/>
        </w:rPr>
        <w:t>posteriormente (</w:t>
      </w:r>
      <w:r w:rsidRPr="00333AA4">
        <w:rPr>
          <w:rFonts w:ascii="Arial" w:eastAsia="Arial" w:hAnsi="Arial" w:cs="Arial"/>
          <w:color w:val="3C4043"/>
          <w:sz w:val="20"/>
          <w:szCs w:val="20"/>
        </w:rPr>
        <w:t xml:space="preserve">13) </w:t>
      </w:r>
    </w:p>
    <w:p w:rsidR="002C4AF7" w:rsidRDefault="002C4AF7">
      <w:pPr>
        <w:spacing w:line="240" w:lineRule="auto"/>
        <w:ind w:left="0" w:hanging="2"/>
        <w:rPr>
          <w:rFonts w:ascii="Arial" w:eastAsia="Arial" w:hAnsi="Arial" w:cs="Arial"/>
          <w:color w:val="3C4043"/>
          <w:sz w:val="18"/>
          <w:szCs w:val="18"/>
          <w:highlight w:val="cyan"/>
        </w:rPr>
      </w:pPr>
    </w:p>
    <w:p w:rsidR="002C4AF7" w:rsidRDefault="002C4AF7">
      <w:pPr>
        <w:spacing w:line="240" w:lineRule="auto"/>
        <w:ind w:left="0" w:hanging="2"/>
        <w:rPr>
          <w:rFonts w:ascii="Arial" w:eastAsia="Arial" w:hAnsi="Arial" w:cs="Arial"/>
          <w:color w:val="3C4043"/>
          <w:sz w:val="18"/>
          <w:szCs w:val="18"/>
          <w:highlight w:val="cyan"/>
        </w:rPr>
      </w:pPr>
    </w:p>
    <w:p w:rsidR="002C4AF7" w:rsidRDefault="002C4AF7">
      <w:pPr>
        <w:spacing w:line="240" w:lineRule="auto"/>
        <w:ind w:left="0" w:hanging="2"/>
        <w:rPr>
          <w:rFonts w:ascii="Arial" w:eastAsia="Arial" w:hAnsi="Arial" w:cs="Arial"/>
          <w:color w:val="3C4043"/>
          <w:sz w:val="18"/>
          <w:szCs w:val="18"/>
          <w:highlight w:val="cyan"/>
        </w:rPr>
      </w:pPr>
    </w:p>
    <w:p w:rsidR="002C4AF7" w:rsidRDefault="002C4AF7">
      <w:pPr>
        <w:spacing w:line="240" w:lineRule="auto"/>
        <w:ind w:left="0" w:hanging="2"/>
        <w:rPr>
          <w:rFonts w:ascii="Arial" w:eastAsia="Arial" w:hAnsi="Arial" w:cs="Arial"/>
          <w:color w:val="3C4043"/>
          <w:sz w:val="18"/>
          <w:szCs w:val="18"/>
          <w:highlight w:val="cyan"/>
        </w:rPr>
      </w:pPr>
    </w:p>
    <w:p w:rsidR="002C4AF7" w:rsidRDefault="002C4AF7">
      <w:pPr>
        <w:spacing w:line="240" w:lineRule="auto"/>
        <w:ind w:left="0" w:hanging="2"/>
        <w:rPr>
          <w:rFonts w:ascii="Arial" w:eastAsia="Arial" w:hAnsi="Arial" w:cs="Arial"/>
          <w:color w:val="3C4043"/>
          <w:sz w:val="18"/>
          <w:szCs w:val="18"/>
          <w:highlight w:val="cyan"/>
        </w:rPr>
      </w:pPr>
    </w:p>
    <w:p w:rsidR="002C4AF7" w:rsidRDefault="002C4AF7">
      <w:pPr>
        <w:spacing w:line="240" w:lineRule="auto"/>
        <w:ind w:left="0" w:hanging="2"/>
        <w:rPr>
          <w:rFonts w:ascii="Arial" w:eastAsia="Arial" w:hAnsi="Arial" w:cs="Arial"/>
          <w:color w:val="3C4043"/>
          <w:sz w:val="18"/>
          <w:szCs w:val="18"/>
          <w:highlight w:val="cyan"/>
        </w:rPr>
      </w:pPr>
    </w:p>
    <w:p w:rsidR="002C4AF7" w:rsidRDefault="002C4AF7">
      <w:pPr>
        <w:spacing w:line="240" w:lineRule="auto"/>
        <w:ind w:left="0" w:hanging="2"/>
        <w:rPr>
          <w:rFonts w:ascii="Arial" w:eastAsia="Arial" w:hAnsi="Arial" w:cs="Arial"/>
          <w:color w:val="3C4043"/>
          <w:sz w:val="18"/>
          <w:szCs w:val="18"/>
          <w:highlight w:val="cyan"/>
        </w:rPr>
      </w:pPr>
    </w:p>
    <w:p w:rsidR="002C4AF7" w:rsidRDefault="007C2686">
      <w:pPr>
        <w:spacing w:line="240" w:lineRule="auto"/>
        <w:ind w:left="0" w:hanging="2"/>
        <w:rPr>
          <w:rFonts w:ascii="Arial" w:eastAsia="Arial" w:hAnsi="Arial" w:cs="Arial"/>
          <w:color w:val="3C4043"/>
          <w:sz w:val="18"/>
          <w:szCs w:val="18"/>
          <w:highlight w:val="cyan"/>
        </w:rPr>
      </w:pPr>
      <w:r>
        <w:rPr>
          <w:rFonts w:ascii="Arial" w:eastAsia="Arial" w:hAnsi="Arial" w:cs="Arial"/>
          <w:noProof/>
          <w:color w:val="3C4043"/>
          <w:sz w:val="18"/>
          <w:szCs w:val="18"/>
          <w:highlight w:val="cyan"/>
        </w:rPr>
        <w:drawing>
          <wp:inline distT="0" distB="0" distL="114300" distR="114300">
            <wp:extent cx="5172075" cy="2676525"/>
            <wp:effectExtent l="0" t="0" r="0" b="0"/>
            <wp:docPr id="109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3"/>
                    <a:srcRect/>
                    <a:stretch>
                      <a:fillRect/>
                    </a:stretch>
                  </pic:blipFill>
                  <pic:spPr>
                    <a:xfrm>
                      <a:off x="0" y="0"/>
                      <a:ext cx="5172075" cy="2676525"/>
                    </a:xfrm>
                    <a:prstGeom prst="rect">
                      <a:avLst/>
                    </a:prstGeom>
                    <a:ln/>
                  </pic:spPr>
                </pic:pic>
              </a:graphicData>
            </a:graphic>
          </wp:inline>
        </w:drawing>
      </w:r>
    </w:p>
    <w:p w:rsidR="002C4AF7" w:rsidRDefault="002C4AF7">
      <w:pPr>
        <w:spacing w:line="240" w:lineRule="auto"/>
        <w:ind w:left="0" w:hanging="2"/>
        <w:rPr>
          <w:rFonts w:ascii="Arial" w:eastAsia="Arial" w:hAnsi="Arial" w:cs="Arial"/>
          <w:color w:val="3C4043"/>
          <w:sz w:val="18"/>
          <w:szCs w:val="18"/>
          <w:highlight w:val="cyan"/>
        </w:rPr>
      </w:pPr>
    </w:p>
    <w:p w:rsidR="002C4AF7" w:rsidRPr="003B6620" w:rsidRDefault="007C2686">
      <w:pPr>
        <w:spacing w:line="240" w:lineRule="auto"/>
        <w:ind w:left="0" w:hanging="2"/>
        <w:rPr>
          <w:rFonts w:ascii="Arial" w:eastAsia="Arial" w:hAnsi="Arial" w:cs="Arial"/>
          <w:color w:val="3C4043"/>
          <w:sz w:val="20"/>
          <w:szCs w:val="20"/>
        </w:rPr>
      </w:pPr>
      <w:r w:rsidRPr="003B6620">
        <w:rPr>
          <w:rFonts w:ascii="Arial" w:eastAsia="Arial" w:hAnsi="Arial" w:cs="Arial"/>
          <w:color w:val="3C4043"/>
          <w:sz w:val="20"/>
          <w:szCs w:val="20"/>
        </w:rPr>
        <w:t>Se observa que hay beneficio tanto en pacientes con enfermedad de alto volumen como en pacientes de bajo volumen de enfermedad.</w:t>
      </w:r>
    </w:p>
    <w:p w:rsidR="002C4AF7" w:rsidRPr="003B6620" w:rsidRDefault="002C4AF7">
      <w:pPr>
        <w:spacing w:line="240" w:lineRule="auto"/>
        <w:ind w:left="0" w:hanging="2"/>
        <w:jc w:val="both"/>
        <w:rPr>
          <w:rFonts w:ascii="Arial" w:eastAsia="Arial" w:hAnsi="Arial" w:cs="Arial"/>
          <w:sz w:val="20"/>
          <w:szCs w:val="20"/>
        </w:rPr>
      </w:pPr>
    </w:p>
    <w:p w:rsidR="002C4AF7" w:rsidRPr="003B6620" w:rsidRDefault="002C4AF7">
      <w:pPr>
        <w:spacing w:line="240" w:lineRule="auto"/>
        <w:ind w:left="0" w:hanging="2"/>
        <w:jc w:val="both"/>
        <w:rPr>
          <w:rFonts w:ascii="Arial" w:eastAsia="Arial" w:hAnsi="Arial" w:cs="Arial"/>
          <w:sz w:val="20"/>
          <w:szCs w:val="20"/>
        </w:rPr>
      </w:pPr>
    </w:p>
    <w:p w:rsidR="002C4AF7" w:rsidRPr="003B6620" w:rsidRDefault="007C2686">
      <w:pPr>
        <w:spacing w:line="240" w:lineRule="auto"/>
        <w:ind w:left="0" w:hanging="2"/>
        <w:jc w:val="both"/>
        <w:rPr>
          <w:rFonts w:ascii="Arial" w:eastAsia="Arial" w:hAnsi="Arial" w:cs="Arial"/>
          <w:sz w:val="20"/>
          <w:szCs w:val="20"/>
        </w:rPr>
      </w:pPr>
      <w:r w:rsidRPr="003B6620">
        <w:rPr>
          <w:rFonts w:ascii="Arial" w:eastAsia="Arial" w:hAnsi="Arial" w:cs="Arial"/>
          <w:sz w:val="20"/>
          <w:szCs w:val="20"/>
        </w:rPr>
        <w:t xml:space="preserve">Supervivencia libre de progresión clínica: </w:t>
      </w:r>
    </w:p>
    <w:p w:rsidR="002C4AF7" w:rsidRPr="003B6620" w:rsidRDefault="007C2686">
      <w:pPr>
        <w:spacing w:line="240" w:lineRule="auto"/>
        <w:ind w:left="0" w:hanging="2"/>
        <w:jc w:val="both"/>
        <w:rPr>
          <w:rFonts w:ascii="Arial" w:eastAsia="Arial" w:hAnsi="Arial" w:cs="Arial"/>
          <w:sz w:val="20"/>
          <w:szCs w:val="20"/>
        </w:rPr>
      </w:pPr>
      <w:r w:rsidRPr="003B6620">
        <w:rPr>
          <w:rFonts w:ascii="Arial" w:eastAsia="Arial" w:hAnsi="Arial" w:cs="Arial"/>
          <w:sz w:val="20"/>
          <w:szCs w:val="20"/>
        </w:rPr>
        <w:t>En el punto de corte, el 29,1% de los pacientes progresaron o murieron (N = 167) en comparación con el 56,9% de los pacientes del grupo placebo (N = 320). La tasa a los tres años fue del 68% en el grupo de enzalutamida y del 41% en el grupo de NSAA. El tratamiento con enzalutamida se asoció con una SLP clínica significativamente mejor en comparación con el grupo de NSAA (HR: 0,40; IC del 95%: 0,33 a 0,49; valor de p &lt;0,001).</w:t>
      </w:r>
    </w:p>
    <w:p w:rsidR="002C4AF7" w:rsidRPr="003B6620" w:rsidRDefault="002C4AF7">
      <w:pPr>
        <w:spacing w:line="240" w:lineRule="auto"/>
        <w:ind w:left="0" w:hanging="2"/>
        <w:jc w:val="both"/>
        <w:rPr>
          <w:rFonts w:ascii="Arial" w:eastAsia="Arial" w:hAnsi="Arial" w:cs="Arial"/>
          <w:sz w:val="20"/>
          <w:szCs w:val="20"/>
        </w:rPr>
      </w:pPr>
    </w:p>
    <w:p w:rsidR="002C4AF7" w:rsidRPr="003B6620" w:rsidRDefault="007C2686">
      <w:pPr>
        <w:ind w:left="0" w:hanging="2"/>
        <w:jc w:val="both"/>
        <w:rPr>
          <w:rFonts w:ascii="Arial" w:eastAsia="Arial" w:hAnsi="Arial" w:cs="Arial"/>
          <w:sz w:val="20"/>
          <w:szCs w:val="20"/>
        </w:rPr>
      </w:pPr>
      <w:r w:rsidRPr="003B6620">
        <w:rPr>
          <w:rFonts w:ascii="Arial" w:eastAsia="Arial" w:hAnsi="Arial" w:cs="Arial"/>
          <w:sz w:val="20"/>
          <w:szCs w:val="20"/>
        </w:rPr>
        <w:t xml:space="preserve">Tiempo hasta progresión de PSA: </w:t>
      </w:r>
    </w:p>
    <w:p w:rsidR="002C4AF7" w:rsidRPr="003B6620" w:rsidRDefault="007C2686">
      <w:pPr>
        <w:ind w:left="0" w:hanging="2"/>
        <w:jc w:val="both"/>
        <w:rPr>
          <w:rFonts w:ascii="Arial" w:eastAsia="Arial" w:hAnsi="Arial" w:cs="Arial"/>
          <w:sz w:val="20"/>
          <w:szCs w:val="20"/>
        </w:rPr>
      </w:pPr>
      <w:r w:rsidRPr="003B6620">
        <w:rPr>
          <w:rFonts w:ascii="Arial" w:eastAsia="Arial" w:hAnsi="Arial" w:cs="Arial"/>
          <w:sz w:val="20"/>
          <w:szCs w:val="20"/>
        </w:rPr>
        <w:t>La tasa a los tres años fue del 67% en el grupo de enzalutamida y del 37% en el grupo de NSAA. El tratamiento con enzalutamida se asoció con una SLP de PSA más prolongada en comparación con el grupo de NSAA (HR: 0,39; IC del 95%: 0,33 a 0,47; valor p &lt;0,001).</w:t>
      </w:r>
    </w:p>
    <w:p w:rsidR="002C4AF7" w:rsidRPr="003B6620" w:rsidRDefault="002C4AF7">
      <w:pPr>
        <w:spacing w:line="240" w:lineRule="auto"/>
        <w:ind w:left="0" w:hanging="2"/>
        <w:jc w:val="both"/>
        <w:rPr>
          <w:rFonts w:ascii="Arial" w:eastAsia="Arial" w:hAnsi="Arial" w:cs="Arial"/>
          <w:sz w:val="20"/>
          <w:szCs w:val="20"/>
        </w:rPr>
      </w:pPr>
    </w:p>
    <w:p w:rsidR="002C4AF7" w:rsidRPr="003B6620" w:rsidRDefault="002C4AF7">
      <w:pPr>
        <w:ind w:left="0" w:hanging="2"/>
        <w:jc w:val="both"/>
        <w:rPr>
          <w:rFonts w:ascii="Arial" w:eastAsia="Arial" w:hAnsi="Arial" w:cs="Arial"/>
          <w:sz w:val="20"/>
          <w:szCs w:val="20"/>
        </w:rPr>
      </w:pPr>
    </w:p>
    <w:p w:rsidR="002C4AF7" w:rsidRPr="003B6620" w:rsidRDefault="007C2686">
      <w:pPr>
        <w:ind w:left="0" w:hanging="2"/>
        <w:jc w:val="both"/>
        <w:rPr>
          <w:rFonts w:ascii="Arial" w:eastAsia="Arial" w:hAnsi="Arial" w:cs="Arial"/>
          <w:color w:val="202124"/>
          <w:sz w:val="20"/>
          <w:szCs w:val="20"/>
        </w:rPr>
      </w:pPr>
      <w:r w:rsidRPr="003B6620">
        <w:rPr>
          <w:rFonts w:ascii="Arial" w:eastAsia="Arial" w:hAnsi="Arial" w:cs="Arial"/>
          <w:sz w:val="20"/>
          <w:szCs w:val="20"/>
        </w:rPr>
        <w:t>Figura 6. Estudio ENZAMET (11).</w:t>
      </w:r>
    </w:p>
    <w:p w:rsidR="002C4AF7" w:rsidRDefault="002C4AF7">
      <w:pPr>
        <w:ind w:left="0" w:hanging="2"/>
        <w:jc w:val="center"/>
        <w:rPr>
          <w:rFonts w:ascii="Arial" w:eastAsia="Arial" w:hAnsi="Arial" w:cs="Arial"/>
          <w:color w:val="000080"/>
          <w:sz w:val="20"/>
          <w:szCs w:val="20"/>
        </w:rPr>
      </w:pPr>
    </w:p>
    <w:p w:rsidR="002C4AF7" w:rsidRDefault="007C2686">
      <w:pPr>
        <w:ind w:left="0" w:hanging="2"/>
        <w:jc w:val="both"/>
        <w:rPr>
          <w:rFonts w:ascii="Arial" w:eastAsia="Arial" w:hAnsi="Arial" w:cs="Arial"/>
          <w:color w:val="000080"/>
          <w:sz w:val="20"/>
          <w:szCs w:val="20"/>
        </w:rPr>
      </w:pPr>
      <w:r>
        <w:rPr>
          <w:rFonts w:ascii="Arial" w:eastAsia="Arial" w:hAnsi="Arial" w:cs="Arial"/>
          <w:noProof/>
          <w:color w:val="000080"/>
          <w:sz w:val="20"/>
          <w:szCs w:val="20"/>
        </w:rPr>
        <w:drawing>
          <wp:inline distT="0" distB="0" distL="114300" distR="114300">
            <wp:extent cx="3442335" cy="6743700"/>
            <wp:effectExtent l="0" t="0" r="0" b="0"/>
            <wp:docPr id="110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4"/>
                    <a:srcRect/>
                    <a:stretch>
                      <a:fillRect/>
                    </a:stretch>
                  </pic:blipFill>
                  <pic:spPr>
                    <a:xfrm>
                      <a:off x="0" y="0"/>
                      <a:ext cx="3442335" cy="6743700"/>
                    </a:xfrm>
                    <a:prstGeom prst="rect">
                      <a:avLst/>
                    </a:prstGeom>
                    <a:ln/>
                  </pic:spPr>
                </pic:pic>
              </a:graphicData>
            </a:graphic>
          </wp:inline>
        </w:drawing>
      </w:r>
    </w:p>
    <w:p w:rsidR="002C4AF7" w:rsidRDefault="002C4AF7">
      <w:pPr>
        <w:ind w:left="0" w:hanging="2"/>
        <w:jc w:val="both"/>
        <w:rPr>
          <w:rFonts w:ascii="Arial" w:eastAsia="Arial" w:hAnsi="Arial" w:cs="Arial"/>
          <w:color w:val="000080"/>
          <w:sz w:val="20"/>
          <w:szCs w:val="20"/>
          <w:highlight w:val="yellow"/>
        </w:rPr>
      </w:pPr>
    </w:p>
    <w:p w:rsidR="002C4AF7" w:rsidRDefault="002C4AF7">
      <w:pPr>
        <w:ind w:left="0" w:hanging="2"/>
        <w:jc w:val="both"/>
        <w:rPr>
          <w:rFonts w:ascii="Arial" w:eastAsia="Arial" w:hAnsi="Arial" w:cs="Arial"/>
          <w:color w:val="000080"/>
          <w:sz w:val="20"/>
          <w:szCs w:val="20"/>
          <w:highlight w:val="yellow"/>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Calidad de vida: </w:t>
      </w:r>
    </w:p>
    <w:p w:rsidR="002C4AF7" w:rsidRDefault="007C2686">
      <w:pPr>
        <w:ind w:left="0" w:hanging="2"/>
        <w:jc w:val="both"/>
        <w:rPr>
          <w:rFonts w:ascii="Arial" w:eastAsia="Arial" w:hAnsi="Arial" w:cs="Arial"/>
          <w:sz w:val="20"/>
          <w:szCs w:val="20"/>
        </w:rPr>
      </w:pPr>
      <w:r>
        <w:rPr>
          <w:rFonts w:ascii="Arial" w:eastAsia="Arial" w:hAnsi="Arial" w:cs="Arial"/>
          <w:sz w:val="20"/>
          <w:szCs w:val="20"/>
        </w:rPr>
        <w:t>Se evaluó empleando el cuestionario QLQ</w:t>
      </w:r>
      <w:r>
        <w:rPr>
          <w:rFonts w:ascii="MS Gothic" w:eastAsia="MS Gothic" w:hAnsi="MS Gothic" w:cs="MS Gothic"/>
          <w:sz w:val="20"/>
          <w:szCs w:val="20"/>
        </w:rPr>
        <w:t>‐</w:t>
      </w:r>
      <w:r>
        <w:rPr>
          <w:rFonts w:ascii="Arial" w:eastAsia="Arial" w:hAnsi="Arial" w:cs="Arial"/>
          <w:sz w:val="20"/>
          <w:szCs w:val="20"/>
        </w:rPr>
        <w:t>C30, el QLQ-PR25 y el instrumento EQ-5D-5L. No se observó diferencia significativa entre ambos grupos para QLQ</w:t>
      </w:r>
      <w:r>
        <w:rPr>
          <w:rFonts w:ascii="MS Gothic" w:eastAsia="MS Gothic" w:hAnsi="MS Gothic" w:cs="MS Gothic"/>
          <w:sz w:val="20"/>
          <w:szCs w:val="20"/>
        </w:rPr>
        <w:t>‐</w:t>
      </w:r>
      <w:r>
        <w:rPr>
          <w:rFonts w:ascii="Arial" w:eastAsia="Arial" w:hAnsi="Arial" w:cs="Arial"/>
          <w:sz w:val="20"/>
          <w:szCs w:val="20"/>
        </w:rPr>
        <w:t>C30 y no se alcanzó la diferencia mínima relevante.</w:t>
      </w:r>
    </w:p>
    <w:p w:rsidR="002C4AF7" w:rsidRDefault="002C4AF7">
      <w:pPr>
        <w:ind w:left="0" w:hanging="2"/>
        <w:jc w:val="both"/>
        <w:rPr>
          <w:rFonts w:ascii="Arial" w:eastAsia="Arial" w:hAnsi="Arial" w:cs="Arial"/>
          <w:sz w:val="20"/>
          <w:szCs w:val="20"/>
        </w:rPr>
      </w:pPr>
    </w:p>
    <w:p w:rsidR="002C4AF7" w:rsidRDefault="002C4AF7">
      <w:pPr>
        <w:ind w:left="0" w:hanging="2"/>
        <w:jc w:val="both"/>
        <w:rPr>
          <w:rFonts w:ascii="Arial" w:eastAsia="Arial" w:hAnsi="Arial" w:cs="Arial"/>
          <w:sz w:val="20"/>
          <w:szCs w:val="20"/>
        </w:rPr>
      </w:pPr>
    </w:p>
    <w:p w:rsidR="002C4AF7" w:rsidRDefault="002C4AF7">
      <w:pPr>
        <w:ind w:left="0" w:hanging="2"/>
        <w:jc w:val="both"/>
        <w:rPr>
          <w:rFonts w:ascii="Arial" w:eastAsia="Arial" w:hAnsi="Arial" w:cs="Arial"/>
          <w:sz w:val="20"/>
          <w:szCs w:val="20"/>
        </w:rPr>
      </w:pPr>
    </w:p>
    <w:p w:rsidR="002C4AF7" w:rsidRDefault="002C4AF7">
      <w:pPr>
        <w:ind w:left="0" w:hanging="2"/>
        <w:jc w:val="both"/>
        <w:rPr>
          <w:rFonts w:ascii="Arial" w:eastAsia="Arial" w:hAnsi="Arial" w:cs="Arial"/>
          <w:sz w:val="20"/>
          <w:szCs w:val="20"/>
        </w:rPr>
      </w:pP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lastRenderedPageBreak/>
        <w:t>Figura 7 del EPAR (10)</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color w:val="000080"/>
          <w:sz w:val="20"/>
          <w:szCs w:val="20"/>
        </w:rPr>
      </w:pPr>
      <w:bookmarkStart w:id="17" w:name="_heading=h.2zbgiuw" w:colFirst="0" w:colLast="0"/>
      <w:bookmarkEnd w:id="17"/>
      <w:r>
        <w:rPr>
          <w:rFonts w:ascii="Arial" w:eastAsia="Arial" w:hAnsi="Arial" w:cs="Arial"/>
          <w:noProof/>
          <w:color w:val="000080"/>
          <w:sz w:val="20"/>
          <w:szCs w:val="20"/>
        </w:rPr>
        <w:drawing>
          <wp:inline distT="0" distB="0" distL="114300" distR="114300">
            <wp:extent cx="5535930" cy="3281045"/>
            <wp:effectExtent l="0" t="0" r="0" b="0"/>
            <wp:docPr id="110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5"/>
                    <a:srcRect/>
                    <a:stretch>
                      <a:fillRect/>
                    </a:stretch>
                  </pic:blipFill>
                  <pic:spPr>
                    <a:xfrm>
                      <a:off x="0" y="0"/>
                      <a:ext cx="5535930" cy="3281045"/>
                    </a:xfrm>
                    <a:prstGeom prst="rect">
                      <a:avLst/>
                    </a:prstGeom>
                    <a:ln/>
                  </pic:spPr>
                </pic:pic>
              </a:graphicData>
            </a:graphic>
          </wp:inline>
        </w:drawing>
      </w:r>
    </w:p>
    <w:p w:rsidR="002C4AF7" w:rsidRDefault="002C4AF7">
      <w:pPr>
        <w:ind w:left="0" w:hanging="2"/>
        <w:jc w:val="both"/>
        <w:rPr>
          <w:rFonts w:ascii="Arial" w:eastAsia="Arial" w:hAnsi="Arial" w:cs="Arial"/>
          <w:color w:val="000080"/>
          <w:sz w:val="20"/>
          <w:szCs w:val="20"/>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bookmarkStart w:id="18" w:name="_heading=h.3j2qqm3" w:colFirst="0" w:colLast="0"/>
      <w:bookmarkEnd w:id="18"/>
      <w:r>
        <w:rPr>
          <w:rFonts w:ascii="Cambria" w:eastAsia="Cambria" w:hAnsi="Cambria" w:cs="Cambria"/>
          <w:b/>
          <w:i/>
          <w:color w:val="000000"/>
          <w:sz w:val="20"/>
          <w:szCs w:val="20"/>
        </w:rPr>
        <w:t xml:space="preserve">5.2.b Evaluación de la validez y de la utilidad práctica de los resultados </w:t>
      </w:r>
    </w:p>
    <w:p w:rsidR="002C4AF7" w:rsidRDefault="002C4AF7">
      <w:pPr>
        <w:ind w:left="0" w:hanging="2"/>
        <w:jc w:val="both"/>
        <w:rPr>
          <w:rFonts w:ascii="Arial" w:eastAsia="Arial" w:hAnsi="Arial" w:cs="Arial"/>
          <w:color w:val="000080"/>
          <w:sz w:val="20"/>
          <w:szCs w:val="20"/>
        </w:rPr>
      </w:pPr>
    </w:p>
    <w:p w:rsidR="002C4AF7" w:rsidRDefault="007C2686">
      <w:pPr>
        <w:pBdr>
          <w:top w:val="single" w:sz="4" w:space="1" w:color="000000"/>
          <w:left w:val="single" w:sz="4" w:space="4" w:color="000000"/>
          <w:bottom w:val="single" w:sz="4" w:space="1" w:color="000000"/>
          <w:right w:val="single" w:sz="4" w:space="4" w:color="000000"/>
        </w:pBdr>
        <w:shd w:val="clear" w:color="auto" w:fill="E6E6E6"/>
        <w:spacing w:line="240" w:lineRule="auto"/>
        <w:ind w:left="0" w:hanging="2"/>
        <w:jc w:val="both"/>
        <w:rPr>
          <w:rFonts w:ascii="Arial" w:eastAsia="Arial" w:hAnsi="Arial" w:cs="Arial"/>
          <w:color w:val="000080"/>
          <w:sz w:val="20"/>
          <w:szCs w:val="20"/>
          <w:highlight w:val="yellow"/>
        </w:rPr>
      </w:pPr>
      <w:r>
        <w:rPr>
          <w:color w:val="333300"/>
          <w:sz w:val="20"/>
          <w:szCs w:val="20"/>
        </w:rPr>
        <w:t>A. Validez interna. Limitaciones de diseño y/o comentarios:</w:t>
      </w:r>
    </w:p>
    <w:p w:rsidR="002C4AF7" w:rsidRDefault="002C4AF7">
      <w:pPr>
        <w:ind w:left="0" w:hanging="2"/>
        <w:rPr>
          <w:rFonts w:ascii="Arial" w:eastAsia="Arial" w:hAnsi="Arial" w:cs="Arial"/>
          <w:color w:val="000080"/>
          <w:sz w:val="20"/>
          <w:szCs w:val="20"/>
          <w:highlight w:val="yellow"/>
        </w:rPr>
      </w:pPr>
    </w:p>
    <w:p w:rsidR="002C4AF7" w:rsidRDefault="007C2686">
      <w:pPr>
        <w:ind w:left="0" w:hanging="2"/>
        <w:jc w:val="both"/>
        <w:rPr>
          <w:rFonts w:ascii="Arial" w:eastAsia="Arial" w:hAnsi="Arial" w:cs="Arial"/>
          <w:sz w:val="20"/>
          <w:szCs w:val="20"/>
        </w:rPr>
      </w:pPr>
      <w:r>
        <w:rPr>
          <w:rFonts w:ascii="Arial" w:eastAsia="Arial" w:hAnsi="Arial" w:cs="Arial"/>
          <w:b/>
          <w:sz w:val="20"/>
          <w:szCs w:val="20"/>
        </w:rPr>
        <w:t>ARCHES</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El ensayo clínico ARCHES posee una validez interna adecuada: es doble ciego y aleatorizado en una proporción 1:1 de enzalutamida (160 mg/día) vs placebo. </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Un total de 1.150 pacientes se aleatorizó para recibir enzalutamida o placebo. Dos pacientes en el grupo enzalutamida y dos en el grupo placebo no recibieron el tratamiento asignado. En octubre de 2018 el 76,1% de los pacientes del grupo enzalutamida y el 57,6% del grupo placebo continuaban recibiendo el tratamiento. En el grupo de enzalutamida discontinuó el 23,5% de los pacientes, y en el grupo placebo, el 42%. El motivo más frecuente fue progresión de la enfermedad, para el 11,3% y 39,7% de los pacientes de los grupos enzalutamida y placebo, respectivamente.</w:t>
      </w:r>
    </w:p>
    <w:p w:rsidR="002C4AF7" w:rsidRDefault="002C4AF7">
      <w:pPr>
        <w:ind w:left="0" w:hanging="2"/>
        <w:jc w:val="both"/>
        <w:rPr>
          <w:rFonts w:ascii="Arial" w:eastAsia="Arial" w:hAnsi="Arial" w:cs="Arial"/>
          <w:sz w:val="20"/>
          <w:szCs w:val="20"/>
        </w:rPr>
      </w:pPr>
    </w:p>
    <w:p w:rsidR="002C4AF7" w:rsidRDefault="002C4AF7">
      <w:pPr>
        <w:ind w:left="0" w:hanging="2"/>
        <w:jc w:val="both"/>
        <w:rPr>
          <w:rFonts w:ascii="Arial" w:eastAsia="Arial" w:hAnsi="Arial" w:cs="Arial"/>
          <w:sz w:val="20"/>
          <w:szCs w:val="20"/>
        </w:rPr>
      </w:pPr>
    </w:p>
    <w:p w:rsidR="002C4AF7" w:rsidRDefault="002C4AF7">
      <w:pPr>
        <w:ind w:left="0" w:hanging="2"/>
        <w:jc w:val="both"/>
        <w:rPr>
          <w:rFonts w:ascii="Arial" w:eastAsia="Arial" w:hAnsi="Arial" w:cs="Arial"/>
          <w:sz w:val="20"/>
          <w:szCs w:val="20"/>
        </w:rPr>
      </w:pPr>
    </w:p>
    <w:p w:rsidR="002C4AF7" w:rsidRDefault="002C4AF7">
      <w:pPr>
        <w:ind w:left="0" w:hanging="2"/>
        <w:jc w:val="both"/>
        <w:rPr>
          <w:rFonts w:ascii="Arial" w:eastAsia="Arial" w:hAnsi="Arial" w:cs="Arial"/>
          <w:sz w:val="20"/>
          <w:szCs w:val="20"/>
        </w:rPr>
      </w:pPr>
    </w:p>
    <w:p w:rsidR="002C4AF7" w:rsidRDefault="002C4AF7">
      <w:pPr>
        <w:ind w:left="0" w:hanging="2"/>
        <w:jc w:val="both"/>
        <w:rPr>
          <w:rFonts w:ascii="Arial" w:eastAsia="Arial" w:hAnsi="Arial" w:cs="Arial"/>
          <w:sz w:val="20"/>
          <w:szCs w:val="20"/>
        </w:rPr>
      </w:pPr>
    </w:p>
    <w:p w:rsidR="002C4AF7" w:rsidRDefault="002C4AF7">
      <w:pPr>
        <w:ind w:left="0" w:hanging="2"/>
        <w:jc w:val="both"/>
        <w:rPr>
          <w:rFonts w:ascii="Arial" w:eastAsia="Arial" w:hAnsi="Arial" w:cs="Arial"/>
          <w:sz w:val="20"/>
          <w:szCs w:val="20"/>
        </w:rPr>
      </w:pPr>
    </w:p>
    <w:p w:rsidR="002C4AF7" w:rsidRDefault="002C4AF7">
      <w:pPr>
        <w:ind w:left="0" w:hanging="2"/>
        <w:jc w:val="both"/>
        <w:rPr>
          <w:rFonts w:ascii="Arial" w:eastAsia="Arial" w:hAnsi="Arial" w:cs="Arial"/>
          <w:sz w:val="20"/>
          <w:szCs w:val="20"/>
        </w:rPr>
      </w:pPr>
    </w:p>
    <w:p w:rsidR="002C4AF7" w:rsidRDefault="002C4AF7">
      <w:pPr>
        <w:ind w:left="0" w:hanging="2"/>
        <w:jc w:val="both"/>
        <w:rPr>
          <w:rFonts w:ascii="Arial" w:eastAsia="Arial" w:hAnsi="Arial" w:cs="Arial"/>
          <w:sz w:val="20"/>
          <w:szCs w:val="20"/>
        </w:rPr>
      </w:pPr>
    </w:p>
    <w:p w:rsidR="002C4AF7" w:rsidRDefault="002C4AF7">
      <w:pPr>
        <w:ind w:left="0" w:hanging="2"/>
        <w:jc w:val="both"/>
        <w:rPr>
          <w:rFonts w:ascii="Arial" w:eastAsia="Arial" w:hAnsi="Arial" w:cs="Arial"/>
          <w:sz w:val="20"/>
          <w:szCs w:val="20"/>
        </w:rPr>
      </w:pPr>
    </w:p>
    <w:p w:rsidR="002C4AF7" w:rsidRDefault="002C4AF7">
      <w:pPr>
        <w:ind w:left="0" w:hanging="2"/>
        <w:jc w:val="both"/>
        <w:rPr>
          <w:rFonts w:ascii="Arial" w:eastAsia="Arial" w:hAnsi="Arial" w:cs="Arial"/>
          <w:sz w:val="20"/>
          <w:szCs w:val="20"/>
        </w:rPr>
      </w:pPr>
    </w:p>
    <w:p w:rsidR="002C4AF7" w:rsidRDefault="002C4AF7">
      <w:pPr>
        <w:ind w:left="0" w:hanging="2"/>
        <w:jc w:val="both"/>
        <w:rPr>
          <w:rFonts w:ascii="Arial" w:eastAsia="Arial" w:hAnsi="Arial" w:cs="Arial"/>
          <w:sz w:val="20"/>
          <w:szCs w:val="20"/>
        </w:rPr>
      </w:pPr>
    </w:p>
    <w:p w:rsidR="002C4AF7" w:rsidRDefault="002C4AF7">
      <w:pPr>
        <w:ind w:left="0" w:hanging="2"/>
        <w:jc w:val="both"/>
        <w:rPr>
          <w:rFonts w:ascii="Arial" w:eastAsia="Arial" w:hAnsi="Arial" w:cs="Arial"/>
          <w:sz w:val="20"/>
          <w:szCs w:val="20"/>
        </w:rPr>
      </w:pPr>
    </w:p>
    <w:p w:rsidR="002C4AF7" w:rsidRDefault="002C4AF7" w:rsidP="003B6620">
      <w:pPr>
        <w:ind w:leftChars="0" w:left="0" w:firstLineChars="0" w:firstLine="0"/>
        <w:jc w:val="both"/>
        <w:rPr>
          <w:rFonts w:ascii="Arial" w:eastAsia="Arial" w:hAnsi="Arial" w:cs="Arial"/>
          <w:sz w:val="18"/>
          <w:szCs w:val="18"/>
        </w:rPr>
      </w:pPr>
    </w:p>
    <w:p w:rsidR="002C4AF7" w:rsidRPr="003B6620" w:rsidRDefault="007C2686">
      <w:pPr>
        <w:ind w:left="0" w:hanging="2"/>
        <w:jc w:val="both"/>
        <w:rPr>
          <w:rFonts w:ascii="Arial" w:eastAsia="Arial" w:hAnsi="Arial" w:cs="Arial"/>
          <w:color w:val="000080"/>
          <w:sz w:val="20"/>
          <w:szCs w:val="20"/>
        </w:rPr>
      </w:pPr>
      <w:r w:rsidRPr="003B6620">
        <w:rPr>
          <w:rFonts w:ascii="Arial" w:eastAsia="Arial" w:hAnsi="Arial" w:cs="Arial"/>
          <w:sz w:val="20"/>
          <w:szCs w:val="20"/>
        </w:rPr>
        <w:t>Figura 8. Estudio ARCHES (9).</w:t>
      </w:r>
    </w:p>
    <w:p w:rsidR="002C4AF7" w:rsidRPr="003B6620" w:rsidRDefault="002C4AF7">
      <w:pPr>
        <w:ind w:left="0" w:hanging="2"/>
        <w:jc w:val="both"/>
        <w:rPr>
          <w:rFonts w:ascii="Arial" w:eastAsia="Arial" w:hAnsi="Arial" w:cs="Arial"/>
          <w:sz w:val="20"/>
          <w:szCs w:val="20"/>
        </w:rPr>
      </w:pPr>
    </w:p>
    <w:p w:rsidR="002C4AF7" w:rsidRDefault="002C4AF7">
      <w:pPr>
        <w:ind w:left="0" w:hanging="2"/>
        <w:jc w:val="both"/>
        <w:rPr>
          <w:rFonts w:ascii="Arial" w:eastAsia="Arial" w:hAnsi="Arial" w:cs="Arial"/>
          <w:sz w:val="20"/>
          <w:szCs w:val="20"/>
        </w:rPr>
      </w:pPr>
    </w:p>
    <w:p w:rsidR="002C4AF7" w:rsidRDefault="007C2686">
      <w:pPr>
        <w:ind w:left="0" w:hanging="2"/>
        <w:rPr>
          <w:rFonts w:ascii="Arial" w:eastAsia="Arial" w:hAnsi="Arial" w:cs="Arial"/>
          <w:color w:val="000080"/>
          <w:sz w:val="20"/>
          <w:szCs w:val="20"/>
        </w:rPr>
      </w:pPr>
      <w:r>
        <w:rPr>
          <w:rFonts w:ascii="Arial" w:eastAsia="Arial" w:hAnsi="Arial" w:cs="Arial"/>
          <w:noProof/>
          <w:color w:val="000080"/>
          <w:sz w:val="20"/>
          <w:szCs w:val="20"/>
        </w:rPr>
        <w:lastRenderedPageBreak/>
        <w:drawing>
          <wp:inline distT="0" distB="0" distL="114300" distR="114300">
            <wp:extent cx="5545455" cy="4269105"/>
            <wp:effectExtent l="0" t="0" r="0" b="0"/>
            <wp:docPr id="111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6"/>
                    <a:srcRect/>
                    <a:stretch>
                      <a:fillRect/>
                    </a:stretch>
                  </pic:blipFill>
                  <pic:spPr>
                    <a:xfrm>
                      <a:off x="0" y="0"/>
                      <a:ext cx="5545455" cy="4269105"/>
                    </a:xfrm>
                    <a:prstGeom prst="rect">
                      <a:avLst/>
                    </a:prstGeom>
                    <a:ln/>
                  </pic:spPr>
                </pic:pic>
              </a:graphicData>
            </a:graphic>
          </wp:inline>
        </w:drawing>
      </w:r>
    </w:p>
    <w:p w:rsidR="002C4AF7" w:rsidRDefault="002C4AF7">
      <w:pPr>
        <w:ind w:left="0" w:hanging="2"/>
        <w:jc w:val="both"/>
        <w:rPr>
          <w:rFonts w:ascii="Arial" w:eastAsia="Arial" w:hAnsi="Arial" w:cs="Arial"/>
          <w:sz w:val="18"/>
          <w:szCs w:val="18"/>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El método de aleatorización y el tamaño de la muestra fueron adecuados, y se utilizó un procedimiento de </w:t>
      </w:r>
      <w:r>
        <w:rPr>
          <w:rFonts w:ascii="Arial" w:eastAsia="Arial" w:hAnsi="Arial" w:cs="Arial"/>
          <w:i/>
          <w:sz w:val="20"/>
          <w:szCs w:val="20"/>
        </w:rPr>
        <w:t>aleatorización estratificado basado en datos conocido</w:t>
      </w:r>
      <w:r>
        <w:rPr>
          <w:rFonts w:ascii="Arial" w:eastAsia="Arial" w:hAnsi="Arial" w:cs="Arial"/>
          <w:sz w:val="20"/>
          <w:szCs w:val="20"/>
        </w:rPr>
        <w:t>s. El estudio fue doble ciego para minimizar el sesgo en la evaluación de los resultados del estudio y el análisis de eficacia se realizó con la población ITT. Fue internacional, realizado en Norte y Latino América, Europa y Asia.</w:t>
      </w:r>
    </w:p>
    <w:p w:rsidR="002C4AF7" w:rsidRDefault="007C2686">
      <w:pPr>
        <w:spacing w:line="240" w:lineRule="auto"/>
        <w:ind w:left="0" w:hanging="2"/>
        <w:jc w:val="both"/>
        <w:rPr>
          <w:rFonts w:ascii="Arial" w:eastAsia="Arial" w:hAnsi="Arial" w:cs="Arial"/>
          <w:sz w:val="20"/>
          <w:szCs w:val="20"/>
        </w:rPr>
      </w:pPr>
      <w:r>
        <w:rPr>
          <w:rFonts w:ascii="Arial" w:eastAsia="Arial" w:hAnsi="Arial" w:cs="Arial"/>
          <w:sz w:val="20"/>
          <w:szCs w:val="20"/>
        </w:rPr>
        <w:t xml:space="preserve">El protocolo del estudio fue aprobado por juntas de revisión institucionales o comités de ética independientes en cada centro de estudio y el ensayo se llevó a cabo de acuerdo con las </w:t>
      </w:r>
      <w:r>
        <w:rPr>
          <w:rFonts w:ascii="Arial" w:eastAsia="Arial" w:hAnsi="Arial" w:cs="Arial"/>
          <w:i/>
          <w:sz w:val="20"/>
          <w:szCs w:val="20"/>
        </w:rPr>
        <w:t>pautas de Buenas Prácticas Clínica</w:t>
      </w:r>
      <w:r>
        <w:rPr>
          <w:rFonts w:ascii="Arial" w:eastAsia="Arial" w:hAnsi="Arial" w:cs="Arial"/>
          <w:sz w:val="20"/>
          <w:szCs w:val="20"/>
        </w:rPr>
        <w:t xml:space="preserve">s. </w:t>
      </w:r>
    </w:p>
    <w:p w:rsidR="002C4AF7" w:rsidRDefault="007C2686">
      <w:pPr>
        <w:spacing w:line="240" w:lineRule="auto"/>
        <w:ind w:left="0" w:hanging="2"/>
        <w:jc w:val="both"/>
        <w:rPr>
          <w:rFonts w:ascii="Arial" w:eastAsia="Arial" w:hAnsi="Arial" w:cs="Arial"/>
          <w:sz w:val="20"/>
          <w:szCs w:val="20"/>
        </w:rPr>
      </w:pPr>
      <w:r>
        <w:rPr>
          <w:rFonts w:ascii="Arial" w:eastAsia="Arial" w:hAnsi="Arial" w:cs="Arial"/>
          <w:sz w:val="20"/>
          <w:szCs w:val="20"/>
        </w:rPr>
        <w:t>El estudio constó de cinco fases: aleatorización, tratamiento doble ciego, seguimiento de seguridad, seguimiento a largo plazo y fase de extensión abierta.</w:t>
      </w:r>
    </w:p>
    <w:p w:rsidR="002C4AF7" w:rsidRDefault="007C2686">
      <w:pPr>
        <w:spacing w:line="240" w:lineRule="auto"/>
        <w:ind w:left="0" w:hanging="2"/>
        <w:jc w:val="both"/>
        <w:rPr>
          <w:rFonts w:ascii="Arial" w:eastAsia="Arial" w:hAnsi="Arial" w:cs="Arial"/>
          <w:sz w:val="20"/>
          <w:szCs w:val="20"/>
        </w:rPr>
      </w:pPr>
      <w:r>
        <w:rPr>
          <w:rFonts w:ascii="Arial" w:eastAsia="Arial" w:hAnsi="Arial" w:cs="Arial"/>
          <w:sz w:val="20"/>
          <w:szCs w:val="20"/>
        </w:rPr>
        <w:t>La adición de la fase de extensión abierta se añadió como una enmienda al protocolo. Se planeó que ocurriese cuando la fase de doble ciego se abriera el ciego y si enzalutamida mostraba diferencia estadísticamente significativa para la variable principal. Todos los pacientes elegibles para esta fase podrían recibir enzalutamida a discreción del paciente y del médico. Los resultados del informe son del corte octubre 2018 y la fase abierta está en desarrollo. Posteriormente se han publicado los resultados del corte de mayo 2021.</w:t>
      </w:r>
    </w:p>
    <w:p w:rsidR="002C4AF7" w:rsidRDefault="002C4AF7">
      <w:pPr>
        <w:spacing w:line="240" w:lineRule="auto"/>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El número de pacientes fue adecuado y las poblaciones de ambos grupos estuvieron bien balanceadas según las características basales.</w:t>
      </w:r>
    </w:p>
    <w:p w:rsidR="002C4AF7" w:rsidRDefault="002C4AF7">
      <w:pPr>
        <w:ind w:left="0" w:hanging="2"/>
        <w:jc w:val="both"/>
        <w:rPr>
          <w:rFonts w:ascii="Arial" w:eastAsia="Arial" w:hAnsi="Arial" w:cs="Arial"/>
          <w:sz w:val="20"/>
          <w:szCs w:val="20"/>
        </w:rPr>
      </w:pPr>
    </w:p>
    <w:p w:rsidR="002C4AF7" w:rsidRDefault="002C4AF7">
      <w:pPr>
        <w:ind w:left="0" w:hanging="2"/>
        <w:jc w:val="both"/>
        <w:rPr>
          <w:rFonts w:ascii="Arial" w:eastAsia="Arial" w:hAnsi="Arial" w:cs="Arial"/>
          <w:sz w:val="20"/>
          <w:szCs w:val="20"/>
        </w:rPr>
      </w:pPr>
    </w:p>
    <w:p w:rsidR="002C4AF7" w:rsidRDefault="002C4AF7">
      <w:pPr>
        <w:ind w:left="0" w:hanging="2"/>
        <w:jc w:val="both"/>
        <w:rPr>
          <w:rFonts w:ascii="Arial" w:eastAsia="Arial" w:hAnsi="Arial" w:cs="Arial"/>
          <w:sz w:val="20"/>
          <w:szCs w:val="20"/>
        </w:rPr>
      </w:pPr>
    </w:p>
    <w:p w:rsidR="002C4AF7" w:rsidRDefault="002C4AF7">
      <w:pPr>
        <w:ind w:left="0" w:hanging="2"/>
        <w:jc w:val="both"/>
        <w:rPr>
          <w:rFonts w:ascii="Arial" w:eastAsia="Arial" w:hAnsi="Arial" w:cs="Arial"/>
          <w:sz w:val="20"/>
          <w:szCs w:val="20"/>
        </w:rPr>
      </w:pPr>
    </w:p>
    <w:p w:rsidR="002C4AF7" w:rsidRDefault="002C4AF7">
      <w:pPr>
        <w:ind w:left="0" w:hanging="2"/>
        <w:jc w:val="both"/>
        <w:rPr>
          <w:rFonts w:ascii="Arial" w:eastAsia="Arial" w:hAnsi="Arial" w:cs="Arial"/>
          <w:sz w:val="20"/>
          <w:szCs w:val="20"/>
        </w:rPr>
      </w:pPr>
    </w:p>
    <w:p w:rsidR="002C4AF7" w:rsidRDefault="002C4AF7">
      <w:pPr>
        <w:ind w:left="0" w:hanging="2"/>
        <w:jc w:val="both"/>
        <w:rPr>
          <w:rFonts w:ascii="Arial" w:eastAsia="Arial" w:hAnsi="Arial" w:cs="Arial"/>
          <w:sz w:val="20"/>
          <w:szCs w:val="20"/>
        </w:rPr>
      </w:pPr>
    </w:p>
    <w:p w:rsidR="002C4AF7" w:rsidRDefault="002C4AF7">
      <w:pPr>
        <w:ind w:left="0" w:hanging="2"/>
        <w:jc w:val="both"/>
        <w:rPr>
          <w:rFonts w:ascii="Arial" w:eastAsia="Arial" w:hAnsi="Arial" w:cs="Arial"/>
          <w:sz w:val="20"/>
          <w:szCs w:val="20"/>
        </w:rPr>
      </w:pPr>
    </w:p>
    <w:p w:rsidR="002C4AF7" w:rsidRDefault="007C2686">
      <w:pPr>
        <w:spacing w:line="240" w:lineRule="auto"/>
        <w:ind w:left="0" w:hanging="2"/>
        <w:jc w:val="both"/>
        <w:rPr>
          <w:rFonts w:ascii="Arial" w:eastAsia="Arial" w:hAnsi="Arial" w:cs="Arial"/>
          <w:sz w:val="18"/>
          <w:szCs w:val="18"/>
        </w:rPr>
      </w:pPr>
      <w:r>
        <w:rPr>
          <w:rFonts w:ascii="Arial" w:eastAsia="Arial" w:hAnsi="Arial" w:cs="Arial"/>
          <w:sz w:val="18"/>
          <w:szCs w:val="18"/>
        </w:rPr>
        <w:t xml:space="preserve">Figura 9. Estudio ARCHES (9). </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noProof/>
          <w:sz w:val="20"/>
          <w:szCs w:val="20"/>
        </w:rPr>
        <w:lastRenderedPageBreak/>
        <w:drawing>
          <wp:inline distT="0" distB="0" distL="114300" distR="114300">
            <wp:extent cx="5503545" cy="6554470"/>
            <wp:effectExtent l="0" t="0" r="0" b="0"/>
            <wp:docPr id="110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7"/>
                    <a:srcRect/>
                    <a:stretch>
                      <a:fillRect/>
                    </a:stretch>
                  </pic:blipFill>
                  <pic:spPr>
                    <a:xfrm>
                      <a:off x="0" y="0"/>
                      <a:ext cx="5503545" cy="6554470"/>
                    </a:xfrm>
                    <a:prstGeom prst="rect">
                      <a:avLst/>
                    </a:prstGeom>
                    <a:ln/>
                  </pic:spPr>
                </pic:pic>
              </a:graphicData>
            </a:graphic>
          </wp:inline>
        </w:drawing>
      </w:r>
    </w:p>
    <w:p w:rsidR="002C4AF7" w:rsidRDefault="007C2686">
      <w:pPr>
        <w:ind w:left="0" w:hanging="2"/>
        <w:jc w:val="both"/>
        <w:rPr>
          <w:rFonts w:ascii="Arial" w:eastAsia="Arial" w:hAnsi="Arial" w:cs="Arial"/>
          <w:sz w:val="20"/>
          <w:szCs w:val="20"/>
        </w:rPr>
      </w:pPr>
      <w:r>
        <w:rPr>
          <w:rFonts w:ascii="Arial" w:eastAsia="Arial" w:hAnsi="Arial" w:cs="Arial"/>
          <w:noProof/>
          <w:sz w:val="20"/>
          <w:szCs w:val="20"/>
        </w:rPr>
        <w:lastRenderedPageBreak/>
        <w:drawing>
          <wp:inline distT="0" distB="0" distL="114300" distR="114300">
            <wp:extent cx="5507355" cy="3105150"/>
            <wp:effectExtent l="0" t="0" r="0" b="0"/>
            <wp:docPr id="111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8"/>
                    <a:srcRect/>
                    <a:stretch>
                      <a:fillRect/>
                    </a:stretch>
                  </pic:blipFill>
                  <pic:spPr>
                    <a:xfrm>
                      <a:off x="0" y="0"/>
                      <a:ext cx="5507355" cy="3105150"/>
                    </a:xfrm>
                    <a:prstGeom prst="rect">
                      <a:avLst/>
                    </a:prstGeom>
                    <a:ln/>
                  </pic:spPr>
                </pic:pic>
              </a:graphicData>
            </a:graphic>
          </wp:inline>
        </w:drawing>
      </w:r>
    </w:p>
    <w:p w:rsidR="002C4AF7" w:rsidRDefault="007C2686">
      <w:pPr>
        <w:spacing w:line="240" w:lineRule="auto"/>
        <w:ind w:left="0" w:hanging="2"/>
        <w:jc w:val="both"/>
        <w:rPr>
          <w:rFonts w:ascii="Arial" w:eastAsia="Arial" w:hAnsi="Arial" w:cs="Arial"/>
          <w:sz w:val="20"/>
          <w:szCs w:val="20"/>
          <w:u w:val="single"/>
        </w:rPr>
      </w:pPr>
      <w:r>
        <w:rPr>
          <w:rFonts w:ascii="Arial" w:eastAsia="Arial" w:hAnsi="Arial" w:cs="Arial"/>
          <w:sz w:val="20"/>
          <w:szCs w:val="20"/>
          <w:u w:val="single"/>
        </w:rPr>
        <w:t>Comparadores</w:t>
      </w:r>
    </w:p>
    <w:p w:rsidR="002C4AF7" w:rsidRDefault="007C2686">
      <w:pPr>
        <w:spacing w:line="240" w:lineRule="auto"/>
        <w:ind w:left="0" w:hanging="2"/>
        <w:jc w:val="both"/>
        <w:rPr>
          <w:rFonts w:ascii="Arial" w:eastAsia="Arial" w:hAnsi="Arial" w:cs="Arial"/>
          <w:sz w:val="20"/>
          <w:szCs w:val="20"/>
        </w:rPr>
      </w:pPr>
      <w:r>
        <w:rPr>
          <w:rFonts w:ascii="Arial" w:eastAsia="Arial" w:hAnsi="Arial" w:cs="Arial"/>
          <w:sz w:val="20"/>
          <w:szCs w:val="20"/>
        </w:rPr>
        <w:t xml:space="preserve">No hubo tratamiento activo en el brazo de control, por lo que existe una falta de comparación directa con otros agentes, como docetaxel, acetato de abiraterona en combinación con prednisona o apalutamida (que presentan la misma indicación). Docetaxel ha demostrado un aumento en la supervivencia global en pacientes con enfermedad avanzada o metastásica hormono-sensible, según el estudio CHAARTED. En este caso, docetaxel podría haber sido un comparador adecuado, teniendo en cuenta que ya fue utilizado como </w:t>
      </w:r>
      <w:r w:rsidR="003B6620">
        <w:rPr>
          <w:rFonts w:ascii="Arial" w:eastAsia="Arial" w:hAnsi="Arial" w:cs="Arial"/>
          <w:sz w:val="20"/>
          <w:szCs w:val="20"/>
        </w:rPr>
        <w:t>comparador en</w:t>
      </w:r>
      <w:r>
        <w:rPr>
          <w:rFonts w:ascii="Arial" w:eastAsia="Arial" w:hAnsi="Arial" w:cs="Arial"/>
          <w:sz w:val="20"/>
          <w:szCs w:val="20"/>
        </w:rPr>
        <w:t xml:space="preserve"> la evaluación de la indicación de abiraterona en cáncer de próstata hormono-sensible. </w:t>
      </w:r>
    </w:p>
    <w:p w:rsidR="002C4AF7" w:rsidRDefault="002C4AF7">
      <w:pPr>
        <w:spacing w:line="240" w:lineRule="auto"/>
        <w:ind w:left="0" w:hanging="2"/>
        <w:jc w:val="both"/>
        <w:rPr>
          <w:rFonts w:ascii="Arial" w:eastAsia="Arial" w:hAnsi="Arial" w:cs="Arial"/>
          <w:sz w:val="20"/>
          <w:szCs w:val="20"/>
        </w:rPr>
      </w:pPr>
    </w:p>
    <w:p w:rsidR="002C4AF7" w:rsidRDefault="007C2686">
      <w:pPr>
        <w:spacing w:line="240" w:lineRule="auto"/>
        <w:ind w:left="0" w:hanging="2"/>
        <w:jc w:val="both"/>
        <w:rPr>
          <w:rFonts w:ascii="Arial" w:eastAsia="Arial" w:hAnsi="Arial" w:cs="Arial"/>
          <w:sz w:val="20"/>
          <w:szCs w:val="20"/>
        </w:rPr>
      </w:pPr>
      <w:r>
        <w:rPr>
          <w:rFonts w:ascii="Arial" w:eastAsia="Arial" w:hAnsi="Arial" w:cs="Arial"/>
          <w:sz w:val="20"/>
          <w:szCs w:val="20"/>
        </w:rPr>
        <w:t xml:space="preserve">Por otro lado, la aprobación de abiraterona para el tratamiento de pacientes con CPHSm de alto riesgo y de nuevo diagnóstico el pasado noviembre de 2018, hace plantear la necesidad de una comparación directa de enzalutamida frente a abiraterona en este contexto. </w:t>
      </w:r>
    </w:p>
    <w:p w:rsidR="002C4AF7" w:rsidRDefault="002C4AF7">
      <w:pPr>
        <w:spacing w:line="240" w:lineRule="auto"/>
        <w:ind w:left="0" w:hanging="2"/>
        <w:jc w:val="both"/>
        <w:rPr>
          <w:rFonts w:ascii="Arial" w:eastAsia="Arial" w:hAnsi="Arial" w:cs="Arial"/>
          <w:sz w:val="20"/>
          <w:szCs w:val="20"/>
          <w:highlight w:val="yellow"/>
        </w:rPr>
      </w:pPr>
    </w:p>
    <w:p w:rsidR="002C4AF7" w:rsidRDefault="007C2686">
      <w:pPr>
        <w:spacing w:line="240" w:lineRule="auto"/>
        <w:ind w:left="0" w:hanging="2"/>
        <w:jc w:val="both"/>
        <w:rPr>
          <w:rFonts w:ascii="Arial" w:eastAsia="Arial" w:hAnsi="Arial" w:cs="Arial"/>
          <w:sz w:val="20"/>
          <w:szCs w:val="20"/>
        </w:rPr>
      </w:pPr>
      <w:r>
        <w:rPr>
          <w:rFonts w:ascii="Arial" w:eastAsia="Arial" w:hAnsi="Arial" w:cs="Arial"/>
          <w:sz w:val="20"/>
          <w:szCs w:val="20"/>
        </w:rPr>
        <w:t>En el momento del primer análisis de datos, los datos de SG eran inmaduros (no se alcanzó la mediana de SG en ninguno de los grupos), por lo que se desconocía el grado de beneficio a largo plazo. El seguimiento para la supervivencia a largo plazo se planificó cuando se hubieran producido 342 eventos. Se han publicado posteriormente; no se ha alcanzado la mediana de tiempo de supervivencia en ninguno de los dos grupos de tratamiento y hay diferencias estadísticamente significativas a favor del grupo de tratamiento con enzalutamida (12).</w:t>
      </w:r>
    </w:p>
    <w:p w:rsidR="002C4AF7" w:rsidRDefault="002C4AF7">
      <w:pPr>
        <w:spacing w:line="240" w:lineRule="auto"/>
        <w:ind w:left="0" w:hanging="2"/>
        <w:jc w:val="both"/>
        <w:rPr>
          <w:rFonts w:ascii="Arial" w:eastAsia="Arial" w:hAnsi="Arial" w:cs="Arial"/>
          <w:sz w:val="20"/>
          <w:szCs w:val="20"/>
        </w:rPr>
      </w:pPr>
    </w:p>
    <w:p w:rsidR="002C4AF7" w:rsidRDefault="007C2686">
      <w:pPr>
        <w:spacing w:line="240" w:lineRule="auto"/>
        <w:ind w:left="0" w:hanging="2"/>
        <w:jc w:val="both"/>
        <w:rPr>
          <w:rFonts w:ascii="Arial" w:eastAsia="Arial" w:hAnsi="Arial" w:cs="Arial"/>
          <w:sz w:val="20"/>
          <w:szCs w:val="20"/>
        </w:rPr>
      </w:pPr>
      <w:r>
        <w:rPr>
          <w:rFonts w:ascii="Arial" w:eastAsia="Arial" w:hAnsi="Arial" w:cs="Arial"/>
          <w:sz w:val="20"/>
          <w:szCs w:val="20"/>
        </w:rPr>
        <w:t xml:space="preserve">Todos los </w:t>
      </w:r>
      <w:r>
        <w:rPr>
          <w:rFonts w:ascii="Arial" w:eastAsia="Arial" w:hAnsi="Arial" w:cs="Arial"/>
          <w:sz w:val="20"/>
          <w:szCs w:val="20"/>
          <w:u w:val="single"/>
        </w:rPr>
        <w:t>análisis de subgrupos</w:t>
      </w:r>
      <w:r>
        <w:rPr>
          <w:rFonts w:ascii="Arial" w:eastAsia="Arial" w:hAnsi="Arial" w:cs="Arial"/>
          <w:sz w:val="20"/>
          <w:szCs w:val="20"/>
        </w:rPr>
        <w:t xml:space="preserve"> utilizaron un análisis univariable. Análisis de subgrupos de sujetos con bajo o alto volumen de enfermedad y la quimioterapia previa con docetaxel para el cáncer de próstata se realizó sin ajuste por la multiplicidad. Todos los análisis de subgrupos deben considerarse exploratorios o de generación de hipótesis debido a una muestra pequeña. No se observa interacción estadística en ningún subgrupo (están todos solapados) por lo que el resultado de cada subgrupo es consistente con el global del estudio.</w:t>
      </w:r>
    </w:p>
    <w:p w:rsidR="002C4AF7" w:rsidRDefault="002C4AF7">
      <w:pPr>
        <w:spacing w:line="240" w:lineRule="auto"/>
        <w:ind w:left="0" w:hanging="2"/>
        <w:jc w:val="both"/>
        <w:rPr>
          <w:rFonts w:ascii="Arial" w:eastAsia="Arial" w:hAnsi="Arial" w:cs="Arial"/>
          <w:sz w:val="20"/>
          <w:szCs w:val="20"/>
        </w:rPr>
      </w:pPr>
    </w:p>
    <w:p w:rsidR="002C4AF7" w:rsidRDefault="002C4AF7">
      <w:pPr>
        <w:spacing w:line="240" w:lineRule="auto"/>
        <w:ind w:left="0" w:hanging="2"/>
        <w:jc w:val="both"/>
        <w:rPr>
          <w:rFonts w:ascii="Arial" w:eastAsia="Arial" w:hAnsi="Arial" w:cs="Arial"/>
          <w:sz w:val="20"/>
          <w:szCs w:val="20"/>
        </w:rPr>
      </w:pPr>
    </w:p>
    <w:p w:rsidR="002C4AF7" w:rsidRDefault="007C2686">
      <w:pPr>
        <w:spacing w:line="240" w:lineRule="auto"/>
        <w:ind w:left="0" w:hanging="2"/>
        <w:jc w:val="both"/>
        <w:rPr>
          <w:rFonts w:ascii="Arial" w:eastAsia="Arial" w:hAnsi="Arial" w:cs="Arial"/>
          <w:sz w:val="20"/>
          <w:szCs w:val="20"/>
        </w:rPr>
      </w:pPr>
      <w:r>
        <w:rPr>
          <w:rFonts w:ascii="Arial" w:eastAsia="Arial" w:hAnsi="Arial" w:cs="Arial"/>
          <w:b/>
          <w:sz w:val="20"/>
          <w:szCs w:val="20"/>
        </w:rPr>
        <w:t>ENZAMET</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El ensayo ENZAMET fue un ECA con un diseño adecuado. El método de aleatorización y el tamaño de la muestra fueron apropiados, y se utilizó un procedimiento de aleatorización estratificado basado en factores pronóstico conocidos para minimizar los desequilibrios potenciales entre los grupos de estudio que podrían conducir a resultados sesgados. El análisis de eficacia se realizó con la población ITT. El protocolo del estudio fue aprobado por juntas de revisión institucionales o comités de ética independientes en cada centro de estudio. Se llevó a cabo en Australia, Canadá, Irlanda, Nueva Zelanda, Reino Unido y los EEUU.</w:t>
      </w:r>
    </w:p>
    <w:p w:rsidR="002C4AF7" w:rsidRDefault="007C2686">
      <w:pPr>
        <w:ind w:left="0" w:hanging="2"/>
        <w:jc w:val="both"/>
        <w:rPr>
          <w:rFonts w:ascii="Arial" w:eastAsia="Arial" w:hAnsi="Arial" w:cs="Arial"/>
          <w:sz w:val="20"/>
          <w:szCs w:val="20"/>
        </w:rPr>
      </w:pPr>
      <w:r>
        <w:rPr>
          <w:rFonts w:ascii="Arial" w:eastAsia="Arial" w:hAnsi="Arial" w:cs="Arial"/>
          <w:sz w:val="20"/>
          <w:szCs w:val="20"/>
        </w:rPr>
        <w:lastRenderedPageBreak/>
        <w:t>El estudio tenía cuatro fases: aleatorización, fase abierta, seguimiento de seguridad y seguimiento a largo plazo.</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Un total de 1125 pacientes fueron aleatorizados para recibir enzalutamida (N = 563) o terapia convencional AANS (N = 562), por lo que presenta un comparador activo, a diferencia de otros fármacos en esta indicación. Cuatro pacientes en el grupo control no recibieron el tratamiento asignado.  En el momento de corte de los datos, el 64,3% de los pacientes estaba aún recibiendo enzalutamida y el 35,9% de los pacientes del grupo control. El 35,7% de los pacientes del grupo enzalutamida discontinuó el tratamiento y el 63,3% del grupo control. El principal motivo fue progresión de la enfermedad evaluada mediante imagen radiográfica. </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color w:val="202124"/>
          <w:sz w:val="20"/>
          <w:szCs w:val="20"/>
        </w:rPr>
      </w:pPr>
      <w:r>
        <w:rPr>
          <w:rFonts w:ascii="Arial" w:eastAsia="Arial" w:hAnsi="Arial" w:cs="Arial"/>
          <w:sz w:val="18"/>
          <w:szCs w:val="18"/>
        </w:rPr>
        <w:t>Figura 10. Estudio ENZAMET (11).</w:t>
      </w:r>
    </w:p>
    <w:p w:rsidR="002C4AF7" w:rsidRDefault="002C4AF7">
      <w:pPr>
        <w:ind w:left="0" w:hanging="2"/>
        <w:rPr>
          <w:rFonts w:ascii="Arial" w:eastAsia="Arial" w:hAnsi="Arial" w:cs="Arial"/>
          <w:color w:val="000080"/>
          <w:sz w:val="20"/>
          <w:szCs w:val="20"/>
        </w:rPr>
      </w:pPr>
    </w:p>
    <w:p w:rsidR="002C4AF7" w:rsidRDefault="007C2686">
      <w:pPr>
        <w:ind w:left="0" w:hanging="2"/>
        <w:rPr>
          <w:rFonts w:ascii="Arial" w:eastAsia="Arial" w:hAnsi="Arial" w:cs="Arial"/>
          <w:color w:val="000080"/>
          <w:sz w:val="20"/>
          <w:szCs w:val="20"/>
        </w:rPr>
      </w:pPr>
      <w:r>
        <w:rPr>
          <w:rFonts w:ascii="Arial" w:eastAsia="Arial" w:hAnsi="Arial" w:cs="Arial"/>
          <w:noProof/>
          <w:color w:val="000080"/>
          <w:sz w:val="20"/>
          <w:szCs w:val="20"/>
        </w:rPr>
        <w:drawing>
          <wp:inline distT="0" distB="0" distL="114300" distR="114300">
            <wp:extent cx="5470525" cy="5145405"/>
            <wp:effectExtent l="0" t="0" r="0" b="0"/>
            <wp:docPr id="111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9"/>
                    <a:srcRect/>
                    <a:stretch>
                      <a:fillRect/>
                    </a:stretch>
                  </pic:blipFill>
                  <pic:spPr>
                    <a:xfrm>
                      <a:off x="0" y="0"/>
                      <a:ext cx="5470525" cy="5145405"/>
                    </a:xfrm>
                    <a:prstGeom prst="rect">
                      <a:avLst/>
                    </a:prstGeom>
                    <a:ln/>
                  </pic:spPr>
                </pic:pic>
              </a:graphicData>
            </a:graphic>
          </wp:inline>
        </w:drawing>
      </w:r>
    </w:p>
    <w:p w:rsidR="002C4AF7" w:rsidRDefault="002C4AF7">
      <w:pPr>
        <w:ind w:left="0" w:hanging="2"/>
        <w:rPr>
          <w:rFonts w:ascii="Arial" w:eastAsia="Arial" w:hAnsi="Arial" w:cs="Arial"/>
          <w:color w:val="000080"/>
          <w:sz w:val="20"/>
          <w:szCs w:val="20"/>
        </w:rPr>
      </w:pPr>
    </w:p>
    <w:p w:rsidR="002C4AF7" w:rsidRDefault="007C2686">
      <w:pPr>
        <w:ind w:left="0" w:hanging="2"/>
        <w:rPr>
          <w:rFonts w:ascii="Arial" w:eastAsia="Arial" w:hAnsi="Arial" w:cs="Arial"/>
          <w:sz w:val="20"/>
          <w:szCs w:val="20"/>
        </w:rPr>
      </w:pPr>
      <w:r>
        <w:rPr>
          <w:rFonts w:ascii="Arial" w:eastAsia="Arial" w:hAnsi="Arial" w:cs="Arial"/>
          <w:sz w:val="20"/>
          <w:szCs w:val="20"/>
        </w:rPr>
        <w:t>Las características basales estuvieron balanceadas en los dos grupos de tratamiento.</w:t>
      </w:r>
    </w:p>
    <w:p w:rsidR="002C4AF7" w:rsidRDefault="002C4AF7">
      <w:pPr>
        <w:ind w:left="0" w:hanging="2"/>
        <w:rPr>
          <w:rFonts w:ascii="Arial" w:eastAsia="Arial" w:hAnsi="Arial" w:cs="Arial"/>
          <w:color w:val="000080"/>
          <w:sz w:val="20"/>
          <w:szCs w:val="20"/>
        </w:rPr>
      </w:pPr>
    </w:p>
    <w:p w:rsidR="002C4AF7" w:rsidRDefault="002C4AF7">
      <w:pPr>
        <w:ind w:left="0" w:hanging="2"/>
        <w:rPr>
          <w:rFonts w:ascii="Arial" w:eastAsia="Arial" w:hAnsi="Arial" w:cs="Arial"/>
          <w:color w:val="000080"/>
          <w:sz w:val="20"/>
          <w:szCs w:val="20"/>
        </w:rPr>
      </w:pPr>
    </w:p>
    <w:p w:rsidR="002C4AF7" w:rsidRDefault="002C4AF7">
      <w:pPr>
        <w:ind w:left="0" w:hanging="2"/>
        <w:rPr>
          <w:rFonts w:ascii="Arial" w:eastAsia="Arial" w:hAnsi="Arial" w:cs="Arial"/>
          <w:color w:val="000080"/>
          <w:sz w:val="20"/>
          <w:szCs w:val="20"/>
        </w:rPr>
      </w:pPr>
    </w:p>
    <w:p w:rsidR="002C4AF7" w:rsidRDefault="002C4AF7">
      <w:pPr>
        <w:ind w:left="0" w:hanging="2"/>
        <w:rPr>
          <w:rFonts w:ascii="Arial" w:eastAsia="Arial" w:hAnsi="Arial" w:cs="Arial"/>
          <w:color w:val="000080"/>
          <w:sz w:val="20"/>
          <w:szCs w:val="20"/>
        </w:rPr>
      </w:pPr>
    </w:p>
    <w:p w:rsidR="002C4AF7" w:rsidRDefault="002C4AF7">
      <w:pPr>
        <w:ind w:left="0" w:hanging="2"/>
        <w:rPr>
          <w:rFonts w:ascii="Arial" w:eastAsia="Arial" w:hAnsi="Arial" w:cs="Arial"/>
          <w:color w:val="000080"/>
          <w:sz w:val="20"/>
          <w:szCs w:val="20"/>
        </w:rPr>
      </w:pPr>
    </w:p>
    <w:p w:rsidR="002C4AF7" w:rsidRDefault="002C4AF7">
      <w:pPr>
        <w:ind w:left="0" w:hanging="2"/>
        <w:rPr>
          <w:rFonts w:ascii="Arial" w:eastAsia="Arial" w:hAnsi="Arial" w:cs="Arial"/>
          <w:color w:val="000080"/>
          <w:sz w:val="20"/>
          <w:szCs w:val="20"/>
        </w:rPr>
      </w:pPr>
    </w:p>
    <w:p w:rsidR="002C4AF7" w:rsidRDefault="002C4AF7">
      <w:pPr>
        <w:ind w:left="0" w:hanging="2"/>
        <w:rPr>
          <w:rFonts w:ascii="Arial" w:eastAsia="Arial" w:hAnsi="Arial" w:cs="Arial"/>
          <w:color w:val="000080"/>
          <w:sz w:val="20"/>
          <w:szCs w:val="20"/>
        </w:rPr>
      </w:pPr>
    </w:p>
    <w:p w:rsidR="002C4AF7" w:rsidRDefault="002C4AF7">
      <w:pPr>
        <w:ind w:left="0" w:hanging="2"/>
        <w:rPr>
          <w:rFonts w:ascii="Arial" w:eastAsia="Arial" w:hAnsi="Arial" w:cs="Arial"/>
          <w:color w:val="000080"/>
          <w:sz w:val="20"/>
          <w:szCs w:val="20"/>
        </w:rPr>
      </w:pPr>
    </w:p>
    <w:p w:rsidR="002C4AF7" w:rsidRDefault="002C4AF7">
      <w:pPr>
        <w:ind w:left="0" w:hanging="2"/>
        <w:rPr>
          <w:rFonts w:ascii="Arial" w:eastAsia="Arial" w:hAnsi="Arial" w:cs="Arial"/>
          <w:color w:val="000080"/>
          <w:sz w:val="20"/>
          <w:szCs w:val="20"/>
        </w:rPr>
      </w:pPr>
    </w:p>
    <w:p w:rsidR="002C4AF7" w:rsidRDefault="002C4AF7">
      <w:pPr>
        <w:ind w:left="0" w:hanging="2"/>
        <w:rPr>
          <w:rFonts w:ascii="Arial" w:eastAsia="Arial" w:hAnsi="Arial" w:cs="Arial"/>
          <w:color w:val="000080"/>
          <w:sz w:val="20"/>
          <w:szCs w:val="20"/>
        </w:rPr>
      </w:pPr>
    </w:p>
    <w:p w:rsidR="002C4AF7" w:rsidRDefault="002C4AF7">
      <w:pPr>
        <w:ind w:left="0" w:hanging="2"/>
        <w:rPr>
          <w:rFonts w:ascii="Arial" w:eastAsia="Arial" w:hAnsi="Arial" w:cs="Arial"/>
          <w:color w:val="000080"/>
          <w:sz w:val="20"/>
          <w:szCs w:val="20"/>
        </w:rPr>
      </w:pPr>
    </w:p>
    <w:p w:rsidR="002C4AF7" w:rsidRDefault="007C2686">
      <w:pPr>
        <w:ind w:left="0" w:hanging="2"/>
        <w:jc w:val="both"/>
        <w:rPr>
          <w:rFonts w:ascii="Arial" w:eastAsia="Arial" w:hAnsi="Arial" w:cs="Arial"/>
          <w:sz w:val="18"/>
          <w:szCs w:val="18"/>
        </w:rPr>
      </w:pPr>
      <w:r>
        <w:rPr>
          <w:rFonts w:ascii="Arial" w:eastAsia="Arial" w:hAnsi="Arial" w:cs="Arial"/>
          <w:sz w:val="18"/>
          <w:szCs w:val="18"/>
        </w:rPr>
        <w:t>Figura 11. Estudio ENZAMET (11).</w:t>
      </w:r>
    </w:p>
    <w:p w:rsidR="002C4AF7" w:rsidRDefault="002C4AF7">
      <w:pPr>
        <w:ind w:left="0" w:hanging="2"/>
        <w:rPr>
          <w:rFonts w:ascii="Arial" w:eastAsia="Arial" w:hAnsi="Arial" w:cs="Arial"/>
          <w:color w:val="000080"/>
          <w:sz w:val="20"/>
          <w:szCs w:val="20"/>
        </w:rPr>
      </w:pPr>
    </w:p>
    <w:p w:rsidR="002C4AF7" w:rsidRDefault="007C2686">
      <w:pPr>
        <w:ind w:left="0" w:hanging="2"/>
        <w:rPr>
          <w:rFonts w:ascii="Arial" w:eastAsia="Arial" w:hAnsi="Arial" w:cs="Arial"/>
          <w:color w:val="000080"/>
          <w:sz w:val="20"/>
          <w:szCs w:val="20"/>
        </w:rPr>
      </w:pPr>
      <w:r>
        <w:rPr>
          <w:rFonts w:ascii="Arial" w:eastAsia="Arial" w:hAnsi="Arial" w:cs="Arial"/>
          <w:noProof/>
          <w:color w:val="000080"/>
          <w:sz w:val="20"/>
          <w:szCs w:val="20"/>
        </w:rPr>
        <w:drawing>
          <wp:inline distT="0" distB="0" distL="114300" distR="114300">
            <wp:extent cx="4891405" cy="5996940"/>
            <wp:effectExtent l="0" t="0" r="0" b="0"/>
            <wp:docPr id="111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0"/>
                    <a:srcRect/>
                    <a:stretch>
                      <a:fillRect/>
                    </a:stretch>
                  </pic:blipFill>
                  <pic:spPr>
                    <a:xfrm>
                      <a:off x="0" y="0"/>
                      <a:ext cx="4891405" cy="5996940"/>
                    </a:xfrm>
                    <a:prstGeom prst="rect">
                      <a:avLst/>
                    </a:prstGeom>
                    <a:ln/>
                  </pic:spPr>
                </pic:pic>
              </a:graphicData>
            </a:graphic>
          </wp:inline>
        </w:drawing>
      </w:r>
    </w:p>
    <w:p w:rsidR="002C4AF7" w:rsidRDefault="002C4AF7">
      <w:pPr>
        <w:ind w:left="0" w:hanging="2"/>
        <w:rPr>
          <w:rFonts w:ascii="Arial" w:eastAsia="Arial" w:hAnsi="Arial" w:cs="Arial"/>
          <w:color w:val="000080"/>
          <w:sz w:val="20"/>
          <w:szCs w:val="20"/>
        </w:rPr>
      </w:pPr>
    </w:p>
    <w:p w:rsidR="002C4AF7" w:rsidRDefault="007C2686">
      <w:pPr>
        <w:ind w:left="0" w:hanging="2"/>
        <w:rPr>
          <w:rFonts w:ascii="Arial" w:eastAsia="Arial" w:hAnsi="Arial" w:cs="Arial"/>
          <w:color w:val="000080"/>
          <w:sz w:val="20"/>
          <w:szCs w:val="20"/>
        </w:rPr>
      </w:pPr>
      <w:r>
        <w:rPr>
          <w:rFonts w:ascii="Arial" w:eastAsia="Arial" w:hAnsi="Arial" w:cs="Arial"/>
          <w:noProof/>
          <w:color w:val="000080"/>
          <w:sz w:val="20"/>
          <w:szCs w:val="20"/>
        </w:rPr>
        <w:lastRenderedPageBreak/>
        <w:drawing>
          <wp:inline distT="0" distB="0" distL="114300" distR="114300">
            <wp:extent cx="4972050" cy="8315325"/>
            <wp:effectExtent l="0" t="0" r="0" b="0"/>
            <wp:docPr id="111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1"/>
                    <a:srcRect/>
                    <a:stretch>
                      <a:fillRect/>
                    </a:stretch>
                  </pic:blipFill>
                  <pic:spPr>
                    <a:xfrm>
                      <a:off x="0" y="0"/>
                      <a:ext cx="4972050" cy="8315325"/>
                    </a:xfrm>
                    <a:prstGeom prst="rect">
                      <a:avLst/>
                    </a:prstGeom>
                    <a:ln/>
                  </pic:spPr>
                </pic:pic>
              </a:graphicData>
            </a:graphic>
          </wp:inline>
        </w:drawing>
      </w:r>
    </w:p>
    <w:p w:rsidR="002C4AF7" w:rsidRDefault="002C4AF7">
      <w:pPr>
        <w:ind w:left="0" w:hanging="2"/>
        <w:rPr>
          <w:rFonts w:ascii="Arial" w:eastAsia="Arial" w:hAnsi="Arial" w:cs="Arial"/>
          <w:color w:val="000080"/>
          <w:sz w:val="20"/>
          <w:szCs w:val="20"/>
        </w:rPr>
      </w:pPr>
    </w:p>
    <w:p w:rsidR="002C4AF7" w:rsidRDefault="002C4AF7">
      <w:pPr>
        <w:ind w:left="0" w:hanging="2"/>
        <w:jc w:val="both"/>
        <w:rPr>
          <w:rFonts w:ascii="Arial" w:eastAsia="Arial" w:hAnsi="Arial" w:cs="Arial"/>
          <w:sz w:val="18"/>
          <w:szCs w:val="18"/>
        </w:rPr>
      </w:pPr>
    </w:p>
    <w:p w:rsidR="002C4AF7" w:rsidRDefault="007C2686">
      <w:pPr>
        <w:ind w:left="0" w:hanging="2"/>
        <w:rPr>
          <w:rFonts w:ascii="Arial" w:eastAsia="Arial" w:hAnsi="Arial" w:cs="Arial"/>
          <w:sz w:val="20"/>
          <w:szCs w:val="20"/>
        </w:rPr>
      </w:pPr>
      <w:r>
        <w:rPr>
          <w:rFonts w:ascii="Arial" w:eastAsia="Arial" w:hAnsi="Arial" w:cs="Arial"/>
          <w:sz w:val="20"/>
          <w:szCs w:val="20"/>
        </w:rPr>
        <w:lastRenderedPageBreak/>
        <w:t>Sin embargo, existen algunas limitaciones que se comentan a continuación:</w:t>
      </w:r>
    </w:p>
    <w:p w:rsidR="002C4AF7" w:rsidRDefault="002C4AF7">
      <w:pPr>
        <w:ind w:left="0" w:hanging="2"/>
        <w:rPr>
          <w:rFonts w:ascii="Arial" w:eastAsia="Arial" w:hAnsi="Arial" w:cs="Arial"/>
          <w:sz w:val="20"/>
          <w:szCs w:val="20"/>
        </w:rPr>
      </w:pPr>
    </w:p>
    <w:p w:rsidR="002C4AF7" w:rsidRDefault="007C2686">
      <w:pPr>
        <w:numPr>
          <w:ilvl w:val="0"/>
          <w:numId w:val="3"/>
        </w:numPr>
        <w:ind w:left="0" w:hanging="2"/>
        <w:rPr>
          <w:rFonts w:ascii="Arial" w:eastAsia="Arial" w:hAnsi="Arial" w:cs="Arial"/>
          <w:sz w:val="20"/>
          <w:szCs w:val="20"/>
        </w:rPr>
      </w:pPr>
      <w:r>
        <w:rPr>
          <w:rFonts w:ascii="Arial" w:eastAsia="Arial" w:hAnsi="Arial" w:cs="Arial"/>
          <w:sz w:val="20"/>
          <w:szCs w:val="20"/>
        </w:rPr>
        <w:t>El ensayo ENZAMET fue un ensayo abierto. Este diseño de estudio tiene el potencial de sesgar los resultados. Este hecho no se considera relevante ya que la variable principal es la SG la cual no puede ser influenciada por la apreciación subjetiva del observador.</w:t>
      </w:r>
    </w:p>
    <w:p w:rsidR="002C4AF7" w:rsidRDefault="007C2686">
      <w:pPr>
        <w:numPr>
          <w:ilvl w:val="0"/>
          <w:numId w:val="3"/>
        </w:numPr>
        <w:ind w:left="0" w:hanging="2"/>
        <w:jc w:val="both"/>
        <w:rPr>
          <w:rFonts w:ascii="Arial" w:eastAsia="Arial" w:hAnsi="Arial" w:cs="Arial"/>
          <w:sz w:val="20"/>
          <w:szCs w:val="20"/>
        </w:rPr>
      </w:pPr>
      <w:r>
        <w:rPr>
          <w:rFonts w:ascii="Arial" w:eastAsia="Arial" w:hAnsi="Arial" w:cs="Arial"/>
          <w:sz w:val="20"/>
          <w:szCs w:val="20"/>
        </w:rPr>
        <w:t xml:space="preserve">El primer corte, con fecha 28 de febrero de 2019 representa un análisis intermedio. Aunque el efecto de la enzalutamida parece aumentar la SG en comparación con el AANS, se hace necesario conocer los resultados de supervivencia a largo plazo. En el congreso de ASCO celebrado en 2022 (13) se muestran los resultados correspondientes al análisis final tras alcanzarse 476 eventos (el análisis final estaba previsto realizarse tras 470 muertes) y una mediana de seguimiento de 68 meses (fecha de corte 19/01/2022). En este momento, la mediana de SG aún no se había alcanzado, siendo el resultado de HR de 0,70 (IC95% 0,58 a 0,84). </w:t>
      </w:r>
    </w:p>
    <w:p w:rsidR="002C4AF7" w:rsidRDefault="007C2686">
      <w:pPr>
        <w:numPr>
          <w:ilvl w:val="0"/>
          <w:numId w:val="3"/>
        </w:numPr>
        <w:ind w:left="0" w:hanging="2"/>
        <w:jc w:val="both"/>
        <w:rPr>
          <w:rFonts w:ascii="Arial" w:eastAsia="Arial" w:hAnsi="Arial" w:cs="Arial"/>
          <w:sz w:val="20"/>
          <w:szCs w:val="20"/>
        </w:rPr>
      </w:pPr>
      <w:r>
        <w:rPr>
          <w:rFonts w:ascii="Arial" w:eastAsia="Arial" w:hAnsi="Arial" w:cs="Arial"/>
          <w:sz w:val="20"/>
          <w:szCs w:val="20"/>
        </w:rPr>
        <w:t>El</w:t>
      </w:r>
      <w:r>
        <w:rPr>
          <w:rFonts w:ascii="Arial" w:eastAsia="Arial" w:hAnsi="Arial" w:cs="Arial"/>
          <w:sz w:val="20"/>
          <w:szCs w:val="20"/>
          <w:u w:val="single"/>
        </w:rPr>
        <w:t xml:space="preserve"> análisis de subgrupos</w:t>
      </w:r>
      <w:r>
        <w:rPr>
          <w:rFonts w:ascii="Arial" w:eastAsia="Arial" w:hAnsi="Arial" w:cs="Arial"/>
          <w:sz w:val="20"/>
          <w:szCs w:val="20"/>
        </w:rPr>
        <w:t xml:space="preserve"> según carga de enfermedad y uso previo de docetaxel se realizó debido al interés clínico. Dado que el estudio no estaba diseñado para ese fin ni tenía la potencia estadística para garantizar la fiabilidad de los resultados, éstos han de ser interpretados con precaución. Al someter esta interacción al test de aplicabilidad para subgrupos , se analizó la asociación estadística, la plausibilidad biológica y la consistencia y se obtuvo una aplicabilidad nula, es decir, el análisis de subgrupos no muestra diferencias que puedan ser consideradas en la práctica clínica de forma fiable.</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bookmarkStart w:id="19" w:name="_heading=h.1y810tw" w:colFirst="0" w:colLast="0"/>
      <w:bookmarkEnd w:id="19"/>
      <w:r>
        <w:rPr>
          <w:rFonts w:ascii="Arial" w:eastAsia="Arial" w:hAnsi="Arial" w:cs="Arial"/>
          <w:sz w:val="20"/>
          <w:szCs w:val="20"/>
        </w:rPr>
        <w:t>La combinación puede ser más efectiva que la terapia de privación sola aunque se aumentan los eventos adversos (NICE) (14).</w:t>
      </w:r>
    </w:p>
    <w:p w:rsidR="002C4AF7" w:rsidRDefault="002C4AF7">
      <w:pPr>
        <w:ind w:left="0" w:hanging="2"/>
        <w:jc w:val="right"/>
        <w:rPr>
          <w:rFonts w:ascii="Arial" w:eastAsia="Arial" w:hAnsi="Arial" w:cs="Arial"/>
          <w:color w:val="FF0000"/>
          <w:sz w:val="20"/>
          <w:szCs w:val="20"/>
        </w:rPr>
      </w:pPr>
    </w:p>
    <w:p w:rsidR="002C4AF7" w:rsidRDefault="007C2686">
      <w:pPr>
        <w:pBdr>
          <w:top w:val="single" w:sz="4" w:space="1" w:color="000000"/>
          <w:left w:val="single" w:sz="4" w:space="4" w:color="000000"/>
          <w:bottom w:val="single" w:sz="4" w:space="1" w:color="000000"/>
          <w:right w:val="single" w:sz="4" w:space="4" w:color="000000"/>
        </w:pBdr>
        <w:shd w:val="clear" w:color="auto" w:fill="E6E6E6"/>
        <w:spacing w:line="240" w:lineRule="auto"/>
        <w:ind w:left="0" w:hanging="2"/>
        <w:jc w:val="both"/>
        <w:rPr>
          <w:color w:val="333300"/>
          <w:sz w:val="20"/>
          <w:szCs w:val="20"/>
        </w:rPr>
      </w:pPr>
      <w:r>
        <w:rPr>
          <w:color w:val="333300"/>
          <w:sz w:val="20"/>
          <w:szCs w:val="20"/>
        </w:rPr>
        <w:t>B. Aplicabilidad del ensayo a la práctica del hospital</w:t>
      </w:r>
    </w:p>
    <w:p w:rsidR="002C4AF7" w:rsidRDefault="002C4AF7">
      <w:pPr>
        <w:spacing w:line="240" w:lineRule="auto"/>
        <w:ind w:left="0" w:hanging="2"/>
        <w:jc w:val="both"/>
        <w:rPr>
          <w:color w:val="000080"/>
          <w:sz w:val="20"/>
          <w:szCs w:val="20"/>
        </w:rPr>
      </w:pPr>
    </w:p>
    <w:p w:rsidR="002C4AF7" w:rsidRDefault="007C2686">
      <w:pPr>
        <w:ind w:left="0" w:hanging="2"/>
        <w:jc w:val="both"/>
        <w:rPr>
          <w:rFonts w:ascii="Arial" w:eastAsia="Arial" w:hAnsi="Arial" w:cs="Arial"/>
          <w:sz w:val="20"/>
          <w:szCs w:val="20"/>
        </w:rPr>
      </w:pPr>
      <w:r>
        <w:rPr>
          <w:rFonts w:ascii="Arial" w:eastAsia="Arial" w:hAnsi="Arial" w:cs="Arial"/>
          <w:b/>
          <w:sz w:val="20"/>
          <w:szCs w:val="20"/>
        </w:rPr>
        <w:t>ARCHES</w:t>
      </w: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La pauta de enzalutamida del ensayo fue 160 mg/día, esta misma pauta es la aprobada para esta indicación. </w:t>
      </w:r>
    </w:p>
    <w:p w:rsidR="002C4AF7" w:rsidRDefault="00883B7B">
      <w:pPr>
        <w:ind w:left="0" w:hanging="2"/>
        <w:jc w:val="both"/>
        <w:rPr>
          <w:rFonts w:ascii="Arial" w:eastAsia="Arial" w:hAnsi="Arial" w:cs="Arial"/>
          <w:sz w:val="20"/>
          <w:szCs w:val="20"/>
        </w:rPr>
      </w:pPr>
      <w:sdt>
        <w:sdtPr>
          <w:tag w:val="goog_rdk_2"/>
          <w:id w:val="332736906"/>
        </w:sdtPr>
        <w:sdtEndPr/>
        <w:sdtContent>
          <w:r w:rsidR="007C2686">
            <w:rPr>
              <w:rFonts w:ascii="Arial Unicode MS" w:eastAsia="Arial Unicode MS" w:hAnsi="Arial Unicode MS" w:cs="Arial Unicode MS"/>
              <w:sz w:val="20"/>
              <w:szCs w:val="20"/>
            </w:rPr>
            <w:t>La mediana de la edad en el momento de la aleatorización era de 70 años en ambos grupos de tratamiento. Una gran proporción de los pacientes tenían puntuación de Gleason ≥8 (enzalutamida: 67,2% vs placebo: 64,8%). La mayoría de los pacientes de la población total eran de raza caucásica (80,5%), el 13,5% eran de raza asiática y el 1,4% eran de raza negra. Al inicio del estudio, el 78% de los pacientes tenía una puntuación del estado funcional ECOG de 0 y el 22% de los pacientes, de 1. Se estratificó a los pacientes según el volumen de enfermedad bajo o alto y el uso de terapia previa con docetaxel para cáncer de próstata. El 37% de los pacientes presentaba bajo volumen de enfermedad y el 63% de los pacientes presentaba alto volumen de e</w:t>
          </w:r>
          <w:r w:rsidR="003B6620">
            <w:rPr>
              <w:rFonts w:ascii="Arial Unicode MS" w:eastAsia="Arial Unicode MS" w:hAnsi="Arial Unicode MS" w:cs="Arial Unicode MS"/>
              <w:sz w:val="20"/>
              <w:szCs w:val="20"/>
            </w:rPr>
            <w:t xml:space="preserve">nfermedad </w:t>
          </w:r>
          <w:r w:rsidR="007C2686">
            <w:rPr>
              <w:rFonts w:ascii="Arial Unicode MS" w:eastAsia="Arial Unicode MS" w:hAnsi="Arial Unicode MS" w:cs="Arial Unicode MS"/>
              <w:sz w:val="20"/>
              <w:szCs w:val="20"/>
            </w:rPr>
            <w:t>(enzalutamida: 61,7% vs placebo: 64,8%). El 82% de los pacientes no había recibido terapia previa con docetaxel,  (enzalutamida: 82,1% vs placebo: 82,3%) y el 2% recibió entre 1-5 ciclos y el 16% recibió 6 ciclos previos. El tratamiento simultáneo con docetaxel no estaba permitido. Más de la mitad habían recibido TDA durante ≤ 3 meses (enzalutamida: 72,1% vs placebo: 68,4%). La mayoría de los pacientes tenían únicamente metástasis óseas (44,6%) o lesiones óseas y en tejido blando (39,8%).</w:t>
          </w:r>
        </w:sdtContent>
      </w:sdt>
    </w:p>
    <w:p w:rsidR="002C4AF7" w:rsidRDefault="007C2686">
      <w:pPr>
        <w:spacing w:before="240" w:after="240"/>
        <w:ind w:left="0" w:hanging="2"/>
        <w:jc w:val="both"/>
        <w:rPr>
          <w:rFonts w:ascii="Arial" w:eastAsia="Arial" w:hAnsi="Arial" w:cs="Arial"/>
          <w:sz w:val="20"/>
          <w:szCs w:val="20"/>
        </w:rPr>
      </w:pPr>
      <w:r>
        <w:rPr>
          <w:rFonts w:ascii="Arial" w:eastAsia="Arial" w:hAnsi="Arial" w:cs="Arial"/>
          <w:b/>
          <w:sz w:val="20"/>
          <w:szCs w:val="20"/>
        </w:rPr>
        <w:t>ENZAMET</w:t>
      </w:r>
    </w:p>
    <w:p w:rsidR="002C4AF7" w:rsidRDefault="00883B7B">
      <w:pPr>
        <w:spacing w:before="240" w:after="240"/>
        <w:ind w:left="0" w:hanging="2"/>
        <w:jc w:val="both"/>
        <w:rPr>
          <w:rFonts w:ascii="Arial" w:eastAsia="Arial" w:hAnsi="Arial" w:cs="Arial"/>
          <w:sz w:val="20"/>
          <w:szCs w:val="20"/>
        </w:rPr>
      </w:pPr>
      <w:sdt>
        <w:sdtPr>
          <w:tag w:val="goog_rdk_3"/>
          <w:id w:val="-286582170"/>
        </w:sdtPr>
        <w:sdtEndPr/>
        <w:sdtContent>
          <w:r w:rsidR="007C2686">
            <w:rPr>
              <w:rFonts w:ascii="Arial Unicode MS" w:eastAsia="Arial Unicode MS" w:hAnsi="Arial Unicode MS" w:cs="Arial Unicode MS"/>
              <w:sz w:val="20"/>
              <w:szCs w:val="20"/>
            </w:rPr>
            <w:t xml:space="preserve">La mediana de la edad en el momento de la aleatorización era de 69 años en ambos grupos de tratamiento. Una gran proporción de pacientes tenían puntuación Gleason de 8 a 10 (60 % grupo enzalutamida vs. 57% grupo AANS). El 11% de los pacientes en el grupo enzalutamida y el 12% en el grupo AANS tenía metástasis viscerales. Al inicio del estudio, el 72,1% de los pacientes tenía un ECOG de cero y en torno al 26% tenían ECOG 1. Más de la mitad de los pacientes tenían alto volumen de </w:t>
          </w:r>
          <w:r w:rsidR="007C2686">
            <w:rPr>
              <w:rFonts w:ascii="Arial Unicode MS" w:eastAsia="Arial Unicode MS" w:hAnsi="Arial Unicode MS" w:cs="Arial Unicode MS"/>
              <w:sz w:val="20"/>
              <w:szCs w:val="20"/>
            </w:rPr>
            <w:lastRenderedPageBreak/>
            <w:t xml:space="preserve">enfermedad (52% y 53% para enzalutamida y AANS, respectivamente). La mayoría de los pacientes tuvieron terapia previa LhRHA  (enzalutamida: 73% vs AANS: 74%) y terapia antiandrogénica (enzalutamida: 51% vs AANS: 56%).La mayoría de los pacientes tenían  ≥1 lesiones óseas (enzalutamida: 79,8% vs AANS: 81,7%) y aproximadamente un tercio tenía estadio N1 (enzalutamida: 36,4% vs AANS: 34,5%). </w:t>
          </w:r>
        </w:sdtContent>
      </w:sdt>
    </w:p>
    <w:p w:rsidR="002C4AF7" w:rsidRDefault="007C2686">
      <w:pPr>
        <w:spacing w:before="240" w:after="240"/>
        <w:ind w:left="0" w:hanging="2"/>
        <w:jc w:val="both"/>
        <w:rPr>
          <w:rFonts w:ascii="Arial" w:eastAsia="Arial" w:hAnsi="Arial" w:cs="Arial"/>
          <w:sz w:val="20"/>
          <w:szCs w:val="20"/>
        </w:rPr>
      </w:pPr>
      <w:r>
        <w:rPr>
          <w:rFonts w:ascii="Arial" w:eastAsia="Arial" w:hAnsi="Arial" w:cs="Arial"/>
          <w:sz w:val="20"/>
          <w:szCs w:val="20"/>
        </w:rPr>
        <w:t xml:space="preserve">La población incluida en el estudio ENZAMET no es completamente comparable a la población de ARCHES. Los pacientes del estudio ENZAMET pudieron recibir uso de docetaxel concomitante planificado de manera temprana (es decir, un total de 6 ciclos de docetaxel, de los cuales se permitieron 0-2 ciclos antes de la aleatorización) mientras que en el estudio ARCHES se permitía hasta 6 ciclos de docetaxel finalizados y sin evidencia de progresión durante o tras finalizar la terapia con docetaxel. Según los datos proporcionados por el MAH, el 45,1% de los pacientes del grupo de enzalutamida del estudio ENZAMET habían utilizado docetaxel de forma temprana, de los cuales aproximadamente el 43% recibió al menos 1 dosis de docetaxel concomitante temprano. Además, el 15,8% de los pacientes recibieron docetaxel por enfermedad metastásica antes de la aleatorización. </w:t>
      </w:r>
    </w:p>
    <w:p w:rsidR="002C4AF7" w:rsidRDefault="007C2686">
      <w:pPr>
        <w:spacing w:before="240" w:after="240"/>
        <w:ind w:left="0" w:hanging="2"/>
        <w:jc w:val="both"/>
        <w:rPr>
          <w:rFonts w:ascii="Arial" w:eastAsia="Arial" w:hAnsi="Arial" w:cs="Arial"/>
          <w:sz w:val="20"/>
          <w:szCs w:val="20"/>
        </w:rPr>
      </w:pPr>
      <w:r>
        <w:rPr>
          <w:rFonts w:ascii="Arial" w:eastAsia="Arial" w:hAnsi="Arial" w:cs="Arial"/>
          <w:sz w:val="20"/>
          <w:szCs w:val="20"/>
        </w:rPr>
        <w:t xml:space="preserve">Se ha de indicar que la administración concomitante de docetaxel no se contempla en la indicación actual de enzalutamida en este contexto metastásico hormonosensible. </w:t>
      </w:r>
    </w:p>
    <w:p w:rsidR="002C4AF7" w:rsidRDefault="007C2686">
      <w:pPr>
        <w:spacing w:before="240" w:after="240"/>
        <w:ind w:left="0" w:hanging="2"/>
        <w:jc w:val="both"/>
        <w:rPr>
          <w:rFonts w:ascii="Arial" w:eastAsia="Arial" w:hAnsi="Arial" w:cs="Arial"/>
          <w:sz w:val="20"/>
          <w:szCs w:val="20"/>
        </w:rPr>
      </w:pPr>
      <w:r>
        <w:rPr>
          <w:rFonts w:ascii="Arial" w:eastAsia="Arial" w:hAnsi="Arial" w:cs="Arial"/>
          <w:sz w:val="20"/>
          <w:szCs w:val="20"/>
        </w:rPr>
        <w:t>Estos dos estudios también difieren en la proporción de pacientes con alto volumen de enfermedad (superior para ARCHES), la definición de supervivencia libre de progresión y grupo comparador empleado.</w:t>
      </w:r>
    </w:p>
    <w:p w:rsidR="002C4AF7" w:rsidRDefault="007C2686">
      <w:pPr>
        <w:spacing w:before="240" w:after="240"/>
        <w:ind w:left="0" w:hanging="2"/>
        <w:jc w:val="both"/>
        <w:rPr>
          <w:rFonts w:ascii="Arial" w:eastAsia="Arial" w:hAnsi="Arial" w:cs="Arial"/>
          <w:sz w:val="20"/>
          <w:szCs w:val="20"/>
        </w:rPr>
      </w:pPr>
      <w:r>
        <w:rPr>
          <w:rFonts w:ascii="Arial" w:eastAsia="Arial" w:hAnsi="Arial" w:cs="Arial"/>
          <w:sz w:val="20"/>
          <w:szCs w:val="20"/>
        </w:rPr>
        <w:t xml:space="preserve">En ENZAMET se evalúa la SLP definida en </w:t>
      </w:r>
      <w:r w:rsidR="00747F3B">
        <w:rPr>
          <w:rFonts w:ascii="Arial" w:eastAsia="Arial" w:hAnsi="Arial" w:cs="Arial"/>
          <w:sz w:val="20"/>
          <w:szCs w:val="20"/>
        </w:rPr>
        <w:t>la progresión</w:t>
      </w:r>
      <w:r>
        <w:rPr>
          <w:rFonts w:ascii="Arial" w:eastAsia="Arial" w:hAnsi="Arial" w:cs="Arial"/>
          <w:sz w:val="20"/>
          <w:szCs w:val="20"/>
        </w:rPr>
        <w:t xml:space="preserve"> clínica mediante imagen radiográfica, sintomatología o por el inicio de otro tratamiento para el cáncer de próstata. Esta definición es más extensa que la empleada en ARCHES, que se basa en la progresión radiográfica evaluada por un comité central independiente ciego. </w:t>
      </w:r>
    </w:p>
    <w:p w:rsidR="002C4AF7" w:rsidRDefault="007C2686">
      <w:pPr>
        <w:spacing w:before="240" w:after="240"/>
        <w:ind w:left="0" w:hanging="2"/>
        <w:jc w:val="both"/>
        <w:rPr>
          <w:rFonts w:ascii="Arial" w:eastAsia="Arial" w:hAnsi="Arial" w:cs="Arial"/>
          <w:sz w:val="20"/>
          <w:szCs w:val="20"/>
        </w:rPr>
      </w:pPr>
      <w:r>
        <w:rPr>
          <w:rFonts w:ascii="Arial" w:eastAsia="Arial" w:hAnsi="Arial" w:cs="Arial"/>
          <w:sz w:val="20"/>
          <w:szCs w:val="20"/>
        </w:rPr>
        <w:t xml:space="preserve">En global, la evidencia para enzalutamida se basa en una población relativamente “fit”. Ya que excluye a pacientes con ECOG de dos o superior, patología relevante cardiovascular o renal. Por lo que puede no ser representativa de algunos pacientes no candidatos a docetaxel. </w:t>
      </w:r>
    </w:p>
    <w:p w:rsidR="002C4AF7" w:rsidRDefault="007C2686">
      <w:pPr>
        <w:pBdr>
          <w:top w:val="single" w:sz="4" w:space="1" w:color="000000"/>
          <w:left w:val="single" w:sz="4" w:space="4" w:color="000000"/>
          <w:bottom w:val="single" w:sz="4" w:space="1" w:color="000000"/>
          <w:right w:val="single" w:sz="4" w:space="4" w:color="000000"/>
        </w:pBdr>
        <w:shd w:val="clear" w:color="auto" w:fill="E6E6E6"/>
        <w:spacing w:line="240" w:lineRule="auto"/>
        <w:ind w:left="0" w:hanging="2"/>
        <w:jc w:val="both"/>
        <w:rPr>
          <w:color w:val="333300"/>
          <w:sz w:val="20"/>
          <w:szCs w:val="20"/>
        </w:rPr>
      </w:pPr>
      <w:bookmarkStart w:id="20" w:name="_heading=h.2xcytpi" w:colFirst="0" w:colLast="0"/>
      <w:bookmarkEnd w:id="20"/>
      <w:r>
        <w:rPr>
          <w:color w:val="333300"/>
          <w:sz w:val="20"/>
          <w:szCs w:val="20"/>
        </w:rPr>
        <w:t>C. Relevancia clínica de los resultados</w:t>
      </w:r>
    </w:p>
    <w:p w:rsidR="002C4AF7" w:rsidRDefault="002C4AF7">
      <w:pPr>
        <w:spacing w:line="240" w:lineRule="auto"/>
        <w:ind w:left="0" w:hanging="2"/>
        <w:rPr>
          <w:color w:val="333300"/>
          <w:sz w:val="20"/>
          <w:szCs w:val="20"/>
        </w:rPr>
      </w:pPr>
    </w:p>
    <w:p w:rsidR="002C4AF7" w:rsidRDefault="007C2686">
      <w:pPr>
        <w:pBdr>
          <w:top w:val="single" w:sz="4" w:space="1" w:color="000000"/>
          <w:left w:val="single" w:sz="4" w:space="4" w:color="000000"/>
          <w:bottom w:val="single" w:sz="4" w:space="1" w:color="000000"/>
          <w:right w:val="single" w:sz="4" w:space="4" w:color="000000"/>
        </w:pBdr>
        <w:shd w:val="clear" w:color="auto" w:fill="E6E6E6"/>
        <w:spacing w:line="240" w:lineRule="auto"/>
        <w:ind w:left="0" w:hanging="2"/>
        <w:rPr>
          <w:color w:val="333300"/>
          <w:sz w:val="20"/>
          <w:szCs w:val="20"/>
        </w:rPr>
      </w:pPr>
      <w:r>
        <w:rPr>
          <w:color w:val="333300"/>
          <w:sz w:val="20"/>
          <w:szCs w:val="20"/>
        </w:rPr>
        <w:t xml:space="preserve">C.1 Valorar si la </w:t>
      </w:r>
      <w:r>
        <w:rPr>
          <w:color w:val="333300"/>
          <w:sz w:val="20"/>
          <w:szCs w:val="20"/>
          <w:u w:val="single"/>
        </w:rPr>
        <w:t>magnitud del efecto</w:t>
      </w:r>
      <w:r>
        <w:rPr>
          <w:color w:val="333300"/>
          <w:sz w:val="20"/>
          <w:szCs w:val="20"/>
        </w:rPr>
        <w:t xml:space="preserve"> del tratamiento es de relevancia clínica. </w:t>
      </w:r>
    </w:p>
    <w:p w:rsidR="002C4AF7" w:rsidRDefault="002C4AF7">
      <w:pPr>
        <w:widowControl w:val="0"/>
        <w:ind w:left="0" w:right="-42" w:hanging="2"/>
        <w:jc w:val="both"/>
        <w:rPr>
          <w:rFonts w:ascii="Arial" w:eastAsia="Arial" w:hAnsi="Arial" w:cs="Arial"/>
          <w:sz w:val="20"/>
          <w:szCs w:val="20"/>
        </w:rPr>
      </w:pPr>
    </w:p>
    <w:p w:rsidR="002C4AF7" w:rsidRDefault="007C2686">
      <w:pPr>
        <w:widowControl w:val="0"/>
        <w:ind w:left="0" w:right="-42" w:hanging="2"/>
        <w:jc w:val="both"/>
        <w:rPr>
          <w:rFonts w:ascii="Arial" w:eastAsia="Arial" w:hAnsi="Arial" w:cs="Arial"/>
          <w:sz w:val="20"/>
          <w:szCs w:val="20"/>
        </w:rPr>
      </w:pPr>
      <w:r>
        <w:rPr>
          <w:rFonts w:ascii="Arial" w:eastAsia="Arial" w:hAnsi="Arial" w:cs="Arial"/>
          <w:b/>
          <w:sz w:val="20"/>
          <w:szCs w:val="20"/>
        </w:rPr>
        <w:t>ARCHES</w:t>
      </w:r>
    </w:p>
    <w:p w:rsidR="002C4AF7" w:rsidRDefault="007C2686">
      <w:pPr>
        <w:widowControl w:val="0"/>
        <w:ind w:left="0" w:right="-42" w:hanging="2"/>
        <w:jc w:val="both"/>
        <w:rPr>
          <w:rFonts w:ascii="Arial" w:eastAsia="Arial" w:hAnsi="Arial" w:cs="Arial"/>
          <w:sz w:val="20"/>
          <w:szCs w:val="20"/>
        </w:rPr>
      </w:pPr>
      <w:r>
        <w:rPr>
          <w:rFonts w:ascii="Arial" w:eastAsia="Arial" w:hAnsi="Arial" w:cs="Arial"/>
          <w:sz w:val="20"/>
          <w:szCs w:val="20"/>
        </w:rPr>
        <w:t xml:space="preserve">Teniendo en cuenta que el cáncer de próstata actualmente presenta una expectativa de vida y supervivencia prolongada, una mejora en la SLPr podría significar una ganancia en beneficio clínico. </w:t>
      </w:r>
    </w:p>
    <w:p w:rsidR="002C4AF7" w:rsidRDefault="007C2686">
      <w:pPr>
        <w:widowControl w:val="0"/>
        <w:spacing w:before="159"/>
        <w:ind w:left="0" w:right="-42" w:hanging="2"/>
        <w:jc w:val="both"/>
        <w:rPr>
          <w:rFonts w:ascii="Arial" w:eastAsia="Arial" w:hAnsi="Arial" w:cs="Arial"/>
          <w:sz w:val="20"/>
          <w:szCs w:val="20"/>
        </w:rPr>
      </w:pPr>
      <w:r>
        <w:rPr>
          <w:rFonts w:ascii="Arial" w:eastAsia="Arial" w:hAnsi="Arial" w:cs="Arial"/>
          <w:sz w:val="20"/>
          <w:szCs w:val="20"/>
        </w:rPr>
        <w:t>Se ha publicado el análisis final de la SG observándose diferencias estadísticamente significativas a favor del grupo de tratamiento con enzalutamida. Según los resultados de ensayos ARCHES, la valoración por parte de la escala ESMO es una puntuación de tres puntos, en un contexto no curativo, beneficio de magnitud moderada. Hay mejora de la SLPr y no se observa beneficio en la calidad de vida.</w:t>
      </w:r>
    </w:p>
    <w:p w:rsidR="002C4AF7" w:rsidRDefault="007C2686">
      <w:pPr>
        <w:widowControl w:val="0"/>
        <w:spacing w:before="159"/>
        <w:ind w:left="0" w:right="-42" w:hanging="2"/>
        <w:jc w:val="both"/>
        <w:rPr>
          <w:rFonts w:ascii="Arial" w:eastAsia="Arial" w:hAnsi="Arial" w:cs="Arial"/>
          <w:sz w:val="20"/>
          <w:szCs w:val="20"/>
        </w:rPr>
      </w:pPr>
      <w:r>
        <w:rPr>
          <w:rFonts w:ascii="Arial Narrow" w:eastAsia="Arial Narrow" w:hAnsi="Arial Narrow" w:cs="Arial Narrow"/>
          <w:color w:val="000080"/>
          <w:sz w:val="20"/>
          <w:szCs w:val="20"/>
        </w:rPr>
        <w:object w:dxaOrig="15817" w:dyaOrig="2184">
          <v:shape id="_x0000_s0" o:spid="_x0000_i1025" type="#_x0000_t75" style="width:450pt;height:61.5pt;visibility:visible" o:ole="">
            <v:imagedata r:id="rId32" o:title=""/>
            <v:path o:extrusionok="t"/>
          </v:shape>
          <o:OLEObject Type="Embed" ProgID="PBrush" ShapeID="_x0000_s0" DrawAspect="Content" ObjectID="_1738771681" r:id="rId33"/>
        </w:object>
      </w:r>
    </w:p>
    <w:p w:rsidR="002C4AF7" w:rsidRDefault="002C4AF7">
      <w:pPr>
        <w:widowControl w:val="0"/>
        <w:spacing w:before="159"/>
        <w:ind w:left="0" w:right="-42" w:hanging="2"/>
        <w:jc w:val="both"/>
        <w:rPr>
          <w:rFonts w:ascii="Arial" w:eastAsia="Arial" w:hAnsi="Arial" w:cs="Arial"/>
          <w:sz w:val="20"/>
          <w:szCs w:val="20"/>
        </w:rPr>
      </w:pPr>
    </w:p>
    <w:p w:rsidR="002C4AF7" w:rsidRDefault="007C2686">
      <w:pPr>
        <w:widowControl w:val="0"/>
        <w:ind w:left="0" w:right="-42" w:hanging="2"/>
        <w:jc w:val="both"/>
        <w:rPr>
          <w:rFonts w:ascii="Arial" w:eastAsia="Arial" w:hAnsi="Arial" w:cs="Arial"/>
          <w:sz w:val="20"/>
          <w:szCs w:val="20"/>
        </w:rPr>
      </w:pPr>
      <w:r>
        <w:rPr>
          <w:rFonts w:ascii="Arial" w:eastAsia="Arial" w:hAnsi="Arial" w:cs="Arial"/>
          <w:b/>
          <w:sz w:val="20"/>
          <w:szCs w:val="20"/>
        </w:rPr>
        <w:t>ENZAMET</w:t>
      </w:r>
    </w:p>
    <w:p w:rsidR="002C4AF7" w:rsidRDefault="007C2686">
      <w:pPr>
        <w:widowControl w:val="0"/>
        <w:spacing w:before="159"/>
        <w:ind w:left="0" w:right="-42" w:hanging="2"/>
        <w:jc w:val="both"/>
        <w:rPr>
          <w:color w:val="000080"/>
          <w:sz w:val="20"/>
          <w:szCs w:val="20"/>
        </w:rPr>
      </w:pPr>
      <w:bookmarkStart w:id="21" w:name="_heading=h.3whwml4" w:colFirst="0" w:colLast="0"/>
      <w:bookmarkEnd w:id="21"/>
      <w:r>
        <w:rPr>
          <w:rFonts w:ascii="Arial" w:eastAsia="Arial" w:hAnsi="Arial" w:cs="Arial"/>
          <w:sz w:val="20"/>
          <w:szCs w:val="20"/>
        </w:rPr>
        <w:lastRenderedPageBreak/>
        <w:t xml:space="preserve">En el ensayo ENZAMET, a diferencia del ensayo ARCHES, la variable principal de eficacia fue la SG y el 45% de los pacientes incluidos recibieron docetaxel previo. Tras una mediana de seguimiento de 33 meses, los pacientes tratados con enzalutamida más TPA mostraron una mayor SG en comparación con los tratados con antiandrógeno no esteroideo convencional más TPA (HR: 0,66; IC 95%: 0,51-0,86; p= 0,0016), si bien estos resultados eran inmaduros. A los 3 años, el 79% y el 72% seguían vivos en los brazos experimental y control, respectivamente. El volumen de la enfermedad fue un factor de estratificación en el estudio ENZAMET. Los análisis de subgrupos preespecificados sugirieron que el beneficio de enzalutamida fue menos claro en pacientes con enfermedad de alto volumen (HR 0,74; IC 95%: 0,55-1,01) y en aquellos que recibieron previamente docetaxel (HR 0,91; IC 95%: 0,62-1,35) aunque el análisis de subgrupos no muestra diferencias que puedan ser consideradas en la práctica clínica de forma fiable. </w:t>
      </w:r>
    </w:p>
    <w:p w:rsidR="002C4AF7" w:rsidRDefault="007C2686">
      <w:pPr>
        <w:widowControl w:val="0"/>
        <w:spacing w:before="159"/>
        <w:ind w:left="0" w:right="-42" w:hanging="2"/>
        <w:jc w:val="both"/>
        <w:rPr>
          <w:rFonts w:ascii="Arial" w:eastAsia="Arial" w:hAnsi="Arial" w:cs="Arial"/>
          <w:color w:val="202124"/>
          <w:sz w:val="20"/>
          <w:szCs w:val="20"/>
        </w:rPr>
      </w:pPr>
      <w:r>
        <w:rPr>
          <w:rFonts w:ascii="Arial" w:eastAsia="Arial" w:hAnsi="Arial" w:cs="Arial"/>
          <w:color w:val="202124"/>
          <w:sz w:val="20"/>
          <w:szCs w:val="20"/>
        </w:rPr>
        <w:t>La valoración por parte de la escala ESMO es de cuatro puntos, magnitud sustancial, ya que se observa beneficio en SG en un análisis intermedio.</w:t>
      </w:r>
    </w:p>
    <w:p w:rsidR="002C4AF7" w:rsidRDefault="007C2686">
      <w:pPr>
        <w:widowControl w:val="0"/>
        <w:spacing w:before="159"/>
        <w:ind w:left="0" w:right="-42" w:hanging="2"/>
        <w:jc w:val="both"/>
        <w:rPr>
          <w:rFonts w:ascii="Arial" w:eastAsia="Arial" w:hAnsi="Arial" w:cs="Arial"/>
          <w:color w:val="202124"/>
          <w:sz w:val="20"/>
          <w:szCs w:val="20"/>
        </w:rPr>
      </w:pPr>
      <w:r>
        <w:rPr>
          <w:rFonts w:ascii="Arial" w:eastAsia="Arial" w:hAnsi="Arial" w:cs="Arial"/>
          <w:color w:val="202124"/>
          <w:sz w:val="20"/>
          <w:szCs w:val="20"/>
          <w:highlight w:val="white"/>
        </w:rPr>
        <w:t>Los datos finales ya maduros de ENZAMET recientemente presentados en ASCO 2022  confieren un beneficio en SG a enzalutamida tanto en pacientes con enfermedad de alto volumen (HR 0,79: IC 95%: 0.63-0.98) como en paciente con baja carga metastásica (HR 0.54; IC 95%: 0.39-0.74)</w:t>
      </w:r>
      <w:r>
        <w:rPr>
          <w:rFonts w:ascii="Roboto" w:eastAsia="Roboto" w:hAnsi="Roboto" w:cs="Roboto"/>
          <w:color w:val="202124"/>
          <w:sz w:val="21"/>
          <w:szCs w:val="21"/>
          <w:highlight w:val="white"/>
        </w:rPr>
        <w:t>.</w:t>
      </w:r>
    </w:p>
    <w:p w:rsidR="002C4AF7" w:rsidRDefault="002C4AF7">
      <w:pPr>
        <w:widowControl w:val="0"/>
        <w:spacing w:before="159"/>
        <w:ind w:left="0" w:right="-42" w:hanging="2"/>
        <w:jc w:val="both"/>
        <w:rPr>
          <w:rFonts w:ascii="Arial" w:eastAsia="Arial" w:hAnsi="Arial" w:cs="Arial"/>
          <w:color w:val="202124"/>
          <w:sz w:val="20"/>
          <w:szCs w:val="20"/>
          <w:highlight w:val="yellow"/>
        </w:rPr>
      </w:pPr>
    </w:p>
    <w:p w:rsidR="002C4AF7" w:rsidRDefault="007C2686">
      <w:pPr>
        <w:pBdr>
          <w:top w:val="single" w:sz="4" w:space="1" w:color="000000"/>
          <w:left w:val="single" w:sz="4" w:space="4" w:color="000000"/>
          <w:bottom w:val="single" w:sz="4" w:space="1" w:color="000000"/>
          <w:right w:val="single" w:sz="4" w:space="4" w:color="000000"/>
        </w:pBdr>
        <w:shd w:val="clear" w:color="auto" w:fill="E6E6E6"/>
        <w:spacing w:line="240" w:lineRule="auto"/>
        <w:ind w:left="0" w:hanging="2"/>
        <w:rPr>
          <w:color w:val="000000"/>
          <w:sz w:val="20"/>
          <w:szCs w:val="20"/>
        </w:rPr>
      </w:pPr>
      <w:r>
        <w:rPr>
          <w:sz w:val="20"/>
          <w:szCs w:val="20"/>
        </w:rPr>
        <w:t>C</w:t>
      </w:r>
      <w:r>
        <w:rPr>
          <w:color w:val="000000"/>
          <w:sz w:val="20"/>
          <w:szCs w:val="20"/>
        </w:rPr>
        <w:t xml:space="preserve">2 La evidencia de equivalencia terapéutica. </w:t>
      </w:r>
    </w:p>
    <w:p w:rsidR="002C4AF7" w:rsidRDefault="002C4AF7">
      <w:pPr>
        <w:spacing w:line="240" w:lineRule="auto"/>
        <w:ind w:left="0" w:hanging="2"/>
        <w:jc w:val="both"/>
        <w:rPr>
          <w:color w:val="000080"/>
          <w:sz w:val="20"/>
          <w:szCs w:val="20"/>
        </w:rPr>
      </w:pPr>
    </w:p>
    <w:p w:rsidR="002C4AF7" w:rsidRDefault="002C4AF7">
      <w:pPr>
        <w:ind w:left="0" w:hanging="2"/>
        <w:jc w:val="both"/>
        <w:rPr>
          <w:rFonts w:ascii="Arial" w:eastAsia="Arial" w:hAnsi="Arial" w:cs="Arial"/>
          <w:color w:val="0000FF"/>
          <w:sz w:val="20"/>
          <w:szCs w:val="20"/>
        </w:rPr>
      </w:pPr>
    </w:p>
    <w:p w:rsidR="002C4AF7" w:rsidRDefault="007C2686">
      <w:pPr>
        <w:pBdr>
          <w:top w:val="single" w:sz="4" w:space="1" w:color="000000"/>
          <w:left w:val="single" w:sz="4" w:space="4" w:color="000000"/>
          <w:bottom w:val="single" w:sz="4" w:space="1" w:color="000000"/>
          <w:right w:val="single" w:sz="4" w:space="4" w:color="000000"/>
        </w:pBdr>
        <w:shd w:val="clear" w:color="auto" w:fill="E6E6E6"/>
        <w:spacing w:line="240" w:lineRule="auto"/>
        <w:ind w:left="0" w:hanging="2"/>
        <w:rPr>
          <w:color w:val="000000"/>
          <w:sz w:val="20"/>
          <w:szCs w:val="20"/>
        </w:rPr>
      </w:pPr>
      <w:r>
        <w:rPr>
          <w:color w:val="000000"/>
          <w:sz w:val="20"/>
          <w:szCs w:val="20"/>
        </w:rPr>
        <w:t xml:space="preserve">C.3 Alternativas terapéuticas equivalentes (ATE) </w:t>
      </w:r>
    </w:p>
    <w:p w:rsidR="002C4AF7" w:rsidRDefault="002C4AF7">
      <w:pPr>
        <w:ind w:left="0" w:hanging="2"/>
        <w:jc w:val="both"/>
        <w:rPr>
          <w:rFonts w:ascii="Arial" w:eastAsia="Arial" w:hAnsi="Arial" w:cs="Arial"/>
          <w:color w:val="0000FF"/>
          <w:sz w:val="20"/>
          <w:szCs w:val="20"/>
        </w:rPr>
      </w:pPr>
    </w:p>
    <w:p w:rsidR="002C4AF7" w:rsidRDefault="007C2686">
      <w:pPr>
        <w:ind w:left="0" w:hanging="2"/>
        <w:jc w:val="both"/>
        <w:rPr>
          <w:rFonts w:ascii="Arial" w:eastAsia="Arial" w:hAnsi="Arial" w:cs="Arial"/>
          <w:color w:val="212121"/>
          <w:sz w:val="20"/>
          <w:szCs w:val="20"/>
        </w:rPr>
      </w:pPr>
      <w:bookmarkStart w:id="22" w:name="_heading=h.2bn6wsx" w:colFirst="0" w:colLast="0"/>
      <w:bookmarkEnd w:id="22"/>
      <w:r>
        <w:rPr>
          <w:rFonts w:ascii="Arial" w:eastAsia="Arial" w:hAnsi="Arial" w:cs="Arial"/>
          <w:color w:val="212121"/>
          <w:sz w:val="20"/>
          <w:szCs w:val="20"/>
        </w:rPr>
        <w:t>Se comenta en el apartado de comparaciones indirectas propias.</w:t>
      </w:r>
    </w:p>
    <w:p w:rsidR="002C4AF7" w:rsidRDefault="002C4AF7">
      <w:pPr>
        <w:ind w:left="0" w:hanging="2"/>
        <w:jc w:val="right"/>
        <w:rPr>
          <w:rFonts w:ascii="Arial" w:eastAsia="Arial" w:hAnsi="Arial" w:cs="Arial"/>
          <w:color w:val="FF0000"/>
          <w:sz w:val="16"/>
          <w:szCs w:val="16"/>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r>
        <w:rPr>
          <w:rFonts w:ascii="Cambria" w:eastAsia="Cambria" w:hAnsi="Cambria" w:cs="Cambria"/>
          <w:b/>
          <w:i/>
          <w:color w:val="000000"/>
          <w:sz w:val="20"/>
          <w:szCs w:val="20"/>
        </w:rPr>
        <w:t xml:space="preserve">5.2.c Evaluación de las pruebas de cribado utilizadas </w:t>
      </w:r>
    </w:p>
    <w:p w:rsidR="002C4AF7" w:rsidRDefault="002C4AF7">
      <w:pPr>
        <w:ind w:left="0" w:hanging="2"/>
        <w:jc w:val="right"/>
        <w:rPr>
          <w:rFonts w:ascii="Arial" w:eastAsia="Arial" w:hAnsi="Arial" w:cs="Arial"/>
          <w:color w:val="0000FF"/>
          <w:sz w:val="20"/>
          <w:szCs w:val="20"/>
          <w:u w:val="single"/>
        </w:rPr>
      </w:pPr>
      <w:bookmarkStart w:id="23" w:name="_heading=h.qsh70q" w:colFirst="0" w:colLast="0"/>
      <w:bookmarkEnd w:id="23"/>
    </w:p>
    <w:p w:rsidR="002C4AF7" w:rsidRDefault="002C4AF7">
      <w:pPr>
        <w:ind w:left="0" w:hanging="2"/>
        <w:jc w:val="both"/>
        <w:rPr>
          <w:rFonts w:ascii="Arial" w:eastAsia="Arial" w:hAnsi="Arial" w:cs="Arial"/>
          <w:sz w:val="20"/>
          <w:szCs w:val="20"/>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bookmarkStart w:id="24" w:name="_heading=h.3as4poj" w:colFirst="0" w:colLast="0"/>
      <w:bookmarkEnd w:id="24"/>
      <w:r>
        <w:rPr>
          <w:rFonts w:ascii="Cambria" w:eastAsia="Cambria" w:hAnsi="Cambria" w:cs="Cambria"/>
          <w:b/>
          <w:i/>
          <w:color w:val="000000"/>
          <w:sz w:val="20"/>
          <w:szCs w:val="20"/>
        </w:rPr>
        <w:t xml:space="preserve">5.3 Revisiones sistemáticas publicadas, comparaciones indirectas y sus conclusiones </w:t>
      </w:r>
    </w:p>
    <w:p w:rsidR="002C4AF7" w:rsidRDefault="002C4AF7">
      <w:pPr>
        <w:ind w:left="0" w:hanging="2"/>
        <w:rPr>
          <w:rFonts w:ascii="Arial" w:eastAsia="Arial" w:hAnsi="Arial" w:cs="Arial"/>
          <w:color w:val="000080"/>
          <w:sz w:val="20"/>
          <w:szCs w:val="20"/>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r>
        <w:rPr>
          <w:rFonts w:ascii="Cambria" w:eastAsia="Cambria" w:hAnsi="Cambria" w:cs="Cambria"/>
          <w:b/>
          <w:i/>
          <w:color w:val="000000"/>
          <w:sz w:val="20"/>
          <w:szCs w:val="20"/>
        </w:rPr>
        <w:t>5.3.a Revisiones sistemáticas publicadas</w:t>
      </w:r>
    </w:p>
    <w:p w:rsidR="002C4AF7" w:rsidRDefault="007C2686">
      <w:pPr>
        <w:ind w:left="0" w:hanging="2"/>
        <w:rPr>
          <w:rFonts w:ascii="Arial" w:eastAsia="Arial" w:hAnsi="Arial" w:cs="Arial"/>
          <w:color w:val="FF0000"/>
          <w:sz w:val="20"/>
          <w:szCs w:val="20"/>
        </w:rPr>
      </w:pPr>
      <w:r>
        <w:rPr>
          <w:rFonts w:ascii="Arial" w:eastAsia="Arial" w:hAnsi="Arial" w:cs="Arial"/>
          <w:color w:val="FF0000"/>
          <w:sz w:val="20"/>
          <w:szCs w:val="20"/>
        </w:rPr>
        <w:t xml:space="preserve">       </w:t>
      </w:r>
    </w:p>
    <w:p w:rsidR="002C4AF7" w:rsidRDefault="007C2686">
      <w:pPr>
        <w:ind w:left="0" w:hanging="2"/>
        <w:rPr>
          <w:rFonts w:ascii="Arial" w:eastAsia="Arial" w:hAnsi="Arial" w:cs="Arial"/>
          <w:color w:val="FF0000"/>
          <w:sz w:val="20"/>
          <w:szCs w:val="20"/>
        </w:rPr>
      </w:pPr>
      <w:bookmarkStart w:id="25" w:name="_heading=h.1pxezwc" w:colFirst="0" w:colLast="0"/>
      <w:bookmarkEnd w:id="25"/>
      <w:r>
        <w:rPr>
          <w:rFonts w:ascii="Arial" w:eastAsia="Arial" w:hAnsi="Arial" w:cs="Arial"/>
          <w:color w:val="212121"/>
          <w:sz w:val="20"/>
          <w:szCs w:val="20"/>
        </w:rPr>
        <w:t xml:space="preserve">Se incluye en el apartado de comparaciones indirectas publicadas.  </w:t>
      </w:r>
    </w:p>
    <w:p w:rsidR="002C4AF7" w:rsidRDefault="002C4AF7">
      <w:pPr>
        <w:ind w:left="0" w:hanging="2"/>
        <w:jc w:val="right"/>
        <w:rPr>
          <w:rFonts w:ascii="Arial" w:eastAsia="Arial" w:hAnsi="Arial" w:cs="Arial"/>
          <w:sz w:val="20"/>
          <w:szCs w:val="20"/>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bookmarkStart w:id="26" w:name="_heading=h.49x2ik5" w:colFirst="0" w:colLast="0"/>
      <w:bookmarkEnd w:id="26"/>
      <w:r>
        <w:rPr>
          <w:rFonts w:ascii="Cambria" w:eastAsia="Cambria" w:hAnsi="Cambria" w:cs="Cambria"/>
          <w:b/>
          <w:i/>
          <w:color w:val="000000"/>
          <w:sz w:val="20"/>
          <w:szCs w:val="20"/>
        </w:rPr>
        <w:t>5.3.b Comparaciones indirectas (CCII)</w:t>
      </w:r>
    </w:p>
    <w:p w:rsidR="002C4AF7" w:rsidRDefault="002C4AF7">
      <w:pPr>
        <w:ind w:left="0" w:hanging="2"/>
        <w:rPr>
          <w:rFonts w:ascii="Arial" w:eastAsia="Arial" w:hAnsi="Arial" w:cs="Arial"/>
          <w:sz w:val="20"/>
          <w:szCs w:val="20"/>
          <w:highlight w:val="yellow"/>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r>
        <w:rPr>
          <w:rFonts w:ascii="Cambria" w:eastAsia="Cambria" w:hAnsi="Cambria" w:cs="Cambria"/>
          <w:b/>
          <w:i/>
          <w:color w:val="000000"/>
          <w:sz w:val="20"/>
          <w:szCs w:val="20"/>
        </w:rPr>
        <w:t>5.3.b.1 Comparaciones Indirectas publicadas</w:t>
      </w:r>
    </w:p>
    <w:p w:rsidR="002C4AF7" w:rsidRDefault="002C4AF7">
      <w:pPr>
        <w:widowControl w:val="0"/>
        <w:spacing w:before="3"/>
        <w:ind w:left="0" w:hanging="2"/>
        <w:rPr>
          <w:rFonts w:ascii="Arial" w:eastAsia="Arial" w:hAnsi="Arial" w:cs="Arial"/>
          <w:sz w:val="17"/>
          <w:szCs w:val="17"/>
        </w:rPr>
      </w:pPr>
    </w:p>
    <w:p w:rsidR="002C4AF7" w:rsidRDefault="007C2686">
      <w:pPr>
        <w:widowControl w:val="0"/>
        <w:spacing w:before="3"/>
        <w:ind w:left="0" w:hanging="2"/>
        <w:jc w:val="both"/>
        <w:rPr>
          <w:rFonts w:ascii="Arial" w:eastAsia="Arial" w:hAnsi="Arial" w:cs="Arial"/>
          <w:sz w:val="20"/>
          <w:szCs w:val="20"/>
        </w:rPr>
      </w:pPr>
      <w:r>
        <w:rPr>
          <w:rFonts w:ascii="Arial" w:eastAsia="Arial" w:hAnsi="Arial" w:cs="Arial"/>
          <w:sz w:val="20"/>
          <w:szCs w:val="20"/>
        </w:rPr>
        <w:t>En octubre de 2021 se realizó búsqueda bibliográfica en Pubmed. Se localizan las siguientes revisiones sistemáticas con metaanálisis en red publicadas en 2020 y 2021 que incluyen diferentes estudios (15-17), en los que está presente enzalutamida y que incluyan el estudio ARCHES para la evaluación de alguna variable de eficacia:</w:t>
      </w:r>
    </w:p>
    <w:p w:rsidR="002C4AF7" w:rsidRDefault="002C4AF7">
      <w:pPr>
        <w:widowControl w:val="0"/>
        <w:spacing w:before="3"/>
        <w:ind w:left="0" w:hanging="2"/>
        <w:jc w:val="both"/>
        <w:rPr>
          <w:rFonts w:ascii="Arial" w:eastAsia="Arial" w:hAnsi="Arial" w:cs="Arial"/>
          <w:sz w:val="20"/>
          <w:szCs w:val="20"/>
        </w:rPr>
      </w:pPr>
    </w:p>
    <w:p w:rsidR="002C4AF7" w:rsidRDefault="007C2686">
      <w:pPr>
        <w:widowControl w:val="0"/>
        <w:spacing w:before="3"/>
        <w:ind w:left="0" w:hanging="2"/>
        <w:jc w:val="both"/>
        <w:rPr>
          <w:rFonts w:ascii="Arial" w:eastAsia="Arial" w:hAnsi="Arial" w:cs="Arial"/>
          <w:sz w:val="20"/>
          <w:szCs w:val="20"/>
        </w:rPr>
      </w:pPr>
      <w:r w:rsidRPr="001475C9">
        <w:rPr>
          <w:rFonts w:ascii="Arial" w:eastAsia="Arial" w:hAnsi="Arial" w:cs="Arial"/>
          <w:b/>
          <w:sz w:val="20"/>
          <w:szCs w:val="20"/>
          <w:lang w:val="en-GB"/>
        </w:rPr>
        <w:t xml:space="preserve">Marchioni M, Di Nicola M, Primiceri G, Novara G, Castellan P, Paul AK, Veccia A, Autorino R, Cindolo L, Schips L. New Antiandrogen Compounds Compared to Docetaxel for Metastatic Hormone Sensitive Prostate Cancer: Results from a Network Meta-Analysis. </w:t>
      </w:r>
      <w:r>
        <w:rPr>
          <w:rFonts w:ascii="Arial" w:eastAsia="Arial" w:hAnsi="Arial" w:cs="Arial"/>
          <w:b/>
          <w:sz w:val="20"/>
          <w:szCs w:val="20"/>
        </w:rPr>
        <w:t>J Urol. 2020 Apr;203(4):751-759. doi: 10.1097/JU.0000000000000636. Epub 2019 Nov 5. PMID: 31689158 (15).</w:t>
      </w:r>
    </w:p>
    <w:p w:rsidR="002C4AF7" w:rsidRDefault="002C4AF7">
      <w:pPr>
        <w:widowControl w:val="0"/>
        <w:spacing w:before="3"/>
        <w:ind w:left="0" w:hanging="2"/>
        <w:jc w:val="both"/>
        <w:rPr>
          <w:rFonts w:ascii="Arial" w:eastAsia="Arial" w:hAnsi="Arial" w:cs="Arial"/>
          <w:sz w:val="17"/>
          <w:szCs w:val="17"/>
        </w:rPr>
      </w:pPr>
    </w:p>
    <w:p w:rsidR="002C4AF7" w:rsidRDefault="002C4AF7">
      <w:pPr>
        <w:ind w:left="0" w:hanging="2"/>
        <w:rPr>
          <w:rFonts w:ascii="Arial" w:eastAsia="Arial" w:hAnsi="Arial" w:cs="Arial"/>
          <w:sz w:val="20"/>
          <w:szCs w:val="20"/>
          <w:highlight w:val="yellow"/>
        </w:rPr>
      </w:pPr>
    </w:p>
    <w:p w:rsidR="002C4AF7" w:rsidRDefault="007C2686">
      <w:pPr>
        <w:ind w:left="0" w:hanging="2"/>
        <w:rPr>
          <w:rFonts w:ascii="Arial" w:eastAsia="Arial" w:hAnsi="Arial" w:cs="Arial"/>
          <w:sz w:val="20"/>
          <w:szCs w:val="20"/>
        </w:rPr>
      </w:pPr>
      <w:r>
        <w:rPr>
          <w:rFonts w:ascii="Arial" w:eastAsia="Arial" w:hAnsi="Arial" w:cs="Arial"/>
          <w:sz w:val="20"/>
          <w:szCs w:val="20"/>
          <w:u w:val="single"/>
        </w:rPr>
        <w:t>Objetivo</w:t>
      </w:r>
      <w:r>
        <w:rPr>
          <w:rFonts w:ascii="Arial" w:eastAsia="Arial" w:hAnsi="Arial" w:cs="Arial"/>
          <w:sz w:val="20"/>
          <w:szCs w:val="20"/>
        </w:rPr>
        <w:t xml:space="preserve">: </w:t>
      </w:r>
    </w:p>
    <w:p w:rsidR="002C4AF7" w:rsidRDefault="007C2686">
      <w:pPr>
        <w:ind w:left="0" w:hanging="2"/>
        <w:jc w:val="both"/>
        <w:rPr>
          <w:rFonts w:ascii="Arial" w:eastAsia="Arial" w:hAnsi="Arial" w:cs="Arial"/>
          <w:sz w:val="20"/>
          <w:szCs w:val="20"/>
        </w:rPr>
      </w:pPr>
      <w:r>
        <w:rPr>
          <w:rFonts w:ascii="Arial" w:eastAsia="Arial" w:hAnsi="Arial" w:cs="Arial"/>
          <w:sz w:val="20"/>
          <w:szCs w:val="20"/>
        </w:rPr>
        <w:t>Metaanálisis en red que compara los tratamiento en primera línea para CPMHs,, específicamente terapias dirigidas contra el receptor androgénico (apalutamida, docetaxel, docetaxel con bifosfonatos, abiraterona, enzalutamida, bifosfonatos, celecoxib y celecoxib con bifosfonatos).</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u w:val="single"/>
        </w:rPr>
      </w:pPr>
      <w:r>
        <w:rPr>
          <w:rFonts w:ascii="Arial" w:eastAsia="Arial" w:hAnsi="Arial" w:cs="Arial"/>
          <w:sz w:val="20"/>
          <w:szCs w:val="20"/>
          <w:u w:val="single"/>
        </w:rPr>
        <w:t>Metodología:</w:t>
      </w:r>
    </w:p>
    <w:p w:rsidR="002C4AF7" w:rsidRDefault="007C2686">
      <w:pPr>
        <w:ind w:left="0" w:hanging="2"/>
        <w:jc w:val="both"/>
        <w:rPr>
          <w:rFonts w:ascii="Arial" w:eastAsia="Arial" w:hAnsi="Arial" w:cs="Arial"/>
          <w:sz w:val="20"/>
          <w:szCs w:val="20"/>
        </w:rPr>
      </w:pPr>
      <w:r>
        <w:rPr>
          <w:rFonts w:ascii="Arial" w:eastAsia="Arial" w:hAnsi="Arial" w:cs="Arial"/>
          <w:sz w:val="20"/>
          <w:szCs w:val="20"/>
        </w:rPr>
        <w:lastRenderedPageBreak/>
        <w:t>Revisión sistemática de ensayos clínicos, y metaanálisis en red.</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sz w:val="20"/>
          <w:szCs w:val="20"/>
          <w:u w:val="single"/>
        </w:rPr>
        <w:t>Resultados:</w:t>
      </w: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Se incluyeron 13 estudios en los metaanálisis en red. Los 13 estudios se incluyeron para el análisis de SG, 7 estudios se incluyeron en el análisis de SLP y 10 estudios se incluyeron en el análisis de eventos adversos. </w:t>
      </w: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Los estudios que se excluyeron del análisis de SLP fue debido a “definición de progresión incluyó fallo a PSA” (ZAPCA, CALGB, STAMPEDE brazo D versus F), “definición de progresión incluía solo progresión de metástasis óseas sintomáticas y no se realizaba scan en los pacientes con metástasis óseas </w:t>
      </w:r>
      <w:r w:rsidR="00747F3B">
        <w:rPr>
          <w:rFonts w:ascii="Arial" w:eastAsia="Arial" w:hAnsi="Arial" w:cs="Arial"/>
          <w:sz w:val="20"/>
          <w:szCs w:val="20"/>
        </w:rPr>
        <w:t>asintomáticas” (</w:t>
      </w:r>
      <w:r>
        <w:rPr>
          <w:rFonts w:ascii="Arial" w:eastAsia="Arial" w:hAnsi="Arial" w:cs="Arial"/>
          <w:sz w:val="20"/>
          <w:szCs w:val="20"/>
        </w:rPr>
        <w:t xml:space="preserve">MRC-PRO) y “no estratificación M0 vs. M1” (STAMPEDE brazo G, STAMPEDE brazo B versus C versus E). </w:t>
      </w:r>
    </w:p>
    <w:p w:rsidR="002C4AF7" w:rsidRDefault="007C2686">
      <w:pPr>
        <w:ind w:left="0" w:hanging="2"/>
        <w:jc w:val="both"/>
        <w:rPr>
          <w:rFonts w:ascii="Arial" w:eastAsia="Arial" w:hAnsi="Arial" w:cs="Arial"/>
          <w:sz w:val="20"/>
          <w:szCs w:val="20"/>
        </w:rPr>
      </w:pPr>
      <w:r>
        <w:rPr>
          <w:rFonts w:ascii="Arial" w:eastAsia="Arial" w:hAnsi="Arial" w:cs="Arial"/>
          <w:sz w:val="20"/>
          <w:szCs w:val="20"/>
        </w:rPr>
        <w:t>El motivo de exclusión de los estudios para eventos adversos era “datos no recogidos claramente y/o estratificados” (CHAARTED, GETUG AFU 15, MRC-PROS).</w:t>
      </w: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De los 13 estudios incluidos, cinco eran doble ciego y ocho estudios eran abiertos. La variable principal fue SG para ocho estudios (STAMPEDE brazo G, STAMPEDE brazo B versus C versus E, CHAARTED, GETUG AFU 15, LATITUDE, ENZAMET, STAMPEDE brazo D versus F, STAMPEDE brazo C versus G), SLPr para dos estudios (ARCHES, TITAN) y un estudio para SLP ósea (MRC-PRO5), otro SL de eventos óseos (CALGB) y otro, supervivencia libre de fracaso (ZAPCA). </w:t>
      </w: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El análisis incluyó 10.800 pacientes de los cuales el 43,1% se trataron con TDA en monoterapia o en combinación con AANS, el 9,9% se trataban con docetaxel, 12,3% con abiraterona, 10,5% con enzalutamida y 4,9% con apalutamida. La mediana de seguimiento se encontraba entre 14,4 y 83,2 meses. Un estudio (ENZAMET) incluyó la combinación de TDA con AANS como brazo control. Otro (STAMPEDE) incluía comparación entre distintos tratamientos activos. El autor indicaba que había alguna variabilidad y diferencias en la población que eran evidentes entre los estudios. La mediana de edad se encontraba entre 63 y 72 años, y la mediana de PSA se situaba entre 6,9 y 70 ng/mL. Los autores indicaban que la calidad global de los estudios incluidos era alta con bajo riesgo de sesgo de selección para las variables principales. Pero había alto riesgo de sesgo de detección. Para la variable eventos adversos, se observó que el riesgo de sesgo de pérdidas era alto debido a la información incompleta sobre la variable y no se realizaban análisis según estadio metastásico. El riesgo de sesgo de publicación es bajo para todas las variables. </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u w:val="single"/>
        </w:rPr>
      </w:pPr>
      <w:r>
        <w:rPr>
          <w:rFonts w:ascii="Arial" w:eastAsia="Arial" w:hAnsi="Arial" w:cs="Arial"/>
          <w:sz w:val="20"/>
          <w:szCs w:val="20"/>
          <w:u w:val="single"/>
        </w:rPr>
        <w:t>Resultados de SG:</w:t>
      </w:r>
    </w:p>
    <w:p w:rsidR="002C4AF7" w:rsidRDefault="007C2686">
      <w:pPr>
        <w:ind w:left="0" w:hanging="2"/>
        <w:jc w:val="both"/>
        <w:rPr>
          <w:rFonts w:ascii="Arial" w:eastAsia="Arial" w:hAnsi="Arial" w:cs="Arial"/>
          <w:sz w:val="20"/>
          <w:szCs w:val="20"/>
        </w:rPr>
      </w:pPr>
      <w:r>
        <w:rPr>
          <w:rFonts w:ascii="Arial" w:eastAsia="Arial" w:hAnsi="Arial" w:cs="Arial"/>
          <w:sz w:val="20"/>
          <w:szCs w:val="20"/>
        </w:rPr>
        <w:t>De forma global sucedieron 4.006 muertes. Los resultados de efectos agregados sugieren diferencias estadísticamente significativas para el riesgo de muerte global a favor de los tratamientos combinados vs. TDA excepto para celecoxib.</w:t>
      </w:r>
    </w:p>
    <w:p w:rsidR="002C4AF7" w:rsidRDefault="007C2686">
      <w:pPr>
        <w:ind w:left="0" w:hanging="2"/>
        <w:jc w:val="both"/>
        <w:rPr>
          <w:rFonts w:ascii="Arial" w:eastAsia="Arial" w:hAnsi="Arial" w:cs="Arial"/>
          <w:sz w:val="20"/>
          <w:szCs w:val="20"/>
        </w:rPr>
      </w:pPr>
      <w:r>
        <w:rPr>
          <w:rFonts w:ascii="Arial" w:eastAsia="Arial" w:hAnsi="Arial" w:cs="Arial"/>
          <w:b/>
          <w:sz w:val="20"/>
          <w:szCs w:val="20"/>
        </w:rPr>
        <w:t>Enzalutamida no mostró diferencias estadísticamente significativas para SG comparando con ninguno de las combinaciones de tratamientos (docetaxel, docetaxel con bifosfonatos, abiraterona, enzalutamida, bifosfonatos, celecoxib y celecoxib con bifosfonatos)</w:t>
      </w:r>
      <w:r>
        <w:rPr>
          <w:rFonts w:ascii="Arial" w:eastAsia="Arial" w:hAnsi="Arial" w:cs="Arial"/>
          <w:sz w:val="20"/>
          <w:szCs w:val="20"/>
        </w:rPr>
        <w:t>.</w:t>
      </w:r>
    </w:p>
    <w:p w:rsidR="002C4AF7" w:rsidRDefault="007C2686">
      <w:pPr>
        <w:ind w:left="0" w:hanging="2"/>
        <w:jc w:val="both"/>
        <w:rPr>
          <w:rFonts w:ascii="Arial" w:eastAsia="Arial" w:hAnsi="Arial" w:cs="Arial"/>
          <w:sz w:val="20"/>
          <w:szCs w:val="20"/>
        </w:rPr>
      </w:pPr>
      <w:r>
        <w:rPr>
          <w:rFonts w:ascii="Arial" w:eastAsia="Arial" w:hAnsi="Arial" w:cs="Arial"/>
          <w:sz w:val="20"/>
          <w:szCs w:val="20"/>
        </w:rPr>
        <w:t>Se indica que el modelo no pudo mostrar heterogeneidad estadística en su diseño (I</w:t>
      </w:r>
      <w:r>
        <w:rPr>
          <w:rFonts w:ascii="Arial" w:eastAsia="Arial" w:hAnsi="Arial" w:cs="Arial"/>
          <w:sz w:val="20"/>
          <w:szCs w:val="20"/>
          <w:vertAlign w:val="superscript"/>
        </w:rPr>
        <w:t>2</w:t>
      </w:r>
      <w:r>
        <w:rPr>
          <w:rFonts w:ascii="Arial" w:eastAsia="Arial" w:hAnsi="Arial" w:cs="Arial"/>
          <w:sz w:val="20"/>
          <w:szCs w:val="20"/>
        </w:rPr>
        <w:t>=0%, tau</w:t>
      </w:r>
      <w:r>
        <w:rPr>
          <w:rFonts w:ascii="Arial" w:eastAsia="Arial" w:hAnsi="Arial" w:cs="Arial"/>
          <w:sz w:val="20"/>
          <w:szCs w:val="20"/>
          <w:vertAlign w:val="superscript"/>
        </w:rPr>
        <w:t>2</w:t>
      </w:r>
      <w:r>
        <w:rPr>
          <w:rFonts w:ascii="Arial" w:eastAsia="Arial" w:hAnsi="Arial" w:cs="Arial"/>
          <w:sz w:val="20"/>
          <w:szCs w:val="20"/>
        </w:rPr>
        <w:t>= 0, p=0,664) e inconsistencia en el diseño (p=0,380). Los autores gradaron la calidad con metodología GRADE para las comparaciones directas como alta. La evidencia del metaanálisis en red se valoró como calidad intermedia y baja en la mayoría de los casos.</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Figura 12. Comparación de cada tratamiento (asociado a TDA) para mortalidad global. </w:t>
      </w:r>
    </w:p>
    <w:p w:rsidR="002C4AF7" w:rsidRDefault="007C2686">
      <w:pPr>
        <w:ind w:left="0" w:hanging="2"/>
        <w:jc w:val="both"/>
        <w:rPr>
          <w:rFonts w:ascii="Arial" w:eastAsia="Arial" w:hAnsi="Arial" w:cs="Arial"/>
          <w:sz w:val="20"/>
          <w:szCs w:val="20"/>
          <w:highlight w:val="yellow"/>
        </w:rPr>
      </w:pPr>
      <w:r>
        <w:rPr>
          <w:rFonts w:ascii="Arial" w:eastAsia="Arial" w:hAnsi="Arial" w:cs="Arial"/>
          <w:noProof/>
          <w:sz w:val="20"/>
          <w:szCs w:val="20"/>
        </w:rPr>
        <w:lastRenderedPageBreak/>
        <w:drawing>
          <wp:inline distT="0" distB="0" distL="114300" distR="114300">
            <wp:extent cx="5314315" cy="3373120"/>
            <wp:effectExtent l="0" t="0" r="0" b="0"/>
            <wp:docPr id="111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4"/>
                    <a:srcRect/>
                    <a:stretch>
                      <a:fillRect/>
                    </a:stretch>
                  </pic:blipFill>
                  <pic:spPr>
                    <a:xfrm>
                      <a:off x="0" y="0"/>
                      <a:ext cx="5314315" cy="3373120"/>
                    </a:xfrm>
                    <a:prstGeom prst="rect">
                      <a:avLst/>
                    </a:prstGeom>
                    <a:ln/>
                  </pic:spPr>
                </pic:pic>
              </a:graphicData>
            </a:graphic>
          </wp:inline>
        </w:drawing>
      </w:r>
    </w:p>
    <w:p w:rsidR="002C4AF7" w:rsidRDefault="002C4AF7">
      <w:pPr>
        <w:ind w:left="0" w:hanging="2"/>
        <w:jc w:val="both"/>
        <w:rPr>
          <w:rFonts w:ascii="Arial" w:eastAsia="Arial" w:hAnsi="Arial" w:cs="Arial"/>
          <w:sz w:val="20"/>
          <w:szCs w:val="20"/>
          <w:highlight w:val="yellow"/>
        </w:rPr>
      </w:pPr>
    </w:p>
    <w:p w:rsidR="002C4AF7" w:rsidRDefault="002C4AF7">
      <w:pPr>
        <w:ind w:left="0" w:hanging="2"/>
        <w:jc w:val="both"/>
        <w:rPr>
          <w:rFonts w:ascii="Arial" w:eastAsia="Arial" w:hAnsi="Arial" w:cs="Arial"/>
          <w:sz w:val="20"/>
          <w:szCs w:val="20"/>
          <w:highlight w:val="yellow"/>
        </w:rPr>
      </w:pPr>
    </w:p>
    <w:p w:rsidR="002C4AF7" w:rsidRDefault="007C2686">
      <w:pPr>
        <w:ind w:left="0" w:hanging="2"/>
        <w:jc w:val="both"/>
        <w:rPr>
          <w:rFonts w:ascii="Arial" w:eastAsia="Arial" w:hAnsi="Arial" w:cs="Arial"/>
          <w:sz w:val="20"/>
          <w:szCs w:val="20"/>
          <w:u w:val="single"/>
        </w:rPr>
      </w:pPr>
      <w:r>
        <w:rPr>
          <w:rFonts w:ascii="Arial" w:eastAsia="Arial" w:hAnsi="Arial" w:cs="Arial"/>
          <w:sz w:val="20"/>
          <w:szCs w:val="20"/>
          <w:u w:val="single"/>
        </w:rPr>
        <w:t>Resultados para SLP</w:t>
      </w:r>
    </w:p>
    <w:p w:rsidR="002C4AF7" w:rsidRDefault="002C4AF7">
      <w:pPr>
        <w:ind w:left="0" w:hanging="2"/>
        <w:jc w:val="both"/>
        <w:rPr>
          <w:rFonts w:ascii="Arial" w:eastAsia="Arial" w:hAnsi="Arial" w:cs="Arial"/>
          <w:sz w:val="20"/>
          <w:szCs w:val="20"/>
          <w:u w:val="single"/>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En total hubo 1.265 eventos de progresión. Los resultados agregados indicaban que cada tratamiento en combinación mostró diferencia estadísticamente significativa en la progresión de la enfermedad a favor de la combinación vs. TDA sola. </w:t>
      </w: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Enzalutamida tuvo el mayor efecto sobre SLP comparado con TDA (HR=0,40; 95%CI: 0,34-0,46). </w:t>
      </w:r>
    </w:p>
    <w:p w:rsidR="002C4AF7" w:rsidRDefault="007C2686">
      <w:pPr>
        <w:ind w:left="0" w:hanging="2"/>
        <w:jc w:val="both"/>
        <w:rPr>
          <w:rFonts w:ascii="Arial" w:eastAsia="Arial" w:hAnsi="Arial" w:cs="Arial"/>
          <w:sz w:val="20"/>
          <w:szCs w:val="20"/>
        </w:rPr>
      </w:pPr>
      <w:r>
        <w:rPr>
          <w:rFonts w:ascii="Arial" w:eastAsia="Arial" w:hAnsi="Arial" w:cs="Arial"/>
          <w:b/>
          <w:sz w:val="20"/>
          <w:szCs w:val="20"/>
        </w:rPr>
        <w:t xml:space="preserve">Enzalutamida mostró diferencia estadísticamente significativa comparada con docetaxel (HR=0,61; 95% CI: 0,49-0,75). Abiraterona mostró diferencia estadísticamente significativa comparada con docetaxel  (HR=0,71; 95% CI: 0,59-0,86). Y también lo hizo apalutamida comparada con docetaxel  (HR=0,74; 95% CI: 0,57-0,95). No se observaron diferencias estadísticamente significativas cuando se compararon abiraterona, apalutamida y enzalutamida entre sí. </w:t>
      </w:r>
    </w:p>
    <w:p w:rsidR="002C4AF7" w:rsidRDefault="007C2686">
      <w:pPr>
        <w:ind w:left="0" w:hanging="2"/>
        <w:jc w:val="both"/>
        <w:rPr>
          <w:rFonts w:ascii="Arial" w:eastAsia="Arial" w:hAnsi="Arial" w:cs="Arial"/>
          <w:sz w:val="20"/>
          <w:szCs w:val="20"/>
        </w:rPr>
      </w:pPr>
      <w:r>
        <w:rPr>
          <w:rFonts w:ascii="Arial" w:eastAsia="Arial" w:hAnsi="Arial" w:cs="Arial"/>
          <w:sz w:val="20"/>
          <w:szCs w:val="20"/>
        </w:rPr>
        <w:t>Se indica que el modelo no pudo mostrar heterogeneidad estadística en su diseño (I</w:t>
      </w:r>
      <w:r>
        <w:rPr>
          <w:rFonts w:ascii="Arial" w:eastAsia="Arial" w:hAnsi="Arial" w:cs="Arial"/>
          <w:sz w:val="20"/>
          <w:szCs w:val="20"/>
          <w:vertAlign w:val="superscript"/>
        </w:rPr>
        <w:t>2</w:t>
      </w:r>
      <w:r>
        <w:rPr>
          <w:rFonts w:ascii="Arial" w:eastAsia="Arial" w:hAnsi="Arial" w:cs="Arial"/>
          <w:sz w:val="20"/>
          <w:szCs w:val="20"/>
        </w:rPr>
        <w:t>=0%, tau</w:t>
      </w:r>
      <w:r>
        <w:rPr>
          <w:rFonts w:ascii="Arial" w:eastAsia="Arial" w:hAnsi="Arial" w:cs="Arial"/>
          <w:sz w:val="20"/>
          <w:szCs w:val="20"/>
          <w:vertAlign w:val="superscript"/>
        </w:rPr>
        <w:t>2</w:t>
      </w:r>
      <w:r>
        <w:rPr>
          <w:rFonts w:ascii="Arial" w:eastAsia="Arial" w:hAnsi="Arial" w:cs="Arial"/>
          <w:sz w:val="20"/>
          <w:szCs w:val="20"/>
        </w:rPr>
        <w:t>= 0, p=0,774) e inconsistencia en el diseño (p=0,804). Los autores graduaron la calidad con metodología GRADE para las comparaciones directas como alta. La evidencia del metaanálisis en red se valoró como calidad intermedia y baja en la mayoría de los casos.</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Figura 13. HR para riesgo de progresión de enfermedad</w:t>
      </w:r>
    </w:p>
    <w:p w:rsidR="002C4AF7" w:rsidRDefault="002C4AF7">
      <w:pPr>
        <w:ind w:left="0" w:hanging="2"/>
        <w:jc w:val="both"/>
        <w:rPr>
          <w:rFonts w:ascii="Arial" w:eastAsia="Arial" w:hAnsi="Arial" w:cs="Arial"/>
          <w:sz w:val="20"/>
          <w:szCs w:val="20"/>
        </w:rPr>
      </w:pP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noProof/>
          <w:sz w:val="20"/>
          <w:szCs w:val="20"/>
        </w:rPr>
        <w:drawing>
          <wp:inline distT="0" distB="0" distL="114300" distR="114300">
            <wp:extent cx="4638040" cy="2012315"/>
            <wp:effectExtent l="0" t="0" r="0" b="0"/>
            <wp:docPr id="111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5"/>
                    <a:srcRect/>
                    <a:stretch>
                      <a:fillRect/>
                    </a:stretch>
                  </pic:blipFill>
                  <pic:spPr>
                    <a:xfrm>
                      <a:off x="0" y="0"/>
                      <a:ext cx="4638040" cy="2012315"/>
                    </a:xfrm>
                    <a:prstGeom prst="rect">
                      <a:avLst/>
                    </a:prstGeom>
                    <a:ln/>
                  </pic:spPr>
                </pic:pic>
              </a:graphicData>
            </a:graphic>
          </wp:inline>
        </w:drawing>
      </w:r>
    </w:p>
    <w:p w:rsidR="002C4AF7" w:rsidRDefault="002C4AF7">
      <w:pPr>
        <w:ind w:left="0" w:hanging="2"/>
        <w:jc w:val="both"/>
        <w:rPr>
          <w:rFonts w:ascii="Arial" w:eastAsia="Arial" w:hAnsi="Arial" w:cs="Arial"/>
          <w:sz w:val="20"/>
          <w:szCs w:val="20"/>
          <w:highlight w:val="yellow"/>
        </w:rPr>
      </w:pPr>
    </w:p>
    <w:p w:rsidR="002C4AF7" w:rsidRDefault="007C2686">
      <w:pPr>
        <w:ind w:left="0" w:hanging="2"/>
        <w:jc w:val="both"/>
        <w:rPr>
          <w:rFonts w:ascii="Arial" w:eastAsia="Arial" w:hAnsi="Arial" w:cs="Arial"/>
          <w:sz w:val="20"/>
          <w:szCs w:val="20"/>
          <w:u w:val="single"/>
        </w:rPr>
      </w:pPr>
      <w:r>
        <w:rPr>
          <w:rFonts w:ascii="Arial" w:eastAsia="Arial" w:hAnsi="Arial" w:cs="Arial"/>
          <w:sz w:val="20"/>
          <w:szCs w:val="20"/>
          <w:u w:val="single"/>
        </w:rPr>
        <w:t>Resultado para eventos adversos:</w:t>
      </w: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Los resultados agregados mostraron diferencias estadísticamente significativas con mayor riesgo para abiraterona (OR= 1,90; 95%CI: 1,42-2,54), docetaxel (OR= 2,30; 95%CI: 1,61-3,28) y docetaxel asociado a bifosfonatos (OR= 2,38; 95%CI: 1.57-3.63) comparados con TDA sola. </w:t>
      </w: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Las otras combinaciones de tratamiento no mostraron mayor riesgo de eventos adversos en comparación con TDA. </w:t>
      </w:r>
      <w:r>
        <w:rPr>
          <w:rFonts w:ascii="Arial" w:eastAsia="Arial" w:hAnsi="Arial" w:cs="Arial"/>
          <w:b/>
          <w:sz w:val="20"/>
          <w:szCs w:val="20"/>
        </w:rPr>
        <w:t xml:space="preserve">Enzalutamida mostró menos riesgo de eventos adversos vs. docetaxel  </w:t>
      </w:r>
      <w:r>
        <w:rPr>
          <w:rFonts w:ascii="Arial" w:eastAsia="Arial" w:hAnsi="Arial" w:cs="Arial"/>
          <w:sz w:val="20"/>
          <w:szCs w:val="20"/>
        </w:rPr>
        <w:t xml:space="preserve">(OR= 0,56; 95%CI: 0,35-0,92) y docetaxel con bifosfonatos (OR= 0,54; 95%CI: 0,32-0,93). </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El modelo mostró elevada heterogeneidad es</w:t>
      </w:r>
      <w:r w:rsidR="00747F3B">
        <w:rPr>
          <w:rFonts w:ascii="Arial" w:eastAsia="Arial" w:hAnsi="Arial" w:cs="Arial"/>
          <w:sz w:val="20"/>
          <w:szCs w:val="20"/>
        </w:rPr>
        <w:t>tadística en relación al diseño</w:t>
      </w:r>
      <w:r>
        <w:rPr>
          <w:rFonts w:ascii="Arial" w:eastAsia="Arial" w:hAnsi="Arial" w:cs="Arial"/>
          <w:sz w:val="20"/>
          <w:szCs w:val="20"/>
        </w:rPr>
        <w:t xml:space="preserve"> (I</w:t>
      </w:r>
      <w:r>
        <w:rPr>
          <w:rFonts w:ascii="Arial" w:eastAsia="Arial" w:hAnsi="Arial" w:cs="Arial"/>
          <w:sz w:val="20"/>
          <w:szCs w:val="20"/>
          <w:vertAlign w:val="superscript"/>
        </w:rPr>
        <w:t>2</w:t>
      </w:r>
      <w:r>
        <w:rPr>
          <w:rFonts w:ascii="Arial" w:eastAsia="Arial" w:hAnsi="Arial" w:cs="Arial"/>
          <w:sz w:val="20"/>
          <w:szCs w:val="20"/>
        </w:rPr>
        <w:t>=66.9%, tau</w:t>
      </w:r>
      <w:r>
        <w:rPr>
          <w:rFonts w:ascii="Arial" w:eastAsia="Arial" w:hAnsi="Arial" w:cs="Arial"/>
          <w:sz w:val="20"/>
          <w:szCs w:val="20"/>
          <w:vertAlign w:val="superscript"/>
        </w:rPr>
        <w:t>2</w:t>
      </w:r>
      <w:r>
        <w:rPr>
          <w:rFonts w:ascii="Arial" w:eastAsia="Arial" w:hAnsi="Arial" w:cs="Arial"/>
          <w:sz w:val="20"/>
          <w:szCs w:val="20"/>
        </w:rPr>
        <w:t xml:space="preserve">= 0.042, p=0,009) y bajo riesgo de inconsistencia entre diseños (p=0,161). La calidad GRADE de las comparaciones directas era intermedia y la de los metaanálisis en red era baja en la mayoría de los casos. </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Se realizó un análisis de sensibilidad que excluyó el estudio STAMPEDE debido a la información limitada de eventos adversos solo para pacientes con metástasis. Los resultados de los análisis de sensibilidad no mostraban diferencias estadísticamente significativas para mayor riesgo de abiraterona, apalutamida, enzalutamida o bifosfonatos comparados con TDA. </w:t>
      </w:r>
    </w:p>
    <w:p w:rsidR="002C4AF7" w:rsidRDefault="002C4AF7">
      <w:pPr>
        <w:ind w:left="0" w:hanging="2"/>
        <w:jc w:val="both"/>
        <w:rPr>
          <w:rFonts w:ascii="Arial" w:eastAsia="Arial" w:hAnsi="Arial" w:cs="Arial"/>
          <w:sz w:val="20"/>
          <w:szCs w:val="20"/>
          <w:highlight w:val="yellow"/>
        </w:rPr>
      </w:pPr>
    </w:p>
    <w:p w:rsidR="002C4AF7" w:rsidRDefault="002C4AF7">
      <w:pPr>
        <w:ind w:left="0" w:hanging="2"/>
        <w:jc w:val="both"/>
        <w:rPr>
          <w:rFonts w:ascii="Arial" w:eastAsia="Arial" w:hAnsi="Arial" w:cs="Arial"/>
          <w:sz w:val="20"/>
          <w:szCs w:val="20"/>
          <w:highlight w:val="yellow"/>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Figura 14. HR para riesgo de eventos adversos de alto grado.</w:t>
      </w:r>
    </w:p>
    <w:p w:rsidR="002C4AF7" w:rsidRDefault="002C4AF7">
      <w:pPr>
        <w:ind w:left="0" w:hanging="2"/>
        <w:jc w:val="both"/>
        <w:rPr>
          <w:rFonts w:ascii="Arial" w:eastAsia="Arial" w:hAnsi="Arial" w:cs="Arial"/>
          <w:sz w:val="20"/>
          <w:szCs w:val="20"/>
          <w:highlight w:val="yellow"/>
        </w:rPr>
      </w:pPr>
    </w:p>
    <w:p w:rsidR="002C4AF7" w:rsidRDefault="002C4AF7">
      <w:pPr>
        <w:ind w:left="0" w:hanging="2"/>
        <w:jc w:val="both"/>
        <w:rPr>
          <w:rFonts w:ascii="Arial" w:eastAsia="Arial" w:hAnsi="Arial" w:cs="Arial"/>
          <w:sz w:val="20"/>
          <w:szCs w:val="20"/>
          <w:highlight w:val="yellow"/>
        </w:rPr>
      </w:pPr>
    </w:p>
    <w:p w:rsidR="002C4AF7" w:rsidRDefault="007C2686">
      <w:pPr>
        <w:ind w:left="0" w:hanging="2"/>
        <w:jc w:val="both"/>
        <w:rPr>
          <w:rFonts w:ascii="Arial" w:eastAsia="Arial" w:hAnsi="Arial" w:cs="Arial"/>
          <w:sz w:val="20"/>
          <w:szCs w:val="20"/>
          <w:highlight w:val="yellow"/>
        </w:rPr>
      </w:pPr>
      <w:r>
        <w:rPr>
          <w:rFonts w:ascii="Arial" w:eastAsia="Arial" w:hAnsi="Arial" w:cs="Arial"/>
          <w:noProof/>
          <w:sz w:val="20"/>
          <w:szCs w:val="20"/>
        </w:rPr>
        <w:drawing>
          <wp:inline distT="0" distB="0" distL="114300" distR="114300">
            <wp:extent cx="5497830" cy="951865"/>
            <wp:effectExtent l="0" t="0" r="0" b="0"/>
            <wp:docPr id="111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6"/>
                    <a:srcRect/>
                    <a:stretch>
                      <a:fillRect/>
                    </a:stretch>
                  </pic:blipFill>
                  <pic:spPr>
                    <a:xfrm>
                      <a:off x="0" y="0"/>
                      <a:ext cx="5497830" cy="951865"/>
                    </a:xfrm>
                    <a:prstGeom prst="rect">
                      <a:avLst/>
                    </a:prstGeom>
                    <a:ln/>
                  </pic:spPr>
                </pic:pic>
              </a:graphicData>
            </a:graphic>
          </wp:inline>
        </w:drawing>
      </w:r>
    </w:p>
    <w:p w:rsidR="002C4AF7" w:rsidRDefault="007C2686">
      <w:pPr>
        <w:ind w:left="0" w:hanging="2"/>
        <w:jc w:val="both"/>
        <w:rPr>
          <w:rFonts w:ascii="Arial" w:eastAsia="Arial" w:hAnsi="Arial" w:cs="Arial"/>
          <w:sz w:val="20"/>
          <w:szCs w:val="20"/>
          <w:highlight w:val="yellow"/>
        </w:rPr>
      </w:pPr>
      <w:r>
        <w:rPr>
          <w:rFonts w:ascii="Arial" w:eastAsia="Arial" w:hAnsi="Arial" w:cs="Arial"/>
          <w:noProof/>
          <w:sz w:val="20"/>
          <w:szCs w:val="20"/>
        </w:rPr>
        <w:drawing>
          <wp:inline distT="0" distB="0" distL="114300" distR="114300">
            <wp:extent cx="5516880" cy="2832100"/>
            <wp:effectExtent l="0" t="0" r="0" b="0"/>
            <wp:docPr id="112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7"/>
                    <a:srcRect/>
                    <a:stretch>
                      <a:fillRect/>
                    </a:stretch>
                  </pic:blipFill>
                  <pic:spPr>
                    <a:xfrm>
                      <a:off x="0" y="0"/>
                      <a:ext cx="5516880" cy="2832100"/>
                    </a:xfrm>
                    <a:prstGeom prst="rect">
                      <a:avLst/>
                    </a:prstGeom>
                    <a:ln/>
                  </pic:spPr>
                </pic:pic>
              </a:graphicData>
            </a:graphic>
          </wp:inline>
        </w:drawing>
      </w:r>
    </w:p>
    <w:p w:rsidR="002C4AF7" w:rsidRDefault="002C4AF7">
      <w:pPr>
        <w:ind w:left="0" w:hanging="2"/>
        <w:rPr>
          <w:rFonts w:ascii="Arial" w:eastAsia="Arial" w:hAnsi="Arial" w:cs="Arial"/>
          <w:sz w:val="20"/>
          <w:szCs w:val="20"/>
        </w:rPr>
      </w:pPr>
    </w:p>
    <w:p w:rsidR="002C4AF7" w:rsidRDefault="002C4AF7">
      <w:pPr>
        <w:ind w:left="0" w:hanging="2"/>
        <w:jc w:val="both"/>
        <w:rPr>
          <w:rFonts w:ascii="Arial" w:eastAsia="Arial" w:hAnsi="Arial" w:cs="Arial"/>
          <w:sz w:val="20"/>
          <w:szCs w:val="20"/>
        </w:rPr>
      </w:pPr>
    </w:p>
    <w:p w:rsidR="002C4AF7" w:rsidRDefault="007C2686">
      <w:pPr>
        <w:ind w:left="0" w:hanging="2"/>
        <w:rPr>
          <w:rFonts w:ascii="Arial" w:eastAsia="Arial" w:hAnsi="Arial" w:cs="Arial"/>
          <w:sz w:val="20"/>
          <w:szCs w:val="20"/>
          <w:u w:val="single"/>
        </w:rPr>
      </w:pPr>
      <w:r>
        <w:rPr>
          <w:rFonts w:ascii="Arial" w:eastAsia="Arial" w:hAnsi="Arial" w:cs="Arial"/>
          <w:sz w:val="20"/>
          <w:szCs w:val="20"/>
          <w:u w:val="single"/>
        </w:rPr>
        <w:t xml:space="preserve">Resumen: </w:t>
      </w: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Se han de considerar ciertas limitaciones en este estudio. Los autores del metanálisis no describen explícitamente la metodología para obtener los resultados. </w:t>
      </w: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Hay falta de transparencia en los criterios de exclusión. No se proporciona lista de estudios excluidos. La pregunta PICO no se explicitó claramente (por ejemplo, se usa la terminología “tratamientos nuevos” y no se proporcionan más detalles). </w:t>
      </w: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En relación al metaanálisis en red no queda claro cómo los autores seleccionaron los estudios que incluían población con y sin enfermedad metastásica y alguna terminología en la publicación no se </w:t>
      </w:r>
      <w:r>
        <w:rPr>
          <w:rFonts w:ascii="Arial" w:eastAsia="Arial" w:hAnsi="Arial" w:cs="Arial"/>
          <w:sz w:val="20"/>
          <w:szCs w:val="20"/>
        </w:rPr>
        <w:lastRenderedPageBreak/>
        <w:t xml:space="preserve">clarificó (por ejemplo “estratificación”). Tampoco queda explicitado si inicialmente los autores revisaron los subgrupos de los estudios que incluían pacientes con y sin CPMHS y únicamente incluyeron los subgrupos con la patología a estudio. </w:t>
      </w:r>
    </w:p>
    <w:p w:rsidR="002C4AF7" w:rsidRDefault="007C2686">
      <w:pPr>
        <w:ind w:left="0" w:hanging="2"/>
        <w:jc w:val="both"/>
        <w:rPr>
          <w:rFonts w:ascii="Arial" w:eastAsia="Arial" w:hAnsi="Arial" w:cs="Arial"/>
          <w:sz w:val="20"/>
          <w:szCs w:val="20"/>
        </w:rPr>
      </w:pPr>
      <w:r>
        <w:rPr>
          <w:rFonts w:ascii="Arial" w:eastAsia="Arial" w:hAnsi="Arial" w:cs="Arial"/>
          <w:sz w:val="20"/>
          <w:szCs w:val="20"/>
        </w:rPr>
        <w:t>En relación al riesgo de sesgo de los estudios incluidos, los autores indicaban que la calidad global de los estudios individuales incluidos eran alta con bajo riesgo de selección y de reporte para las principales variables. El riesgo de detección se clasificó como alto.</w:t>
      </w: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Se realizó un análisis de sensibilidad que excluía los pacientes sin metástasis (STAMPEDE) y los resultados no fueron consistentes con aquellos del análisis global. Los autores no discutieron las inconsistencias del resultado global y el análisis de sensibilidad. No se realizaron más análisis de sensibilidad. </w:t>
      </w: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Se han de citar varias fuentes de heterogeneidad clínica. Los estudios y la población de los mismos variaba y no se hizo una valoración formal de la heterogeneidad clínica. </w:t>
      </w:r>
    </w:p>
    <w:p w:rsidR="002C4AF7" w:rsidRDefault="007C2686">
      <w:pPr>
        <w:ind w:left="0" w:hanging="2"/>
        <w:jc w:val="both"/>
        <w:rPr>
          <w:rFonts w:ascii="Arial" w:eastAsia="Arial" w:hAnsi="Arial" w:cs="Arial"/>
          <w:sz w:val="20"/>
          <w:szCs w:val="20"/>
        </w:rPr>
      </w:pPr>
      <w:r>
        <w:rPr>
          <w:rFonts w:ascii="Arial" w:eastAsia="Arial" w:hAnsi="Arial" w:cs="Arial"/>
          <w:sz w:val="20"/>
          <w:szCs w:val="20"/>
        </w:rPr>
        <w:t>Algunos de los estudios no mostraban datos basales de algunos parámetros lo que dificultaba discernir si las poblaciones eran similares.</w:t>
      </w:r>
    </w:p>
    <w:p w:rsidR="002C4AF7" w:rsidRDefault="007C2686">
      <w:pPr>
        <w:ind w:left="0" w:hanging="2"/>
        <w:jc w:val="both"/>
        <w:rPr>
          <w:rFonts w:ascii="Arial" w:eastAsia="Arial" w:hAnsi="Arial" w:cs="Arial"/>
          <w:sz w:val="20"/>
          <w:szCs w:val="20"/>
        </w:rPr>
      </w:pPr>
      <w:r>
        <w:rPr>
          <w:rFonts w:ascii="Arial" w:eastAsia="Arial" w:hAnsi="Arial" w:cs="Arial"/>
          <w:sz w:val="20"/>
          <w:szCs w:val="20"/>
        </w:rPr>
        <w:t>Las diferencias eran aparentes en factores como el número previo de terapias y tratamientos permitidos para la inclusión en los estudios, ECOG y estadio de enfermedad. Los grupos de tratamiento con TDA también eran variados en los distintos estudios (por ejemplo; castración médica vs. química) y algunos de los protocolos no estaban claramente definidos. También había inconsistencias entre los estudios incluidos en relación a la definición de las variables. Este hecho es aparente en la selección de algunos estudios basados en la definición de SLP. También variaba el rango en los tiempos de seguimiento entre estudios (14,4 a 83,2 meses) y no quedaba claro si para el metaanálisis se usaban los mismos tiempos de seguimiento para reducir la heterogeneidad. Adicionalmente había heterogeneidad en el diseño del metaanálisis ya que se incluyeron una mezcla de estudios abiertos y doble ciego. No se incluyeron variables relacionadas con la calidad de vida relacionada con la salud.</w:t>
      </w:r>
    </w:p>
    <w:p w:rsidR="002C4AF7" w:rsidRDefault="002C4AF7">
      <w:pPr>
        <w:ind w:left="0" w:hanging="2"/>
        <w:jc w:val="both"/>
        <w:rPr>
          <w:rFonts w:ascii="Arial" w:eastAsia="Arial" w:hAnsi="Arial" w:cs="Arial"/>
          <w:sz w:val="20"/>
          <w:szCs w:val="20"/>
        </w:rPr>
      </w:pPr>
    </w:p>
    <w:p w:rsidR="002C4AF7" w:rsidRDefault="002C4AF7">
      <w:pPr>
        <w:ind w:left="0" w:hanging="2"/>
        <w:jc w:val="both"/>
        <w:rPr>
          <w:rFonts w:ascii="Arial" w:eastAsia="Arial" w:hAnsi="Arial" w:cs="Arial"/>
          <w:sz w:val="20"/>
          <w:szCs w:val="20"/>
        </w:rPr>
      </w:pPr>
    </w:p>
    <w:p w:rsidR="002C4AF7" w:rsidRDefault="002C4AF7">
      <w:pPr>
        <w:ind w:left="0" w:hanging="2"/>
        <w:rPr>
          <w:rFonts w:ascii="Arial" w:eastAsia="Arial" w:hAnsi="Arial" w:cs="Arial"/>
          <w:color w:val="000080"/>
          <w:sz w:val="20"/>
          <w:szCs w:val="20"/>
        </w:rPr>
      </w:pPr>
    </w:p>
    <w:tbl>
      <w:tblPr>
        <w:tblStyle w:val="afff9"/>
        <w:tblW w:w="893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2C4AF7">
        <w:tc>
          <w:tcPr>
            <w:tcW w:w="8931" w:type="dxa"/>
            <w:shd w:val="clear" w:color="auto" w:fill="E6E6E6"/>
          </w:tcPr>
          <w:p w:rsidR="002C4AF7" w:rsidRDefault="007C2686">
            <w:pPr>
              <w:ind w:left="0" w:hanging="2"/>
              <w:rPr>
                <w:rFonts w:ascii="Arial" w:eastAsia="Arial" w:hAnsi="Arial" w:cs="Arial"/>
                <w:sz w:val="16"/>
                <w:szCs w:val="16"/>
              </w:rPr>
            </w:pPr>
            <w:r>
              <w:rPr>
                <w:rFonts w:ascii="Arial" w:eastAsia="Arial" w:hAnsi="Arial" w:cs="Arial"/>
                <w:b/>
                <w:sz w:val="16"/>
                <w:szCs w:val="16"/>
              </w:rPr>
              <w:t>INTERPRETACIÓN DE LOS RESULTADOS DE LA COMPARACIÓN INDIRECTA</w:t>
            </w:r>
          </w:p>
          <w:p w:rsidR="002C4AF7" w:rsidRDefault="007C2686">
            <w:pPr>
              <w:ind w:left="0" w:hanging="2"/>
              <w:rPr>
                <w:rFonts w:ascii="Arial" w:eastAsia="Arial" w:hAnsi="Arial" w:cs="Arial"/>
                <w:sz w:val="16"/>
                <w:szCs w:val="16"/>
              </w:rPr>
            </w:pPr>
            <w:r>
              <w:rPr>
                <w:rFonts w:ascii="Arial" w:eastAsia="Arial" w:hAnsi="Arial" w:cs="Arial"/>
                <w:b/>
                <w:sz w:val="16"/>
                <w:szCs w:val="16"/>
              </w:rPr>
              <w:t xml:space="preserve">Se interpretan correctamente                        </w:t>
            </w:r>
            <w:r>
              <w:rPr>
                <w:rFonts w:ascii="Arial" w:eastAsia="Arial" w:hAnsi="Arial" w:cs="Arial"/>
                <w:b/>
                <w:sz w:val="16"/>
                <w:szCs w:val="16"/>
                <w:u w:val="single"/>
              </w:rPr>
              <w:t xml:space="preserve">   SI   </w:t>
            </w:r>
            <w:r>
              <w:rPr>
                <w:rFonts w:ascii="Arial" w:eastAsia="Arial" w:hAnsi="Arial" w:cs="Arial"/>
                <w:b/>
                <w:sz w:val="16"/>
                <w:szCs w:val="16"/>
              </w:rPr>
              <w:t xml:space="preserve">          NO              Dudoso </w:t>
            </w:r>
            <w:r>
              <w:rPr>
                <w:noProof/>
              </w:rPr>
              <w:drawing>
                <wp:anchor distT="0" distB="0" distL="114300" distR="114300" simplePos="0" relativeHeight="251636224"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6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133350" cy="133350"/>
                          </a:xfrm>
                          <a:prstGeom prst="rect">
                            <a:avLst/>
                          </a:prstGeom>
                          <a:ln/>
                        </pic:spPr>
                      </pic:pic>
                    </a:graphicData>
                  </a:graphic>
                </wp:anchor>
              </w:drawing>
            </w:r>
            <w:r>
              <w:rPr>
                <w:noProof/>
              </w:rPr>
              <w:drawing>
                <wp:anchor distT="0" distB="0" distL="114300" distR="114300" simplePos="0" relativeHeight="251637248"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6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9"/>
                          <a:srcRect/>
                          <a:stretch>
                            <a:fillRect/>
                          </a:stretch>
                        </pic:blipFill>
                        <pic:spPr>
                          <a:xfrm>
                            <a:off x="0" y="0"/>
                            <a:ext cx="133350" cy="133350"/>
                          </a:xfrm>
                          <a:prstGeom prst="rect">
                            <a:avLst/>
                          </a:prstGeom>
                          <a:ln/>
                        </pic:spPr>
                      </pic:pic>
                    </a:graphicData>
                  </a:graphic>
                </wp:anchor>
              </w:drawing>
            </w:r>
            <w:r>
              <w:rPr>
                <w:noProof/>
              </w:rPr>
              <w:drawing>
                <wp:anchor distT="0" distB="0" distL="114300" distR="114300" simplePos="0" relativeHeight="251638272"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6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133350" cy="133350"/>
                          </a:xfrm>
                          <a:prstGeom prst="rect">
                            <a:avLst/>
                          </a:prstGeom>
                          <a:ln/>
                        </pic:spPr>
                      </pic:pic>
                    </a:graphicData>
                  </a:graphic>
                </wp:anchor>
              </w:drawing>
            </w:r>
          </w:p>
        </w:tc>
      </w:tr>
      <w:tr w:rsidR="002C4AF7">
        <w:tc>
          <w:tcPr>
            <w:tcW w:w="8931" w:type="dxa"/>
          </w:tcPr>
          <w:p w:rsidR="002C4AF7" w:rsidRDefault="007C2686">
            <w:pPr>
              <w:ind w:left="0" w:hanging="2"/>
              <w:rPr>
                <w:rFonts w:ascii="Arial" w:eastAsia="Arial" w:hAnsi="Arial" w:cs="Arial"/>
                <w:sz w:val="16"/>
                <w:szCs w:val="16"/>
              </w:rPr>
            </w:pPr>
            <w:r>
              <w:rPr>
                <w:rFonts w:ascii="Arial" w:eastAsia="Arial" w:hAnsi="Arial" w:cs="Arial"/>
                <w:sz w:val="16"/>
                <w:szCs w:val="16"/>
              </w:rPr>
              <w:t>Cómo se interpretaron:</w:t>
            </w:r>
          </w:p>
          <w:p w:rsidR="002C4AF7" w:rsidRDefault="007C2686">
            <w:pPr>
              <w:ind w:left="0" w:hanging="2"/>
              <w:rPr>
                <w:rFonts w:ascii="Arial" w:eastAsia="Arial" w:hAnsi="Arial" w:cs="Arial"/>
                <w:sz w:val="16"/>
                <w:szCs w:val="16"/>
              </w:rPr>
            </w:pPr>
            <w:r>
              <w:rPr>
                <w:rFonts w:ascii="Arial" w:eastAsia="Arial" w:hAnsi="Arial" w:cs="Arial"/>
                <w:sz w:val="16"/>
                <w:szCs w:val="16"/>
              </w:rPr>
              <w:t xml:space="preserve">Se discutió la heterogeneidad              </w:t>
            </w:r>
            <w:r>
              <w:rPr>
                <w:rFonts w:ascii="Arial" w:eastAsia="Arial" w:hAnsi="Arial" w:cs="Arial"/>
                <w:b/>
                <w:sz w:val="16"/>
                <w:szCs w:val="16"/>
              </w:rPr>
              <w:t xml:space="preserve">SI                NO           </w:t>
            </w:r>
            <w:r>
              <w:rPr>
                <w:rFonts w:ascii="Arial" w:eastAsia="Arial" w:hAnsi="Arial" w:cs="Arial"/>
                <w:b/>
                <w:sz w:val="16"/>
                <w:szCs w:val="16"/>
                <w:u w:val="single"/>
              </w:rPr>
              <w:t>Dudoso</w:t>
            </w:r>
            <w:r>
              <w:rPr>
                <w:noProof/>
              </w:rPr>
              <w:drawing>
                <wp:anchor distT="0" distB="0" distL="114300" distR="114300" simplePos="0" relativeHeight="251639296"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8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1"/>
                          <a:srcRect/>
                          <a:stretch>
                            <a:fillRect/>
                          </a:stretch>
                        </pic:blipFill>
                        <pic:spPr>
                          <a:xfrm>
                            <a:off x="0" y="0"/>
                            <a:ext cx="133350" cy="133350"/>
                          </a:xfrm>
                          <a:prstGeom prst="rect">
                            <a:avLst/>
                          </a:prstGeom>
                          <a:ln/>
                        </pic:spPr>
                      </pic:pic>
                    </a:graphicData>
                  </a:graphic>
                </wp:anchor>
              </w:drawing>
            </w:r>
            <w:r>
              <w:rPr>
                <w:noProof/>
              </w:rPr>
              <w:drawing>
                <wp:anchor distT="0" distB="0" distL="114300" distR="114300" simplePos="0" relativeHeight="251640320"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7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2"/>
                          <a:srcRect/>
                          <a:stretch>
                            <a:fillRect/>
                          </a:stretch>
                        </pic:blipFill>
                        <pic:spPr>
                          <a:xfrm>
                            <a:off x="0" y="0"/>
                            <a:ext cx="133350" cy="133350"/>
                          </a:xfrm>
                          <a:prstGeom prst="rect">
                            <a:avLst/>
                          </a:prstGeom>
                          <a:ln/>
                        </pic:spPr>
                      </pic:pic>
                    </a:graphicData>
                  </a:graphic>
                </wp:anchor>
              </w:drawing>
            </w:r>
            <w:r>
              <w:rPr>
                <w:noProof/>
              </w:rPr>
              <w:drawing>
                <wp:anchor distT="0" distB="0" distL="114300" distR="114300" simplePos="0" relativeHeight="251641344"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7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3"/>
                          <a:srcRect/>
                          <a:stretch>
                            <a:fillRect/>
                          </a:stretch>
                        </pic:blipFill>
                        <pic:spPr>
                          <a:xfrm>
                            <a:off x="0" y="0"/>
                            <a:ext cx="133350" cy="133350"/>
                          </a:xfrm>
                          <a:prstGeom prst="rect">
                            <a:avLst/>
                          </a:prstGeom>
                          <a:ln/>
                        </pic:spPr>
                      </pic:pic>
                    </a:graphicData>
                  </a:graphic>
                </wp:anchor>
              </w:drawing>
            </w:r>
          </w:p>
          <w:p w:rsidR="002C4AF7" w:rsidRDefault="007C2686">
            <w:pPr>
              <w:ind w:left="0" w:hanging="2"/>
              <w:rPr>
                <w:rFonts w:ascii="Arial" w:eastAsia="Arial" w:hAnsi="Arial" w:cs="Arial"/>
                <w:sz w:val="16"/>
                <w:szCs w:val="16"/>
              </w:rPr>
            </w:pPr>
            <w:r>
              <w:rPr>
                <w:rFonts w:ascii="Arial" w:eastAsia="Arial" w:hAnsi="Arial" w:cs="Arial"/>
                <w:sz w:val="16"/>
                <w:szCs w:val="16"/>
              </w:rPr>
              <w:t xml:space="preserve">Se realizó análisis de sensibilidad  (reanálisis cambiando datos de partida de la comparación)   </w:t>
            </w:r>
            <w:r>
              <w:rPr>
                <w:rFonts w:ascii="Arial" w:eastAsia="Arial" w:hAnsi="Arial" w:cs="Arial"/>
                <w:b/>
                <w:sz w:val="16"/>
                <w:szCs w:val="16"/>
              </w:rPr>
              <w:t xml:space="preserve">SI                NO                          </w:t>
            </w:r>
            <w:r>
              <w:rPr>
                <w:noProof/>
              </w:rPr>
              <w:drawing>
                <wp:anchor distT="0" distB="0" distL="114300" distR="114300" simplePos="0" relativeHeight="251642368"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4"/>
                          <a:srcRect/>
                          <a:stretch>
                            <a:fillRect/>
                          </a:stretch>
                        </pic:blipFill>
                        <pic:spPr>
                          <a:xfrm>
                            <a:off x="0" y="0"/>
                            <a:ext cx="133350" cy="133350"/>
                          </a:xfrm>
                          <a:prstGeom prst="rect">
                            <a:avLst/>
                          </a:prstGeom>
                          <a:ln/>
                        </pic:spPr>
                      </pic:pic>
                    </a:graphicData>
                  </a:graphic>
                </wp:anchor>
              </w:drawing>
            </w:r>
            <w:r>
              <w:rPr>
                <w:noProof/>
              </w:rPr>
              <w:drawing>
                <wp:anchor distT="0" distB="0" distL="114300" distR="114300" simplePos="0" relativeHeight="251643392"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7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srcRect/>
                          <a:stretch>
                            <a:fillRect/>
                          </a:stretch>
                        </pic:blipFill>
                        <pic:spPr>
                          <a:xfrm>
                            <a:off x="0" y="0"/>
                            <a:ext cx="133350" cy="133350"/>
                          </a:xfrm>
                          <a:prstGeom prst="rect">
                            <a:avLst/>
                          </a:prstGeom>
                          <a:ln/>
                        </pic:spPr>
                      </pic:pic>
                    </a:graphicData>
                  </a:graphic>
                </wp:anchor>
              </w:drawing>
            </w:r>
          </w:p>
        </w:tc>
      </w:tr>
      <w:tr w:rsidR="002C4AF7">
        <w:tc>
          <w:tcPr>
            <w:tcW w:w="8931" w:type="dxa"/>
          </w:tcPr>
          <w:p w:rsidR="002C4AF7" w:rsidRDefault="007C2686">
            <w:pPr>
              <w:ind w:left="0" w:hanging="2"/>
              <w:rPr>
                <w:rFonts w:ascii="Arial" w:eastAsia="Arial" w:hAnsi="Arial" w:cs="Arial"/>
                <w:sz w:val="16"/>
                <w:szCs w:val="16"/>
              </w:rPr>
            </w:pPr>
            <w:r>
              <w:rPr>
                <w:rFonts w:ascii="Arial" w:eastAsia="Arial" w:hAnsi="Arial" w:cs="Arial"/>
                <w:sz w:val="16"/>
                <w:szCs w:val="16"/>
              </w:rPr>
              <w:t>Otros comentarios: (ver resumen)</w:t>
            </w:r>
          </w:p>
          <w:p w:rsidR="002C4AF7" w:rsidRDefault="002C4AF7">
            <w:pPr>
              <w:ind w:left="0" w:hanging="2"/>
              <w:rPr>
                <w:rFonts w:ascii="Arial" w:eastAsia="Arial" w:hAnsi="Arial" w:cs="Arial"/>
                <w:sz w:val="16"/>
                <w:szCs w:val="16"/>
              </w:rPr>
            </w:pPr>
          </w:p>
        </w:tc>
      </w:tr>
      <w:tr w:rsidR="002C4AF7">
        <w:tc>
          <w:tcPr>
            <w:tcW w:w="8931" w:type="dxa"/>
          </w:tcPr>
          <w:p w:rsidR="002C4AF7" w:rsidRDefault="007C2686">
            <w:pPr>
              <w:ind w:left="0" w:hanging="2"/>
              <w:rPr>
                <w:rFonts w:ascii="Arial" w:eastAsia="Arial" w:hAnsi="Arial" w:cs="Arial"/>
                <w:sz w:val="16"/>
                <w:szCs w:val="16"/>
              </w:rPr>
            </w:pPr>
            <w:r>
              <w:rPr>
                <w:rFonts w:ascii="Arial" w:eastAsia="Arial" w:hAnsi="Arial" w:cs="Arial"/>
                <w:sz w:val="16"/>
                <w:szCs w:val="16"/>
              </w:rPr>
              <w:t xml:space="preserve">Está justificada la comparación indirecta: </w:t>
            </w:r>
            <w:r>
              <w:rPr>
                <w:rFonts w:ascii="Arial" w:eastAsia="Arial" w:hAnsi="Arial" w:cs="Arial"/>
                <w:b/>
                <w:sz w:val="16"/>
                <w:szCs w:val="16"/>
                <w:u w:val="single"/>
              </w:rPr>
              <w:t xml:space="preserve">SI  </w:t>
            </w:r>
            <w:r>
              <w:rPr>
                <w:rFonts w:ascii="Arial" w:eastAsia="Arial" w:hAnsi="Arial" w:cs="Arial"/>
                <w:b/>
                <w:sz w:val="16"/>
                <w:szCs w:val="16"/>
              </w:rPr>
              <w:t xml:space="preserve">  NO               Dudoso  </w:t>
            </w:r>
            <w:r>
              <w:rPr>
                <w:noProof/>
              </w:rPr>
              <w:drawing>
                <wp:anchor distT="0" distB="0" distL="114300" distR="114300" simplePos="0" relativeHeight="251644416"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srcRect/>
                          <a:stretch>
                            <a:fillRect/>
                          </a:stretch>
                        </pic:blipFill>
                        <pic:spPr>
                          <a:xfrm>
                            <a:off x="0" y="0"/>
                            <a:ext cx="133350" cy="133350"/>
                          </a:xfrm>
                          <a:prstGeom prst="rect">
                            <a:avLst/>
                          </a:prstGeom>
                          <a:ln/>
                        </pic:spPr>
                      </pic:pic>
                    </a:graphicData>
                  </a:graphic>
                </wp:anchor>
              </w:drawing>
            </w:r>
            <w:r>
              <w:rPr>
                <w:noProof/>
              </w:rPr>
              <w:drawing>
                <wp:anchor distT="0" distB="0" distL="114300" distR="114300" simplePos="0" relativeHeight="251645440"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7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7"/>
                          <a:srcRect/>
                          <a:stretch>
                            <a:fillRect/>
                          </a:stretch>
                        </pic:blipFill>
                        <pic:spPr>
                          <a:xfrm>
                            <a:off x="0" y="0"/>
                            <a:ext cx="133350" cy="133350"/>
                          </a:xfrm>
                          <a:prstGeom prst="rect">
                            <a:avLst/>
                          </a:prstGeom>
                          <a:ln/>
                        </pic:spPr>
                      </pic:pic>
                    </a:graphicData>
                  </a:graphic>
                </wp:anchor>
              </w:drawing>
            </w:r>
            <w:r>
              <w:rPr>
                <w:noProof/>
              </w:rPr>
              <w:drawing>
                <wp:anchor distT="0" distB="0" distL="114300" distR="114300" simplePos="0" relativeHeight="251646464"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8"/>
                          <a:srcRect/>
                          <a:stretch>
                            <a:fillRect/>
                          </a:stretch>
                        </pic:blipFill>
                        <pic:spPr>
                          <a:xfrm>
                            <a:off x="0" y="0"/>
                            <a:ext cx="133350" cy="133350"/>
                          </a:xfrm>
                          <a:prstGeom prst="rect">
                            <a:avLst/>
                          </a:prstGeom>
                          <a:ln/>
                        </pic:spPr>
                      </pic:pic>
                    </a:graphicData>
                  </a:graphic>
                </wp:anchor>
              </w:drawing>
            </w:r>
          </w:p>
        </w:tc>
      </w:tr>
      <w:tr w:rsidR="002C4AF7">
        <w:tc>
          <w:tcPr>
            <w:tcW w:w="8931" w:type="dxa"/>
          </w:tcPr>
          <w:p w:rsidR="002C4AF7" w:rsidRDefault="007C2686">
            <w:pPr>
              <w:ind w:left="0" w:hanging="2"/>
              <w:rPr>
                <w:rFonts w:ascii="Arial" w:eastAsia="Arial" w:hAnsi="Arial" w:cs="Arial"/>
                <w:sz w:val="16"/>
                <w:szCs w:val="16"/>
              </w:rPr>
            </w:pPr>
            <w:r>
              <w:rPr>
                <w:rFonts w:ascii="Arial" w:eastAsia="Arial" w:hAnsi="Arial" w:cs="Arial"/>
                <w:sz w:val="16"/>
                <w:szCs w:val="16"/>
              </w:rPr>
              <w:t xml:space="preserve">Realizada por: Laboratorio fabricante              Patrocinada por laboratorio    </w:t>
            </w:r>
            <w:r>
              <w:rPr>
                <w:rFonts w:ascii="Arial" w:eastAsia="Arial" w:hAnsi="Arial" w:cs="Arial"/>
                <w:sz w:val="16"/>
                <w:szCs w:val="16"/>
                <w:u w:val="single"/>
              </w:rPr>
              <w:t xml:space="preserve">Organismo independiente    </w:t>
            </w:r>
            <w:r>
              <w:rPr>
                <w:noProof/>
              </w:rPr>
              <w:drawing>
                <wp:anchor distT="0" distB="0" distL="114300" distR="114300" simplePos="0" relativeHeight="251647488"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5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9"/>
                          <a:srcRect/>
                          <a:stretch>
                            <a:fillRect/>
                          </a:stretch>
                        </pic:blipFill>
                        <pic:spPr>
                          <a:xfrm>
                            <a:off x="0" y="0"/>
                            <a:ext cx="133350" cy="133350"/>
                          </a:xfrm>
                          <a:prstGeom prst="rect">
                            <a:avLst/>
                          </a:prstGeom>
                          <a:ln/>
                        </pic:spPr>
                      </pic:pic>
                    </a:graphicData>
                  </a:graphic>
                </wp:anchor>
              </w:drawing>
            </w:r>
            <w:r>
              <w:rPr>
                <w:noProof/>
              </w:rPr>
              <w:drawing>
                <wp:anchor distT="0" distB="0" distL="114300" distR="114300" simplePos="0" relativeHeight="251648512"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0"/>
                          <a:srcRect/>
                          <a:stretch>
                            <a:fillRect/>
                          </a:stretch>
                        </pic:blipFill>
                        <pic:spPr>
                          <a:xfrm>
                            <a:off x="0" y="0"/>
                            <a:ext cx="133350" cy="133350"/>
                          </a:xfrm>
                          <a:prstGeom prst="rect">
                            <a:avLst/>
                          </a:prstGeom>
                          <a:ln/>
                        </pic:spPr>
                      </pic:pic>
                    </a:graphicData>
                  </a:graphic>
                </wp:anchor>
              </w:drawing>
            </w:r>
            <w:r>
              <w:rPr>
                <w:noProof/>
              </w:rPr>
              <w:drawing>
                <wp:anchor distT="0" distB="0" distL="114300" distR="114300" simplePos="0" relativeHeight="251649536"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1"/>
                          <a:srcRect/>
                          <a:stretch>
                            <a:fillRect/>
                          </a:stretch>
                        </pic:blipFill>
                        <pic:spPr>
                          <a:xfrm>
                            <a:off x="0" y="0"/>
                            <a:ext cx="133350" cy="133350"/>
                          </a:xfrm>
                          <a:prstGeom prst="rect">
                            <a:avLst/>
                          </a:prstGeom>
                          <a:ln/>
                        </pic:spPr>
                      </pic:pic>
                    </a:graphicData>
                  </a:graphic>
                </wp:anchor>
              </w:drawing>
            </w:r>
          </w:p>
          <w:p w:rsidR="002C4AF7" w:rsidRDefault="007C2686">
            <w:pPr>
              <w:ind w:left="0" w:hanging="2"/>
              <w:rPr>
                <w:rFonts w:ascii="Arial" w:eastAsia="Arial" w:hAnsi="Arial" w:cs="Arial"/>
                <w:sz w:val="16"/>
                <w:szCs w:val="16"/>
              </w:rPr>
            </w:pPr>
            <w:r>
              <w:rPr>
                <w:rFonts w:ascii="Arial" w:eastAsia="Arial" w:hAnsi="Arial" w:cs="Arial"/>
                <w:sz w:val="16"/>
                <w:szCs w:val="16"/>
              </w:rPr>
              <w:t>Nombre:</w:t>
            </w:r>
          </w:p>
        </w:tc>
      </w:tr>
    </w:tbl>
    <w:p w:rsidR="002C4AF7" w:rsidRDefault="002C4AF7">
      <w:pPr>
        <w:ind w:left="0" w:hanging="2"/>
        <w:rPr>
          <w:rFonts w:ascii="Arial" w:eastAsia="Arial" w:hAnsi="Arial" w:cs="Arial"/>
          <w:sz w:val="20"/>
          <w:szCs w:val="20"/>
        </w:rPr>
      </w:pP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sidRPr="001475C9">
        <w:rPr>
          <w:rFonts w:ascii="Arial" w:eastAsia="Arial" w:hAnsi="Arial" w:cs="Arial"/>
          <w:b/>
          <w:sz w:val="20"/>
          <w:szCs w:val="20"/>
          <w:lang w:val="en-GB"/>
        </w:rPr>
        <w:t xml:space="preserve">Sathianathen NJ, Koschel S, Thangasamy IA, et al. </w:t>
      </w:r>
      <w:r w:rsidRPr="009D49F2">
        <w:rPr>
          <w:rFonts w:ascii="Arial" w:eastAsia="Arial" w:hAnsi="Arial" w:cs="Arial"/>
          <w:b/>
          <w:sz w:val="20"/>
          <w:szCs w:val="20"/>
          <w:lang w:val="en-GB"/>
        </w:rPr>
        <w:t xml:space="preserve">Indirect comparisons of efficacy between combination approaches in metastatic hormone-sensitive prostate cancer: a systematic review and network meta-analysis. </w:t>
      </w:r>
      <w:r>
        <w:rPr>
          <w:rFonts w:ascii="Arial" w:eastAsia="Arial" w:hAnsi="Arial" w:cs="Arial"/>
          <w:b/>
          <w:sz w:val="20"/>
          <w:szCs w:val="20"/>
        </w:rPr>
        <w:t>Eur Urol. 2020;77(3):365-372. (16)</w:t>
      </w:r>
    </w:p>
    <w:p w:rsidR="002C4AF7" w:rsidRDefault="002C4AF7">
      <w:pPr>
        <w:ind w:left="0" w:hanging="2"/>
        <w:jc w:val="both"/>
        <w:rPr>
          <w:rFonts w:ascii="Arial" w:eastAsia="Arial" w:hAnsi="Arial" w:cs="Arial"/>
          <w:sz w:val="20"/>
          <w:szCs w:val="20"/>
          <w:highlight w:val="yellow"/>
        </w:rPr>
      </w:pPr>
    </w:p>
    <w:p w:rsidR="002C4AF7" w:rsidRDefault="00883B7B">
      <w:pPr>
        <w:ind w:left="0" w:hanging="2"/>
        <w:jc w:val="both"/>
        <w:rPr>
          <w:rFonts w:ascii="Arial" w:eastAsia="Arial" w:hAnsi="Arial" w:cs="Arial"/>
          <w:sz w:val="20"/>
          <w:szCs w:val="20"/>
          <w:u w:val="single"/>
        </w:rPr>
      </w:pPr>
      <w:sdt>
        <w:sdtPr>
          <w:tag w:val="goog_rdk_4"/>
          <w:id w:val="44261976"/>
        </w:sdtPr>
        <w:sdtEndPr/>
        <w:sdtContent>
          <w:r w:rsidR="007C2686">
            <w:rPr>
              <w:rFonts w:ascii="Arial Unicode MS" w:eastAsia="Arial Unicode MS" w:hAnsi="Arial Unicode MS" w:cs="Arial Unicode MS"/>
              <w:sz w:val="20"/>
              <w:szCs w:val="20"/>
            </w:rPr>
            <w:t xml:space="preserve">A continuación, se muestra el diseño y resultados de este metanálisis. Señalar que presenta una limitación importante, ya que el ensayo ENZAMET, incluido en este estudio, utilizaba un comparador diferente (TPA + antiandógeno no esteroideo). Además, para el metanálisis se excluyeron los pacientes de ENZAMET que habían recibido docetaxel de manera concomitante, pero no se hizo lo mismo con los pacientes tratados previamente con docetaxel, del estudio TITAN (≈10% de los pacientes). Estas limitaciones podrían afectar a las conclusiones del metanálisis.  </w:t>
          </w:r>
        </w:sdtContent>
      </w:sdt>
    </w:p>
    <w:p w:rsidR="002C4AF7" w:rsidRDefault="002C4AF7">
      <w:pPr>
        <w:ind w:left="0" w:hanging="2"/>
        <w:jc w:val="both"/>
        <w:rPr>
          <w:rFonts w:ascii="Arial" w:eastAsia="Arial" w:hAnsi="Arial" w:cs="Arial"/>
          <w:sz w:val="20"/>
          <w:szCs w:val="20"/>
          <w:u w:val="single"/>
        </w:rPr>
      </w:pPr>
    </w:p>
    <w:p w:rsidR="002C4AF7" w:rsidRDefault="007C2686">
      <w:pPr>
        <w:ind w:left="0" w:hanging="2"/>
        <w:jc w:val="both"/>
        <w:rPr>
          <w:rFonts w:ascii="Arial" w:eastAsia="Arial" w:hAnsi="Arial" w:cs="Arial"/>
          <w:sz w:val="20"/>
          <w:szCs w:val="20"/>
          <w:u w:val="single"/>
        </w:rPr>
      </w:pPr>
      <w:r>
        <w:rPr>
          <w:rFonts w:ascii="Arial" w:eastAsia="Arial" w:hAnsi="Arial" w:cs="Arial"/>
          <w:sz w:val="20"/>
          <w:szCs w:val="20"/>
          <w:u w:val="single"/>
        </w:rPr>
        <w:t>Objetivos:</w:t>
      </w:r>
    </w:p>
    <w:p w:rsidR="002C4AF7" w:rsidRDefault="007C2686">
      <w:pPr>
        <w:ind w:left="0" w:hanging="2"/>
        <w:jc w:val="both"/>
        <w:rPr>
          <w:rFonts w:ascii="Arial" w:eastAsia="Arial" w:hAnsi="Arial" w:cs="Arial"/>
          <w:sz w:val="20"/>
          <w:szCs w:val="20"/>
        </w:rPr>
      </w:pPr>
      <w:r>
        <w:rPr>
          <w:rFonts w:ascii="Arial" w:eastAsia="Arial" w:hAnsi="Arial" w:cs="Arial"/>
          <w:sz w:val="20"/>
          <w:szCs w:val="20"/>
        </w:rPr>
        <w:t>Realizar metaanálisis en red para valorar los tratamientos para CPHS metastásico en primera línea, combinaciones de TDA y quimioterapia basada en taxanos y terapias dirigidas al receptor de andrógenos. Se incluye un análisis de subgrupos de pacientes con alta y baja carga de enfermedad.</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sz w:val="20"/>
          <w:szCs w:val="20"/>
          <w:u w:val="single"/>
        </w:rPr>
        <w:t>Metodología:</w:t>
      </w:r>
    </w:p>
    <w:p w:rsidR="002C4AF7" w:rsidRDefault="007C2686">
      <w:pPr>
        <w:ind w:left="0" w:hanging="2"/>
        <w:jc w:val="both"/>
        <w:rPr>
          <w:rFonts w:ascii="Arial" w:eastAsia="Arial" w:hAnsi="Arial" w:cs="Arial"/>
          <w:sz w:val="20"/>
          <w:szCs w:val="20"/>
        </w:rPr>
      </w:pPr>
      <w:r>
        <w:rPr>
          <w:rFonts w:ascii="Arial" w:eastAsia="Arial" w:hAnsi="Arial" w:cs="Arial"/>
          <w:sz w:val="20"/>
          <w:szCs w:val="20"/>
        </w:rPr>
        <w:lastRenderedPageBreak/>
        <w:t>Revisión sistemática y metaanálisis en red. La variable principal fue SG y se realizaron análisis de subgrupos según el volumen de enfermedad. También se metaanalizó SLP.</w:t>
      </w:r>
    </w:p>
    <w:p w:rsidR="002C4AF7" w:rsidRDefault="007C2686">
      <w:pPr>
        <w:ind w:left="0" w:hanging="2"/>
        <w:jc w:val="both"/>
        <w:rPr>
          <w:rFonts w:ascii="Arial" w:eastAsia="Arial" w:hAnsi="Arial" w:cs="Arial"/>
          <w:sz w:val="20"/>
          <w:szCs w:val="20"/>
        </w:rPr>
      </w:pPr>
      <w:r>
        <w:rPr>
          <w:rFonts w:ascii="Arial" w:eastAsia="Arial" w:hAnsi="Arial" w:cs="Arial"/>
          <w:sz w:val="20"/>
          <w:szCs w:val="20"/>
        </w:rPr>
        <w:t>Se realizaron comparaciones indirectas con una aproximación bayesiana según la red NICE. Se emplearon modelos de efectos fijos y se realizaron análisis de sensibilidad con modelos de efectos aleatorios. Se evaluó la heterogeneidad con el parámetro I</w:t>
      </w:r>
      <w:r>
        <w:rPr>
          <w:rFonts w:ascii="Arial" w:eastAsia="Arial" w:hAnsi="Arial" w:cs="Arial"/>
          <w:sz w:val="20"/>
          <w:szCs w:val="20"/>
          <w:vertAlign w:val="superscript"/>
        </w:rPr>
        <w:t>2</w:t>
      </w:r>
      <w:r>
        <w:rPr>
          <w:rFonts w:ascii="Arial" w:eastAsia="Arial" w:hAnsi="Arial" w:cs="Arial"/>
          <w:sz w:val="20"/>
          <w:szCs w:val="20"/>
        </w:rPr>
        <w:t>. Se evaluó el riesgo de sesgo con la metodología Cochrane.</w:t>
      </w:r>
    </w:p>
    <w:p w:rsidR="002C4AF7" w:rsidRDefault="002C4AF7">
      <w:pPr>
        <w:ind w:left="0" w:hanging="2"/>
        <w:rPr>
          <w:rFonts w:ascii="Arial" w:eastAsia="Arial" w:hAnsi="Arial" w:cs="Arial"/>
          <w:sz w:val="20"/>
          <w:szCs w:val="20"/>
          <w:highlight w:val="yellow"/>
        </w:rPr>
      </w:pPr>
    </w:p>
    <w:p w:rsidR="002C4AF7" w:rsidRDefault="007C2686">
      <w:pPr>
        <w:ind w:left="0" w:hanging="2"/>
        <w:rPr>
          <w:rFonts w:ascii="Arial" w:eastAsia="Arial" w:hAnsi="Arial" w:cs="Arial"/>
          <w:sz w:val="20"/>
          <w:szCs w:val="20"/>
          <w:u w:val="single"/>
        </w:rPr>
      </w:pPr>
      <w:r>
        <w:rPr>
          <w:rFonts w:ascii="Arial" w:eastAsia="Arial" w:hAnsi="Arial" w:cs="Arial"/>
          <w:sz w:val="20"/>
          <w:szCs w:val="20"/>
          <w:u w:val="single"/>
        </w:rPr>
        <w:t>Resultados</w:t>
      </w:r>
    </w:p>
    <w:p w:rsidR="002C4AF7" w:rsidRDefault="007C2686">
      <w:pPr>
        <w:ind w:left="0" w:hanging="2"/>
        <w:rPr>
          <w:rFonts w:ascii="Arial" w:eastAsia="Arial" w:hAnsi="Arial" w:cs="Arial"/>
          <w:sz w:val="20"/>
          <w:szCs w:val="20"/>
        </w:rPr>
      </w:pPr>
      <w:r>
        <w:rPr>
          <w:rFonts w:ascii="Arial" w:eastAsia="Arial" w:hAnsi="Arial" w:cs="Arial"/>
          <w:sz w:val="20"/>
          <w:szCs w:val="20"/>
        </w:rPr>
        <w:t>Metaanálisis</w:t>
      </w:r>
    </w:p>
    <w:p w:rsidR="002C4AF7" w:rsidRDefault="007C2686">
      <w:pPr>
        <w:ind w:left="0" w:hanging="2"/>
        <w:jc w:val="both"/>
        <w:rPr>
          <w:rFonts w:ascii="Arial" w:eastAsia="Arial" w:hAnsi="Arial" w:cs="Arial"/>
          <w:sz w:val="20"/>
          <w:szCs w:val="20"/>
        </w:rPr>
      </w:pPr>
      <w:r>
        <w:rPr>
          <w:rFonts w:ascii="Arial" w:eastAsia="Arial" w:hAnsi="Arial" w:cs="Arial"/>
          <w:sz w:val="20"/>
          <w:szCs w:val="20"/>
        </w:rPr>
        <w:t>Siete estudios cumplían los criterios de selección. El estudio ARCHES se excluyó ya que los resultados de supervivencia se consideraban inmaduros. Además</w:t>
      </w:r>
      <w:r w:rsidR="00A748FE">
        <w:rPr>
          <w:rFonts w:ascii="Arial" w:eastAsia="Arial" w:hAnsi="Arial" w:cs="Arial"/>
          <w:sz w:val="20"/>
          <w:szCs w:val="20"/>
        </w:rPr>
        <w:t>,</w:t>
      </w:r>
      <w:r>
        <w:rPr>
          <w:rFonts w:ascii="Arial" w:eastAsia="Arial" w:hAnsi="Arial" w:cs="Arial"/>
          <w:sz w:val="20"/>
          <w:szCs w:val="20"/>
        </w:rPr>
        <w:t xml:space="preserve"> solo los subgrupos de pacientes que no reciben docetaxel temprano (uso de docetaxel concomitante planificado de manera temprana) se incluyeron en el análisis. Cinco estudios proporcionaban datos sobre el volumen de la enfermedad y se incluyeron en el análisis de subgrupos de volumen de enfermedad para SG (GETUG-AFU15, CHAARTED, LATITUDE, ENZAMET, and TITAN). Cinco estudios se incluyeron en el análisis de SLP para el global de la poblaci</w:t>
      </w:r>
      <w:r w:rsidR="00A748FE">
        <w:rPr>
          <w:rFonts w:ascii="Arial" w:eastAsia="Arial" w:hAnsi="Arial" w:cs="Arial"/>
          <w:sz w:val="20"/>
          <w:szCs w:val="20"/>
        </w:rPr>
        <w:t xml:space="preserve">ón </w:t>
      </w:r>
      <w:r>
        <w:rPr>
          <w:rFonts w:ascii="Arial" w:eastAsia="Arial" w:hAnsi="Arial" w:cs="Arial"/>
          <w:sz w:val="20"/>
          <w:szCs w:val="20"/>
        </w:rPr>
        <w:t xml:space="preserve">(GETUG-AFU15, CHAARTED, STAMPEDE, ENZAMET, and TITAN). No se proporcionaron detalles sobre si las definiciones de volumen de enfermedad para el análisis de subgrupos se aplicaron de forma retrospectiva o como un análisis preespecificado. </w:t>
      </w:r>
    </w:p>
    <w:p w:rsidR="002C4AF7" w:rsidRDefault="007C2686">
      <w:pPr>
        <w:ind w:left="0" w:hanging="2"/>
        <w:jc w:val="both"/>
        <w:rPr>
          <w:rFonts w:ascii="Arial" w:eastAsia="Arial" w:hAnsi="Arial" w:cs="Arial"/>
          <w:sz w:val="20"/>
          <w:szCs w:val="20"/>
          <w:highlight w:val="yellow"/>
        </w:rPr>
      </w:pPr>
      <w:r>
        <w:rPr>
          <w:rFonts w:ascii="Arial" w:eastAsia="Arial" w:hAnsi="Arial" w:cs="Arial"/>
          <w:sz w:val="20"/>
          <w:szCs w:val="20"/>
        </w:rPr>
        <w:t xml:space="preserve">De los cinco estudios incluidos, tres emplearon docetaxel más TDA ( (CHAARTED, STAMPEDE, GETUG-AFU 15), dos emplearon abiraterona más prednisona más TDA ((STAMPEDE, LATITUDE), uno usó enzalutamida más TDA (ENZAMET) y uno usó apalutamida más TDA (TITAN). </w:t>
      </w:r>
    </w:p>
    <w:p w:rsidR="002C4AF7" w:rsidRDefault="007C2686">
      <w:pPr>
        <w:ind w:left="0" w:hanging="2"/>
        <w:jc w:val="both"/>
        <w:rPr>
          <w:rFonts w:ascii="Arial" w:eastAsia="Arial" w:hAnsi="Arial" w:cs="Arial"/>
          <w:sz w:val="20"/>
          <w:szCs w:val="20"/>
        </w:rPr>
      </w:pPr>
      <w:r>
        <w:rPr>
          <w:rFonts w:ascii="Arial" w:eastAsia="Arial" w:hAnsi="Arial" w:cs="Arial"/>
          <w:sz w:val="20"/>
          <w:szCs w:val="20"/>
        </w:rPr>
        <w:t>La SG era la variable principal de cuatro estudios (GETUG-AFU15, CHAARTED, STAMPEDE y ENZAMET). Para los estudios LATITUDE y TITAN había dos variables primarias: SG Y SLP radiográfica. La mediana de seguimiento se encontraba entre 22,7 y 82,9 meses. Dos estudios permitían tratamiento previo con docetaxel (ENZAMET: 15% grupo control ,17% grupo experimental; TITAN: 10% grupo control y 11% grupo experimental).</w:t>
      </w:r>
    </w:p>
    <w:p w:rsidR="002C4AF7" w:rsidRDefault="007C2686">
      <w:pPr>
        <w:ind w:left="0" w:hanging="2"/>
        <w:jc w:val="both"/>
        <w:rPr>
          <w:rFonts w:ascii="Arial" w:eastAsia="Arial" w:hAnsi="Arial" w:cs="Arial"/>
          <w:sz w:val="20"/>
          <w:szCs w:val="20"/>
        </w:rPr>
      </w:pPr>
      <w:r>
        <w:rPr>
          <w:rFonts w:ascii="Arial" w:eastAsia="Arial" w:hAnsi="Arial" w:cs="Arial"/>
          <w:sz w:val="20"/>
          <w:szCs w:val="20"/>
        </w:rPr>
        <w:t>En los estudios que proporcionaban las características basales, los grupos Gleason 4 y 5 se encontraban entre el 57 y 97% en el grupo control y 55 a 98% para el grupo de tratamiento. Las medianas de edad se encontraban entre 63 y 69 añ</w:t>
      </w:r>
      <w:r w:rsidR="00A748FE">
        <w:rPr>
          <w:rFonts w:ascii="Arial" w:eastAsia="Arial" w:hAnsi="Arial" w:cs="Arial"/>
          <w:sz w:val="20"/>
          <w:szCs w:val="20"/>
        </w:rPr>
        <w:t xml:space="preserve">os en el grupo control y entre </w:t>
      </w:r>
      <w:r>
        <w:rPr>
          <w:rFonts w:ascii="Arial" w:eastAsia="Arial" w:hAnsi="Arial" w:cs="Arial"/>
          <w:sz w:val="20"/>
          <w:szCs w:val="20"/>
        </w:rPr>
        <w:t>63 y 69,2 en el grupo tratamiento. Los niveles de PSA (mediana) oscilaban entre 25,8 ng/nL a 56 ng/nL en el grupo control y entre 26,7 ng/nL a 52,1 ng/nL en el grupo de tratamiento activo.</w:t>
      </w:r>
    </w:p>
    <w:p w:rsidR="002C4AF7" w:rsidRDefault="00883B7B">
      <w:pPr>
        <w:ind w:left="0" w:hanging="2"/>
        <w:jc w:val="both"/>
        <w:rPr>
          <w:rFonts w:ascii="Arial" w:eastAsia="Arial" w:hAnsi="Arial" w:cs="Arial"/>
          <w:sz w:val="20"/>
          <w:szCs w:val="20"/>
        </w:rPr>
      </w:pPr>
      <w:sdt>
        <w:sdtPr>
          <w:tag w:val="goog_rdk_5"/>
          <w:id w:val="723181148"/>
        </w:sdtPr>
        <w:sdtEndPr/>
        <w:sdtContent>
          <w:r w:rsidR="007C2686">
            <w:rPr>
              <w:rFonts w:ascii="Arial Unicode MS" w:eastAsia="Arial Unicode MS" w:hAnsi="Arial Unicode MS" w:cs="Arial Unicode MS"/>
              <w:sz w:val="20"/>
              <w:szCs w:val="20"/>
            </w:rPr>
            <w:t>Hubo variación entre las característica</w:t>
          </w:r>
          <w:r w:rsidR="00912C50">
            <w:rPr>
              <w:rFonts w:ascii="Arial Unicode MS" w:eastAsia="Arial Unicode MS" w:hAnsi="Arial Unicode MS" w:cs="Arial Unicode MS"/>
              <w:sz w:val="20"/>
              <w:szCs w:val="20"/>
            </w:rPr>
            <w:t>s de los pacientes como el ECOG</w:t>
          </w:r>
          <w:r w:rsidR="007C2686">
            <w:rPr>
              <w:rFonts w:ascii="Arial Unicode MS" w:eastAsia="Arial Unicode MS" w:hAnsi="Arial Unicode MS" w:cs="Arial Unicode MS"/>
              <w:sz w:val="20"/>
              <w:szCs w:val="20"/>
            </w:rPr>
            <w:t xml:space="preserve"> (por ejemplo,inclusión de pacientes con ECOG ≤ 1, ECOG ≤ 2, WHO ≤ 2, o Karnofsky ≥ 70), y estadio de la enfermedad (por ejemplo, variación en los criterios de inclusión en cuanto a enfermedad metastásica). Las definiciones de volumen de enfermedad, o no se incluían o variaban entre los estudios y se permitieron distintos tratamientos previos en los distintos ensayos incluidos. El grupo control también variaba entre los estudios (castración médica o quirúrgica, o castración quirúrgica  ±AANS o TDA sin más detalle. También varió el régimen de tratamiento para el análisis de docetaxel (docetaxel hasta 6 ciclos sin prednisona, docetaxel hasta 6 ciclos con prednisona y ácido zoledrónico). El riesgo de sesgo de cada estudio individual se evaluó y se proporcionó en el material suplementario. Se indicó que los estudios eran, globalmente, de calidad moderada en relación al riesgo de sesgos. Se valoraron los estudios individuales como de bajo riesgo de sesgo en la generación de la secuencia, asignación del tratamiento, sesgo de detección para SG, atrición y otros sesgos. Sesgos de otro tipo (de realización, de detección para SLP) tenían valoración diversa y se rebajó el nivel de calidad principalmente debido a la falta de cegado de algunos estudios. </w:t>
          </w:r>
        </w:sdtContent>
      </w:sdt>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u w:val="single"/>
        </w:rPr>
      </w:pPr>
      <w:r>
        <w:rPr>
          <w:rFonts w:ascii="Arial" w:eastAsia="Arial" w:hAnsi="Arial" w:cs="Arial"/>
          <w:sz w:val="20"/>
          <w:szCs w:val="20"/>
          <w:u w:val="single"/>
        </w:rPr>
        <w:t>Resultados para SG:</w:t>
      </w: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Los resultados globales sugieren que cada combinación de tratamiento era superior a TDA. </w:t>
      </w:r>
      <w:r>
        <w:rPr>
          <w:rFonts w:ascii="Arial" w:eastAsia="Arial" w:hAnsi="Arial" w:cs="Arial"/>
          <w:b/>
          <w:sz w:val="20"/>
          <w:szCs w:val="20"/>
        </w:rPr>
        <w:t xml:space="preserve">Enzalutamida era superior a docetaxel  (HR=0,66; 95% CrI: 0,45-0,94) y TDA (HR=0,53; 95% CrI: 0,37-0,75) y no hubo diferencias con los demás tratamientos (apalutamida y abiraterona). </w:t>
      </w:r>
      <w:r>
        <w:rPr>
          <w:rFonts w:ascii="Arial" w:eastAsia="Arial" w:hAnsi="Arial" w:cs="Arial"/>
          <w:b/>
          <w:sz w:val="20"/>
          <w:szCs w:val="20"/>
        </w:rPr>
        <w:lastRenderedPageBreak/>
        <w:t>No hubo heterogeneidad estadística</w:t>
      </w:r>
      <w:r>
        <w:rPr>
          <w:rFonts w:ascii="Arial" w:eastAsia="Arial" w:hAnsi="Arial" w:cs="Arial"/>
          <w:sz w:val="20"/>
          <w:szCs w:val="20"/>
        </w:rPr>
        <w:t xml:space="preserve">  (I</w:t>
      </w:r>
      <w:r>
        <w:rPr>
          <w:rFonts w:ascii="Arial" w:eastAsia="Arial" w:hAnsi="Arial" w:cs="Arial"/>
          <w:sz w:val="20"/>
          <w:szCs w:val="20"/>
          <w:vertAlign w:val="superscript"/>
        </w:rPr>
        <w:t>2</w:t>
      </w:r>
      <w:r>
        <w:rPr>
          <w:rFonts w:ascii="Arial" w:eastAsia="Arial" w:hAnsi="Arial" w:cs="Arial"/>
          <w:sz w:val="20"/>
          <w:szCs w:val="20"/>
        </w:rPr>
        <w:t xml:space="preserve">=0%). Los resultados de análisis de subgrupos para pacientes con </w:t>
      </w:r>
      <w:r>
        <w:rPr>
          <w:rFonts w:ascii="Arial" w:eastAsia="Arial" w:hAnsi="Arial" w:cs="Arial"/>
          <w:b/>
          <w:sz w:val="20"/>
          <w:szCs w:val="20"/>
          <w:u w:val="single"/>
        </w:rPr>
        <w:t>baja carga de enfermedad</w:t>
      </w:r>
      <w:r>
        <w:rPr>
          <w:rFonts w:ascii="Arial" w:eastAsia="Arial" w:hAnsi="Arial" w:cs="Arial"/>
          <w:sz w:val="20"/>
          <w:szCs w:val="20"/>
        </w:rPr>
        <w:t xml:space="preserve"> indican que solo enzaluta</w:t>
      </w:r>
      <w:r w:rsidR="00912C50">
        <w:rPr>
          <w:rFonts w:ascii="Arial" w:eastAsia="Arial" w:hAnsi="Arial" w:cs="Arial"/>
          <w:sz w:val="20"/>
          <w:szCs w:val="20"/>
        </w:rPr>
        <w:t xml:space="preserve">mida es superior a TDA para SG </w:t>
      </w:r>
      <w:r>
        <w:rPr>
          <w:rFonts w:ascii="Arial" w:eastAsia="Arial" w:hAnsi="Arial" w:cs="Arial"/>
          <w:sz w:val="20"/>
          <w:szCs w:val="20"/>
        </w:rPr>
        <w:t>(HR=0,38; 95% CrI: 0,20-0,68),y también superior a docetaxel  (HR=0,38; 95%CrI: 0,19-0,72) y no hubo diferencias con los demás tratamientos (apalutamida y abiraterona). No hubo heterogeneidad estadística (I</w:t>
      </w:r>
      <w:r>
        <w:rPr>
          <w:rFonts w:ascii="Arial" w:eastAsia="Arial" w:hAnsi="Arial" w:cs="Arial"/>
          <w:sz w:val="20"/>
          <w:szCs w:val="20"/>
          <w:vertAlign w:val="superscript"/>
        </w:rPr>
        <w:t>2</w:t>
      </w:r>
      <w:r>
        <w:rPr>
          <w:rFonts w:ascii="Arial" w:eastAsia="Arial" w:hAnsi="Arial" w:cs="Arial"/>
          <w:sz w:val="20"/>
          <w:szCs w:val="20"/>
        </w:rPr>
        <w:t xml:space="preserve">=8%). Los resultados de subgrupos de pacientes con </w:t>
      </w:r>
      <w:r>
        <w:rPr>
          <w:rFonts w:ascii="Arial" w:eastAsia="Arial" w:hAnsi="Arial" w:cs="Arial"/>
          <w:b/>
          <w:sz w:val="20"/>
          <w:szCs w:val="20"/>
          <w:u w:val="single"/>
        </w:rPr>
        <w:t xml:space="preserve">alto volumen de enfermedad </w:t>
      </w:r>
      <w:r>
        <w:rPr>
          <w:rFonts w:ascii="Arial" w:eastAsia="Arial" w:hAnsi="Arial" w:cs="Arial"/>
          <w:sz w:val="20"/>
          <w:szCs w:val="20"/>
        </w:rPr>
        <w:t>sugieren que cada combinación de tratamiento es superior a TDA en monoterapia. Enzalutamida era superior a TDA (HR=0,62; 95%CrI: 0,40-0,95). No hubo diferencias entre enzalutamida y los otros grupos de tratamiento (abiraterona, apalutamida y docetaxel). No hubo heterogeneidad estadística (I</w:t>
      </w:r>
      <w:r>
        <w:rPr>
          <w:rFonts w:ascii="Arial" w:eastAsia="Arial" w:hAnsi="Arial" w:cs="Arial"/>
          <w:sz w:val="20"/>
          <w:szCs w:val="20"/>
          <w:vertAlign w:val="superscript"/>
        </w:rPr>
        <w:t>2</w:t>
      </w:r>
      <w:r>
        <w:rPr>
          <w:rFonts w:ascii="Arial" w:eastAsia="Arial" w:hAnsi="Arial" w:cs="Arial"/>
          <w:sz w:val="20"/>
          <w:szCs w:val="20"/>
        </w:rPr>
        <w:t>=1%).</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Tabla 4. comparación SG</w:t>
      </w:r>
    </w:p>
    <w:p w:rsidR="002C4AF7" w:rsidRDefault="007C2686">
      <w:pPr>
        <w:ind w:left="0" w:hanging="2"/>
        <w:rPr>
          <w:rFonts w:ascii="Arial" w:eastAsia="Arial" w:hAnsi="Arial" w:cs="Arial"/>
          <w:sz w:val="20"/>
          <w:szCs w:val="20"/>
        </w:rPr>
      </w:pPr>
      <w:r>
        <w:rPr>
          <w:rFonts w:ascii="Arial" w:eastAsia="Arial" w:hAnsi="Arial" w:cs="Arial"/>
          <w:noProof/>
          <w:sz w:val="20"/>
          <w:szCs w:val="20"/>
        </w:rPr>
        <w:drawing>
          <wp:inline distT="0" distB="0" distL="114300" distR="114300">
            <wp:extent cx="5509260" cy="2514600"/>
            <wp:effectExtent l="0" t="0" r="0" b="0"/>
            <wp:docPr id="107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2"/>
                    <a:srcRect/>
                    <a:stretch>
                      <a:fillRect/>
                    </a:stretch>
                  </pic:blipFill>
                  <pic:spPr>
                    <a:xfrm>
                      <a:off x="0" y="0"/>
                      <a:ext cx="5509260" cy="2514600"/>
                    </a:xfrm>
                    <a:prstGeom prst="rect">
                      <a:avLst/>
                    </a:prstGeom>
                    <a:ln/>
                  </pic:spPr>
                </pic:pic>
              </a:graphicData>
            </a:graphic>
          </wp:inline>
        </w:drawing>
      </w:r>
    </w:p>
    <w:p w:rsidR="002C4AF7" w:rsidRDefault="002C4AF7">
      <w:pPr>
        <w:ind w:left="0" w:hanging="2"/>
        <w:rPr>
          <w:rFonts w:ascii="Arial" w:eastAsia="Arial" w:hAnsi="Arial" w:cs="Arial"/>
          <w:sz w:val="20"/>
          <w:szCs w:val="20"/>
        </w:rPr>
      </w:pPr>
    </w:p>
    <w:p w:rsidR="002C4AF7" w:rsidRDefault="007C2686">
      <w:pPr>
        <w:ind w:left="0" w:hanging="2"/>
        <w:jc w:val="both"/>
        <w:rPr>
          <w:rFonts w:ascii="Arial" w:eastAsia="Arial" w:hAnsi="Arial" w:cs="Arial"/>
          <w:sz w:val="20"/>
          <w:szCs w:val="20"/>
          <w:u w:val="single"/>
        </w:rPr>
      </w:pPr>
      <w:r>
        <w:rPr>
          <w:rFonts w:ascii="Arial" w:eastAsia="Arial" w:hAnsi="Arial" w:cs="Arial"/>
          <w:sz w:val="20"/>
          <w:szCs w:val="20"/>
          <w:u w:val="single"/>
        </w:rPr>
        <w:t>Resultados de SLP:</w:t>
      </w: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Los resultados de los metanálisis para el análisis global sugieren que cada una de las combinaciones eran superiores a TDA para SLP. </w:t>
      </w:r>
      <w:r>
        <w:rPr>
          <w:rFonts w:ascii="Arial" w:eastAsia="Arial" w:hAnsi="Arial" w:cs="Arial"/>
          <w:b/>
          <w:sz w:val="20"/>
          <w:szCs w:val="20"/>
        </w:rPr>
        <w:t xml:space="preserve">Enzalutamida era superior a apalutamida (HR=0,54; 95% CrI: 0,37-0,79) y docetaxel (HR=0,47; 95% CrI: 0,35-0,63), pero no sobre abiraterona. </w:t>
      </w:r>
      <w:r>
        <w:rPr>
          <w:rFonts w:ascii="Arial" w:eastAsia="Arial" w:hAnsi="Arial" w:cs="Arial"/>
          <w:sz w:val="20"/>
          <w:szCs w:val="20"/>
        </w:rPr>
        <w:t>La publicación indicaba que no había heterogeneidad estadística (I</w:t>
      </w:r>
      <w:r>
        <w:rPr>
          <w:rFonts w:ascii="Arial" w:eastAsia="Arial" w:hAnsi="Arial" w:cs="Arial"/>
          <w:sz w:val="20"/>
          <w:szCs w:val="20"/>
          <w:vertAlign w:val="superscript"/>
        </w:rPr>
        <w:t>2</w:t>
      </w:r>
      <w:r>
        <w:rPr>
          <w:rFonts w:ascii="Arial" w:eastAsia="Arial" w:hAnsi="Arial" w:cs="Arial"/>
          <w:sz w:val="20"/>
          <w:szCs w:val="20"/>
        </w:rPr>
        <w:t>=4%).</w:t>
      </w:r>
    </w:p>
    <w:p w:rsidR="002C4AF7" w:rsidRDefault="002C4AF7">
      <w:pPr>
        <w:ind w:left="0" w:hanging="2"/>
        <w:rPr>
          <w:rFonts w:ascii="Arial" w:eastAsia="Arial" w:hAnsi="Arial" w:cs="Arial"/>
          <w:sz w:val="20"/>
          <w:szCs w:val="20"/>
        </w:rPr>
      </w:pPr>
    </w:p>
    <w:p w:rsidR="002C4AF7" w:rsidRDefault="007C2686">
      <w:pPr>
        <w:ind w:left="0" w:hanging="2"/>
        <w:rPr>
          <w:rFonts w:ascii="Arial" w:eastAsia="Arial" w:hAnsi="Arial" w:cs="Arial"/>
          <w:sz w:val="20"/>
          <w:szCs w:val="20"/>
        </w:rPr>
      </w:pPr>
      <w:r>
        <w:rPr>
          <w:rFonts w:ascii="Arial" w:eastAsia="Arial" w:hAnsi="Arial" w:cs="Arial"/>
          <w:sz w:val="20"/>
          <w:szCs w:val="20"/>
        </w:rPr>
        <w:t>Tabla 5. Comparación SLP.</w:t>
      </w:r>
    </w:p>
    <w:p w:rsidR="002C4AF7" w:rsidRDefault="007C2686">
      <w:pPr>
        <w:ind w:left="0" w:hanging="2"/>
        <w:rPr>
          <w:rFonts w:ascii="Arial" w:eastAsia="Arial" w:hAnsi="Arial" w:cs="Arial"/>
          <w:sz w:val="20"/>
          <w:szCs w:val="20"/>
        </w:rPr>
      </w:pPr>
      <w:r>
        <w:rPr>
          <w:rFonts w:ascii="Arial" w:eastAsia="Arial" w:hAnsi="Arial" w:cs="Arial"/>
          <w:noProof/>
          <w:sz w:val="20"/>
          <w:szCs w:val="20"/>
        </w:rPr>
        <w:drawing>
          <wp:inline distT="0" distB="0" distL="114300" distR="114300">
            <wp:extent cx="5526405" cy="895350"/>
            <wp:effectExtent l="0" t="0" r="0" b="0"/>
            <wp:docPr id="107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3"/>
                    <a:srcRect/>
                    <a:stretch>
                      <a:fillRect/>
                    </a:stretch>
                  </pic:blipFill>
                  <pic:spPr>
                    <a:xfrm>
                      <a:off x="0" y="0"/>
                      <a:ext cx="5526405" cy="895350"/>
                    </a:xfrm>
                    <a:prstGeom prst="rect">
                      <a:avLst/>
                    </a:prstGeom>
                    <a:ln/>
                  </pic:spPr>
                </pic:pic>
              </a:graphicData>
            </a:graphic>
          </wp:inline>
        </w:drawing>
      </w:r>
    </w:p>
    <w:p w:rsidR="002C4AF7" w:rsidRDefault="002C4AF7">
      <w:pPr>
        <w:ind w:left="0" w:hanging="2"/>
        <w:rPr>
          <w:rFonts w:ascii="Arial" w:eastAsia="Arial" w:hAnsi="Arial" w:cs="Arial"/>
          <w:sz w:val="20"/>
          <w:szCs w:val="20"/>
        </w:rPr>
      </w:pPr>
    </w:p>
    <w:p w:rsidR="002C4AF7" w:rsidRDefault="007C2686">
      <w:pPr>
        <w:ind w:left="0" w:hanging="2"/>
        <w:rPr>
          <w:rFonts w:ascii="Arial" w:eastAsia="Arial" w:hAnsi="Arial" w:cs="Arial"/>
          <w:sz w:val="20"/>
          <w:szCs w:val="20"/>
          <w:u w:val="single"/>
        </w:rPr>
      </w:pPr>
      <w:r>
        <w:rPr>
          <w:rFonts w:ascii="Arial" w:eastAsia="Arial" w:hAnsi="Arial" w:cs="Arial"/>
          <w:sz w:val="20"/>
          <w:szCs w:val="20"/>
          <w:u w:val="single"/>
        </w:rPr>
        <w:t>Resumen:</w:t>
      </w: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Varias limitaciones han de ser consideradas. Los autores no describen claramente la metodología para la revisión sistemática y el metaanálisis en red. Solo se proporciona una descripción de los criterios de inclusión. No se describió ninguno de los comparadores específicos. También hubo déficit en la claridad de los criterios de exclusión y no se proporcionó lista de estudios excluidos. Aparentemente un estudio originalmente incluido (ARCHES) se excluyó más tarde por no tener datos maduros de supervivencia. No queda claro por qué este estudio se excluyó en una fase posterior. </w:t>
      </w:r>
    </w:p>
    <w:p w:rsidR="002C4AF7" w:rsidRDefault="007C2686">
      <w:pPr>
        <w:ind w:left="0" w:hanging="2"/>
        <w:jc w:val="both"/>
        <w:rPr>
          <w:rFonts w:ascii="Arial" w:eastAsia="Arial" w:hAnsi="Arial" w:cs="Arial"/>
          <w:sz w:val="20"/>
          <w:szCs w:val="20"/>
        </w:rPr>
      </w:pPr>
      <w:r>
        <w:rPr>
          <w:rFonts w:ascii="Arial" w:eastAsia="Arial" w:hAnsi="Arial" w:cs="Arial"/>
          <w:sz w:val="20"/>
          <w:szCs w:val="20"/>
        </w:rPr>
        <w:t>No quedó claro si la SLP de los estudios individuales se basó en valoración por el investigador o valoración central ni si la valoración era consistente entre los estudios.</w:t>
      </w: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No se proporcionó la red del análisis de SG según carga de enfermedad ni para SLP por lo que no fue posible valorar la conectividad de las redes. </w:t>
      </w: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Como fuentes de heterogeneidad clínica se ha de indicar que los estudios y las poblaciones variaron y no se hizo valoración formal de la heterogeneidad clínica.  Se observaron diferencias aparentes en factores como terapias y tratamientos permitidos en los distintos estudios (variaciones en los </w:t>
      </w:r>
      <w:r>
        <w:rPr>
          <w:rFonts w:ascii="Arial" w:eastAsia="Arial" w:hAnsi="Arial" w:cs="Arial"/>
          <w:sz w:val="20"/>
          <w:szCs w:val="20"/>
        </w:rPr>
        <w:lastRenderedPageBreak/>
        <w:t xml:space="preserve">tratamientos previos al estudio, ECOG, GRADO GLEASON, PSA, edad y estadio de enfermedad).  No se proporciona discusión sobre las inconsistencias entre definiciones de las variables en los estudios originales. La definición de volumen de enfermedad fue inconsistente entre estudios. Mientras que en el metaanálisis se indica que se definía según criterio CHAARTED. No quedaba claro si los metaanálisis se basaban en cortes similares de las variables. </w:t>
      </w:r>
    </w:p>
    <w:p w:rsidR="002C4AF7" w:rsidRDefault="007C2686">
      <w:pPr>
        <w:ind w:left="0" w:hanging="2"/>
        <w:jc w:val="both"/>
        <w:rPr>
          <w:rFonts w:ascii="Arial" w:eastAsia="Arial" w:hAnsi="Arial" w:cs="Arial"/>
          <w:sz w:val="20"/>
          <w:szCs w:val="20"/>
        </w:rPr>
      </w:pPr>
      <w:r>
        <w:rPr>
          <w:rFonts w:ascii="Arial" w:eastAsia="Arial" w:hAnsi="Arial" w:cs="Arial"/>
          <w:sz w:val="20"/>
          <w:szCs w:val="20"/>
        </w:rPr>
        <w:t>No quedó claro si los autores revisaron inicialmente los subgrupos de los estudios que incluían pacientes con enfermedad hormonosensible metastásica y no metastásica y posteriormente sólo incluyeron el primer grupo (por ejemplo, para docetaxel, en el estudio STAMPEDE, varias características de pacientes se indicaban como no reportadas para el subgrupo metastásico).</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No se evaluaron variables como eventos adversos y calidad de vida. No se indicaban las dosis de los distintos tratamientos evaluados. El grupo comparador del estudio ENZAMET no es el mismo que el de los otros estudios</w:t>
      </w:r>
    </w:p>
    <w:p w:rsidR="002C4AF7" w:rsidRDefault="002C4AF7">
      <w:pPr>
        <w:ind w:left="0" w:hanging="2"/>
        <w:rPr>
          <w:rFonts w:ascii="Arial" w:eastAsia="Arial" w:hAnsi="Arial" w:cs="Arial"/>
          <w:color w:val="000080"/>
          <w:sz w:val="20"/>
          <w:szCs w:val="20"/>
        </w:rPr>
      </w:pPr>
    </w:p>
    <w:tbl>
      <w:tblPr>
        <w:tblStyle w:val="afffa"/>
        <w:tblW w:w="893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2C4AF7">
        <w:tc>
          <w:tcPr>
            <w:tcW w:w="8931" w:type="dxa"/>
            <w:shd w:val="clear" w:color="auto" w:fill="E6E6E6"/>
          </w:tcPr>
          <w:p w:rsidR="002C4AF7" w:rsidRDefault="007C2686">
            <w:pPr>
              <w:ind w:left="0" w:hanging="2"/>
              <w:rPr>
                <w:rFonts w:ascii="Arial" w:eastAsia="Arial" w:hAnsi="Arial" w:cs="Arial"/>
                <w:sz w:val="16"/>
                <w:szCs w:val="16"/>
              </w:rPr>
            </w:pPr>
            <w:r>
              <w:rPr>
                <w:rFonts w:ascii="Arial" w:eastAsia="Arial" w:hAnsi="Arial" w:cs="Arial"/>
                <w:b/>
                <w:sz w:val="16"/>
                <w:szCs w:val="16"/>
              </w:rPr>
              <w:t>INTERPRETACIÓN DE LOS RESULTADOS DE LA COMPARACIÓN INDIRECTA</w:t>
            </w:r>
          </w:p>
          <w:p w:rsidR="002C4AF7" w:rsidRDefault="007C2686">
            <w:pPr>
              <w:ind w:left="0" w:hanging="2"/>
              <w:rPr>
                <w:rFonts w:ascii="Arial" w:eastAsia="Arial" w:hAnsi="Arial" w:cs="Arial"/>
                <w:sz w:val="16"/>
                <w:szCs w:val="16"/>
              </w:rPr>
            </w:pPr>
            <w:r>
              <w:rPr>
                <w:rFonts w:ascii="Arial" w:eastAsia="Arial" w:hAnsi="Arial" w:cs="Arial"/>
                <w:b/>
                <w:sz w:val="16"/>
                <w:szCs w:val="16"/>
              </w:rPr>
              <w:t xml:space="preserve">Se interpretan correctamente                        </w:t>
            </w:r>
            <w:r>
              <w:rPr>
                <w:rFonts w:ascii="Arial" w:eastAsia="Arial" w:hAnsi="Arial" w:cs="Arial"/>
                <w:b/>
                <w:sz w:val="16"/>
                <w:szCs w:val="16"/>
                <w:u w:val="single"/>
              </w:rPr>
              <w:t xml:space="preserve">   SI   </w:t>
            </w:r>
            <w:r>
              <w:rPr>
                <w:rFonts w:ascii="Arial" w:eastAsia="Arial" w:hAnsi="Arial" w:cs="Arial"/>
                <w:b/>
                <w:sz w:val="16"/>
                <w:szCs w:val="16"/>
              </w:rPr>
              <w:t xml:space="preserve">          NO              Dudoso </w:t>
            </w:r>
            <w:r>
              <w:rPr>
                <w:noProof/>
              </w:rPr>
              <w:drawing>
                <wp:anchor distT="0" distB="0" distL="114300" distR="114300" simplePos="0" relativeHeight="251650560"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6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133350" cy="133350"/>
                          </a:xfrm>
                          <a:prstGeom prst="rect">
                            <a:avLst/>
                          </a:prstGeom>
                          <a:ln/>
                        </pic:spPr>
                      </pic:pic>
                    </a:graphicData>
                  </a:graphic>
                </wp:anchor>
              </w:drawing>
            </w:r>
            <w:r>
              <w:rPr>
                <w:noProof/>
              </w:rPr>
              <w:drawing>
                <wp:anchor distT="0" distB="0" distL="114300" distR="114300" simplePos="0" relativeHeight="251651584"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6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9"/>
                          <a:srcRect/>
                          <a:stretch>
                            <a:fillRect/>
                          </a:stretch>
                        </pic:blipFill>
                        <pic:spPr>
                          <a:xfrm>
                            <a:off x="0" y="0"/>
                            <a:ext cx="133350" cy="133350"/>
                          </a:xfrm>
                          <a:prstGeom prst="rect">
                            <a:avLst/>
                          </a:prstGeom>
                          <a:ln/>
                        </pic:spPr>
                      </pic:pic>
                    </a:graphicData>
                  </a:graphic>
                </wp:anchor>
              </w:drawing>
            </w:r>
            <w:r>
              <w:rPr>
                <w:noProof/>
              </w:rPr>
              <w:drawing>
                <wp:anchor distT="0" distB="0" distL="114300" distR="114300" simplePos="0" relativeHeight="251652608"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5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133350" cy="133350"/>
                          </a:xfrm>
                          <a:prstGeom prst="rect">
                            <a:avLst/>
                          </a:prstGeom>
                          <a:ln/>
                        </pic:spPr>
                      </pic:pic>
                    </a:graphicData>
                  </a:graphic>
                </wp:anchor>
              </w:drawing>
            </w:r>
          </w:p>
        </w:tc>
      </w:tr>
      <w:tr w:rsidR="002C4AF7">
        <w:tc>
          <w:tcPr>
            <w:tcW w:w="8931" w:type="dxa"/>
          </w:tcPr>
          <w:p w:rsidR="002C4AF7" w:rsidRDefault="007C2686">
            <w:pPr>
              <w:ind w:left="0" w:hanging="2"/>
              <w:rPr>
                <w:rFonts w:ascii="Arial" w:eastAsia="Arial" w:hAnsi="Arial" w:cs="Arial"/>
                <w:sz w:val="16"/>
                <w:szCs w:val="16"/>
              </w:rPr>
            </w:pPr>
            <w:r>
              <w:rPr>
                <w:rFonts w:ascii="Arial" w:eastAsia="Arial" w:hAnsi="Arial" w:cs="Arial"/>
                <w:sz w:val="16"/>
                <w:szCs w:val="16"/>
              </w:rPr>
              <w:t>Cómo se interpretaron:</w:t>
            </w:r>
          </w:p>
          <w:p w:rsidR="002C4AF7" w:rsidRDefault="007C2686">
            <w:pPr>
              <w:ind w:left="0" w:hanging="2"/>
              <w:rPr>
                <w:rFonts w:ascii="Arial" w:eastAsia="Arial" w:hAnsi="Arial" w:cs="Arial"/>
                <w:sz w:val="16"/>
                <w:szCs w:val="16"/>
              </w:rPr>
            </w:pPr>
            <w:r>
              <w:rPr>
                <w:rFonts w:ascii="Arial" w:eastAsia="Arial" w:hAnsi="Arial" w:cs="Arial"/>
                <w:sz w:val="16"/>
                <w:szCs w:val="16"/>
              </w:rPr>
              <w:t xml:space="preserve">Se discutió la heterogeneidad              </w:t>
            </w:r>
            <w:r>
              <w:rPr>
                <w:rFonts w:ascii="Arial" w:eastAsia="Arial" w:hAnsi="Arial" w:cs="Arial"/>
                <w:b/>
                <w:sz w:val="16"/>
                <w:szCs w:val="16"/>
              </w:rPr>
              <w:t xml:space="preserve">SI                NO               </w:t>
            </w:r>
            <w:r>
              <w:rPr>
                <w:rFonts w:ascii="Arial" w:eastAsia="Arial" w:hAnsi="Arial" w:cs="Arial"/>
                <w:b/>
                <w:sz w:val="16"/>
                <w:szCs w:val="16"/>
                <w:u w:val="single"/>
              </w:rPr>
              <w:t>Dudoso</w:t>
            </w:r>
            <w:r>
              <w:rPr>
                <w:noProof/>
              </w:rPr>
              <w:drawing>
                <wp:anchor distT="0" distB="0" distL="114300" distR="114300" simplePos="0" relativeHeight="251653632"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5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3"/>
                          <a:srcRect/>
                          <a:stretch>
                            <a:fillRect/>
                          </a:stretch>
                        </pic:blipFill>
                        <pic:spPr>
                          <a:xfrm>
                            <a:off x="0" y="0"/>
                            <a:ext cx="133350" cy="133350"/>
                          </a:xfrm>
                          <a:prstGeom prst="rect">
                            <a:avLst/>
                          </a:prstGeom>
                          <a:ln/>
                        </pic:spPr>
                      </pic:pic>
                    </a:graphicData>
                  </a:graphic>
                </wp:anchor>
              </w:drawing>
            </w:r>
            <w:r>
              <w:rPr>
                <w:noProof/>
              </w:rPr>
              <w:drawing>
                <wp:anchor distT="0" distB="0" distL="114300" distR="114300" simplePos="0" relativeHeight="251654656"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10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1"/>
                          <a:srcRect/>
                          <a:stretch>
                            <a:fillRect/>
                          </a:stretch>
                        </pic:blipFill>
                        <pic:spPr>
                          <a:xfrm>
                            <a:off x="0" y="0"/>
                            <a:ext cx="133350" cy="133350"/>
                          </a:xfrm>
                          <a:prstGeom prst="rect">
                            <a:avLst/>
                          </a:prstGeom>
                          <a:ln/>
                        </pic:spPr>
                      </pic:pic>
                    </a:graphicData>
                  </a:graphic>
                </wp:anchor>
              </w:drawing>
            </w:r>
            <w:r>
              <w:rPr>
                <w:noProof/>
              </w:rPr>
              <w:drawing>
                <wp:anchor distT="0" distB="0" distL="114300" distR="114300" simplePos="0" relativeHeight="251655680"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10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2"/>
                          <a:srcRect/>
                          <a:stretch>
                            <a:fillRect/>
                          </a:stretch>
                        </pic:blipFill>
                        <pic:spPr>
                          <a:xfrm>
                            <a:off x="0" y="0"/>
                            <a:ext cx="133350" cy="133350"/>
                          </a:xfrm>
                          <a:prstGeom prst="rect">
                            <a:avLst/>
                          </a:prstGeom>
                          <a:ln/>
                        </pic:spPr>
                      </pic:pic>
                    </a:graphicData>
                  </a:graphic>
                </wp:anchor>
              </w:drawing>
            </w:r>
          </w:p>
          <w:p w:rsidR="002C4AF7" w:rsidRDefault="007C2686">
            <w:pPr>
              <w:ind w:left="0" w:hanging="2"/>
              <w:rPr>
                <w:rFonts w:ascii="Arial" w:eastAsia="Arial" w:hAnsi="Arial" w:cs="Arial"/>
                <w:sz w:val="16"/>
                <w:szCs w:val="16"/>
              </w:rPr>
            </w:pPr>
            <w:r>
              <w:rPr>
                <w:rFonts w:ascii="Arial" w:eastAsia="Arial" w:hAnsi="Arial" w:cs="Arial"/>
                <w:sz w:val="16"/>
                <w:szCs w:val="16"/>
              </w:rPr>
              <w:t xml:space="preserve">Se realizó análisis de sensibilidad  (reanálisis cambiando datos de partida de la comparación)   </w:t>
            </w:r>
            <w:r>
              <w:rPr>
                <w:rFonts w:ascii="Arial" w:eastAsia="Arial" w:hAnsi="Arial" w:cs="Arial"/>
                <w:b/>
                <w:sz w:val="16"/>
                <w:szCs w:val="16"/>
                <w:u w:val="single"/>
              </w:rPr>
              <w:t>SI</w:t>
            </w:r>
            <w:r>
              <w:rPr>
                <w:rFonts w:ascii="Arial" w:eastAsia="Arial" w:hAnsi="Arial" w:cs="Arial"/>
                <w:b/>
                <w:sz w:val="16"/>
                <w:szCs w:val="16"/>
              </w:rPr>
              <w:t xml:space="preserve">                NO                          </w:t>
            </w:r>
            <w:r>
              <w:rPr>
                <w:noProof/>
              </w:rPr>
              <w:drawing>
                <wp:anchor distT="0" distB="0" distL="114300" distR="114300" simplePos="0" relativeHeight="251656704"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1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srcRect/>
                          <a:stretch>
                            <a:fillRect/>
                          </a:stretch>
                        </pic:blipFill>
                        <pic:spPr>
                          <a:xfrm>
                            <a:off x="0" y="0"/>
                            <a:ext cx="133350" cy="133350"/>
                          </a:xfrm>
                          <a:prstGeom prst="rect">
                            <a:avLst/>
                          </a:prstGeom>
                          <a:ln/>
                        </pic:spPr>
                      </pic:pic>
                    </a:graphicData>
                  </a:graphic>
                </wp:anchor>
              </w:drawing>
            </w:r>
            <w:r>
              <w:rPr>
                <w:noProof/>
              </w:rPr>
              <w:drawing>
                <wp:anchor distT="0" distB="0" distL="114300" distR="114300" simplePos="0" relativeHeight="251657728"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10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4"/>
                          <a:srcRect/>
                          <a:stretch>
                            <a:fillRect/>
                          </a:stretch>
                        </pic:blipFill>
                        <pic:spPr>
                          <a:xfrm>
                            <a:off x="0" y="0"/>
                            <a:ext cx="133350" cy="133350"/>
                          </a:xfrm>
                          <a:prstGeom prst="rect">
                            <a:avLst/>
                          </a:prstGeom>
                          <a:ln/>
                        </pic:spPr>
                      </pic:pic>
                    </a:graphicData>
                  </a:graphic>
                </wp:anchor>
              </w:drawing>
            </w:r>
          </w:p>
        </w:tc>
      </w:tr>
      <w:tr w:rsidR="002C4AF7">
        <w:tc>
          <w:tcPr>
            <w:tcW w:w="8931" w:type="dxa"/>
          </w:tcPr>
          <w:p w:rsidR="002C4AF7" w:rsidRDefault="007C2686">
            <w:pPr>
              <w:ind w:left="0" w:hanging="2"/>
              <w:rPr>
                <w:rFonts w:ascii="Arial" w:eastAsia="Arial" w:hAnsi="Arial" w:cs="Arial"/>
                <w:sz w:val="16"/>
                <w:szCs w:val="16"/>
              </w:rPr>
            </w:pPr>
            <w:r>
              <w:rPr>
                <w:rFonts w:ascii="Arial" w:eastAsia="Arial" w:hAnsi="Arial" w:cs="Arial"/>
                <w:sz w:val="16"/>
                <w:szCs w:val="16"/>
              </w:rPr>
              <w:t>Otros comentarios: (ver resumen)</w:t>
            </w:r>
          </w:p>
          <w:p w:rsidR="002C4AF7" w:rsidRDefault="002C4AF7">
            <w:pPr>
              <w:ind w:left="0" w:hanging="2"/>
              <w:rPr>
                <w:rFonts w:ascii="Arial" w:eastAsia="Arial" w:hAnsi="Arial" w:cs="Arial"/>
                <w:sz w:val="16"/>
                <w:szCs w:val="16"/>
              </w:rPr>
            </w:pPr>
          </w:p>
        </w:tc>
      </w:tr>
      <w:tr w:rsidR="002C4AF7">
        <w:tc>
          <w:tcPr>
            <w:tcW w:w="8931" w:type="dxa"/>
          </w:tcPr>
          <w:p w:rsidR="002C4AF7" w:rsidRDefault="007C2686">
            <w:pPr>
              <w:ind w:left="0" w:hanging="2"/>
              <w:rPr>
                <w:rFonts w:ascii="Arial" w:eastAsia="Arial" w:hAnsi="Arial" w:cs="Arial"/>
                <w:sz w:val="16"/>
                <w:szCs w:val="16"/>
              </w:rPr>
            </w:pPr>
            <w:r>
              <w:rPr>
                <w:rFonts w:ascii="Arial" w:eastAsia="Arial" w:hAnsi="Arial" w:cs="Arial"/>
                <w:sz w:val="16"/>
                <w:szCs w:val="16"/>
              </w:rPr>
              <w:t xml:space="preserve">Está justificada la comparación indirecta: </w:t>
            </w:r>
            <w:r>
              <w:rPr>
                <w:rFonts w:ascii="Arial" w:eastAsia="Arial" w:hAnsi="Arial" w:cs="Arial"/>
                <w:b/>
                <w:sz w:val="16"/>
                <w:szCs w:val="16"/>
                <w:u w:val="single"/>
              </w:rPr>
              <w:t xml:space="preserve">SI  </w:t>
            </w:r>
            <w:r>
              <w:rPr>
                <w:rFonts w:ascii="Arial" w:eastAsia="Arial" w:hAnsi="Arial" w:cs="Arial"/>
                <w:b/>
                <w:sz w:val="16"/>
                <w:szCs w:val="16"/>
              </w:rPr>
              <w:t xml:space="preserve">             NO               Dudoso  </w:t>
            </w:r>
            <w:r>
              <w:rPr>
                <w:noProof/>
              </w:rPr>
              <w:drawing>
                <wp:anchor distT="0" distB="0" distL="114300" distR="114300" simplePos="0" relativeHeight="251658752"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8"/>
                          <a:srcRect/>
                          <a:stretch>
                            <a:fillRect/>
                          </a:stretch>
                        </pic:blipFill>
                        <pic:spPr>
                          <a:xfrm>
                            <a:off x="0" y="0"/>
                            <a:ext cx="133350" cy="133350"/>
                          </a:xfrm>
                          <a:prstGeom prst="rect">
                            <a:avLst/>
                          </a:prstGeom>
                          <a:ln/>
                        </pic:spPr>
                      </pic:pic>
                    </a:graphicData>
                  </a:graphic>
                </wp:anchor>
              </w:drawing>
            </w:r>
            <w:r>
              <w:rPr>
                <w:noProof/>
              </w:rPr>
              <w:drawing>
                <wp:anchor distT="0" distB="0" distL="114300" distR="114300" simplePos="0" relativeHeight="251659776"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1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7"/>
                          <a:srcRect/>
                          <a:stretch>
                            <a:fillRect/>
                          </a:stretch>
                        </pic:blipFill>
                        <pic:spPr>
                          <a:xfrm>
                            <a:off x="0" y="0"/>
                            <a:ext cx="133350" cy="133350"/>
                          </a:xfrm>
                          <a:prstGeom prst="rect">
                            <a:avLst/>
                          </a:prstGeom>
                          <a:ln/>
                        </pic:spPr>
                      </pic:pic>
                    </a:graphicData>
                  </a:graphic>
                </wp:anchor>
              </w:drawing>
            </w:r>
            <w:r>
              <w:rPr>
                <w:noProof/>
              </w:rPr>
              <w:drawing>
                <wp:anchor distT="0" distB="0" distL="114300" distR="114300" simplePos="0" relativeHeight="251660800"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1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srcRect/>
                          <a:stretch>
                            <a:fillRect/>
                          </a:stretch>
                        </pic:blipFill>
                        <pic:spPr>
                          <a:xfrm>
                            <a:off x="0" y="0"/>
                            <a:ext cx="133350" cy="133350"/>
                          </a:xfrm>
                          <a:prstGeom prst="rect">
                            <a:avLst/>
                          </a:prstGeom>
                          <a:ln/>
                        </pic:spPr>
                      </pic:pic>
                    </a:graphicData>
                  </a:graphic>
                </wp:anchor>
              </w:drawing>
            </w:r>
          </w:p>
        </w:tc>
      </w:tr>
      <w:tr w:rsidR="002C4AF7">
        <w:tc>
          <w:tcPr>
            <w:tcW w:w="8931" w:type="dxa"/>
          </w:tcPr>
          <w:p w:rsidR="002C4AF7" w:rsidRDefault="007C2686">
            <w:pPr>
              <w:ind w:left="0" w:hanging="2"/>
              <w:rPr>
                <w:rFonts w:ascii="Arial" w:eastAsia="Arial" w:hAnsi="Arial" w:cs="Arial"/>
                <w:sz w:val="16"/>
                <w:szCs w:val="16"/>
              </w:rPr>
            </w:pPr>
            <w:r>
              <w:rPr>
                <w:rFonts w:ascii="Arial" w:eastAsia="Arial" w:hAnsi="Arial" w:cs="Arial"/>
                <w:sz w:val="16"/>
                <w:szCs w:val="16"/>
              </w:rPr>
              <w:t xml:space="preserve">Realizada por: Laboratorio fabricante              Patrocinada por laboratorio    </w:t>
            </w:r>
            <w:r>
              <w:rPr>
                <w:rFonts w:ascii="Arial" w:eastAsia="Arial" w:hAnsi="Arial" w:cs="Arial"/>
                <w:sz w:val="16"/>
                <w:szCs w:val="16"/>
                <w:u w:val="single"/>
              </w:rPr>
              <w:t xml:space="preserve">Organismo independiente    </w:t>
            </w:r>
            <w:r>
              <w:rPr>
                <w:noProof/>
              </w:rPr>
              <w:drawing>
                <wp:anchor distT="0" distB="0" distL="114300" distR="114300" simplePos="0" relativeHeight="251661824"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1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9"/>
                          <a:srcRect/>
                          <a:stretch>
                            <a:fillRect/>
                          </a:stretch>
                        </pic:blipFill>
                        <pic:spPr>
                          <a:xfrm>
                            <a:off x="0" y="0"/>
                            <a:ext cx="133350" cy="133350"/>
                          </a:xfrm>
                          <a:prstGeom prst="rect">
                            <a:avLst/>
                          </a:prstGeom>
                          <a:ln/>
                        </pic:spPr>
                      </pic:pic>
                    </a:graphicData>
                  </a:graphic>
                </wp:anchor>
              </w:drawing>
            </w:r>
            <w:r>
              <w:rPr>
                <w:noProof/>
              </w:rPr>
              <w:drawing>
                <wp:anchor distT="0" distB="0" distL="114300" distR="114300" simplePos="0" relativeHeight="251662848"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1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0"/>
                          <a:srcRect/>
                          <a:stretch>
                            <a:fillRect/>
                          </a:stretch>
                        </pic:blipFill>
                        <pic:spPr>
                          <a:xfrm>
                            <a:off x="0" y="0"/>
                            <a:ext cx="133350" cy="133350"/>
                          </a:xfrm>
                          <a:prstGeom prst="rect">
                            <a:avLst/>
                          </a:prstGeom>
                          <a:ln/>
                        </pic:spPr>
                      </pic:pic>
                    </a:graphicData>
                  </a:graphic>
                </wp:anchor>
              </w:drawing>
            </w:r>
            <w:r>
              <w:rPr>
                <w:noProof/>
              </w:rPr>
              <w:drawing>
                <wp:anchor distT="0" distB="0" distL="114300" distR="114300" simplePos="0" relativeHeight="251663872"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1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1"/>
                          <a:srcRect/>
                          <a:stretch>
                            <a:fillRect/>
                          </a:stretch>
                        </pic:blipFill>
                        <pic:spPr>
                          <a:xfrm>
                            <a:off x="0" y="0"/>
                            <a:ext cx="133350" cy="133350"/>
                          </a:xfrm>
                          <a:prstGeom prst="rect">
                            <a:avLst/>
                          </a:prstGeom>
                          <a:ln/>
                        </pic:spPr>
                      </pic:pic>
                    </a:graphicData>
                  </a:graphic>
                </wp:anchor>
              </w:drawing>
            </w:r>
          </w:p>
          <w:p w:rsidR="002C4AF7" w:rsidRDefault="007C2686">
            <w:pPr>
              <w:ind w:left="0" w:hanging="2"/>
              <w:rPr>
                <w:rFonts w:ascii="Arial" w:eastAsia="Arial" w:hAnsi="Arial" w:cs="Arial"/>
                <w:sz w:val="16"/>
                <w:szCs w:val="16"/>
              </w:rPr>
            </w:pPr>
            <w:r>
              <w:rPr>
                <w:rFonts w:ascii="Arial" w:eastAsia="Arial" w:hAnsi="Arial" w:cs="Arial"/>
                <w:sz w:val="16"/>
                <w:szCs w:val="16"/>
              </w:rPr>
              <w:t>Nombre:</w:t>
            </w:r>
          </w:p>
        </w:tc>
      </w:tr>
    </w:tbl>
    <w:p w:rsidR="002C4AF7" w:rsidRDefault="002C4AF7">
      <w:pPr>
        <w:ind w:left="0" w:hanging="2"/>
        <w:rPr>
          <w:rFonts w:ascii="Arial" w:eastAsia="Arial" w:hAnsi="Arial" w:cs="Arial"/>
          <w:sz w:val="20"/>
          <w:szCs w:val="20"/>
          <w:highlight w:val="yellow"/>
        </w:rPr>
      </w:pPr>
    </w:p>
    <w:p w:rsidR="002C4AF7" w:rsidRDefault="007C2686">
      <w:pPr>
        <w:widowControl w:val="0"/>
        <w:spacing w:before="3"/>
        <w:ind w:left="0" w:hanging="2"/>
        <w:jc w:val="both"/>
        <w:rPr>
          <w:rFonts w:ascii="Arial" w:eastAsia="Arial" w:hAnsi="Arial" w:cs="Arial"/>
          <w:sz w:val="20"/>
          <w:szCs w:val="20"/>
        </w:rPr>
      </w:pPr>
      <w:r w:rsidRPr="001475C9">
        <w:rPr>
          <w:rFonts w:ascii="Arial" w:eastAsia="Arial" w:hAnsi="Arial" w:cs="Arial"/>
          <w:b/>
          <w:sz w:val="20"/>
          <w:szCs w:val="20"/>
          <w:lang w:val="en-GB"/>
        </w:rPr>
        <w:t xml:space="preserve">Comparative Efficacy of Combined Radiotherapy, Systemic Therapy, and Androgen Deprivation Therapy for Metastatic Hormone-Sensitive Prostate Cancer: A Network Meta-Analysis and Systematic Review. </w:t>
      </w:r>
      <w:r>
        <w:rPr>
          <w:rFonts w:ascii="Arial" w:eastAsia="Arial" w:hAnsi="Arial" w:cs="Arial"/>
          <w:b/>
          <w:sz w:val="20"/>
          <w:szCs w:val="20"/>
        </w:rPr>
        <w:t>Front. Oncol. 10:567616.doi: 10.3389/fonc.2020.567616 (17)</w:t>
      </w:r>
    </w:p>
    <w:p w:rsidR="002C4AF7" w:rsidRDefault="002C4AF7">
      <w:pPr>
        <w:ind w:left="0" w:hanging="2"/>
        <w:jc w:val="both"/>
        <w:rPr>
          <w:rFonts w:ascii="Arial" w:eastAsia="Arial" w:hAnsi="Arial" w:cs="Arial"/>
          <w:sz w:val="20"/>
          <w:szCs w:val="20"/>
          <w:highlight w:val="yellow"/>
        </w:rPr>
      </w:pPr>
    </w:p>
    <w:p w:rsidR="002C4AF7" w:rsidRDefault="007C2686">
      <w:pPr>
        <w:ind w:left="0" w:hanging="2"/>
        <w:jc w:val="both"/>
        <w:rPr>
          <w:rFonts w:ascii="Arial" w:eastAsia="Arial" w:hAnsi="Arial" w:cs="Arial"/>
          <w:sz w:val="20"/>
          <w:szCs w:val="20"/>
          <w:u w:val="single"/>
        </w:rPr>
      </w:pPr>
      <w:r>
        <w:rPr>
          <w:rFonts w:ascii="Arial" w:eastAsia="Arial" w:hAnsi="Arial" w:cs="Arial"/>
          <w:sz w:val="20"/>
          <w:szCs w:val="20"/>
          <w:u w:val="single"/>
        </w:rPr>
        <w:t>Objetivos</w:t>
      </w:r>
    </w:p>
    <w:p w:rsidR="002C4AF7" w:rsidRDefault="007C2686">
      <w:pPr>
        <w:ind w:left="0" w:hanging="2"/>
        <w:jc w:val="both"/>
        <w:rPr>
          <w:rFonts w:ascii="Arial" w:eastAsia="Arial" w:hAnsi="Arial" w:cs="Arial"/>
          <w:sz w:val="20"/>
          <w:szCs w:val="20"/>
        </w:rPr>
      </w:pPr>
      <w:r>
        <w:rPr>
          <w:rFonts w:ascii="Arial" w:eastAsia="Arial" w:hAnsi="Arial" w:cs="Arial"/>
          <w:sz w:val="20"/>
          <w:szCs w:val="20"/>
        </w:rPr>
        <w:t>Realizar revisión sistemática y metaanálisis para comparar las distintas alternativas terapéuticas y realizar análisis de subgrupos según volumen de enfermedad y puntuación Gleason.</w:t>
      </w:r>
    </w:p>
    <w:p w:rsidR="002C4AF7" w:rsidRDefault="002C4AF7">
      <w:pPr>
        <w:ind w:left="0" w:hanging="2"/>
        <w:jc w:val="both"/>
        <w:rPr>
          <w:rFonts w:ascii="Arial" w:eastAsia="Arial" w:hAnsi="Arial" w:cs="Arial"/>
          <w:sz w:val="20"/>
          <w:szCs w:val="20"/>
          <w:highlight w:val="yellow"/>
        </w:rPr>
      </w:pPr>
    </w:p>
    <w:p w:rsidR="002C4AF7" w:rsidRDefault="007C2686">
      <w:pPr>
        <w:ind w:left="0" w:hanging="2"/>
        <w:jc w:val="both"/>
        <w:rPr>
          <w:rFonts w:ascii="Arial" w:eastAsia="Arial" w:hAnsi="Arial" w:cs="Arial"/>
          <w:sz w:val="20"/>
          <w:szCs w:val="20"/>
          <w:u w:val="single"/>
        </w:rPr>
      </w:pPr>
      <w:r>
        <w:rPr>
          <w:rFonts w:ascii="Arial" w:eastAsia="Arial" w:hAnsi="Arial" w:cs="Arial"/>
          <w:sz w:val="20"/>
          <w:szCs w:val="20"/>
          <w:u w:val="single"/>
        </w:rPr>
        <w:t>Metodología</w:t>
      </w:r>
    </w:p>
    <w:p w:rsidR="002C4AF7" w:rsidRDefault="007C2686">
      <w:pPr>
        <w:ind w:left="0" w:hanging="2"/>
        <w:jc w:val="both"/>
        <w:rPr>
          <w:rFonts w:ascii="Arial" w:eastAsia="Arial" w:hAnsi="Arial" w:cs="Arial"/>
          <w:sz w:val="20"/>
          <w:szCs w:val="20"/>
        </w:rPr>
      </w:pPr>
      <w:r>
        <w:rPr>
          <w:rFonts w:ascii="Arial" w:eastAsia="Arial" w:hAnsi="Arial" w:cs="Arial"/>
          <w:sz w:val="20"/>
          <w:szCs w:val="20"/>
        </w:rPr>
        <w:t>Se realizó una revisión sistemática de ensayos fase 3 aleatorizados que incluyeran las intervenciones: TDA mas APA, TDA más abiraterona, TDA mas docetaxel, TDA más enzalutamida y TDA más radioterapia. Se recogieron las variables de SG, SLP específica antígeno prostático, y otras variables secundarias. Se empleó la metodología de la colaboración Cochrane para valorar la calidad de cada estudio. Las comparaciones indirectas se realizaron con metodología bayesiana. Se emplearon modelos de efectos fijos y aleatorios.</w:t>
      </w:r>
    </w:p>
    <w:p w:rsidR="002C4AF7" w:rsidRDefault="002C4AF7">
      <w:pPr>
        <w:ind w:left="0" w:hanging="2"/>
        <w:jc w:val="both"/>
        <w:rPr>
          <w:rFonts w:ascii="Arial" w:eastAsia="Arial" w:hAnsi="Arial" w:cs="Arial"/>
          <w:sz w:val="20"/>
          <w:szCs w:val="20"/>
          <w:highlight w:val="yellow"/>
        </w:rPr>
      </w:pPr>
    </w:p>
    <w:p w:rsidR="002C4AF7" w:rsidRDefault="007C2686">
      <w:pPr>
        <w:ind w:left="0" w:hanging="2"/>
        <w:jc w:val="both"/>
        <w:rPr>
          <w:rFonts w:ascii="Arial" w:eastAsia="Arial" w:hAnsi="Arial" w:cs="Arial"/>
          <w:sz w:val="20"/>
          <w:szCs w:val="20"/>
          <w:u w:val="single"/>
        </w:rPr>
      </w:pPr>
      <w:r>
        <w:rPr>
          <w:rFonts w:ascii="Arial" w:eastAsia="Arial" w:hAnsi="Arial" w:cs="Arial"/>
          <w:sz w:val="20"/>
          <w:szCs w:val="20"/>
          <w:u w:val="single"/>
        </w:rPr>
        <w:t>Resultados</w:t>
      </w:r>
    </w:p>
    <w:p w:rsidR="002C4AF7" w:rsidRDefault="007C2686">
      <w:pPr>
        <w:ind w:left="0" w:hanging="2"/>
        <w:jc w:val="both"/>
        <w:rPr>
          <w:rFonts w:ascii="Arial" w:eastAsia="Arial" w:hAnsi="Arial" w:cs="Arial"/>
          <w:sz w:val="20"/>
          <w:szCs w:val="20"/>
        </w:rPr>
      </w:pPr>
      <w:r>
        <w:rPr>
          <w:rFonts w:ascii="Arial" w:eastAsia="Arial" w:hAnsi="Arial" w:cs="Arial"/>
          <w:sz w:val="20"/>
          <w:szCs w:val="20"/>
        </w:rPr>
        <w:t>Dado que no había un bucle cerrado en el metaanálisis no pudo aplicarse la valoración de la inconsistencia. El análisis de heterogeneidad para el metaanálisis completo proporcionó una I</w:t>
      </w:r>
      <w:r>
        <w:rPr>
          <w:rFonts w:ascii="Arial" w:eastAsia="Arial" w:hAnsi="Arial" w:cs="Arial"/>
          <w:sz w:val="20"/>
          <w:szCs w:val="20"/>
          <w:vertAlign w:val="superscript"/>
        </w:rPr>
        <w:t>2</w:t>
      </w:r>
      <w:r>
        <w:rPr>
          <w:rFonts w:ascii="Arial" w:eastAsia="Arial" w:hAnsi="Arial" w:cs="Arial"/>
          <w:sz w:val="20"/>
          <w:szCs w:val="20"/>
        </w:rPr>
        <w:t xml:space="preserve"> de 35,54% indicando que no había heterogeneidad significativa. </w:t>
      </w:r>
    </w:p>
    <w:p w:rsidR="002C4AF7" w:rsidRDefault="002C4AF7">
      <w:pPr>
        <w:ind w:left="0" w:hanging="2"/>
        <w:jc w:val="both"/>
        <w:rPr>
          <w:rFonts w:ascii="Arial" w:eastAsia="Arial" w:hAnsi="Arial" w:cs="Arial"/>
          <w:sz w:val="20"/>
          <w:szCs w:val="20"/>
          <w:u w:val="single"/>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Se incluyeron 10 ensayos clínicos y un total de 11.194 pacientes. En relación a terapia sistémica se incluyeron los estudios TITAN, STAMPEDE brazo G, LATITUDE, GETUG-AFU-15, CHAARTED, STAMPEDE brazo C, ENZAMET y ARCHES. Siete de los diez estudios eran abiertos.</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noProof/>
          <w:sz w:val="20"/>
          <w:szCs w:val="20"/>
        </w:rPr>
        <w:lastRenderedPageBreak/>
        <w:drawing>
          <wp:inline distT="0" distB="0" distL="114300" distR="114300">
            <wp:extent cx="571500" cy="2793365"/>
            <wp:effectExtent l="0" t="0" r="0" b="0"/>
            <wp:docPr id="109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4"/>
                    <a:srcRect/>
                    <a:stretch>
                      <a:fillRect/>
                    </a:stretch>
                  </pic:blipFill>
                  <pic:spPr>
                    <a:xfrm>
                      <a:off x="0" y="0"/>
                      <a:ext cx="571500" cy="2793365"/>
                    </a:xfrm>
                    <a:prstGeom prst="rect">
                      <a:avLst/>
                    </a:prstGeom>
                    <a:ln/>
                  </pic:spPr>
                </pic:pic>
              </a:graphicData>
            </a:graphic>
          </wp:inline>
        </w:drawing>
      </w:r>
      <w:r>
        <w:rPr>
          <w:rFonts w:ascii="Arial" w:eastAsia="Arial" w:hAnsi="Arial" w:cs="Arial"/>
          <w:noProof/>
          <w:sz w:val="20"/>
          <w:szCs w:val="20"/>
        </w:rPr>
        <w:drawing>
          <wp:inline distT="0" distB="0" distL="114300" distR="114300">
            <wp:extent cx="984250" cy="2774315"/>
            <wp:effectExtent l="0" t="0" r="0" b="0"/>
            <wp:docPr id="110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5"/>
                    <a:srcRect/>
                    <a:stretch>
                      <a:fillRect/>
                    </a:stretch>
                  </pic:blipFill>
                  <pic:spPr>
                    <a:xfrm>
                      <a:off x="0" y="0"/>
                      <a:ext cx="984250" cy="2774315"/>
                    </a:xfrm>
                    <a:prstGeom prst="rect">
                      <a:avLst/>
                    </a:prstGeom>
                    <a:ln/>
                  </pic:spPr>
                </pic:pic>
              </a:graphicData>
            </a:graphic>
          </wp:inline>
        </w:drawing>
      </w:r>
      <w:r>
        <w:rPr>
          <w:rFonts w:ascii="Arial" w:eastAsia="Arial" w:hAnsi="Arial" w:cs="Arial"/>
          <w:noProof/>
          <w:sz w:val="20"/>
          <w:szCs w:val="20"/>
        </w:rPr>
        <w:drawing>
          <wp:inline distT="0" distB="0" distL="114300" distR="114300">
            <wp:extent cx="984250" cy="2812415"/>
            <wp:effectExtent l="0" t="0" r="0" b="0"/>
            <wp:docPr id="110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6"/>
                    <a:srcRect/>
                    <a:stretch>
                      <a:fillRect/>
                    </a:stretch>
                  </pic:blipFill>
                  <pic:spPr>
                    <a:xfrm>
                      <a:off x="0" y="0"/>
                      <a:ext cx="984250" cy="2812415"/>
                    </a:xfrm>
                    <a:prstGeom prst="rect">
                      <a:avLst/>
                    </a:prstGeom>
                    <a:ln/>
                  </pic:spPr>
                </pic:pic>
              </a:graphicData>
            </a:graphic>
          </wp:inline>
        </w:drawing>
      </w:r>
      <w:r>
        <w:rPr>
          <w:rFonts w:ascii="Arial" w:eastAsia="Arial" w:hAnsi="Arial" w:cs="Arial"/>
          <w:noProof/>
          <w:sz w:val="20"/>
          <w:szCs w:val="20"/>
        </w:rPr>
        <w:drawing>
          <wp:inline distT="0" distB="0" distL="114300" distR="114300">
            <wp:extent cx="514350" cy="2800350"/>
            <wp:effectExtent l="0" t="0" r="0" b="0"/>
            <wp:docPr id="110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7"/>
                    <a:srcRect/>
                    <a:stretch>
                      <a:fillRect/>
                    </a:stretch>
                  </pic:blipFill>
                  <pic:spPr>
                    <a:xfrm>
                      <a:off x="0" y="0"/>
                      <a:ext cx="514350" cy="2800350"/>
                    </a:xfrm>
                    <a:prstGeom prst="rect">
                      <a:avLst/>
                    </a:prstGeom>
                    <a:ln/>
                  </pic:spPr>
                </pic:pic>
              </a:graphicData>
            </a:graphic>
          </wp:inline>
        </w:drawing>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Figura 15. SG para las distintas comparaciones del metaanálisis</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Para los valores de </w:t>
      </w:r>
      <w:r>
        <w:rPr>
          <w:rFonts w:ascii="Arial" w:eastAsia="Arial" w:hAnsi="Arial" w:cs="Arial"/>
          <w:b/>
          <w:sz w:val="20"/>
          <w:szCs w:val="20"/>
        </w:rPr>
        <w:t>SG</w:t>
      </w:r>
      <w:r>
        <w:rPr>
          <w:rFonts w:ascii="Arial" w:eastAsia="Arial" w:hAnsi="Arial" w:cs="Arial"/>
          <w:sz w:val="20"/>
          <w:szCs w:val="20"/>
        </w:rPr>
        <w:t xml:space="preserve">, abiraterona, docetaxel, apalutamida y enzalutamida (todos ellos combinados con TDA) eran superiores al tratamiento con TDA. </w:t>
      </w:r>
      <w:r>
        <w:rPr>
          <w:rFonts w:ascii="Arial" w:eastAsia="Arial" w:hAnsi="Arial" w:cs="Arial"/>
          <w:b/>
          <w:sz w:val="20"/>
          <w:szCs w:val="20"/>
        </w:rPr>
        <w:t>No se observaron diferencias estadísticamente significativas al comparar los cuatro fármacos activos entre sí.</w:t>
      </w:r>
    </w:p>
    <w:p w:rsidR="002C4AF7" w:rsidRDefault="002C4AF7">
      <w:pPr>
        <w:ind w:left="0" w:hanging="2"/>
        <w:jc w:val="both"/>
        <w:rPr>
          <w:rFonts w:ascii="Arial" w:eastAsia="Arial" w:hAnsi="Arial" w:cs="Arial"/>
          <w:sz w:val="20"/>
          <w:szCs w:val="20"/>
          <w:highlight w:val="yellow"/>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No se resumen los resultados de las comparaciones de SLP ya que se han realizado únicamente para la variable SLP de antígeno prostático específico.</w:t>
      </w:r>
    </w:p>
    <w:p w:rsidR="002C4AF7" w:rsidRDefault="002C4AF7">
      <w:pPr>
        <w:ind w:left="0" w:hanging="2"/>
        <w:rPr>
          <w:rFonts w:ascii="Arial" w:eastAsia="Arial" w:hAnsi="Arial" w:cs="Arial"/>
          <w:color w:val="000080"/>
          <w:sz w:val="20"/>
          <w:szCs w:val="20"/>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Según el volumen de enfermedad, en relación a la SG, para el </w:t>
      </w:r>
      <w:r>
        <w:rPr>
          <w:rFonts w:ascii="Arial" w:eastAsia="Arial" w:hAnsi="Arial" w:cs="Arial"/>
          <w:b/>
          <w:sz w:val="20"/>
          <w:szCs w:val="20"/>
          <w:u w:val="single"/>
        </w:rPr>
        <w:t>subgrupo de alto volumen</w:t>
      </w:r>
      <w:r>
        <w:rPr>
          <w:rFonts w:ascii="Arial" w:eastAsia="Arial" w:hAnsi="Arial" w:cs="Arial"/>
          <w:sz w:val="20"/>
          <w:szCs w:val="20"/>
        </w:rPr>
        <w:t xml:space="preserve"> no se observaron diferencias estadísticamente significativas en las comparaciones entre sí de las terapias sistémicas combinadas.</w:t>
      </w: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Para el subgrupo de </w:t>
      </w:r>
      <w:r>
        <w:rPr>
          <w:rFonts w:ascii="Arial" w:eastAsia="Arial" w:hAnsi="Arial" w:cs="Arial"/>
          <w:b/>
          <w:sz w:val="20"/>
          <w:szCs w:val="20"/>
          <w:u w:val="single"/>
        </w:rPr>
        <w:t>bajo volumen de enfermedad, para SG</w:t>
      </w:r>
      <w:r>
        <w:rPr>
          <w:rFonts w:ascii="Arial" w:eastAsia="Arial" w:hAnsi="Arial" w:cs="Arial"/>
          <w:sz w:val="20"/>
          <w:szCs w:val="20"/>
        </w:rPr>
        <w:t>, a excepción de la superioridad de enzalutamida más TDA vs. docetaxel más TDA, ninguna de las otras comparaciones entre terapias combinadas mostró diferencias estadísticamente significativas.</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En estos análisis se incluyeron 8 de los 10 estudios. El estudio ARCHES y el STAMPEDE brazo ABI se excluyeron debido a que no se proporcionaron estos datos.</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Según la</w:t>
      </w:r>
      <w:r>
        <w:rPr>
          <w:rFonts w:ascii="Arial" w:eastAsia="Arial" w:hAnsi="Arial" w:cs="Arial"/>
          <w:b/>
          <w:sz w:val="20"/>
          <w:szCs w:val="20"/>
          <w:u w:val="single"/>
        </w:rPr>
        <w:t xml:space="preserve"> puntuación Gleason, en relación a la SG, para el subgrupo de pacientes con puntuación menor de 8</w:t>
      </w:r>
      <w:r>
        <w:rPr>
          <w:rFonts w:ascii="Arial" w:eastAsia="Arial" w:hAnsi="Arial" w:cs="Arial"/>
          <w:sz w:val="20"/>
          <w:szCs w:val="20"/>
        </w:rPr>
        <w:t>, no se observaron diferencias estadísticamente significativas en las comparaciones entre sí de las distintas terapias combinadas.</w:t>
      </w:r>
    </w:p>
    <w:p w:rsidR="002C4AF7" w:rsidRDefault="007C2686">
      <w:pPr>
        <w:ind w:left="0" w:hanging="2"/>
        <w:jc w:val="both"/>
        <w:rPr>
          <w:rFonts w:ascii="Arial" w:eastAsia="Arial" w:hAnsi="Arial" w:cs="Arial"/>
          <w:sz w:val="20"/>
          <w:szCs w:val="20"/>
        </w:rPr>
      </w:pPr>
      <w:r>
        <w:rPr>
          <w:rFonts w:ascii="Arial" w:eastAsia="Arial" w:hAnsi="Arial" w:cs="Arial"/>
          <w:b/>
          <w:sz w:val="20"/>
          <w:szCs w:val="20"/>
          <w:u w:val="single"/>
        </w:rPr>
        <w:t xml:space="preserve">En pacientes con puntuación mayor o igual a 8 </w:t>
      </w:r>
      <w:r>
        <w:rPr>
          <w:rFonts w:ascii="Arial" w:eastAsia="Arial" w:hAnsi="Arial" w:cs="Arial"/>
          <w:b/>
          <w:sz w:val="20"/>
          <w:szCs w:val="20"/>
        </w:rPr>
        <w:t>no se observaron diferencias estadísticamente significativas en las comparaciones entre sí de las distintas terapias combinadas.</w:t>
      </w:r>
    </w:p>
    <w:p w:rsidR="002C4AF7" w:rsidRDefault="002C4AF7">
      <w:pPr>
        <w:ind w:left="0" w:hanging="2"/>
        <w:rPr>
          <w:rFonts w:ascii="Arial" w:eastAsia="Arial" w:hAnsi="Arial" w:cs="Arial"/>
          <w:color w:val="000080"/>
          <w:sz w:val="20"/>
          <w:szCs w:val="20"/>
        </w:rPr>
      </w:pPr>
    </w:p>
    <w:tbl>
      <w:tblPr>
        <w:tblStyle w:val="afffb"/>
        <w:tblW w:w="893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2C4AF7">
        <w:tc>
          <w:tcPr>
            <w:tcW w:w="8931" w:type="dxa"/>
            <w:shd w:val="clear" w:color="auto" w:fill="E6E6E6"/>
          </w:tcPr>
          <w:p w:rsidR="002C4AF7" w:rsidRDefault="007C2686">
            <w:pPr>
              <w:ind w:left="0" w:hanging="2"/>
              <w:rPr>
                <w:rFonts w:ascii="Arial" w:eastAsia="Arial" w:hAnsi="Arial" w:cs="Arial"/>
                <w:sz w:val="16"/>
                <w:szCs w:val="16"/>
              </w:rPr>
            </w:pPr>
            <w:r>
              <w:rPr>
                <w:rFonts w:ascii="Arial" w:eastAsia="Arial" w:hAnsi="Arial" w:cs="Arial"/>
                <w:b/>
                <w:sz w:val="16"/>
                <w:szCs w:val="16"/>
              </w:rPr>
              <w:t>INTERPRETACIÓN DE LOS RESULTADOS DE LA COMPARACIÓN INDIRECTA</w:t>
            </w:r>
          </w:p>
          <w:p w:rsidR="002C4AF7" w:rsidRDefault="007C2686">
            <w:pPr>
              <w:ind w:left="0" w:hanging="2"/>
              <w:rPr>
                <w:rFonts w:ascii="Arial" w:eastAsia="Arial" w:hAnsi="Arial" w:cs="Arial"/>
                <w:sz w:val="16"/>
                <w:szCs w:val="16"/>
              </w:rPr>
            </w:pPr>
            <w:r>
              <w:rPr>
                <w:rFonts w:ascii="Arial" w:eastAsia="Arial" w:hAnsi="Arial" w:cs="Arial"/>
                <w:b/>
                <w:sz w:val="16"/>
                <w:szCs w:val="16"/>
              </w:rPr>
              <w:t xml:space="preserve">Se interpretan correctamente                        </w:t>
            </w:r>
            <w:r>
              <w:rPr>
                <w:rFonts w:ascii="Arial" w:eastAsia="Arial" w:hAnsi="Arial" w:cs="Arial"/>
                <w:b/>
                <w:sz w:val="16"/>
                <w:szCs w:val="16"/>
                <w:u w:val="single"/>
              </w:rPr>
              <w:t xml:space="preserve">   SI   </w:t>
            </w:r>
            <w:r>
              <w:rPr>
                <w:rFonts w:ascii="Arial" w:eastAsia="Arial" w:hAnsi="Arial" w:cs="Arial"/>
                <w:b/>
                <w:sz w:val="16"/>
                <w:szCs w:val="16"/>
              </w:rPr>
              <w:t xml:space="preserve">          NO              Dudoso </w:t>
            </w:r>
            <w:r>
              <w:rPr>
                <w:noProof/>
              </w:rPr>
              <w:drawing>
                <wp:anchor distT="0" distB="0" distL="114300" distR="114300" simplePos="0" relativeHeight="251664896"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8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9"/>
                          <a:srcRect/>
                          <a:stretch>
                            <a:fillRect/>
                          </a:stretch>
                        </pic:blipFill>
                        <pic:spPr>
                          <a:xfrm>
                            <a:off x="0" y="0"/>
                            <a:ext cx="133350" cy="133350"/>
                          </a:xfrm>
                          <a:prstGeom prst="rect">
                            <a:avLst/>
                          </a:prstGeom>
                          <a:ln/>
                        </pic:spPr>
                      </pic:pic>
                    </a:graphicData>
                  </a:graphic>
                </wp:anchor>
              </w:drawing>
            </w:r>
            <w:r>
              <w:rPr>
                <w:noProof/>
              </w:rPr>
              <w:drawing>
                <wp:anchor distT="0" distB="0" distL="114300" distR="114300" simplePos="0" relativeHeight="251665920"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8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133350" cy="133350"/>
                          </a:xfrm>
                          <a:prstGeom prst="rect">
                            <a:avLst/>
                          </a:prstGeom>
                          <a:ln/>
                        </pic:spPr>
                      </pic:pic>
                    </a:graphicData>
                  </a:graphic>
                </wp:anchor>
              </w:drawing>
            </w:r>
            <w:r>
              <w:rPr>
                <w:noProof/>
              </w:rPr>
              <w:drawing>
                <wp:anchor distT="0" distB="0" distL="114300" distR="114300" simplePos="0" relativeHeight="251666944"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9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133350" cy="133350"/>
                          </a:xfrm>
                          <a:prstGeom prst="rect">
                            <a:avLst/>
                          </a:prstGeom>
                          <a:ln/>
                        </pic:spPr>
                      </pic:pic>
                    </a:graphicData>
                  </a:graphic>
                </wp:anchor>
              </w:drawing>
            </w:r>
          </w:p>
        </w:tc>
      </w:tr>
      <w:tr w:rsidR="002C4AF7">
        <w:tc>
          <w:tcPr>
            <w:tcW w:w="8931" w:type="dxa"/>
          </w:tcPr>
          <w:p w:rsidR="002C4AF7" w:rsidRDefault="007C2686">
            <w:pPr>
              <w:ind w:left="0" w:hanging="2"/>
              <w:rPr>
                <w:rFonts w:ascii="Arial" w:eastAsia="Arial" w:hAnsi="Arial" w:cs="Arial"/>
                <w:sz w:val="16"/>
                <w:szCs w:val="16"/>
              </w:rPr>
            </w:pPr>
            <w:r>
              <w:rPr>
                <w:rFonts w:ascii="Arial" w:eastAsia="Arial" w:hAnsi="Arial" w:cs="Arial"/>
                <w:sz w:val="16"/>
                <w:szCs w:val="16"/>
              </w:rPr>
              <w:t>Cómo se interpretaron:</w:t>
            </w:r>
          </w:p>
          <w:p w:rsidR="002C4AF7" w:rsidRDefault="007C2686">
            <w:pPr>
              <w:ind w:left="0" w:hanging="2"/>
              <w:rPr>
                <w:rFonts w:ascii="Arial" w:eastAsia="Arial" w:hAnsi="Arial" w:cs="Arial"/>
                <w:sz w:val="16"/>
                <w:szCs w:val="16"/>
              </w:rPr>
            </w:pPr>
            <w:r>
              <w:rPr>
                <w:rFonts w:ascii="Arial" w:eastAsia="Arial" w:hAnsi="Arial" w:cs="Arial"/>
                <w:sz w:val="16"/>
                <w:szCs w:val="16"/>
              </w:rPr>
              <w:t xml:space="preserve">Se discutió la heterogeneidad              </w:t>
            </w:r>
            <w:r>
              <w:rPr>
                <w:rFonts w:ascii="Arial" w:eastAsia="Arial" w:hAnsi="Arial" w:cs="Arial"/>
                <w:b/>
                <w:sz w:val="16"/>
                <w:szCs w:val="16"/>
              </w:rPr>
              <w:t xml:space="preserve">SI                NO               </w:t>
            </w:r>
            <w:r>
              <w:rPr>
                <w:rFonts w:ascii="Arial" w:eastAsia="Arial" w:hAnsi="Arial" w:cs="Arial"/>
                <w:b/>
                <w:sz w:val="16"/>
                <w:szCs w:val="16"/>
                <w:u w:val="single"/>
              </w:rPr>
              <w:t>Dudoso</w:t>
            </w:r>
            <w:r>
              <w:rPr>
                <w:noProof/>
              </w:rPr>
              <w:drawing>
                <wp:anchor distT="0" distB="0" distL="114300" distR="114300" simplePos="0" relativeHeight="251667968"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8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1"/>
                          <a:srcRect/>
                          <a:stretch>
                            <a:fillRect/>
                          </a:stretch>
                        </pic:blipFill>
                        <pic:spPr>
                          <a:xfrm>
                            <a:off x="0" y="0"/>
                            <a:ext cx="133350" cy="133350"/>
                          </a:xfrm>
                          <a:prstGeom prst="rect">
                            <a:avLst/>
                          </a:prstGeom>
                          <a:ln/>
                        </pic:spPr>
                      </pic:pic>
                    </a:graphicData>
                  </a:graphic>
                </wp:anchor>
              </w:drawing>
            </w:r>
            <w:r>
              <w:rPr>
                <w:noProof/>
              </w:rPr>
              <w:drawing>
                <wp:anchor distT="0" distB="0" distL="114300" distR="114300" simplePos="0" relativeHeight="251668992"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8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3"/>
                          <a:srcRect/>
                          <a:stretch>
                            <a:fillRect/>
                          </a:stretch>
                        </pic:blipFill>
                        <pic:spPr>
                          <a:xfrm>
                            <a:off x="0" y="0"/>
                            <a:ext cx="133350" cy="133350"/>
                          </a:xfrm>
                          <a:prstGeom prst="rect">
                            <a:avLst/>
                          </a:prstGeom>
                          <a:ln/>
                        </pic:spPr>
                      </pic:pic>
                    </a:graphicData>
                  </a:graphic>
                </wp:anchor>
              </w:drawing>
            </w:r>
            <w:r>
              <w:rPr>
                <w:noProof/>
              </w:rPr>
              <w:drawing>
                <wp:anchor distT="0" distB="0" distL="114300" distR="114300" simplePos="0" relativeHeight="251670016"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8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2"/>
                          <a:srcRect/>
                          <a:stretch>
                            <a:fillRect/>
                          </a:stretch>
                        </pic:blipFill>
                        <pic:spPr>
                          <a:xfrm>
                            <a:off x="0" y="0"/>
                            <a:ext cx="133350" cy="133350"/>
                          </a:xfrm>
                          <a:prstGeom prst="rect">
                            <a:avLst/>
                          </a:prstGeom>
                          <a:ln/>
                        </pic:spPr>
                      </pic:pic>
                    </a:graphicData>
                  </a:graphic>
                </wp:anchor>
              </w:drawing>
            </w:r>
          </w:p>
          <w:p w:rsidR="002C4AF7" w:rsidRDefault="007C2686">
            <w:pPr>
              <w:ind w:left="0" w:hanging="2"/>
              <w:rPr>
                <w:rFonts w:ascii="Arial" w:eastAsia="Arial" w:hAnsi="Arial" w:cs="Arial"/>
                <w:sz w:val="16"/>
                <w:szCs w:val="16"/>
              </w:rPr>
            </w:pPr>
            <w:r>
              <w:rPr>
                <w:rFonts w:ascii="Arial" w:eastAsia="Arial" w:hAnsi="Arial" w:cs="Arial"/>
                <w:sz w:val="16"/>
                <w:szCs w:val="16"/>
              </w:rPr>
              <w:t xml:space="preserve">Se realizó análisis de sensibilidad  (reanálisis cambiando datos de partida de la comparación)   </w:t>
            </w:r>
            <w:r>
              <w:rPr>
                <w:rFonts w:ascii="Arial" w:eastAsia="Arial" w:hAnsi="Arial" w:cs="Arial"/>
                <w:b/>
                <w:sz w:val="16"/>
                <w:szCs w:val="16"/>
                <w:u w:val="single"/>
              </w:rPr>
              <w:t>SI</w:t>
            </w:r>
            <w:r>
              <w:rPr>
                <w:rFonts w:ascii="Arial" w:eastAsia="Arial" w:hAnsi="Arial" w:cs="Arial"/>
                <w:b/>
                <w:sz w:val="16"/>
                <w:szCs w:val="16"/>
              </w:rPr>
              <w:t xml:space="preserve">                NO                          </w:t>
            </w:r>
            <w:r>
              <w:rPr>
                <w:noProof/>
              </w:rPr>
              <w:drawing>
                <wp:anchor distT="0" distB="0" distL="114300" distR="114300" simplePos="0" relativeHeight="251671040"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srcRect/>
                          <a:stretch>
                            <a:fillRect/>
                          </a:stretch>
                        </pic:blipFill>
                        <pic:spPr>
                          <a:xfrm>
                            <a:off x="0" y="0"/>
                            <a:ext cx="133350" cy="133350"/>
                          </a:xfrm>
                          <a:prstGeom prst="rect">
                            <a:avLst/>
                          </a:prstGeom>
                          <a:ln/>
                        </pic:spPr>
                      </pic:pic>
                    </a:graphicData>
                  </a:graphic>
                </wp:anchor>
              </w:drawing>
            </w:r>
            <w:r>
              <w:rPr>
                <w:noProof/>
              </w:rPr>
              <w:drawing>
                <wp:anchor distT="0" distB="0" distL="114300" distR="114300" simplePos="0" relativeHeight="251672064"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4"/>
                          <a:srcRect/>
                          <a:stretch>
                            <a:fillRect/>
                          </a:stretch>
                        </pic:blipFill>
                        <pic:spPr>
                          <a:xfrm>
                            <a:off x="0" y="0"/>
                            <a:ext cx="133350" cy="133350"/>
                          </a:xfrm>
                          <a:prstGeom prst="rect">
                            <a:avLst/>
                          </a:prstGeom>
                          <a:ln/>
                        </pic:spPr>
                      </pic:pic>
                    </a:graphicData>
                  </a:graphic>
                </wp:anchor>
              </w:drawing>
            </w:r>
          </w:p>
        </w:tc>
      </w:tr>
      <w:tr w:rsidR="002C4AF7">
        <w:tc>
          <w:tcPr>
            <w:tcW w:w="8931" w:type="dxa"/>
          </w:tcPr>
          <w:p w:rsidR="002C4AF7" w:rsidRDefault="007C2686">
            <w:pPr>
              <w:ind w:left="0" w:hanging="2"/>
              <w:rPr>
                <w:rFonts w:ascii="Arial" w:eastAsia="Arial" w:hAnsi="Arial" w:cs="Arial"/>
                <w:sz w:val="16"/>
                <w:szCs w:val="16"/>
              </w:rPr>
            </w:pPr>
            <w:r>
              <w:rPr>
                <w:rFonts w:ascii="Arial" w:eastAsia="Arial" w:hAnsi="Arial" w:cs="Arial"/>
                <w:sz w:val="16"/>
                <w:szCs w:val="16"/>
              </w:rPr>
              <w:t>Otros comentarios:</w:t>
            </w:r>
          </w:p>
          <w:p w:rsidR="002C4AF7" w:rsidRDefault="002C4AF7">
            <w:pPr>
              <w:ind w:left="0" w:hanging="2"/>
              <w:rPr>
                <w:rFonts w:ascii="Arial" w:eastAsia="Arial" w:hAnsi="Arial" w:cs="Arial"/>
                <w:sz w:val="16"/>
                <w:szCs w:val="16"/>
              </w:rPr>
            </w:pPr>
          </w:p>
        </w:tc>
      </w:tr>
      <w:tr w:rsidR="002C4AF7">
        <w:tc>
          <w:tcPr>
            <w:tcW w:w="8931" w:type="dxa"/>
          </w:tcPr>
          <w:p w:rsidR="002C4AF7" w:rsidRDefault="007C2686">
            <w:pPr>
              <w:ind w:left="0" w:hanging="2"/>
              <w:rPr>
                <w:rFonts w:ascii="Arial" w:eastAsia="Arial" w:hAnsi="Arial" w:cs="Arial"/>
                <w:sz w:val="16"/>
                <w:szCs w:val="16"/>
              </w:rPr>
            </w:pPr>
            <w:r>
              <w:rPr>
                <w:rFonts w:ascii="Arial" w:eastAsia="Arial" w:hAnsi="Arial" w:cs="Arial"/>
                <w:sz w:val="16"/>
                <w:szCs w:val="16"/>
              </w:rPr>
              <w:t xml:space="preserve">Está justificada la comparación indirecta: </w:t>
            </w:r>
            <w:r>
              <w:rPr>
                <w:rFonts w:ascii="Arial" w:eastAsia="Arial" w:hAnsi="Arial" w:cs="Arial"/>
                <w:b/>
                <w:sz w:val="16"/>
                <w:szCs w:val="16"/>
                <w:u w:val="single"/>
              </w:rPr>
              <w:t xml:space="preserve">SI  </w:t>
            </w:r>
            <w:r>
              <w:rPr>
                <w:rFonts w:ascii="Arial" w:eastAsia="Arial" w:hAnsi="Arial" w:cs="Arial"/>
                <w:b/>
                <w:sz w:val="16"/>
                <w:szCs w:val="16"/>
              </w:rPr>
              <w:t xml:space="preserve">             NO               Dudoso  </w:t>
            </w:r>
            <w:r>
              <w:rPr>
                <w:noProof/>
              </w:rPr>
              <w:drawing>
                <wp:anchor distT="0" distB="0" distL="114300" distR="114300" simplePos="0" relativeHeight="251673088"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srcRect/>
                          <a:stretch>
                            <a:fillRect/>
                          </a:stretch>
                        </pic:blipFill>
                        <pic:spPr>
                          <a:xfrm>
                            <a:off x="0" y="0"/>
                            <a:ext cx="133350" cy="133350"/>
                          </a:xfrm>
                          <a:prstGeom prst="rect">
                            <a:avLst/>
                          </a:prstGeom>
                          <a:ln/>
                        </pic:spPr>
                      </pic:pic>
                    </a:graphicData>
                  </a:graphic>
                </wp:anchor>
              </w:drawing>
            </w:r>
            <w:r>
              <w:rPr>
                <w:noProof/>
              </w:rPr>
              <w:drawing>
                <wp:anchor distT="0" distB="0" distL="114300" distR="114300" simplePos="0" relativeHeight="251674112"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8"/>
                          <a:srcRect/>
                          <a:stretch>
                            <a:fillRect/>
                          </a:stretch>
                        </pic:blipFill>
                        <pic:spPr>
                          <a:xfrm>
                            <a:off x="0" y="0"/>
                            <a:ext cx="133350" cy="133350"/>
                          </a:xfrm>
                          <a:prstGeom prst="rect">
                            <a:avLst/>
                          </a:prstGeom>
                          <a:ln/>
                        </pic:spPr>
                      </pic:pic>
                    </a:graphicData>
                  </a:graphic>
                </wp:anchor>
              </w:drawing>
            </w:r>
            <w:r>
              <w:rPr>
                <w:noProof/>
              </w:rPr>
              <w:drawing>
                <wp:anchor distT="0" distB="0" distL="114300" distR="114300" simplePos="0" relativeHeight="251675136"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6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7"/>
                          <a:srcRect/>
                          <a:stretch>
                            <a:fillRect/>
                          </a:stretch>
                        </pic:blipFill>
                        <pic:spPr>
                          <a:xfrm>
                            <a:off x="0" y="0"/>
                            <a:ext cx="133350" cy="133350"/>
                          </a:xfrm>
                          <a:prstGeom prst="rect">
                            <a:avLst/>
                          </a:prstGeom>
                          <a:ln/>
                        </pic:spPr>
                      </pic:pic>
                    </a:graphicData>
                  </a:graphic>
                </wp:anchor>
              </w:drawing>
            </w:r>
          </w:p>
        </w:tc>
      </w:tr>
      <w:tr w:rsidR="002C4AF7">
        <w:tc>
          <w:tcPr>
            <w:tcW w:w="8931" w:type="dxa"/>
          </w:tcPr>
          <w:p w:rsidR="002C4AF7" w:rsidRDefault="007C2686">
            <w:pPr>
              <w:ind w:left="0" w:hanging="2"/>
              <w:rPr>
                <w:rFonts w:ascii="Arial" w:eastAsia="Arial" w:hAnsi="Arial" w:cs="Arial"/>
                <w:sz w:val="16"/>
                <w:szCs w:val="16"/>
              </w:rPr>
            </w:pPr>
            <w:r>
              <w:rPr>
                <w:rFonts w:ascii="Arial" w:eastAsia="Arial" w:hAnsi="Arial" w:cs="Arial"/>
                <w:sz w:val="16"/>
                <w:szCs w:val="16"/>
              </w:rPr>
              <w:t xml:space="preserve">Realizada por: Laboratorio fabricante              Patrocinada por laboratorio    </w:t>
            </w:r>
            <w:r>
              <w:rPr>
                <w:rFonts w:ascii="Arial" w:eastAsia="Arial" w:hAnsi="Arial" w:cs="Arial"/>
                <w:sz w:val="16"/>
                <w:szCs w:val="16"/>
                <w:u w:val="single"/>
              </w:rPr>
              <w:t xml:space="preserve">Organismo independiente    </w:t>
            </w:r>
            <w:r>
              <w:rPr>
                <w:noProof/>
              </w:rPr>
              <w:drawing>
                <wp:anchor distT="0" distB="0" distL="114300" distR="114300" simplePos="0" relativeHeight="251676160"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6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1"/>
                          <a:srcRect/>
                          <a:stretch>
                            <a:fillRect/>
                          </a:stretch>
                        </pic:blipFill>
                        <pic:spPr>
                          <a:xfrm>
                            <a:off x="0" y="0"/>
                            <a:ext cx="133350" cy="133350"/>
                          </a:xfrm>
                          <a:prstGeom prst="rect">
                            <a:avLst/>
                          </a:prstGeom>
                          <a:ln/>
                        </pic:spPr>
                      </pic:pic>
                    </a:graphicData>
                  </a:graphic>
                </wp:anchor>
              </w:drawing>
            </w:r>
            <w:r>
              <w:rPr>
                <w:noProof/>
              </w:rPr>
              <w:drawing>
                <wp:anchor distT="0" distB="0" distL="114300" distR="114300" simplePos="0" relativeHeight="251677184"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9"/>
                          <a:srcRect/>
                          <a:stretch>
                            <a:fillRect/>
                          </a:stretch>
                        </pic:blipFill>
                        <pic:spPr>
                          <a:xfrm>
                            <a:off x="0" y="0"/>
                            <a:ext cx="133350" cy="133350"/>
                          </a:xfrm>
                          <a:prstGeom prst="rect">
                            <a:avLst/>
                          </a:prstGeom>
                          <a:ln/>
                        </pic:spPr>
                      </pic:pic>
                    </a:graphicData>
                  </a:graphic>
                </wp:anchor>
              </w:drawing>
            </w:r>
            <w:r>
              <w:rPr>
                <w:noProof/>
              </w:rPr>
              <w:drawing>
                <wp:anchor distT="0" distB="0" distL="114300" distR="114300" simplePos="0" relativeHeight="251678208" behindDoc="0" locked="0" layoutInCell="1" hidden="0" allowOverlap="1">
                  <wp:simplePos x="0" y="0"/>
                  <wp:positionH relativeFrom="column">
                    <wp:posOffset>1</wp:posOffset>
                  </wp:positionH>
                  <wp:positionV relativeFrom="paragraph">
                    <wp:posOffset>0</wp:posOffset>
                  </wp:positionV>
                  <wp:extent cx="133350" cy="133350"/>
                  <wp:effectExtent l="0" t="0" r="0" b="0"/>
                  <wp:wrapNone/>
                  <wp:docPr id="10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0"/>
                          <a:srcRect/>
                          <a:stretch>
                            <a:fillRect/>
                          </a:stretch>
                        </pic:blipFill>
                        <pic:spPr>
                          <a:xfrm>
                            <a:off x="0" y="0"/>
                            <a:ext cx="133350" cy="133350"/>
                          </a:xfrm>
                          <a:prstGeom prst="rect">
                            <a:avLst/>
                          </a:prstGeom>
                          <a:ln/>
                        </pic:spPr>
                      </pic:pic>
                    </a:graphicData>
                  </a:graphic>
                </wp:anchor>
              </w:drawing>
            </w:r>
          </w:p>
          <w:p w:rsidR="002C4AF7" w:rsidRDefault="007C2686">
            <w:pPr>
              <w:ind w:left="0" w:hanging="2"/>
              <w:rPr>
                <w:rFonts w:ascii="Arial" w:eastAsia="Arial" w:hAnsi="Arial" w:cs="Arial"/>
                <w:sz w:val="16"/>
                <w:szCs w:val="16"/>
              </w:rPr>
            </w:pPr>
            <w:r>
              <w:rPr>
                <w:rFonts w:ascii="Arial" w:eastAsia="Arial" w:hAnsi="Arial" w:cs="Arial"/>
                <w:sz w:val="16"/>
                <w:szCs w:val="16"/>
              </w:rPr>
              <w:t>Nombre:</w:t>
            </w:r>
          </w:p>
        </w:tc>
      </w:tr>
    </w:tbl>
    <w:p w:rsidR="002C4AF7" w:rsidRDefault="002C4AF7">
      <w:pPr>
        <w:ind w:left="0" w:hanging="2"/>
        <w:rPr>
          <w:rFonts w:ascii="Arial" w:eastAsia="Arial" w:hAnsi="Arial" w:cs="Arial"/>
          <w:color w:val="000080"/>
          <w:sz w:val="20"/>
          <w:szCs w:val="20"/>
        </w:rPr>
      </w:pPr>
      <w:bookmarkStart w:id="27" w:name="_heading=h.2p2csry" w:colFirst="0" w:colLast="0"/>
      <w:bookmarkEnd w:id="27"/>
    </w:p>
    <w:p w:rsidR="002C4AF7" w:rsidRDefault="007C2686">
      <w:pPr>
        <w:ind w:left="0" w:hanging="2"/>
        <w:jc w:val="both"/>
        <w:rPr>
          <w:rFonts w:ascii="Arial" w:eastAsia="Arial" w:hAnsi="Arial" w:cs="Arial"/>
          <w:color w:val="FF0000"/>
          <w:sz w:val="20"/>
          <w:szCs w:val="20"/>
        </w:rPr>
      </w:pPr>
      <w:r>
        <w:rPr>
          <w:rFonts w:ascii="Arial" w:eastAsia="Arial" w:hAnsi="Arial" w:cs="Arial"/>
          <w:sz w:val="20"/>
          <w:szCs w:val="20"/>
        </w:rPr>
        <w:t xml:space="preserve">De una forma cualitativa y sintética, se observa que, para SLPr, en el primero se observa que enzalutamida, apalutamida y abiraterona son superiores a docetaxel y no existe diferencia estadísticamente significativa en las distintas comparaciones entre los tres fármacos orales. En el </w:t>
      </w:r>
      <w:r>
        <w:rPr>
          <w:rFonts w:ascii="Arial" w:eastAsia="Arial" w:hAnsi="Arial" w:cs="Arial"/>
          <w:sz w:val="20"/>
          <w:szCs w:val="20"/>
        </w:rPr>
        <w:lastRenderedPageBreak/>
        <w:t>segundo metaanálisis, se observa que enzalutamida es superior a apalutamida y docetaxel pero no a abiraterona. Estos resultados deben interpretarse con precaución ya que no están exentos de incertidumbre y se ha de valorar los sesgos en los ensayos incluidos en el metaanálisis.</w:t>
      </w:r>
    </w:p>
    <w:p w:rsidR="002C4AF7" w:rsidRDefault="002C4AF7">
      <w:pPr>
        <w:ind w:left="0" w:hanging="2"/>
        <w:rPr>
          <w:rFonts w:ascii="Arial" w:eastAsia="Arial" w:hAnsi="Arial" w:cs="Arial"/>
          <w:color w:val="FF0000"/>
          <w:sz w:val="20"/>
          <w:szCs w:val="20"/>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r>
        <w:rPr>
          <w:rFonts w:ascii="Cambria" w:eastAsia="Cambria" w:hAnsi="Cambria" w:cs="Cambria"/>
          <w:b/>
          <w:i/>
          <w:color w:val="000000"/>
          <w:sz w:val="20"/>
          <w:szCs w:val="20"/>
        </w:rPr>
        <w:t>5.3.b.2 Comparaciones indirectas de elaboración propia</w:t>
      </w:r>
    </w:p>
    <w:p w:rsidR="002C4AF7" w:rsidRDefault="007C2686">
      <w:pPr>
        <w:ind w:left="0" w:hanging="2"/>
        <w:rPr>
          <w:rFonts w:ascii="Arial" w:eastAsia="Arial" w:hAnsi="Arial" w:cs="Arial"/>
          <w:color w:val="FF0000"/>
          <w:sz w:val="20"/>
          <w:szCs w:val="20"/>
        </w:rPr>
      </w:pPr>
      <w:r>
        <w:rPr>
          <w:rFonts w:ascii="Arial" w:eastAsia="Arial" w:hAnsi="Arial" w:cs="Arial"/>
          <w:color w:val="FF0000"/>
          <w:sz w:val="20"/>
          <w:szCs w:val="20"/>
        </w:rPr>
        <w:t xml:space="preserve">   </w:t>
      </w:r>
    </w:p>
    <w:p w:rsidR="002C4AF7" w:rsidRDefault="007C2686">
      <w:pPr>
        <w:ind w:left="0" w:hanging="2"/>
        <w:jc w:val="both"/>
        <w:rPr>
          <w:rFonts w:ascii="Arial" w:eastAsia="Arial" w:hAnsi="Arial" w:cs="Arial"/>
          <w:color w:val="212121"/>
          <w:sz w:val="20"/>
          <w:szCs w:val="20"/>
          <w:highlight w:val="yellow"/>
        </w:rPr>
      </w:pPr>
      <w:r>
        <w:rPr>
          <w:rFonts w:ascii="Arial" w:eastAsia="Arial" w:hAnsi="Arial" w:cs="Arial"/>
          <w:color w:val="212121"/>
          <w:sz w:val="20"/>
          <w:szCs w:val="20"/>
        </w:rPr>
        <w:t xml:space="preserve">Los metaanálisis antes mencionados realizan comparaciones indirectas con la variable establecida en los estudios pivotales SLPr (aunque la definición no fue exactamente la misma en los estudios con los diversos fármacos), por lo que no se van a realizar CI propias para esta variable. </w:t>
      </w:r>
    </w:p>
    <w:p w:rsidR="002C4AF7" w:rsidRDefault="007C2686">
      <w:pPr>
        <w:spacing w:before="240" w:after="240"/>
        <w:ind w:left="0" w:hanging="2"/>
        <w:jc w:val="both"/>
        <w:rPr>
          <w:rFonts w:ascii="Arial" w:eastAsia="Arial" w:hAnsi="Arial" w:cs="Arial"/>
          <w:sz w:val="20"/>
          <w:szCs w:val="20"/>
        </w:rPr>
      </w:pPr>
      <w:r>
        <w:rPr>
          <w:rFonts w:ascii="Arial" w:eastAsia="Arial" w:hAnsi="Arial" w:cs="Arial"/>
          <w:sz w:val="20"/>
          <w:szCs w:val="20"/>
        </w:rPr>
        <w:t>Respecto a la variable de SG, en los metaanálisis previamente recogidos, se ha incluido el estudio ENZAMET (el cual tiene un grupo comparador distinto al de los demás fármacos), y, en los que también se ha incluido el estudio ARCHES, los resultados pertenecían a un corte intermedio de los mismos con resultados inmaduros. En dos de los tres metaanálisis no se encontraron diferencias estadísticamente significativas entre distintos fármacos asociados a TDA comparados entre sí.  Igualmente estos resultados han de interpretarse con precaución.</w:t>
      </w:r>
    </w:p>
    <w:p w:rsidR="002C4AF7" w:rsidRDefault="007C2686">
      <w:pPr>
        <w:spacing w:before="240" w:after="240"/>
        <w:ind w:left="0" w:hanging="2"/>
        <w:jc w:val="both"/>
        <w:rPr>
          <w:rFonts w:ascii="Arial" w:eastAsia="Arial" w:hAnsi="Arial" w:cs="Arial"/>
          <w:sz w:val="20"/>
          <w:szCs w:val="20"/>
        </w:rPr>
      </w:pPr>
      <w:r>
        <w:rPr>
          <w:rFonts w:ascii="Arial" w:eastAsia="Arial" w:hAnsi="Arial" w:cs="Arial"/>
          <w:sz w:val="20"/>
          <w:szCs w:val="20"/>
        </w:rPr>
        <w:t>Por otra parte, al haberse publicado los datos actualizados de SG para el estudio ARCHES (12), se realiza una comparación indirecta propia con estos datos finales y no se tiene en cuenta los resultados del estudio ENZAMET.</w:t>
      </w:r>
    </w:p>
    <w:tbl>
      <w:tblPr>
        <w:tblStyle w:val="afffc"/>
        <w:tblW w:w="8835" w:type="dxa"/>
        <w:tblInd w:w="-135" w:type="dxa"/>
        <w:tblLayout w:type="fixed"/>
        <w:tblLook w:val="0000" w:firstRow="0" w:lastRow="0" w:firstColumn="0" w:lastColumn="0" w:noHBand="0" w:noVBand="0"/>
      </w:tblPr>
      <w:tblGrid>
        <w:gridCol w:w="1335"/>
        <w:gridCol w:w="1650"/>
        <w:gridCol w:w="1200"/>
        <w:gridCol w:w="1275"/>
        <w:gridCol w:w="2070"/>
        <w:gridCol w:w="1305"/>
      </w:tblGrid>
      <w:tr w:rsidR="002C4AF7">
        <w:trPr>
          <w:trHeight w:val="425"/>
        </w:trPr>
        <w:tc>
          <w:tcPr>
            <w:tcW w:w="8835" w:type="dxa"/>
            <w:gridSpan w:val="6"/>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tcPr>
          <w:p w:rsidR="002C4AF7" w:rsidRDefault="007C2686">
            <w:pPr>
              <w:spacing w:before="240" w:after="240"/>
              <w:ind w:left="0" w:hanging="2"/>
              <w:rPr>
                <w:rFonts w:ascii="Arial" w:eastAsia="Arial" w:hAnsi="Arial" w:cs="Arial"/>
                <w:sz w:val="18"/>
                <w:szCs w:val="18"/>
              </w:rPr>
            </w:pPr>
            <w:r>
              <w:rPr>
                <w:rFonts w:ascii="Arial" w:eastAsia="Arial" w:hAnsi="Arial" w:cs="Arial"/>
                <w:b/>
                <w:sz w:val="18"/>
                <w:szCs w:val="18"/>
              </w:rPr>
              <w:t>Tabla 6. Comparación indirecta (características de los estudios seleccionados)</w:t>
            </w:r>
          </w:p>
        </w:tc>
      </w:tr>
      <w:tr w:rsidR="002C4AF7">
        <w:trPr>
          <w:trHeight w:val="575"/>
        </w:trPr>
        <w:tc>
          <w:tcPr>
            <w:tcW w:w="1335" w:type="dxa"/>
            <w:tcBorders>
              <w:top w:val="nil"/>
              <w:left w:val="single" w:sz="8" w:space="0" w:color="000000"/>
              <w:bottom w:val="single" w:sz="8" w:space="0" w:color="000000"/>
              <w:right w:val="nil"/>
            </w:tcBorders>
            <w:shd w:val="clear" w:color="auto" w:fill="E6E6E6"/>
            <w:tcMar>
              <w:top w:w="100" w:type="dxa"/>
              <w:left w:w="100" w:type="dxa"/>
              <w:bottom w:w="100" w:type="dxa"/>
              <w:right w:w="100" w:type="dxa"/>
            </w:tcMar>
          </w:tcPr>
          <w:p w:rsidR="002C4AF7" w:rsidRDefault="002C4AF7">
            <w:pPr>
              <w:spacing w:before="240" w:after="240"/>
              <w:ind w:left="0" w:hanging="2"/>
              <w:jc w:val="center"/>
              <w:rPr>
                <w:rFonts w:ascii="Arial" w:eastAsia="Arial" w:hAnsi="Arial" w:cs="Arial"/>
                <w:sz w:val="16"/>
                <w:szCs w:val="16"/>
              </w:rPr>
            </w:pPr>
          </w:p>
        </w:tc>
        <w:tc>
          <w:tcPr>
            <w:tcW w:w="1650" w:type="dxa"/>
            <w:tcBorders>
              <w:top w:val="nil"/>
              <w:left w:val="single" w:sz="8" w:space="0" w:color="000000"/>
              <w:bottom w:val="single" w:sz="8" w:space="0" w:color="000000"/>
              <w:right w:val="nil"/>
            </w:tcBorders>
            <w:shd w:val="clear" w:color="auto" w:fill="E6E6E6"/>
          </w:tcPr>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Diseño del estudio</w:t>
            </w:r>
          </w:p>
        </w:tc>
        <w:tc>
          <w:tcPr>
            <w:tcW w:w="1200" w:type="dxa"/>
            <w:tcBorders>
              <w:top w:val="nil"/>
              <w:left w:val="single" w:sz="8" w:space="0" w:color="000000"/>
              <w:bottom w:val="single" w:sz="8" w:space="0" w:color="000000"/>
              <w:right w:val="nil"/>
            </w:tcBorders>
            <w:shd w:val="clear" w:color="auto" w:fill="E6E6E6"/>
          </w:tcPr>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Medidas de eficacia</w:t>
            </w:r>
          </w:p>
        </w:tc>
        <w:tc>
          <w:tcPr>
            <w:tcW w:w="1275" w:type="dxa"/>
            <w:tcBorders>
              <w:top w:val="nil"/>
              <w:left w:val="single" w:sz="8" w:space="0" w:color="000000"/>
              <w:bottom w:val="single" w:sz="8" w:space="0" w:color="000000"/>
              <w:right w:val="nil"/>
            </w:tcBorders>
            <w:shd w:val="clear" w:color="auto" w:fill="E6E6E6"/>
          </w:tcPr>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Resultados de eficacia</w:t>
            </w:r>
          </w:p>
        </w:tc>
        <w:tc>
          <w:tcPr>
            <w:tcW w:w="2070" w:type="dxa"/>
            <w:tcBorders>
              <w:top w:val="nil"/>
              <w:left w:val="single" w:sz="8" w:space="0" w:color="000000"/>
              <w:bottom w:val="single" w:sz="8" w:space="0" w:color="000000"/>
              <w:right w:val="nil"/>
            </w:tcBorders>
            <w:shd w:val="clear" w:color="auto" w:fill="E6E6E6"/>
          </w:tcPr>
          <w:p w:rsidR="002C4AF7" w:rsidRDefault="007C2686">
            <w:pPr>
              <w:spacing w:before="240" w:after="240"/>
              <w:ind w:left="0" w:hanging="2"/>
              <w:jc w:val="center"/>
              <w:rPr>
                <w:rFonts w:ascii="Arial" w:eastAsia="Arial" w:hAnsi="Arial" w:cs="Arial"/>
                <w:sz w:val="16"/>
                <w:szCs w:val="16"/>
              </w:rPr>
            </w:pPr>
            <w:r>
              <w:rPr>
                <w:rFonts w:ascii="Arial" w:eastAsia="Arial" w:hAnsi="Arial" w:cs="Arial"/>
                <w:b/>
                <w:sz w:val="16"/>
                <w:szCs w:val="16"/>
              </w:rPr>
              <w:t>Tipo pacientes</w:t>
            </w:r>
          </w:p>
        </w:tc>
        <w:tc>
          <w:tcPr>
            <w:tcW w:w="1305" w:type="dxa"/>
            <w:tcBorders>
              <w:top w:val="nil"/>
              <w:left w:val="single" w:sz="8" w:space="0" w:color="000000"/>
              <w:bottom w:val="single" w:sz="8" w:space="0" w:color="000000"/>
              <w:right w:val="single" w:sz="8" w:space="0" w:color="000000"/>
            </w:tcBorders>
            <w:shd w:val="clear" w:color="auto" w:fill="E6E6E6"/>
          </w:tcPr>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 xml:space="preserve">Subgrupos </w:t>
            </w:r>
          </w:p>
        </w:tc>
      </w:tr>
      <w:tr w:rsidR="002C4AF7">
        <w:trPr>
          <w:trHeight w:val="3815"/>
        </w:trPr>
        <w:tc>
          <w:tcPr>
            <w:tcW w:w="1335" w:type="dxa"/>
            <w:tcBorders>
              <w:top w:val="nil"/>
              <w:left w:val="single" w:sz="8" w:space="0" w:color="000000"/>
              <w:bottom w:val="single" w:sz="8" w:space="0" w:color="000000"/>
              <w:right w:val="nil"/>
            </w:tcBorders>
            <w:tcMar>
              <w:top w:w="100" w:type="dxa"/>
              <w:left w:w="100" w:type="dxa"/>
              <w:bottom w:w="100" w:type="dxa"/>
              <w:right w:w="100" w:type="dxa"/>
            </w:tcMar>
          </w:tcPr>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Enzalutamida</w:t>
            </w:r>
          </w:p>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(estudio ARCHES) (12)</w:t>
            </w:r>
          </w:p>
          <w:p w:rsidR="002C4AF7" w:rsidRDefault="002C4AF7">
            <w:pPr>
              <w:spacing w:before="240" w:after="240"/>
              <w:ind w:left="0" w:hanging="2"/>
              <w:jc w:val="center"/>
              <w:rPr>
                <w:rFonts w:ascii="Arial" w:eastAsia="Arial" w:hAnsi="Arial" w:cs="Arial"/>
                <w:sz w:val="16"/>
                <w:szCs w:val="16"/>
              </w:rPr>
            </w:pPr>
          </w:p>
        </w:tc>
        <w:tc>
          <w:tcPr>
            <w:tcW w:w="1650" w:type="dxa"/>
            <w:tcBorders>
              <w:top w:val="nil"/>
              <w:left w:val="single" w:sz="8" w:space="0" w:color="000000"/>
              <w:bottom w:val="single" w:sz="8" w:space="0" w:color="000000"/>
              <w:right w:val="nil"/>
            </w:tcBorders>
          </w:tcPr>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Fase III, aleatorizado, doble ciego, multicéntrico.</w:t>
            </w: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Enzalutamida+TDA  (574 pacientes)</w:t>
            </w: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vs Placebo +TDA (576 pacientes)</w:t>
            </w:r>
          </w:p>
          <w:p w:rsidR="002C4AF7" w:rsidRDefault="002C4AF7">
            <w:pPr>
              <w:spacing w:before="240" w:after="240"/>
              <w:ind w:left="0" w:hanging="2"/>
              <w:jc w:val="center"/>
              <w:rPr>
                <w:rFonts w:ascii="Arial" w:eastAsia="Arial" w:hAnsi="Arial" w:cs="Arial"/>
                <w:sz w:val="16"/>
                <w:szCs w:val="16"/>
              </w:rPr>
            </w:pPr>
          </w:p>
        </w:tc>
        <w:tc>
          <w:tcPr>
            <w:tcW w:w="1200" w:type="dxa"/>
            <w:tcBorders>
              <w:top w:val="nil"/>
              <w:left w:val="single" w:sz="8" w:space="0" w:color="000000"/>
              <w:bottom w:val="single" w:sz="8" w:space="0" w:color="000000"/>
              <w:right w:val="nil"/>
            </w:tcBorders>
          </w:tcPr>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Variable primaria:</w:t>
            </w: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-SLPr</w:t>
            </w:r>
          </w:p>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Variable secundaria:</w:t>
            </w: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-SG seguimiento de 44,6 meses con cruce de pacientes (31,3%)</w:t>
            </w:r>
          </w:p>
        </w:tc>
        <w:tc>
          <w:tcPr>
            <w:tcW w:w="1275" w:type="dxa"/>
            <w:tcBorders>
              <w:top w:val="nil"/>
              <w:left w:val="single" w:sz="8" w:space="0" w:color="000000"/>
              <w:bottom w:val="single" w:sz="8" w:space="0" w:color="000000"/>
              <w:right w:val="nil"/>
            </w:tcBorders>
          </w:tcPr>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HR 0,39 (IC95% 0,30 a 0,50)</w:t>
            </w: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 xml:space="preserve">mediana (meses) na vs 19.4 </w:t>
            </w:r>
          </w:p>
          <w:p w:rsidR="002C4AF7" w:rsidRDefault="007C2686">
            <w:pPr>
              <w:spacing w:before="240" w:after="240"/>
              <w:ind w:left="0" w:hanging="2"/>
              <w:rPr>
                <w:rFonts w:ascii="Arial" w:eastAsia="Arial" w:hAnsi="Arial" w:cs="Arial"/>
                <w:sz w:val="8"/>
                <w:szCs w:val="8"/>
              </w:rPr>
            </w:pPr>
            <w:r>
              <w:rPr>
                <w:rFonts w:ascii="Arial" w:eastAsia="Arial" w:hAnsi="Arial" w:cs="Arial"/>
                <w:sz w:val="16"/>
                <w:szCs w:val="16"/>
              </w:rPr>
              <w:t xml:space="preserve">HR 0,66 (IC 95% 0,53-0,81) </w:t>
            </w:r>
            <w:r>
              <w:rPr>
                <w:rFonts w:ascii="Arial" w:eastAsia="Arial" w:hAnsi="Arial" w:cs="Arial"/>
                <w:color w:val="333333"/>
                <w:sz w:val="16"/>
                <w:szCs w:val="16"/>
                <w:highlight w:val="white"/>
              </w:rPr>
              <w:t>p&lt;0.001</w:t>
            </w: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medianas (meses) n.a. en ningún grupo</w:t>
            </w:r>
          </w:p>
        </w:tc>
        <w:tc>
          <w:tcPr>
            <w:tcW w:w="2070" w:type="dxa"/>
            <w:tcBorders>
              <w:top w:val="nil"/>
              <w:left w:val="single" w:sz="8" w:space="0" w:color="000000"/>
              <w:bottom w:val="single" w:sz="8" w:space="0" w:color="000000"/>
              <w:right w:val="nil"/>
            </w:tcBorders>
          </w:tcPr>
          <w:p w:rsidR="002C4AF7" w:rsidRDefault="007C2686">
            <w:pPr>
              <w:ind w:left="0" w:hanging="2"/>
              <w:jc w:val="both"/>
              <w:rPr>
                <w:rFonts w:ascii="Arial" w:eastAsia="Arial" w:hAnsi="Arial" w:cs="Arial"/>
                <w:sz w:val="16"/>
                <w:szCs w:val="16"/>
              </w:rPr>
            </w:pPr>
            <w:r>
              <w:rPr>
                <w:rFonts w:ascii="Arial" w:eastAsia="Arial" w:hAnsi="Arial" w:cs="Arial"/>
                <w:sz w:val="16"/>
                <w:szCs w:val="16"/>
              </w:rPr>
              <w:t>-</w:t>
            </w:r>
            <w:r>
              <w:rPr>
                <w:rFonts w:ascii="Arial" w:eastAsia="Arial" w:hAnsi="Arial" w:cs="Arial"/>
                <w:sz w:val="16"/>
                <w:szCs w:val="16"/>
                <w:u w:val="single"/>
              </w:rPr>
              <w:t>Criterios de inclusión</w:t>
            </w:r>
            <w:r>
              <w:rPr>
                <w:rFonts w:ascii="Arial" w:eastAsia="Arial" w:hAnsi="Arial" w:cs="Arial"/>
                <w:sz w:val="16"/>
                <w:szCs w:val="16"/>
              </w:rPr>
              <w:t xml:space="preserve">: Pacientes mayores de 18 años con diagnóstico de adenocarcinoma de próstata, sin diferenciación neuroendocrina. Enfermedad metastásico hormonosensible, ya sea de novo o después de terapia local previa. ECOG 0-1. Se permitió previamente TDA y hasta 6 ciclos de quimioterapia con docetaxel. </w:t>
            </w:r>
          </w:p>
          <w:p w:rsidR="002C4AF7" w:rsidRDefault="007C2686">
            <w:pPr>
              <w:ind w:left="0" w:hanging="2"/>
              <w:jc w:val="both"/>
              <w:rPr>
                <w:rFonts w:ascii="Arial" w:eastAsia="Arial" w:hAnsi="Arial" w:cs="Arial"/>
                <w:sz w:val="16"/>
                <w:szCs w:val="16"/>
              </w:rPr>
            </w:pPr>
            <w:r>
              <w:rPr>
                <w:rFonts w:ascii="Arial" w:eastAsia="Arial" w:hAnsi="Arial" w:cs="Arial"/>
                <w:sz w:val="16"/>
                <w:szCs w:val="16"/>
                <w:u w:val="single"/>
              </w:rPr>
              <w:t>-Criterios de exclusión</w:t>
            </w:r>
            <w:r>
              <w:rPr>
                <w:rFonts w:ascii="Arial" w:eastAsia="Arial" w:hAnsi="Arial" w:cs="Arial"/>
                <w:sz w:val="16"/>
                <w:szCs w:val="16"/>
              </w:rPr>
              <w:t>: Pacientes que progresaron antes de la aleatorización mientras recibían TDA y/o docetaxel. Pacientes con sospecha o confirmación de metástasis cerebrales o enfermedad leptomeníngea activa o con antecedentes de crisis epiléptica o de cualquier factor que pudiera predisponer a las crisis epilépticas</w:t>
            </w:r>
          </w:p>
        </w:tc>
        <w:tc>
          <w:tcPr>
            <w:tcW w:w="1305" w:type="dxa"/>
            <w:tcBorders>
              <w:top w:val="nil"/>
              <w:left w:val="single" w:sz="8" w:space="0" w:color="000000"/>
              <w:bottom w:val="single" w:sz="8" w:space="0" w:color="000000"/>
              <w:right w:val="single" w:sz="8" w:space="0" w:color="000000"/>
            </w:tcBorders>
          </w:tcPr>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Estratificados según:</w:t>
            </w: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 xml:space="preserve">-Volumen de la enfermedad (bajo vs. alto) y </w:t>
            </w: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 tratamiento previo con docetaxel (ningún ciclo, de uno a cinco, o seis ciclos).</w:t>
            </w:r>
          </w:p>
          <w:p w:rsidR="002C4AF7" w:rsidRDefault="002C4AF7">
            <w:pPr>
              <w:spacing w:before="240" w:after="240"/>
              <w:ind w:left="0" w:hanging="2"/>
              <w:rPr>
                <w:rFonts w:ascii="Arial" w:eastAsia="Arial" w:hAnsi="Arial" w:cs="Arial"/>
                <w:sz w:val="16"/>
                <w:szCs w:val="16"/>
              </w:rPr>
            </w:pPr>
          </w:p>
        </w:tc>
      </w:tr>
      <w:tr w:rsidR="002C4AF7">
        <w:trPr>
          <w:trHeight w:val="4425"/>
        </w:trPr>
        <w:tc>
          <w:tcPr>
            <w:tcW w:w="1335" w:type="dxa"/>
            <w:tcBorders>
              <w:top w:val="nil"/>
              <w:left w:val="single" w:sz="8" w:space="0" w:color="000000"/>
              <w:bottom w:val="single" w:sz="8" w:space="0" w:color="000000"/>
              <w:right w:val="nil"/>
            </w:tcBorders>
            <w:tcMar>
              <w:top w:w="100" w:type="dxa"/>
              <w:left w:w="100" w:type="dxa"/>
              <w:bottom w:w="100" w:type="dxa"/>
              <w:right w:w="100" w:type="dxa"/>
            </w:tcMar>
          </w:tcPr>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lastRenderedPageBreak/>
              <w:t>Apalutamida (estudio TITAN)</w:t>
            </w:r>
          </w:p>
          <w:p w:rsidR="002C4AF7" w:rsidRDefault="007C2686">
            <w:pPr>
              <w:spacing w:before="240" w:after="240"/>
              <w:rPr>
                <w:rFonts w:ascii="Arial" w:eastAsia="Arial" w:hAnsi="Arial" w:cs="Arial"/>
                <w:sz w:val="16"/>
                <w:szCs w:val="16"/>
              </w:rPr>
            </w:pPr>
            <w:r>
              <w:rPr>
                <w:rFonts w:ascii="Arial" w:eastAsia="Arial" w:hAnsi="Arial" w:cs="Arial"/>
                <w:b/>
                <w:sz w:val="15"/>
                <w:szCs w:val="15"/>
              </w:rPr>
              <w:t>DOI: 10.1200/JCO.2021.39.6_suppl.11 Journal of Clinical Oncology 39, no. 6_suppl (February 20, 2021) 11-11. (18)</w:t>
            </w:r>
          </w:p>
        </w:tc>
        <w:tc>
          <w:tcPr>
            <w:tcW w:w="1650" w:type="dxa"/>
            <w:tcBorders>
              <w:top w:val="nil"/>
              <w:left w:val="single" w:sz="8" w:space="0" w:color="000000"/>
              <w:bottom w:val="single" w:sz="8" w:space="0" w:color="000000"/>
              <w:right w:val="nil"/>
            </w:tcBorders>
          </w:tcPr>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Fase III, aleatorizado, doble ciego, multicéntrico</w:t>
            </w: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Apalutamida + TDA  (522 pacientes)</w:t>
            </w: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vs Placebo +                       TDA(527 pacientes)</w:t>
            </w:r>
          </w:p>
        </w:tc>
        <w:tc>
          <w:tcPr>
            <w:tcW w:w="1200" w:type="dxa"/>
            <w:tcBorders>
              <w:top w:val="nil"/>
              <w:left w:val="single" w:sz="8" w:space="0" w:color="000000"/>
              <w:bottom w:val="single" w:sz="8" w:space="0" w:color="000000"/>
              <w:right w:val="nil"/>
            </w:tcBorders>
          </w:tcPr>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Variable primaria:</w:t>
            </w: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-SLPr</w:t>
            </w:r>
          </w:p>
          <w:p w:rsidR="002C4AF7" w:rsidRDefault="002C4AF7">
            <w:pPr>
              <w:spacing w:before="240" w:after="240"/>
              <w:ind w:left="0" w:hanging="2"/>
              <w:jc w:val="center"/>
              <w:rPr>
                <w:rFonts w:ascii="Arial" w:eastAsia="Arial" w:hAnsi="Arial" w:cs="Arial"/>
                <w:sz w:val="16"/>
                <w:szCs w:val="16"/>
              </w:rPr>
            </w:pPr>
          </w:p>
          <w:p w:rsidR="002C4AF7" w:rsidRDefault="002C4AF7">
            <w:pPr>
              <w:spacing w:before="240" w:after="240"/>
              <w:ind w:left="0" w:hanging="2"/>
              <w:jc w:val="center"/>
              <w:rPr>
                <w:rFonts w:ascii="Arial" w:eastAsia="Arial" w:hAnsi="Arial" w:cs="Arial"/>
                <w:sz w:val="16"/>
                <w:szCs w:val="16"/>
              </w:rPr>
            </w:pPr>
          </w:p>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Variable primaria</w:t>
            </w: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-SG</w:t>
            </w: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44  meses mediana de seguimiento, con cruce de pacientes (39,5%)</w:t>
            </w:r>
          </w:p>
        </w:tc>
        <w:tc>
          <w:tcPr>
            <w:tcW w:w="1275" w:type="dxa"/>
            <w:tcBorders>
              <w:top w:val="nil"/>
              <w:left w:val="single" w:sz="8" w:space="0" w:color="000000"/>
              <w:bottom w:val="single" w:sz="8" w:space="0" w:color="000000"/>
              <w:right w:val="nil"/>
            </w:tcBorders>
          </w:tcPr>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HR 0,48 (IC95% 0,39 a 0,60)</w:t>
            </w: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 xml:space="preserve">mediana (meses) na vs 22.08 </w:t>
            </w:r>
          </w:p>
          <w:p w:rsidR="002C4AF7" w:rsidRDefault="002C4AF7">
            <w:pPr>
              <w:spacing w:before="240" w:after="240"/>
              <w:ind w:left="0" w:hanging="2"/>
              <w:rPr>
                <w:rFonts w:ascii="Arial" w:eastAsia="Arial" w:hAnsi="Arial" w:cs="Arial"/>
                <w:sz w:val="16"/>
                <w:szCs w:val="16"/>
              </w:rPr>
            </w:pP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 xml:space="preserve">HR 0.65 (IC95% 0,53 a 0.79) </w:t>
            </w:r>
            <w:r>
              <w:rPr>
                <w:rFonts w:ascii="Arial" w:eastAsia="Arial" w:hAnsi="Arial" w:cs="Arial"/>
                <w:i/>
                <w:color w:val="212121"/>
                <w:sz w:val="16"/>
                <w:szCs w:val="16"/>
                <w:highlight w:val="white"/>
              </w:rPr>
              <w:t>P</w:t>
            </w:r>
            <w:r>
              <w:rPr>
                <w:rFonts w:ascii="Arial" w:eastAsia="Arial" w:hAnsi="Arial" w:cs="Arial"/>
                <w:color w:val="212121"/>
                <w:sz w:val="16"/>
                <w:szCs w:val="16"/>
                <w:highlight w:val="white"/>
              </w:rPr>
              <w:t>&lt; .0001</w:t>
            </w: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 xml:space="preserve">mediana (meses) </w:t>
            </w: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na vs. 52,2</w:t>
            </w:r>
          </w:p>
        </w:tc>
        <w:tc>
          <w:tcPr>
            <w:tcW w:w="2070" w:type="dxa"/>
            <w:tcBorders>
              <w:top w:val="nil"/>
              <w:left w:val="single" w:sz="8" w:space="0" w:color="000000"/>
              <w:bottom w:val="single" w:sz="8" w:space="0" w:color="000000"/>
              <w:right w:val="nil"/>
            </w:tcBorders>
          </w:tcPr>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u w:val="single"/>
              </w:rPr>
              <w:t>-Criterios de inclusión:</w:t>
            </w:r>
            <w:r>
              <w:rPr>
                <w:rFonts w:ascii="Arial" w:eastAsia="Arial" w:hAnsi="Arial" w:cs="Arial"/>
                <w:sz w:val="16"/>
                <w:szCs w:val="16"/>
              </w:rPr>
              <w:t>Ca próstata metastásico con una o más lesiones óseas. cualquier grado Gleason. ECOG 0-2</w:t>
            </w: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u w:val="single"/>
              </w:rPr>
              <w:t>-Criterios de exclusión:</w:t>
            </w:r>
            <w:r>
              <w:rPr>
                <w:rFonts w:ascii="Arial" w:eastAsia="Arial" w:hAnsi="Arial" w:cs="Arial"/>
                <w:sz w:val="16"/>
                <w:szCs w:val="16"/>
              </w:rPr>
              <w:t>Metástasis visceral como único sitio de metástasis o más de 4 lesiones óseas. Enfermedad cardiaca en los últimos 6 meses o HTA no controlada</w:t>
            </w:r>
          </w:p>
        </w:tc>
        <w:tc>
          <w:tcPr>
            <w:tcW w:w="1305" w:type="dxa"/>
            <w:tcBorders>
              <w:top w:val="nil"/>
              <w:left w:val="single" w:sz="8" w:space="0" w:color="000000"/>
              <w:bottom w:val="single" w:sz="8" w:space="0" w:color="000000"/>
              <w:right w:val="single" w:sz="8" w:space="0" w:color="000000"/>
            </w:tcBorders>
          </w:tcPr>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 xml:space="preserve">La aleatorización se estratificó por </w:t>
            </w:r>
          </w:p>
          <w:p w:rsidR="002C4AF7" w:rsidRDefault="00883B7B">
            <w:pPr>
              <w:spacing w:before="240" w:after="240"/>
              <w:ind w:left="0" w:hanging="2"/>
              <w:rPr>
                <w:rFonts w:ascii="Arial" w:eastAsia="Arial" w:hAnsi="Arial" w:cs="Arial"/>
                <w:sz w:val="16"/>
                <w:szCs w:val="16"/>
              </w:rPr>
            </w:pPr>
            <w:sdt>
              <w:sdtPr>
                <w:tag w:val="goog_rdk_6"/>
                <w:id w:val="-623468227"/>
              </w:sdtPr>
              <w:sdtEndPr/>
              <w:sdtContent>
                <w:r w:rsidR="007C2686">
                  <w:rPr>
                    <w:rFonts w:ascii="Arial Unicode MS" w:eastAsia="Arial Unicode MS" w:hAnsi="Arial Unicode MS" w:cs="Arial Unicode MS"/>
                    <w:sz w:val="16"/>
                    <w:szCs w:val="16"/>
                  </w:rPr>
                  <w:t xml:space="preserve">-la puntuación de Gleason en el momento del diagnóstico (≤7 vs.&gt; 7), </w:t>
                </w:r>
              </w:sdtContent>
            </w:sdt>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 xml:space="preserve">-uso previo de docetaxel (sí vs. no) y por </w:t>
            </w: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-región del mundo (Norteamérica y la Unión Europea vs. otros países).</w:t>
            </w:r>
          </w:p>
        </w:tc>
      </w:tr>
      <w:tr w:rsidR="002C4AF7">
        <w:trPr>
          <w:trHeight w:val="3660"/>
        </w:trPr>
        <w:tc>
          <w:tcPr>
            <w:tcW w:w="1335" w:type="dxa"/>
            <w:tcBorders>
              <w:top w:val="nil"/>
              <w:left w:val="single" w:sz="8" w:space="0" w:color="000000"/>
              <w:bottom w:val="single" w:sz="8" w:space="0" w:color="000000"/>
              <w:right w:val="nil"/>
            </w:tcBorders>
            <w:tcMar>
              <w:top w:w="100" w:type="dxa"/>
              <w:left w:w="100" w:type="dxa"/>
              <w:bottom w:w="100" w:type="dxa"/>
              <w:right w:w="100" w:type="dxa"/>
            </w:tcMar>
          </w:tcPr>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Abiraterona (estudio LATITUDE)</w:t>
            </w:r>
          </w:p>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(Lancet Oncol 2019</w:t>
            </w:r>
          </w:p>
          <w:p w:rsidR="002C4AF7" w:rsidRPr="001475C9" w:rsidRDefault="007C2686">
            <w:pPr>
              <w:spacing w:before="240" w:after="240"/>
              <w:ind w:left="0" w:hanging="2"/>
              <w:rPr>
                <w:rFonts w:ascii="Arial" w:eastAsia="Arial" w:hAnsi="Arial" w:cs="Arial"/>
                <w:sz w:val="16"/>
                <w:szCs w:val="16"/>
                <w:lang w:val="en-GB"/>
              </w:rPr>
            </w:pPr>
            <w:r w:rsidRPr="001475C9">
              <w:rPr>
                <w:rFonts w:ascii="Arial" w:eastAsia="Arial" w:hAnsi="Arial" w:cs="Arial"/>
                <w:b/>
                <w:sz w:val="16"/>
                <w:szCs w:val="16"/>
                <w:lang w:val="en-GB"/>
              </w:rPr>
              <w:t>Published Online</w:t>
            </w:r>
          </w:p>
          <w:p w:rsidR="002C4AF7" w:rsidRPr="001475C9" w:rsidRDefault="007C2686">
            <w:pPr>
              <w:spacing w:before="240" w:after="240"/>
              <w:ind w:left="0" w:hanging="2"/>
              <w:rPr>
                <w:rFonts w:ascii="Arial" w:eastAsia="Arial" w:hAnsi="Arial" w:cs="Arial"/>
                <w:sz w:val="16"/>
                <w:szCs w:val="16"/>
                <w:lang w:val="en-GB"/>
              </w:rPr>
            </w:pPr>
            <w:r w:rsidRPr="001475C9">
              <w:rPr>
                <w:rFonts w:ascii="Arial" w:eastAsia="Arial" w:hAnsi="Arial" w:cs="Arial"/>
                <w:b/>
                <w:sz w:val="16"/>
                <w:szCs w:val="16"/>
                <w:lang w:val="en-GB"/>
              </w:rPr>
              <w:t>April 12, 2019</w:t>
            </w:r>
          </w:p>
          <w:p w:rsidR="002C4AF7" w:rsidRPr="001475C9" w:rsidRDefault="007C2686">
            <w:pPr>
              <w:spacing w:before="240" w:after="240"/>
              <w:ind w:left="0" w:hanging="2"/>
              <w:rPr>
                <w:rFonts w:ascii="Arial" w:eastAsia="Arial" w:hAnsi="Arial" w:cs="Arial"/>
                <w:sz w:val="16"/>
                <w:szCs w:val="16"/>
                <w:lang w:val="en-GB"/>
              </w:rPr>
            </w:pPr>
            <w:r w:rsidRPr="001475C9">
              <w:rPr>
                <w:rFonts w:ascii="Arial" w:eastAsia="Arial" w:hAnsi="Arial" w:cs="Arial"/>
                <w:b/>
                <w:sz w:val="16"/>
                <w:szCs w:val="16"/>
                <w:lang w:val="en-GB"/>
              </w:rPr>
              <w:t>http://dx.doi.org/10.1016/</w:t>
            </w:r>
          </w:p>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S1470-2045(19)30082-8 (19)</w:t>
            </w:r>
          </w:p>
        </w:tc>
        <w:tc>
          <w:tcPr>
            <w:tcW w:w="1650" w:type="dxa"/>
            <w:tcBorders>
              <w:top w:val="nil"/>
              <w:left w:val="single" w:sz="8" w:space="0" w:color="000000"/>
              <w:bottom w:val="single" w:sz="8" w:space="0" w:color="000000"/>
              <w:right w:val="nil"/>
            </w:tcBorders>
          </w:tcPr>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Fase III aleatorizado, doble ciego, controlado con placebo.</w:t>
            </w: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Abiraterona + TPA (597 pacientes) vs. Placebo + TPA (602 pacientes)</w:t>
            </w:r>
          </w:p>
        </w:tc>
        <w:tc>
          <w:tcPr>
            <w:tcW w:w="1200" w:type="dxa"/>
            <w:tcBorders>
              <w:top w:val="nil"/>
              <w:left w:val="single" w:sz="8" w:space="0" w:color="000000"/>
              <w:bottom w:val="single" w:sz="8" w:space="0" w:color="000000"/>
              <w:right w:val="nil"/>
            </w:tcBorders>
          </w:tcPr>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 xml:space="preserve">Variable primaria </w:t>
            </w:r>
          </w:p>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SG</w:t>
            </w:r>
          </w:p>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mediana de seguimiento51,8 meses con cruce de pacientes (12%)</w:t>
            </w:r>
          </w:p>
        </w:tc>
        <w:tc>
          <w:tcPr>
            <w:tcW w:w="1275" w:type="dxa"/>
            <w:tcBorders>
              <w:top w:val="nil"/>
              <w:left w:val="single" w:sz="8" w:space="0" w:color="000000"/>
              <w:bottom w:val="single" w:sz="8" w:space="0" w:color="000000"/>
              <w:right w:val="nil"/>
            </w:tcBorders>
          </w:tcPr>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 xml:space="preserve">HR 0,66 IC95% 0,56 a 0,78) </w:t>
            </w:r>
            <w:r>
              <w:rPr>
                <w:rFonts w:ascii="Arial" w:eastAsia="Arial" w:hAnsi="Arial" w:cs="Arial"/>
                <w:color w:val="505050"/>
                <w:sz w:val="16"/>
                <w:szCs w:val="16"/>
                <w:highlight w:val="white"/>
              </w:rPr>
              <w:t>p&lt;0·0001</w:t>
            </w: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 xml:space="preserve">mediana (meses) </w:t>
            </w:r>
          </w:p>
          <w:p w:rsidR="002C4AF7" w:rsidRDefault="007C2686">
            <w:pPr>
              <w:spacing w:before="240" w:after="240"/>
              <w:ind w:left="0" w:hanging="2"/>
              <w:rPr>
                <w:rFonts w:ascii="Arial" w:eastAsia="Arial" w:hAnsi="Arial" w:cs="Arial"/>
                <w:color w:val="505050"/>
                <w:sz w:val="16"/>
                <w:szCs w:val="16"/>
                <w:highlight w:val="white"/>
              </w:rPr>
            </w:pPr>
            <w:r>
              <w:rPr>
                <w:rFonts w:ascii="Arial" w:eastAsia="Arial" w:hAnsi="Arial" w:cs="Arial"/>
                <w:sz w:val="16"/>
                <w:szCs w:val="16"/>
              </w:rPr>
              <w:t>53,3 (</w:t>
            </w:r>
            <w:r>
              <w:rPr>
                <w:rFonts w:ascii="Arial" w:eastAsia="Arial" w:hAnsi="Arial" w:cs="Arial"/>
                <w:color w:val="505050"/>
                <w:sz w:val="16"/>
                <w:szCs w:val="16"/>
                <w:highlight w:val="white"/>
              </w:rPr>
              <w:t>95% CI 48·2–na)</w:t>
            </w: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 xml:space="preserve"> vs. 36,5 </w:t>
            </w:r>
            <w:r>
              <w:rPr>
                <w:rFonts w:ascii="Arial" w:eastAsia="Arial" w:hAnsi="Arial" w:cs="Arial"/>
                <w:color w:val="505050"/>
                <w:sz w:val="16"/>
                <w:szCs w:val="16"/>
                <w:highlight w:val="white"/>
              </w:rPr>
              <w:t>(33·5–40·0)</w:t>
            </w:r>
          </w:p>
        </w:tc>
        <w:tc>
          <w:tcPr>
            <w:tcW w:w="2070" w:type="dxa"/>
            <w:tcBorders>
              <w:top w:val="nil"/>
              <w:left w:val="single" w:sz="8" w:space="0" w:color="000000"/>
              <w:bottom w:val="single" w:sz="8" w:space="0" w:color="000000"/>
              <w:right w:val="nil"/>
            </w:tcBorders>
          </w:tcPr>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u w:val="single"/>
              </w:rPr>
              <w:t xml:space="preserve">-Criterios de inclusión: </w:t>
            </w:r>
            <w:r>
              <w:rPr>
                <w:rFonts w:ascii="Arial" w:eastAsia="Arial" w:hAnsi="Arial" w:cs="Arial"/>
                <w:sz w:val="16"/>
                <w:szCs w:val="16"/>
              </w:rPr>
              <w:t>ECOG 0-2. Al menos dos de los siguientes factores de riesgo: Gleason mayor o igual a 8, 3 o más lesiones óseas, metástasis visceral.</w:t>
            </w: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-Criterios de exclusión: Metástasis cerebral, enfermedad cardiaca en los últimos 6 meses o HTA no controlada.</w:t>
            </w:r>
          </w:p>
        </w:tc>
        <w:tc>
          <w:tcPr>
            <w:tcW w:w="1305" w:type="dxa"/>
            <w:tcBorders>
              <w:top w:val="nil"/>
              <w:left w:val="single" w:sz="8" w:space="0" w:color="000000"/>
              <w:bottom w:val="single" w:sz="8" w:space="0" w:color="000000"/>
              <w:right w:val="single" w:sz="8" w:space="0" w:color="000000"/>
            </w:tcBorders>
          </w:tcPr>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-presencia o ausencia de enfermedad visceral medible y -estado funcional ECOG (0 o 1 vs. 2).</w:t>
            </w:r>
          </w:p>
        </w:tc>
      </w:tr>
      <w:tr w:rsidR="002C4AF7">
        <w:trPr>
          <w:trHeight w:val="3675"/>
        </w:trPr>
        <w:tc>
          <w:tcPr>
            <w:tcW w:w="1335" w:type="dxa"/>
            <w:tcBorders>
              <w:top w:val="nil"/>
              <w:left w:val="single" w:sz="8" w:space="0" w:color="000000"/>
              <w:bottom w:val="single" w:sz="8" w:space="0" w:color="000000"/>
              <w:right w:val="nil"/>
            </w:tcBorders>
            <w:tcMar>
              <w:top w:w="100" w:type="dxa"/>
              <w:left w:w="100" w:type="dxa"/>
              <w:bottom w:w="100" w:type="dxa"/>
              <w:right w:w="100" w:type="dxa"/>
            </w:tcMar>
          </w:tcPr>
          <w:p w:rsidR="002C4AF7" w:rsidRPr="001475C9" w:rsidRDefault="007C2686">
            <w:pPr>
              <w:spacing w:before="240" w:after="240"/>
              <w:ind w:left="0" w:hanging="2"/>
              <w:rPr>
                <w:rFonts w:ascii="Arial" w:eastAsia="Arial" w:hAnsi="Arial" w:cs="Arial"/>
                <w:sz w:val="16"/>
                <w:szCs w:val="16"/>
                <w:lang w:val="en-GB"/>
              </w:rPr>
            </w:pPr>
            <w:r w:rsidRPr="001475C9">
              <w:rPr>
                <w:rFonts w:ascii="Arial" w:eastAsia="Arial" w:hAnsi="Arial" w:cs="Arial"/>
                <w:b/>
                <w:sz w:val="16"/>
                <w:szCs w:val="16"/>
                <w:lang w:val="en-GB"/>
              </w:rPr>
              <w:t>Docetaxel  (estudio CHAARTED)</w:t>
            </w:r>
          </w:p>
          <w:p w:rsidR="002C4AF7" w:rsidRDefault="007C2686">
            <w:pPr>
              <w:spacing w:before="240" w:after="240"/>
              <w:ind w:left="0" w:hanging="2"/>
              <w:rPr>
                <w:rFonts w:ascii="Arial" w:eastAsia="Arial" w:hAnsi="Arial" w:cs="Arial"/>
                <w:sz w:val="16"/>
                <w:szCs w:val="16"/>
              </w:rPr>
            </w:pPr>
            <w:r w:rsidRPr="001475C9">
              <w:rPr>
                <w:rFonts w:ascii="Arial" w:eastAsia="Arial" w:hAnsi="Arial" w:cs="Arial"/>
                <w:b/>
                <w:sz w:val="16"/>
                <w:szCs w:val="16"/>
                <w:lang w:val="en-GB"/>
              </w:rPr>
              <w:t xml:space="preserve">Long-Term Survival Analysis of the Randomized Phase III E3805 CHAARTED Trial. </w:t>
            </w:r>
            <w:r>
              <w:rPr>
                <w:rFonts w:ascii="Arial" w:eastAsia="Arial" w:hAnsi="Arial" w:cs="Arial"/>
                <w:b/>
                <w:sz w:val="16"/>
                <w:szCs w:val="16"/>
              </w:rPr>
              <w:t xml:space="preserve">J. Clin. Oncol. Off. J. Am. Soc. Clin. Oncol. 2018, </w:t>
            </w:r>
            <w:r>
              <w:rPr>
                <w:rFonts w:ascii="Arial" w:eastAsia="Arial" w:hAnsi="Arial" w:cs="Arial"/>
                <w:b/>
                <w:sz w:val="16"/>
                <w:szCs w:val="16"/>
              </w:rPr>
              <w:lastRenderedPageBreak/>
              <w:t>36, 1080–1087. (6)</w:t>
            </w:r>
          </w:p>
        </w:tc>
        <w:tc>
          <w:tcPr>
            <w:tcW w:w="1650" w:type="dxa"/>
            <w:tcBorders>
              <w:top w:val="nil"/>
              <w:left w:val="single" w:sz="8" w:space="0" w:color="000000"/>
              <w:bottom w:val="single" w:sz="8" w:space="0" w:color="000000"/>
              <w:right w:val="nil"/>
            </w:tcBorders>
          </w:tcPr>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lastRenderedPageBreak/>
              <w:t>Fase III, aleatorizado, abierto, multicéntrico</w:t>
            </w: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TPA + 6 ciclos Docetaxel (397 pacientes) vsTPA (393 pacientes)</w:t>
            </w:r>
          </w:p>
        </w:tc>
        <w:tc>
          <w:tcPr>
            <w:tcW w:w="1200" w:type="dxa"/>
            <w:tcBorders>
              <w:top w:val="nil"/>
              <w:left w:val="single" w:sz="8" w:space="0" w:color="000000"/>
              <w:bottom w:val="single" w:sz="8" w:space="0" w:color="000000"/>
              <w:right w:val="nil"/>
            </w:tcBorders>
          </w:tcPr>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Variable primaria:</w:t>
            </w: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-SG</w:t>
            </w: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mediana de seguimiento de 54 meses</w:t>
            </w:r>
          </w:p>
        </w:tc>
        <w:tc>
          <w:tcPr>
            <w:tcW w:w="1275" w:type="dxa"/>
            <w:tcBorders>
              <w:top w:val="nil"/>
              <w:left w:val="single" w:sz="8" w:space="0" w:color="000000"/>
              <w:bottom w:val="single" w:sz="8" w:space="0" w:color="000000"/>
              <w:right w:val="nil"/>
            </w:tcBorders>
          </w:tcPr>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HR 0.72 (IC95% 0,59 a 0,89)</w:t>
            </w: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mediana de SG (57,6 vs. 47,2 meses)</w:t>
            </w:r>
          </w:p>
        </w:tc>
        <w:tc>
          <w:tcPr>
            <w:tcW w:w="2070" w:type="dxa"/>
            <w:tcBorders>
              <w:top w:val="nil"/>
              <w:left w:val="single" w:sz="8" w:space="0" w:color="000000"/>
              <w:bottom w:val="single" w:sz="8" w:space="0" w:color="000000"/>
              <w:right w:val="nil"/>
            </w:tcBorders>
          </w:tcPr>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u w:val="single"/>
              </w:rPr>
              <w:t xml:space="preserve">-Criterios de inclusión: </w:t>
            </w:r>
            <w:r>
              <w:rPr>
                <w:rFonts w:ascii="Arial" w:eastAsia="Arial" w:hAnsi="Arial" w:cs="Arial"/>
                <w:sz w:val="16"/>
                <w:szCs w:val="16"/>
              </w:rPr>
              <w:t>ECOG 0-2, CPM con aumento de PSA, más de 4 lesiones óseas o metástasis visceral. Cualquier Gleason.</w:t>
            </w: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w:t>
            </w:r>
            <w:r>
              <w:rPr>
                <w:rFonts w:ascii="Arial" w:eastAsia="Arial" w:hAnsi="Arial" w:cs="Arial"/>
                <w:sz w:val="16"/>
                <w:szCs w:val="16"/>
                <w:u w:val="single"/>
              </w:rPr>
              <w:t xml:space="preserve"> Criterios de exclusión:</w:t>
            </w:r>
            <w:r>
              <w:rPr>
                <w:rFonts w:ascii="Arial" w:eastAsia="Arial" w:hAnsi="Arial" w:cs="Arial"/>
                <w:sz w:val="16"/>
                <w:szCs w:val="16"/>
              </w:rPr>
              <w:t xml:space="preserve"> Enfermedad cardíaca activa en los últimos 6 meses.</w:t>
            </w:r>
          </w:p>
        </w:tc>
        <w:tc>
          <w:tcPr>
            <w:tcW w:w="1305" w:type="dxa"/>
            <w:tcBorders>
              <w:top w:val="nil"/>
              <w:left w:val="single" w:sz="8" w:space="0" w:color="000000"/>
              <w:bottom w:val="single" w:sz="8" w:space="0" w:color="000000"/>
              <w:right w:val="single" w:sz="8" w:space="0" w:color="000000"/>
            </w:tcBorders>
          </w:tcPr>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estratificados en función al volumen de la enfermedad (alto volumen vs. bajo volumen).</w:t>
            </w:r>
          </w:p>
        </w:tc>
      </w:tr>
    </w:tbl>
    <w:p w:rsidR="002C4AF7" w:rsidRDefault="007C2686">
      <w:pPr>
        <w:spacing w:before="240" w:after="240"/>
        <w:ind w:left="0" w:hanging="2"/>
        <w:rPr>
          <w:rFonts w:ascii="Arimo" w:eastAsia="Arimo" w:hAnsi="Arimo" w:cs="Arimo"/>
          <w:b/>
          <w:sz w:val="20"/>
          <w:szCs w:val="20"/>
          <w:u w:val="single"/>
        </w:rPr>
      </w:pPr>
      <w:r>
        <w:rPr>
          <w:rFonts w:ascii="Arimo" w:eastAsia="Arimo" w:hAnsi="Arimo" w:cs="Arimo"/>
          <w:b/>
          <w:sz w:val="20"/>
          <w:szCs w:val="20"/>
          <w:u w:val="single"/>
        </w:rPr>
        <w:lastRenderedPageBreak/>
        <w:t>Comparación enzalutamida vs. apalutamida</w:t>
      </w:r>
    </w:p>
    <w:p w:rsidR="002C4AF7" w:rsidRDefault="00883B7B">
      <w:pPr>
        <w:spacing w:before="240" w:after="240"/>
        <w:ind w:left="0" w:hanging="2"/>
        <w:jc w:val="both"/>
        <w:rPr>
          <w:rFonts w:ascii="Arial" w:eastAsia="Arial" w:hAnsi="Arial" w:cs="Arial"/>
          <w:sz w:val="20"/>
          <w:szCs w:val="20"/>
        </w:rPr>
      </w:pPr>
      <w:sdt>
        <w:sdtPr>
          <w:tag w:val="goog_rdk_7"/>
          <w:id w:val="-75671679"/>
        </w:sdtPr>
        <w:sdtEndPr/>
        <w:sdtContent>
          <w:r w:rsidR="007C2686">
            <w:rPr>
              <w:rFonts w:ascii="Arial Unicode MS" w:eastAsia="Arial Unicode MS" w:hAnsi="Arial Unicode MS" w:cs="Arial Unicode MS"/>
              <w:sz w:val="20"/>
              <w:szCs w:val="20"/>
            </w:rPr>
            <w:t>En relación a las características basales del estudio TITAN: la mediana de edad de 68 años (rango, 43-94), el 23% de los pacientes eran ≥ 75 años, distribución racial (68% de raza caucásica, 22% asiática y 2% de raza negra), el 62,7% de los pacientes presentaba enfermedad de alto volumen y el 37,3%, enfermedad de bajo volumen, la mayoría de los pacientes tenían una puntuación de Gleason ≥ 7 (92,3%) y el 68% de los pacientes recibió tratamiento previo con un antiandrógeno de primera generación. Un 10,7% de los pacientes habían recibido tratamiento previo con docetaxel.</w:t>
          </w:r>
        </w:sdtContent>
      </w:sdt>
    </w:p>
    <w:tbl>
      <w:tblPr>
        <w:tblStyle w:val="afffd"/>
        <w:tblW w:w="8715" w:type="dxa"/>
        <w:tblInd w:w="15" w:type="dxa"/>
        <w:tblLayout w:type="fixed"/>
        <w:tblLook w:val="0000" w:firstRow="0" w:lastRow="0" w:firstColumn="0" w:lastColumn="0" w:noHBand="0" w:noVBand="0"/>
      </w:tblPr>
      <w:tblGrid>
        <w:gridCol w:w="2130"/>
        <w:gridCol w:w="1395"/>
        <w:gridCol w:w="1485"/>
        <w:gridCol w:w="1440"/>
        <w:gridCol w:w="1245"/>
        <w:gridCol w:w="1020"/>
      </w:tblGrid>
      <w:tr w:rsidR="002C4AF7">
        <w:trPr>
          <w:trHeight w:val="425"/>
        </w:trPr>
        <w:tc>
          <w:tcPr>
            <w:tcW w:w="8715" w:type="dxa"/>
            <w:gridSpan w:val="6"/>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tcPr>
          <w:p w:rsidR="002C4AF7" w:rsidRDefault="007C2686">
            <w:pPr>
              <w:spacing w:before="240" w:after="240"/>
              <w:ind w:left="0" w:hanging="2"/>
              <w:rPr>
                <w:rFonts w:ascii="Arial" w:eastAsia="Arial" w:hAnsi="Arial" w:cs="Arial"/>
                <w:sz w:val="18"/>
                <w:szCs w:val="18"/>
              </w:rPr>
            </w:pPr>
            <w:r>
              <w:rPr>
                <w:rFonts w:ascii="Arial" w:eastAsia="Arial" w:hAnsi="Arial" w:cs="Arial"/>
                <w:b/>
                <w:sz w:val="18"/>
                <w:szCs w:val="18"/>
              </w:rPr>
              <w:t>Tabla 7. COMPARACIÓN INDIRECTA PROPIA (Método Bucher, Calculadora Wells 2009)</w:t>
            </w:r>
          </w:p>
        </w:tc>
      </w:tr>
      <w:tr w:rsidR="002C4AF7">
        <w:trPr>
          <w:trHeight w:val="575"/>
        </w:trPr>
        <w:tc>
          <w:tcPr>
            <w:tcW w:w="213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Ensayo clínico</w:t>
            </w:r>
          </w:p>
        </w:tc>
        <w:tc>
          <w:tcPr>
            <w:tcW w:w="1395" w:type="dxa"/>
            <w:tcBorders>
              <w:top w:val="nil"/>
              <w:left w:val="nil"/>
              <w:bottom w:val="single" w:sz="8" w:space="0" w:color="000000"/>
              <w:right w:val="single" w:sz="8" w:space="0" w:color="000000"/>
            </w:tcBorders>
            <w:shd w:val="clear" w:color="auto" w:fill="E6E6E6"/>
          </w:tcPr>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Mediana SG grupo activo</w:t>
            </w:r>
          </w:p>
        </w:tc>
        <w:tc>
          <w:tcPr>
            <w:tcW w:w="1485" w:type="dxa"/>
            <w:tcBorders>
              <w:top w:val="nil"/>
              <w:left w:val="nil"/>
              <w:bottom w:val="single" w:sz="8" w:space="0" w:color="000000"/>
              <w:right w:val="single" w:sz="8" w:space="0" w:color="000000"/>
            </w:tcBorders>
            <w:shd w:val="clear" w:color="auto" w:fill="E6E6E6"/>
          </w:tcPr>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Mediana SG grupo control</w:t>
            </w:r>
          </w:p>
        </w:tc>
        <w:tc>
          <w:tcPr>
            <w:tcW w:w="1440" w:type="dxa"/>
            <w:tcBorders>
              <w:top w:val="nil"/>
              <w:left w:val="nil"/>
              <w:bottom w:val="single" w:sz="8" w:space="0" w:color="000000"/>
              <w:right w:val="single" w:sz="8" w:space="0" w:color="000000"/>
            </w:tcBorders>
            <w:shd w:val="clear" w:color="auto" w:fill="E6E6E6"/>
          </w:tcPr>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Diferencia de medianas</w:t>
            </w:r>
          </w:p>
        </w:tc>
        <w:tc>
          <w:tcPr>
            <w:tcW w:w="1245" w:type="dxa"/>
            <w:tcBorders>
              <w:top w:val="nil"/>
              <w:left w:val="nil"/>
              <w:bottom w:val="single" w:sz="8" w:space="0" w:color="000000"/>
              <w:right w:val="single" w:sz="8" w:space="0" w:color="000000"/>
            </w:tcBorders>
            <w:shd w:val="clear" w:color="auto" w:fill="E6E6E6"/>
          </w:tcPr>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HR (IC 95%)</w:t>
            </w:r>
          </w:p>
        </w:tc>
        <w:tc>
          <w:tcPr>
            <w:tcW w:w="1020" w:type="dxa"/>
            <w:tcBorders>
              <w:top w:val="nil"/>
              <w:left w:val="nil"/>
              <w:bottom w:val="single" w:sz="8" w:space="0" w:color="000000"/>
              <w:right w:val="single" w:sz="8" w:space="0" w:color="000000"/>
            </w:tcBorders>
            <w:shd w:val="clear" w:color="auto" w:fill="E6E6E6"/>
          </w:tcPr>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p</w:t>
            </w:r>
          </w:p>
        </w:tc>
      </w:tr>
      <w:tr w:rsidR="002C4AF7">
        <w:trPr>
          <w:trHeight w:val="1491"/>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Estudio ARCHES</w:t>
            </w:r>
          </w:p>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Enzalutamida TDA  vs Placebo TDA</w:t>
            </w:r>
          </w:p>
          <w:p w:rsidR="002C4AF7" w:rsidRDefault="007C2686">
            <w:pPr>
              <w:spacing w:before="240" w:after="240"/>
              <w:ind w:left="0" w:hanging="2"/>
              <w:jc w:val="both"/>
              <w:rPr>
                <w:rFonts w:ascii="Arial" w:eastAsia="Arial" w:hAnsi="Arial" w:cs="Arial"/>
                <w:sz w:val="16"/>
                <w:szCs w:val="16"/>
              </w:rPr>
            </w:pPr>
            <w:r>
              <w:rPr>
                <w:rFonts w:ascii="Arial" w:eastAsia="Arial" w:hAnsi="Arial" w:cs="Arial"/>
                <w:b/>
                <w:sz w:val="16"/>
                <w:szCs w:val="16"/>
              </w:rPr>
              <w:t>Variable secundaria: SG</w:t>
            </w:r>
          </w:p>
        </w:tc>
        <w:tc>
          <w:tcPr>
            <w:tcW w:w="1395" w:type="dxa"/>
            <w:tcBorders>
              <w:top w:val="nil"/>
              <w:left w:val="nil"/>
              <w:bottom w:val="single" w:sz="8" w:space="0" w:color="000000"/>
              <w:right w:val="single" w:sz="8" w:space="0" w:color="000000"/>
            </w:tcBorders>
          </w:tcPr>
          <w:p w:rsidR="002C4AF7" w:rsidRDefault="002C4AF7">
            <w:pPr>
              <w:spacing w:before="240" w:after="240"/>
              <w:ind w:left="0" w:hanging="2"/>
              <w:jc w:val="both"/>
              <w:rPr>
                <w:rFonts w:ascii="Arial" w:eastAsia="Arial" w:hAnsi="Arial" w:cs="Arial"/>
                <w:sz w:val="16"/>
                <w:szCs w:val="16"/>
              </w:rPr>
            </w:pPr>
          </w:p>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 xml:space="preserve">      NA</w:t>
            </w:r>
          </w:p>
        </w:tc>
        <w:tc>
          <w:tcPr>
            <w:tcW w:w="1485" w:type="dxa"/>
            <w:tcBorders>
              <w:top w:val="nil"/>
              <w:left w:val="nil"/>
              <w:bottom w:val="single" w:sz="8" w:space="0" w:color="000000"/>
              <w:right w:val="single" w:sz="8" w:space="0" w:color="000000"/>
            </w:tcBorders>
          </w:tcPr>
          <w:p w:rsidR="002C4AF7" w:rsidRDefault="002C4AF7">
            <w:pPr>
              <w:spacing w:before="240" w:after="240"/>
              <w:ind w:left="0" w:hanging="2"/>
              <w:jc w:val="center"/>
              <w:rPr>
                <w:rFonts w:ascii="Arial" w:eastAsia="Arial" w:hAnsi="Arial" w:cs="Arial"/>
                <w:sz w:val="16"/>
                <w:szCs w:val="16"/>
              </w:rPr>
            </w:pPr>
          </w:p>
          <w:p w:rsidR="002C4AF7" w:rsidRDefault="007C2686">
            <w:pPr>
              <w:spacing w:before="240" w:after="240"/>
              <w:ind w:left="0" w:hanging="2"/>
              <w:jc w:val="center"/>
              <w:rPr>
                <w:rFonts w:ascii="Arial" w:eastAsia="Arial" w:hAnsi="Arial" w:cs="Arial"/>
                <w:sz w:val="16"/>
                <w:szCs w:val="16"/>
              </w:rPr>
            </w:pPr>
            <w:r>
              <w:rPr>
                <w:rFonts w:ascii="Arial" w:eastAsia="Arial" w:hAnsi="Arial" w:cs="Arial"/>
                <w:b/>
                <w:sz w:val="16"/>
                <w:szCs w:val="16"/>
              </w:rPr>
              <w:t xml:space="preserve"> NA</w:t>
            </w:r>
          </w:p>
        </w:tc>
        <w:tc>
          <w:tcPr>
            <w:tcW w:w="1440" w:type="dxa"/>
            <w:tcBorders>
              <w:top w:val="nil"/>
              <w:left w:val="nil"/>
              <w:bottom w:val="single" w:sz="8" w:space="0" w:color="000000"/>
              <w:right w:val="single" w:sz="8" w:space="0" w:color="000000"/>
            </w:tcBorders>
          </w:tcPr>
          <w:p w:rsidR="002C4AF7" w:rsidRDefault="002C4AF7">
            <w:pPr>
              <w:spacing w:before="240" w:after="240"/>
              <w:ind w:left="0" w:hanging="2"/>
              <w:jc w:val="center"/>
              <w:rPr>
                <w:rFonts w:ascii="Arial" w:eastAsia="Arial" w:hAnsi="Arial" w:cs="Arial"/>
                <w:sz w:val="16"/>
                <w:szCs w:val="16"/>
              </w:rPr>
            </w:pPr>
          </w:p>
          <w:p w:rsidR="002C4AF7" w:rsidRDefault="007C2686">
            <w:pPr>
              <w:spacing w:before="240" w:after="240"/>
              <w:ind w:left="0" w:hanging="2"/>
              <w:jc w:val="center"/>
              <w:rPr>
                <w:rFonts w:ascii="Arial" w:eastAsia="Arial" w:hAnsi="Arial" w:cs="Arial"/>
                <w:sz w:val="16"/>
                <w:szCs w:val="16"/>
              </w:rPr>
            </w:pPr>
            <w:r>
              <w:rPr>
                <w:rFonts w:ascii="Arial" w:eastAsia="Arial" w:hAnsi="Arial" w:cs="Arial"/>
                <w:b/>
                <w:sz w:val="16"/>
                <w:szCs w:val="16"/>
              </w:rPr>
              <w:t>--</w:t>
            </w:r>
          </w:p>
        </w:tc>
        <w:tc>
          <w:tcPr>
            <w:tcW w:w="1245" w:type="dxa"/>
            <w:tcBorders>
              <w:top w:val="nil"/>
              <w:left w:val="nil"/>
              <w:bottom w:val="single" w:sz="8" w:space="0" w:color="000000"/>
              <w:right w:val="single" w:sz="8" w:space="0" w:color="000000"/>
            </w:tcBorders>
          </w:tcPr>
          <w:p w:rsidR="002C4AF7" w:rsidRDefault="002C4AF7">
            <w:pPr>
              <w:spacing w:before="240" w:after="240"/>
              <w:ind w:left="0" w:hanging="2"/>
              <w:jc w:val="center"/>
              <w:rPr>
                <w:rFonts w:ascii="Arial" w:eastAsia="Arial" w:hAnsi="Arial" w:cs="Arial"/>
                <w:sz w:val="16"/>
                <w:szCs w:val="16"/>
              </w:rPr>
            </w:pPr>
          </w:p>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0,66 (0,53-0,81)</w:t>
            </w:r>
          </w:p>
        </w:tc>
        <w:tc>
          <w:tcPr>
            <w:tcW w:w="1020" w:type="dxa"/>
            <w:tcBorders>
              <w:top w:val="nil"/>
              <w:left w:val="nil"/>
              <w:bottom w:val="single" w:sz="8" w:space="0" w:color="000000"/>
              <w:right w:val="single" w:sz="8" w:space="0" w:color="000000"/>
            </w:tcBorders>
          </w:tcPr>
          <w:p w:rsidR="002C4AF7" w:rsidRDefault="002C4AF7">
            <w:pPr>
              <w:spacing w:before="240" w:after="240"/>
              <w:ind w:left="0" w:hanging="2"/>
              <w:jc w:val="both"/>
              <w:rPr>
                <w:rFonts w:ascii="Arial" w:eastAsia="Arial" w:hAnsi="Arial" w:cs="Arial"/>
                <w:sz w:val="16"/>
                <w:szCs w:val="16"/>
              </w:rPr>
            </w:pPr>
          </w:p>
          <w:p w:rsidR="002C4AF7" w:rsidRDefault="007C2686">
            <w:pPr>
              <w:spacing w:before="240" w:after="240"/>
              <w:ind w:left="0" w:hanging="2"/>
              <w:jc w:val="both"/>
              <w:rPr>
                <w:rFonts w:ascii="Arial" w:eastAsia="Arial" w:hAnsi="Arial" w:cs="Arial"/>
                <w:sz w:val="16"/>
                <w:szCs w:val="16"/>
              </w:rPr>
            </w:pPr>
            <w:r>
              <w:rPr>
                <w:rFonts w:ascii="Arial" w:eastAsia="Arial" w:hAnsi="Arial" w:cs="Arial"/>
                <w:b/>
                <w:sz w:val="16"/>
                <w:szCs w:val="16"/>
              </w:rPr>
              <w:t>p&lt;0.0001</w:t>
            </w:r>
          </w:p>
        </w:tc>
      </w:tr>
      <w:tr w:rsidR="002C4AF7">
        <w:trPr>
          <w:trHeight w:val="1455"/>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Estudio TITAN</w:t>
            </w:r>
          </w:p>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Apalutamida vs Placebo</w:t>
            </w:r>
          </w:p>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Variable primaria: SG</w:t>
            </w:r>
          </w:p>
        </w:tc>
        <w:tc>
          <w:tcPr>
            <w:tcW w:w="1395" w:type="dxa"/>
            <w:tcBorders>
              <w:top w:val="nil"/>
              <w:left w:val="nil"/>
              <w:bottom w:val="single" w:sz="8" w:space="0" w:color="000000"/>
              <w:right w:val="single" w:sz="8" w:space="0" w:color="000000"/>
            </w:tcBorders>
          </w:tcPr>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 xml:space="preserve">      NA</w:t>
            </w:r>
          </w:p>
        </w:tc>
        <w:tc>
          <w:tcPr>
            <w:tcW w:w="1485" w:type="dxa"/>
            <w:tcBorders>
              <w:top w:val="nil"/>
              <w:left w:val="nil"/>
              <w:bottom w:val="single" w:sz="8" w:space="0" w:color="000000"/>
              <w:right w:val="single" w:sz="8" w:space="0" w:color="000000"/>
            </w:tcBorders>
          </w:tcPr>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52,2</w:t>
            </w:r>
          </w:p>
        </w:tc>
        <w:tc>
          <w:tcPr>
            <w:tcW w:w="1440" w:type="dxa"/>
            <w:tcBorders>
              <w:top w:val="nil"/>
              <w:left w:val="nil"/>
              <w:bottom w:val="single" w:sz="8" w:space="0" w:color="000000"/>
              <w:right w:val="single" w:sz="8" w:space="0" w:color="000000"/>
            </w:tcBorders>
          </w:tcPr>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 xml:space="preserve"> --</w:t>
            </w:r>
          </w:p>
        </w:tc>
        <w:tc>
          <w:tcPr>
            <w:tcW w:w="1245" w:type="dxa"/>
            <w:tcBorders>
              <w:top w:val="nil"/>
              <w:left w:val="nil"/>
              <w:bottom w:val="single" w:sz="8" w:space="0" w:color="000000"/>
              <w:right w:val="single" w:sz="8" w:space="0" w:color="000000"/>
            </w:tcBorders>
          </w:tcPr>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0,65</w:t>
            </w:r>
          </w:p>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(0,53-0,79)</w:t>
            </w:r>
          </w:p>
        </w:tc>
        <w:tc>
          <w:tcPr>
            <w:tcW w:w="1020" w:type="dxa"/>
            <w:tcBorders>
              <w:top w:val="nil"/>
              <w:left w:val="nil"/>
              <w:bottom w:val="single" w:sz="8" w:space="0" w:color="000000"/>
              <w:right w:val="single" w:sz="8" w:space="0" w:color="000000"/>
            </w:tcBorders>
          </w:tcPr>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p&lt;0.0001</w:t>
            </w:r>
          </w:p>
        </w:tc>
      </w:tr>
      <w:tr w:rsidR="002C4AF7">
        <w:trPr>
          <w:trHeight w:val="395"/>
        </w:trPr>
        <w:tc>
          <w:tcPr>
            <w:tcW w:w="8715" w:type="dxa"/>
            <w:gridSpan w:val="6"/>
            <w:tcBorders>
              <w:top w:val="nil"/>
              <w:left w:val="single" w:sz="8" w:space="0" w:color="000000"/>
              <w:bottom w:val="single" w:sz="8" w:space="0" w:color="000000"/>
              <w:right w:val="single" w:sz="8" w:space="0" w:color="000000"/>
            </w:tcBorders>
            <w:shd w:val="clear" w:color="auto" w:fill="8FF9BF"/>
            <w:tcMar>
              <w:top w:w="100" w:type="dxa"/>
              <w:left w:w="100" w:type="dxa"/>
              <w:bottom w:w="100" w:type="dxa"/>
              <w:right w:w="100" w:type="dxa"/>
            </w:tcMar>
          </w:tcPr>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Comparación indirecta ajustada</w:t>
            </w:r>
          </w:p>
        </w:tc>
      </w:tr>
      <w:tr w:rsidR="002C4AF7">
        <w:trPr>
          <w:trHeight w:val="395"/>
        </w:trPr>
        <w:tc>
          <w:tcPr>
            <w:tcW w:w="2130"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2C4AF7" w:rsidRDefault="002C4AF7">
            <w:pPr>
              <w:spacing w:before="240" w:after="240"/>
              <w:ind w:left="0" w:hanging="2"/>
              <w:rPr>
                <w:rFonts w:ascii="Arial" w:eastAsia="Arial" w:hAnsi="Arial" w:cs="Arial"/>
                <w:sz w:val="16"/>
                <w:szCs w:val="16"/>
              </w:rPr>
            </w:pPr>
          </w:p>
        </w:tc>
        <w:tc>
          <w:tcPr>
            <w:tcW w:w="5565" w:type="dxa"/>
            <w:gridSpan w:val="4"/>
            <w:tcBorders>
              <w:top w:val="nil"/>
              <w:left w:val="nil"/>
              <w:bottom w:val="single" w:sz="8" w:space="0" w:color="000000"/>
              <w:right w:val="single" w:sz="8" w:space="0" w:color="000000"/>
            </w:tcBorders>
            <w:shd w:val="clear" w:color="auto" w:fill="D9D9D9"/>
          </w:tcPr>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HR (IC 95%)</w:t>
            </w:r>
          </w:p>
        </w:tc>
        <w:tc>
          <w:tcPr>
            <w:tcW w:w="1020" w:type="dxa"/>
            <w:tcBorders>
              <w:top w:val="nil"/>
              <w:left w:val="nil"/>
              <w:bottom w:val="single" w:sz="8" w:space="0" w:color="000000"/>
              <w:right w:val="single" w:sz="8" w:space="0" w:color="000000"/>
            </w:tcBorders>
            <w:shd w:val="clear" w:color="auto" w:fill="D9D9D9"/>
          </w:tcPr>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p</w:t>
            </w:r>
          </w:p>
        </w:tc>
      </w:tr>
      <w:tr w:rsidR="002C4AF7">
        <w:trPr>
          <w:trHeight w:val="915"/>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enzalutamida vs. apalutamida</w:t>
            </w:r>
          </w:p>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SG</w:t>
            </w:r>
          </w:p>
        </w:tc>
        <w:tc>
          <w:tcPr>
            <w:tcW w:w="5565" w:type="dxa"/>
            <w:gridSpan w:val="4"/>
            <w:tcBorders>
              <w:top w:val="nil"/>
              <w:left w:val="nil"/>
              <w:bottom w:val="single" w:sz="8" w:space="0" w:color="000000"/>
              <w:right w:val="single" w:sz="8" w:space="0" w:color="000000"/>
            </w:tcBorders>
            <w:vAlign w:val="center"/>
          </w:tcPr>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1,015 (0,759 a 1,359)</w:t>
            </w:r>
          </w:p>
        </w:tc>
        <w:tc>
          <w:tcPr>
            <w:tcW w:w="1020" w:type="dxa"/>
            <w:tcBorders>
              <w:top w:val="nil"/>
              <w:left w:val="nil"/>
              <w:bottom w:val="single" w:sz="8" w:space="0" w:color="000000"/>
              <w:right w:val="single" w:sz="8" w:space="0" w:color="000000"/>
            </w:tcBorders>
            <w:vAlign w:val="center"/>
          </w:tcPr>
          <w:p w:rsidR="002C4AF7" w:rsidRDefault="007C2686">
            <w:pPr>
              <w:spacing w:before="240" w:after="240"/>
              <w:ind w:left="0" w:hanging="2"/>
              <w:rPr>
                <w:rFonts w:ascii="Arial" w:eastAsia="Arial" w:hAnsi="Arial" w:cs="Arial"/>
                <w:sz w:val="16"/>
                <w:szCs w:val="16"/>
              </w:rPr>
            </w:pPr>
            <w:r>
              <w:rPr>
                <w:rFonts w:ascii="Arial" w:eastAsia="Arial" w:hAnsi="Arial" w:cs="Arial"/>
                <w:b/>
                <w:sz w:val="16"/>
                <w:szCs w:val="16"/>
              </w:rPr>
              <w:t>NS</w:t>
            </w:r>
          </w:p>
        </w:tc>
      </w:tr>
    </w:tbl>
    <w:p w:rsidR="002C4AF7" w:rsidRDefault="002C4AF7">
      <w:pPr>
        <w:ind w:left="0" w:hanging="2"/>
        <w:rPr>
          <w:rFonts w:ascii="Arial" w:eastAsia="Arial" w:hAnsi="Arial" w:cs="Arial"/>
          <w:color w:val="FF0000"/>
          <w:sz w:val="20"/>
          <w:szCs w:val="20"/>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Por lo que no se puede afirmar que exista una diferencia en cuanto a SG entre enzalutamida y apalutamida, ya que no se alcanza la significación estadística. </w:t>
      </w:r>
    </w:p>
    <w:p w:rsidR="002C4AF7" w:rsidRDefault="002C4AF7">
      <w:pPr>
        <w:ind w:left="0" w:hanging="2"/>
        <w:rPr>
          <w:rFonts w:ascii="Arial" w:eastAsia="Arial" w:hAnsi="Arial" w:cs="Arial"/>
          <w:sz w:val="20"/>
          <w:szCs w:val="20"/>
        </w:rPr>
      </w:pPr>
    </w:p>
    <w:p w:rsidR="002C4AF7" w:rsidRDefault="007C2686">
      <w:pPr>
        <w:spacing w:before="240" w:after="240"/>
        <w:ind w:left="0" w:hanging="2"/>
        <w:rPr>
          <w:rFonts w:ascii="Arimo" w:eastAsia="Arimo" w:hAnsi="Arimo" w:cs="Arimo"/>
          <w:sz w:val="20"/>
          <w:szCs w:val="20"/>
          <w:u w:val="single"/>
        </w:rPr>
      </w:pPr>
      <w:r>
        <w:rPr>
          <w:rFonts w:ascii="Arimo" w:eastAsia="Arimo" w:hAnsi="Arimo" w:cs="Arimo"/>
          <w:b/>
          <w:sz w:val="20"/>
          <w:szCs w:val="20"/>
          <w:u w:val="single"/>
        </w:rPr>
        <w:t>Comparación enzalutamida vs. abiraterona</w:t>
      </w:r>
    </w:p>
    <w:p w:rsidR="002C4AF7" w:rsidRDefault="002C4AF7">
      <w:pPr>
        <w:ind w:left="0" w:hanging="2"/>
        <w:jc w:val="both"/>
        <w:rPr>
          <w:rFonts w:ascii="Arimo" w:eastAsia="Arimo" w:hAnsi="Arimo" w:cs="Arimo"/>
          <w:sz w:val="20"/>
          <w:szCs w:val="20"/>
        </w:rPr>
      </w:pPr>
    </w:p>
    <w:p w:rsidR="002C4AF7" w:rsidRDefault="00883B7B">
      <w:pPr>
        <w:ind w:left="0" w:hanging="2"/>
        <w:jc w:val="both"/>
        <w:rPr>
          <w:rFonts w:ascii="Arial" w:eastAsia="Arial" w:hAnsi="Arial" w:cs="Arial"/>
          <w:sz w:val="20"/>
          <w:szCs w:val="20"/>
        </w:rPr>
      </w:pPr>
      <w:sdt>
        <w:sdtPr>
          <w:tag w:val="goog_rdk_8"/>
          <w:id w:val="875738606"/>
        </w:sdtPr>
        <w:sdtEndPr/>
        <w:sdtContent>
          <w:r w:rsidR="007C2686">
            <w:rPr>
              <w:rFonts w:ascii="Arial Unicode MS" w:eastAsia="Arial Unicode MS" w:hAnsi="Arial Unicode MS" w:cs="Arial Unicode MS"/>
              <w:sz w:val="20"/>
              <w:szCs w:val="20"/>
            </w:rPr>
            <w:t>En relación a las características basales del estudio LATITUDE La mediana de edad de los pacientes incluidos en el estudio fue de 67 años, el 69,4% fueron caucásicos y 20,5% asiáticos. El estado funcional ECOG era de 0 ó 1 en el 96,5% de los pacientes, la puntuación Gleason ≥ 8 en el 97,6% y un 97,4% de los pacientes presentaban metástasis óseas. La mediana de nivel de PSA fue de 23,85 ng/mL.</w:t>
          </w:r>
        </w:sdtContent>
      </w:sdt>
    </w:p>
    <w:p w:rsidR="002C4AF7" w:rsidRDefault="002C4AF7">
      <w:pPr>
        <w:ind w:left="0" w:hanging="2"/>
        <w:rPr>
          <w:rFonts w:ascii="Arial" w:eastAsia="Arial" w:hAnsi="Arial" w:cs="Arial"/>
          <w:sz w:val="20"/>
          <w:szCs w:val="20"/>
        </w:rPr>
      </w:pPr>
    </w:p>
    <w:tbl>
      <w:tblPr>
        <w:tblStyle w:val="afffe"/>
        <w:tblW w:w="8715" w:type="dxa"/>
        <w:tblInd w:w="15" w:type="dxa"/>
        <w:tblLayout w:type="fixed"/>
        <w:tblLook w:val="0000" w:firstRow="0" w:lastRow="0" w:firstColumn="0" w:lastColumn="0" w:noHBand="0" w:noVBand="0"/>
      </w:tblPr>
      <w:tblGrid>
        <w:gridCol w:w="2130"/>
        <w:gridCol w:w="1395"/>
        <w:gridCol w:w="1485"/>
        <w:gridCol w:w="1440"/>
        <w:gridCol w:w="1245"/>
        <w:gridCol w:w="1020"/>
      </w:tblGrid>
      <w:tr w:rsidR="002C4AF7">
        <w:trPr>
          <w:trHeight w:val="425"/>
        </w:trPr>
        <w:tc>
          <w:tcPr>
            <w:tcW w:w="8715" w:type="dxa"/>
            <w:gridSpan w:val="6"/>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tcPr>
          <w:p w:rsidR="002C4AF7" w:rsidRDefault="007C2686">
            <w:pPr>
              <w:spacing w:before="240" w:after="240"/>
              <w:ind w:left="0" w:hanging="2"/>
              <w:rPr>
                <w:rFonts w:ascii="Arial" w:eastAsia="Arial" w:hAnsi="Arial" w:cs="Arial"/>
                <w:sz w:val="18"/>
                <w:szCs w:val="18"/>
              </w:rPr>
            </w:pPr>
            <w:r>
              <w:rPr>
                <w:rFonts w:ascii="Arial" w:eastAsia="Arial" w:hAnsi="Arial" w:cs="Arial"/>
                <w:b/>
                <w:sz w:val="18"/>
                <w:szCs w:val="18"/>
              </w:rPr>
              <w:t>Tabla 8. COMPARACIÓN INDIRECTA PROPIA (Método Bucher, Calculadora Wells 2009)</w:t>
            </w:r>
          </w:p>
        </w:tc>
      </w:tr>
      <w:tr w:rsidR="002C4AF7">
        <w:trPr>
          <w:trHeight w:val="575"/>
        </w:trPr>
        <w:tc>
          <w:tcPr>
            <w:tcW w:w="213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2C4AF7" w:rsidRDefault="007C2686">
            <w:pPr>
              <w:spacing w:before="240" w:after="240"/>
              <w:ind w:left="0" w:hanging="2"/>
              <w:jc w:val="center"/>
              <w:rPr>
                <w:rFonts w:ascii="Arial" w:eastAsia="Arial" w:hAnsi="Arial" w:cs="Arial"/>
                <w:sz w:val="16"/>
                <w:szCs w:val="16"/>
              </w:rPr>
            </w:pPr>
            <w:r>
              <w:rPr>
                <w:rFonts w:ascii="Arial" w:eastAsia="Arial" w:hAnsi="Arial" w:cs="Arial"/>
                <w:b/>
                <w:sz w:val="16"/>
                <w:szCs w:val="16"/>
              </w:rPr>
              <w:t>Ensayo clínico</w:t>
            </w:r>
          </w:p>
        </w:tc>
        <w:tc>
          <w:tcPr>
            <w:tcW w:w="1395" w:type="dxa"/>
            <w:tcBorders>
              <w:top w:val="nil"/>
              <w:left w:val="nil"/>
              <w:bottom w:val="single" w:sz="8" w:space="0" w:color="000000"/>
              <w:right w:val="single" w:sz="8" w:space="0" w:color="000000"/>
            </w:tcBorders>
            <w:shd w:val="clear" w:color="auto" w:fill="E6E6E6"/>
          </w:tcPr>
          <w:p w:rsidR="002C4AF7" w:rsidRDefault="007C2686">
            <w:pPr>
              <w:spacing w:before="240" w:after="240"/>
              <w:ind w:left="0" w:hanging="2"/>
              <w:jc w:val="center"/>
              <w:rPr>
                <w:rFonts w:ascii="Arial" w:eastAsia="Arial" w:hAnsi="Arial" w:cs="Arial"/>
                <w:sz w:val="16"/>
                <w:szCs w:val="16"/>
              </w:rPr>
            </w:pPr>
            <w:r>
              <w:rPr>
                <w:rFonts w:ascii="Arial" w:eastAsia="Arial" w:hAnsi="Arial" w:cs="Arial"/>
                <w:b/>
                <w:sz w:val="16"/>
                <w:szCs w:val="16"/>
              </w:rPr>
              <w:t>Mediana SG grupo activo</w:t>
            </w:r>
          </w:p>
        </w:tc>
        <w:tc>
          <w:tcPr>
            <w:tcW w:w="1485" w:type="dxa"/>
            <w:tcBorders>
              <w:top w:val="nil"/>
              <w:left w:val="nil"/>
              <w:bottom w:val="single" w:sz="8" w:space="0" w:color="000000"/>
              <w:right w:val="single" w:sz="8" w:space="0" w:color="000000"/>
            </w:tcBorders>
            <w:shd w:val="clear" w:color="auto" w:fill="E6E6E6"/>
          </w:tcPr>
          <w:p w:rsidR="002C4AF7" w:rsidRDefault="007C2686">
            <w:pPr>
              <w:spacing w:before="240" w:after="240"/>
              <w:ind w:left="0" w:hanging="2"/>
              <w:jc w:val="center"/>
              <w:rPr>
                <w:rFonts w:ascii="Arial" w:eastAsia="Arial" w:hAnsi="Arial" w:cs="Arial"/>
                <w:sz w:val="16"/>
                <w:szCs w:val="16"/>
              </w:rPr>
            </w:pPr>
            <w:r>
              <w:rPr>
                <w:rFonts w:ascii="Arial" w:eastAsia="Arial" w:hAnsi="Arial" w:cs="Arial"/>
                <w:b/>
                <w:sz w:val="16"/>
                <w:szCs w:val="16"/>
              </w:rPr>
              <w:t>Mediana SG grupo control</w:t>
            </w:r>
          </w:p>
        </w:tc>
        <w:tc>
          <w:tcPr>
            <w:tcW w:w="1440" w:type="dxa"/>
            <w:tcBorders>
              <w:top w:val="nil"/>
              <w:left w:val="nil"/>
              <w:bottom w:val="single" w:sz="8" w:space="0" w:color="000000"/>
              <w:right w:val="single" w:sz="8" w:space="0" w:color="000000"/>
            </w:tcBorders>
            <w:shd w:val="clear" w:color="auto" w:fill="E6E6E6"/>
          </w:tcPr>
          <w:p w:rsidR="002C4AF7" w:rsidRDefault="007C2686">
            <w:pPr>
              <w:spacing w:before="240" w:after="240"/>
              <w:ind w:left="0" w:hanging="2"/>
              <w:jc w:val="center"/>
              <w:rPr>
                <w:rFonts w:ascii="Arial" w:eastAsia="Arial" w:hAnsi="Arial" w:cs="Arial"/>
                <w:sz w:val="16"/>
                <w:szCs w:val="16"/>
              </w:rPr>
            </w:pPr>
            <w:r>
              <w:rPr>
                <w:rFonts w:ascii="Arial" w:eastAsia="Arial" w:hAnsi="Arial" w:cs="Arial"/>
                <w:b/>
                <w:sz w:val="16"/>
                <w:szCs w:val="16"/>
              </w:rPr>
              <w:t>Diferencia de medianas</w:t>
            </w:r>
          </w:p>
        </w:tc>
        <w:tc>
          <w:tcPr>
            <w:tcW w:w="1245" w:type="dxa"/>
            <w:tcBorders>
              <w:top w:val="nil"/>
              <w:left w:val="nil"/>
              <w:bottom w:val="single" w:sz="8" w:space="0" w:color="000000"/>
              <w:right w:val="single" w:sz="8" w:space="0" w:color="000000"/>
            </w:tcBorders>
            <w:shd w:val="clear" w:color="auto" w:fill="E6E6E6"/>
          </w:tcPr>
          <w:p w:rsidR="002C4AF7" w:rsidRDefault="007C2686">
            <w:pPr>
              <w:spacing w:before="240" w:after="240"/>
              <w:ind w:left="0" w:hanging="2"/>
              <w:jc w:val="center"/>
              <w:rPr>
                <w:rFonts w:ascii="Arial" w:eastAsia="Arial" w:hAnsi="Arial" w:cs="Arial"/>
                <w:sz w:val="16"/>
                <w:szCs w:val="16"/>
              </w:rPr>
            </w:pPr>
            <w:r>
              <w:rPr>
                <w:rFonts w:ascii="Arial" w:eastAsia="Arial" w:hAnsi="Arial" w:cs="Arial"/>
                <w:b/>
                <w:sz w:val="16"/>
                <w:szCs w:val="16"/>
              </w:rPr>
              <w:t>HR (IC 95%)</w:t>
            </w:r>
          </w:p>
        </w:tc>
        <w:tc>
          <w:tcPr>
            <w:tcW w:w="1020" w:type="dxa"/>
            <w:tcBorders>
              <w:top w:val="nil"/>
              <w:left w:val="nil"/>
              <w:bottom w:val="single" w:sz="8" w:space="0" w:color="000000"/>
              <w:right w:val="single" w:sz="8" w:space="0" w:color="000000"/>
            </w:tcBorders>
            <w:shd w:val="clear" w:color="auto" w:fill="E6E6E6"/>
          </w:tcPr>
          <w:p w:rsidR="002C4AF7" w:rsidRDefault="007C2686">
            <w:pPr>
              <w:spacing w:before="240" w:after="240"/>
              <w:ind w:left="0" w:hanging="2"/>
              <w:jc w:val="center"/>
              <w:rPr>
                <w:rFonts w:ascii="Arial" w:eastAsia="Arial" w:hAnsi="Arial" w:cs="Arial"/>
                <w:sz w:val="16"/>
                <w:szCs w:val="16"/>
              </w:rPr>
            </w:pPr>
            <w:r>
              <w:rPr>
                <w:rFonts w:ascii="Arial" w:eastAsia="Arial" w:hAnsi="Arial" w:cs="Arial"/>
                <w:b/>
                <w:sz w:val="16"/>
                <w:szCs w:val="16"/>
              </w:rPr>
              <w:t>p</w:t>
            </w:r>
          </w:p>
        </w:tc>
      </w:tr>
      <w:tr w:rsidR="002C4AF7">
        <w:trPr>
          <w:trHeight w:val="1515"/>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C4AF7" w:rsidRDefault="007C2686">
            <w:pPr>
              <w:spacing w:before="240" w:after="240"/>
              <w:ind w:left="0" w:hanging="2"/>
              <w:rPr>
                <w:rFonts w:ascii="Arial" w:eastAsia="Arial" w:hAnsi="Arial" w:cs="Arial"/>
                <w:sz w:val="16"/>
                <w:szCs w:val="16"/>
                <w:vertAlign w:val="superscript"/>
              </w:rPr>
            </w:pPr>
            <w:r>
              <w:rPr>
                <w:rFonts w:ascii="Arial" w:eastAsia="Arial" w:hAnsi="Arial" w:cs="Arial"/>
                <w:sz w:val="16"/>
                <w:szCs w:val="16"/>
              </w:rPr>
              <w:t>Estudio ARCHES</w:t>
            </w: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Enzalutamida TDA  vs Placebo TDA</w:t>
            </w:r>
          </w:p>
          <w:p w:rsidR="002C4AF7" w:rsidRDefault="007C2686">
            <w:pPr>
              <w:spacing w:before="240" w:after="240"/>
              <w:ind w:left="0" w:hanging="2"/>
              <w:jc w:val="both"/>
              <w:rPr>
                <w:rFonts w:ascii="Arial" w:eastAsia="Arial" w:hAnsi="Arial" w:cs="Arial"/>
                <w:sz w:val="16"/>
                <w:szCs w:val="16"/>
              </w:rPr>
            </w:pPr>
            <w:r>
              <w:rPr>
                <w:rFonts w:ascii="Arial" w:eastAsia="Arial" w:hAnsi="Arial" w:cs="Arial"/>
                <w:b/>
                <w:sz w:val="16"/>
                <w:szCs w:val="16"/>
              </w:rPr>
              <w:t>Variable secundaria: SG</w:t>
            </w:r>
          </w:p>
        </w:tc>
        <w:tc>
          <w:tcPr>
            <w:tcW w:w="1395" w:type="dxa"/>
            <w:tcBorders>
              <w:top w:val="nil"/>
              <w:left w:val="nil"/>
              <w:bottom w:val="single" w:sz="8" w:space="0" w:color="000000"/>
              <w:right w:val="single" w:sz="8" w:space="0" w:color="000000"/>
            </w:tcBorders>
          </w:tcPr>
          <w:p w:rsidR="002C4AF7" w:rsidRDefault="002C4AF7">
            <w:pPr>
              <w:spacing w:before="240" w:after="240"/>
              <w:ind w:left="0" w:hanging="2"/>
              <w:jc w:val="both"/>
              <w:rPr>
                <w:rFonts w:ascii="Arial" w:eastAsia="Arial" w:hAnsi="Arial" w:cs="Arial"/>
                <w:sz w:val="16"/>
                <w:szCs w:val="16"/>
              </w:rPr>
            </w:pP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 xml:space="preserve">      NA</w:t>
            </w:r>
          </w:p>
        </w:tc>
        <w:tc>
          <w:tcPr>
            <w:tcW w:w="1485" w:type="dxa"/>
            <w:tcBorders>
              <w:top w:val="nil"/>
              <w:left w:val="nil"/>
              <w:bottom w:val="single" w:sz="8" w:space="0" w:color="000000"/>
              <w:right w:val="single" w:sz="8" w:space="0" w:color="000000"/>
            </w:tcBorders>
          </w:tcPr>
          <w:p w:rsidR="002C4AF7" w:rsidRDefault="002C4AF7">
            <w:pPr>
              <w:spacing w:before="240" w:after="240"/>
              <w:ind w:left="0" w:hanging="2"/>
              <w:jc w:val="center"/>
              <w:rPr>
                <w:rFonts w:ascii="Arial" w:eastAsia="Arial" w:hAnsi="Arial" w:cs="Arial"/>
                <w:sz w:val="16"/>
                <w:szCs w:val="16"/>
              </w:rPr>
            </w:pPr>
          </w:p>
          <w:p w:rsidR="002C4AF7" w:rsidRDefault="007C2686">
            <w:pPr>
              <w:spacing w:before="240" w:after="240"/>
              <w:ind w:left="0" w:hanging="2"/>
              <w:jc w:val="center"/>
              <w:rPr>
                <w:rFonts w:ascii="Arial" w:eastAsia="Arial" w:hAnsi="Arial" w:cs="Arial"/>
                <w:sz w:val="16"/>
                <w:szCs w:val="16"/>
              </w:rPr>
            </w:pPr>
            <w:r>
              <w:rPr>
                <w:rFonts w:ascii="Arial" w:eastAsia="Arial" w:hAnsi="Arial" w:cs="Arial"/>
                <w:sz w:val="16"/>
                <w:szCs w:val="16"/>
              </w:rPr>
              <w:t xml:space="preserve"> NA</w:t>
            </w:r>
          </w:p>
        </w:tc>
        <w:tc>
          <w:tcPr>
            <w:tcW w:w="1440" w:type="dxa"/>
            <w:tcBorders>
              <w:top w:val="nil"/>
              <w:left w:val="nil"/>
              <w:bottom w:val="single" w:sz="8" w:space="0" w:color="000000"/>
              <w:right w:val="single" w:sz="8" w:space="0" w:color="000000"/>
            </w:tcBorders>
          </w:tcPr>
          <w:p w:rsidR="002C4AF7" w:rsidRDefault="002C4AF7">
            <w:pPr>
              <w:spacing w:before="240" w:after="240"/>
              <w:ind w:left="0" w:hanging="2"/>
              <w:jc w:val="center"/>
              <w:rPr>
                <w:rFonts w:ascii="Arial" w:eastAsia="Arial" w:hAnsi="Arial" w:cs="Arial"/>
                <w:sz w:val="16"/>
                <w:szCs w:val="16"/>
              </w:rPr>
            </w:pPr>
          </w:p>
          <w:p w:rsidR="002C4AF7" w:rsidRDefault="007C2686">
            <w:pPr>
              <w:spacing w:before="240" w:after="240"/>
              <w:ind w:left="0" w:hanging="2"/>
              <w:jc w:val="center"/>
              <w:rPr>
                <w:rFonts w:ascii="Arial" w:eastAsia="Arial" w:hAnsi="Arial" w:cs="Arial"/>
                <w:sz w:val="16"/>
                <w:szCs w:val="16"/>
              </w:rPr>
            </w:pPr>
            <w:r>
              <w:rPr>
                <w:rFonts w:ascii="Arial" w:eastAsia="Arial" w:hAnsi="Arial" w:cs="Arial"/>
                <w:sz w:val="16"/>
                <w:szCs w:val="16"/>
              </w:rPr>
              <w:t>--</w:t>
            </w:r>
          </w:p>
        </w:tc>
        <w:tc>
          <w:tcPr>
            <w:tcW w:w="1245" w:type="dxa"/>
            <w:tcBorders>
              <w:top w:val="nil"/>
              <w:left w:val="nil"/>
              <w:bottom w:val="single" w:sz="8" w:space="0" w:color="000000"/>
              <w:right w:val="single" w:sz="8" w:space="0" w:color="000000"/>
            </w:tcBorders>
          </w:tcPr>
          <w:p w:rsidR="002C4AF7" w:rsidRDefault="002C4AF7">
            <w:pPr>
              <w:spacing w:before="240" w:after="240"/>
              <w:ind w:left="0" w:hanging="2"/>
              <w:jc w:val="center"/>
              <w:rPr>
                <w:rFonts w:ascii="Arial" w:eastAsia="Arial" w:hAnsi="Arial" w:cs="Arial"/>
                <w:sz w:val="16"/>
                <w:szCs w:val="16"/>
              </w:rPr>
            </w:pP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0,66 (0,53-0,81)</w:t>
            </w:r>
          </w:p>
        </w:tc>
        <w:tc>
          <w:tcPr>
            <w:tcW w:w="1020" w:type="dxa"/>
            <w:tcBorders>
              <w:top w:val="nil"/>
              <w:left w:val="nil"/>
              <w:bottom w:val="single" w:sz="8" w:space="0" w:color="000000"/>
              <w:right w:val="single" w:sz="8" w:space="0" w:color="000000"/>
            </w:tcBorders>
          </w:tcPr>
          <w:p w:rsidR="002C4AF7" w:rsidRDefault="002C4AF7">
            <w:pPr>
              <w:spacing w:before="240" w:after="240"/>
              <w:ind w:left="0" w:hanging="2"/>
              <w:jc w:val="both"/>
              <w:rPr>
                <w:rFonts w:ascii="Arial" w:eastAsia="Arial" w:hAnsi="Arial" w:cs="Arial"/>
                <w:sz w:val="16"/>
                <w:szCs w:val="16"/>
              </w:rPr>
            </w:pPr>
          </w:p>
          <w:p w:rsidR="002C4AF7" w:rsidRDefault="007C2686">
            <w:pPr>
              <w:spacing w:before="240" w:after="240"/>
              <w:ind w:left="0" w:hanging="2"/>
              <w:jc w:val="both"/>
              <w:rPr>
                <w:rFonts w:ascii="Arial" w:eastAsia="Arial" w:hAnsi="Arial" w:cs="Arial"/>
                <w:sz w:val="8"/>
                <w:szCs w:val="8"/>
              </w:rPr>
            </w:pPr>
            <w:r>
              <w:rPr>
                <w:rFonts w:ascii="Arial" w:eastAsia="Arial" w:hAnsi="Arial" w:cs="Arial"/>
                <w:color w:val="333333"/>
                <w:sz w:val="16"/>
                <w:szCs w:val="16"/>
                <w:highlight w:val="white"/>
              </w:rPr>
              <w:t>p&lt;0.0001</w:t>
            </w:r>
          </w:p>
        </w:tc>
      </w:tr>
      <w:tr w:rsidR="002C4AF7">
        <w:trPr>
          <w:trHeight w:val="1485"/>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C4AF7" w:rsidRDefault="007C2686">
            <w:pPr>
              <w:spacing w:before="240" w:after="240"/>
              <w:ind w:left="0" w:hanging="2"/>
              <w:jc w:val="both"/>
              <w:rPr>
                <w:rFonts w:ascii="Arial" w:eastAsia="Arial" w:hAnsi="Arial" w:cs="Arial"/>
                <w:sz w:val="16"/>
                <w:szCs w:val="16"/>
                <w:vertAlign w:val="superscript"/>
              </w:rPr>
            </w:pPr>
            <w:r>
              <w:rPr>
                <w:rFonts w:ascii="Arial" w:eastAsia="Arial" w:hAnsi="Arial" w:cs="Arial"/>
                <w:sz w:val="16"/>
                <w:szCs w:val="16"/>
              </w:rPr>
              <w:t>Estudio LATITUDE</w:t>
            </w:r>
          </w:p>
          <w:p w:rsidR="002C4AF7" w:rsidRDefault="007C2686">
            <w:pPr>
              <w:spacing w:before="240" w:after="240"/>
              <w:ind w:left="0" w:hanging="2"/>
              <w:jc w:val="both"/>
              <w:rPr>
                <w:rFonts w:ascii="Arial" w:eastAsia="Arial" w:hAnsi="Arial" w:cs="Arial"/>
                <w:sz w:val="16"/>
                <w:szCs w:val="16"/>
              </w:rPr>
            </w:pPr>
            <w:r>
              <w:rPr>
                <w:rFonts w:ascii="Arial" w:eastAsia="Arial" w:hAnsi="Arial" w:cs="Arial"/>
                <w:sz w:val="16"/>
                <w:szCs w:val="16"/>
              </w:rPr>
              <w:t>Abiraterona TDA vs Placebo TDA</w:t>
            </w:r>
          </w:p>
          <w:p w:rsidR="002C4AF7" w:rsidRDefault="007C2686">
            <w:pPr>
              <w:spacing w:before="240" w:after="240"/>
              <w:ind w:left="0" w:hanging="2"/>
              <w:jc w:val="both"/>
              <w:rPr>
                <w:rFonts w:ascii="Arial" w:eastAsia="Arial" w:hAnsi="Arial" w:cs="Arial"/>
                <w:sz w:val="16"/>
                <w:szCs w:val="16"/>
              </w:rPr>
            </w:pPr>
            <w:r>
              <w:rPr>
                <w:rFonts w:ascii="Arial" w:eastAsia="Arial" w:hAnsi="Arial" w:cs="Arial"/>
                <w:b/>
                <w:sz w:val="16"/>
                <w:szCs w:val="16"/>
              </w:rPr>
              <w:t>Variable primaria: SG</w:t>
            </w:r>
          </w:p>
        </w:tc>
        <w:tc>
          <w:tcPr>
            <w:tcW w:w="1395" w:type="dxa"/>
            <w:tcBorders>
              <w:top w:val="nil"/>
              <w:left w:val="nil"/>
              <w:bottom w:val="single" w:sz="8" w:space="0" w:color="000000"/>
              <w:right w:val="single" w:sz="8" w:space="0" w:color="000000"/>
            </w:tcBorders>
          </w:tcPr>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 xml:space="preserve">    53,3</w:t>
            </w:r>
          </w:p>
        </w:tc>
        <w:tc>
          <w:tcPr>
            <w:tcW w:w="1485" w:type="dxa"/>
            <w:tcBorders>
              <w:top w:val="nil"/>
              <w:left w:val="nil"/>
              <w:bottom w:val="single" w:sz="8" w:space="0" w:color="000000"/>
              <w:right w:val="single" w:sz="8" w:space="0" w:color="000000"/>
            </w:tcBorders>
          </w:tcPr>
          <w:p w:rsidR="002C4AF7" w:rsidRDefault="007C2686">
            <w:pPr>
              <w:spacing w:before="240" w:after="240"/>
              <w:ind w:left="0" w:hanging="2"/>
              <w:jc w:val="center"/>
              <w:rPr>
                <w:rFonts w:ascii="Arial" w:eastAsia="Arial" w:hAnsi="Arial" w:cs="Arial"/>
                <w:sz w:val="16"/>
                <w:szCs w:val="16"/>
              </w:rPr>
            </w:pPr>
            <w:r>
              <w:rPr>
                <w:rFonts w:ascii="Arial" w:eastAsia="Arial" w:hAnsi="Arial" w:cs="Arial"/>
                <w:sz w:val="16"/>
                <w:szCs w:val="16"/>
              </w:rPr>
              <w:t>36,5</w:t>
            </w:r>
          </w:p>
        </w:tc>
        <w:tc>
          <w:tcPr>
            <w:tcW w:w="1440" w:type="dxa"/>
            <w:tcBorders>
              <w:top w:val="nil"/>
              <w:left w:val="nil"/>
              <w:bottom w:val="single" w:sz="8" w:space="0" w:color="000000"/>
              <w:right w:val="single" w:sz="8" w:space="0" w:color="000000"/>
            </w:tcBorders>
          </w:tcPr>
          <w:p w:rsidR="002C4AF7" w:rsidRDefault="007C2686">
            <w:pPr>
              <w:spacing w:before="240" w:after="240"/>
              <w:ind w:left="0" w:hanging="2"/>
              <w:jc w:val="center"/>
              <w:rPr>
                <w:rFonts w:ascii="Arial" w:eastAsia="Arial" w:hAnsi="Arial" w:cs="Arial"/>
                <w:sz w:val="16"/>
                <w:szCs w:val="16"/>
              </w:rPr>
            </w:pPr>
            <w:r>
              <w:rPr>
                <w:rFonts w:ascii="Arial" w:eastAsia="Arial" w:hAnsi="Arial" w:cs="Arial"/>
                <w:sz w:val="16"/>
                <w:szCs w:val="16"/>
              </w:rPr>
              <w:t xml:space="preserve"> --</w:t>
            </w:r>
          </w:p>
        </w:tc>
        <w:tc>
          <w:tcPr>
            <w:tcW w:w="1245" w:type="dxa"/>
            <w:tcBorders>
              <w:top w:val="nil"/>
              <w:left w:val="nil"/>
              <w:bottom w:val="single" w:sz="8" w:space="0" w:color="000000"/>
              <w:right w:val="single" w:sz="8" w:space="0" w:color="000000"/>
            </w:tcBorders>
          </w:tcPr>
          <w:p w:rsidR="002C4AF7" w:rsidRDefault="007C2686">
            <w:pPr>
              <w:spacing w:before="240" w:after="240"/>
              <w:ind w:left="0" w:hanging="2"/>
              <w:jc w:val="center"/>
              <w:rPr>
                <w:rFonts w:ascii="Arial" w:eastAsia="Arial" w:hAnsi="Arial" w:cs="Arial"/>
                <w:sz w:val="16"/>
                <w:szCs w:val="16"/>
              </w:rPr>
            </w:pPr>
            <w:r>
              <w:rPr>
                <w:rFonts w:ascii="Arial" w:eastAsia="Arial" w:hAnsi="Arial" w:cs="Arial"/>
                <w:sz w:val="16"/>
                <w:szCs w:val="16"/>
              </w:rPr>
              <w:t>0,66</w:t>
            </w:r>
          </w:p>
          <w:p w:rsidR="002C4AF7" w:rsidRDefault="007C2686">
            <w:pPr>
              <w:spacing w:before="240" w:after="240"/>
              <w:ind w:left="0" w:hanging="2"/>
              <w:jc w:val="center"/>
              <w:rPr>
                <w:rFonts w:ascii="Arial" w:eastAsia="Arial" w:hAnsi="Arial" w:cs="Arial"/>
                <w:sz w:val="16"/>
                <w:szCs w:val="16"/>
              </w:rPr>
            </w:pPr>
            <w:r>
              <w:rPr>
                <w:rFonts w:ascii="Arial" w:eastAsia="Arial" w:hAnsi="Arial" w:cs="Arial"/>
                <w:sz w:val="16"/>
                <w:szCs w:val="16"/>
              </w:rPr>
              <w:t>(0,56-0,78)</w:t>
            </w:r>
          </w:p>
          <w:p w:rsidR="002C4AF7" w:rsidRDefault="002C4AF7">
            <w:pPr>
              <w:spacing w:before="240" w:after="240"/>
              <w:ind w:left="0" w:hanging="2"/>
              <w:jc w:val="center"/>
              <w:rPr>
                <w:rFonts w:ascii="Arial" w:eastAsia="Arial" w:hAnsi="Arial" w:cs="Arial"/>
                <w:sz w:val="16"/>
                <w:szCs w:val="16"/>
              </w:rPr>
            </w:pPr>
          </w:p>
          <w:p w:rsidR="002C4AF7" w:rsidRDefault="002C4AF7">
            <w:pPr>
              <w:spacing w:before="240" w:after="240"/>
              <w:ind w:left="0" w:hanging="2"/>
              <w:jc w:val="center"/>
              <w:rPr>
                <w:rFonts w:ascii="Arial" w:eastAsia="Arial" w:hAnsi="Arial" w:cs="Arial"/>
                <w:sz w:val="16"/>
                <w:szCs w:val="16"/>
              </w:rPr>
            </w:pPr>
          </w:p>
        </w:tc>
        <w:tc>
          <w:tcPr>
            <w:tcW w:w="1020" w:type="dxa"/>
            <w:tcBorders>
              <w:top w:val="nil"/>
              <w:left w:val="nil"/>
              <w:bottom w:val="single" w:sz="8" w:space="0" w:color="000000"/>
              <w:right w:val="single" w:sz="8" w:space="0" w:color="000000"/>
            </w:tcBorders>
          </w:tcPr>
          <w:p w:rsidR="002C4AF7" w:rsidRDefault="007C2686">
            <w:pPr>
              <w:spacing w:before="240" w:after="240"/>
              <w:ind w:left="0" w:hanging="2"/>
              <w:jc w:val="both"/>
              <w:rPr>
                <w:rFonts w:ascii="Arial" w:eastAsia="Arial" w:hAnsi="Arial" w:cs="Arial"/>
                <w:sz w:val="8"/>
                <w:szCs w:val="8"/>
              </w:rPr>
            </w:pPr>
            <w:r>
              <w:rPr>
                <w:rFonts w:ascii="Arial" w:eastAsia="Arial" w:hAnsi="Arial" w:cs="Arial"/>
                <w:color w:val="333333"/>
                <w:sz w:val="16"/>
                <w:szCs w:val="16"/>
                <w:highlight w:val="white"/>
              </w:rPr>
              <w:t>p&lt;0.0001</w:t>
            </w:r>
          </w:p>
        </w:tc>
      </w:tr>
      <w:tr w:rsidR="002C4AF7">
        <w:trPr>
          <w:trHeight w:val="395"/>
        </w:trPr>
        <w:tc>
          <w:tcPr>
            <w:tcW w:w="8715" w:type="dxa"/>
            <w:gridSpan w:val="6"/>
            <w:tcBorders>
              <w:top w:val="nil"/>
              <w:left w:val="single" w:sz="8" w:space="0" w:color="000000"/>
              <w:bottom w:val="single" w:sz="8" w:space="0" w:color="000000"/>
              <w:right w:val="single" w:sz="8" w:space="0" w:color="000000"/>
            </w:tcBorders>
            <w:shd w:val="clear" w:color="auto" w:fill="8FF9BF"/>
            <w:tcMar>
              <w:top w:w="100" w:type="dxa"/>
              <w:left w:w="100" w:type="dxa"/>
              <w:bottom w:w="100" w:type="dxa"/>
              <w:right w:w="100" w:type="dxa"/>
            </w:tcMar>
          </w:tcPr>
          <w:p w:rsidR="002C4AF7" w:rsidRDefault="007C2686">
            <w:pPr>
              <w:spacing w:before="240" w:after="240"/>
              <w:ind w:left="0" w:hanging="2"/>
              <w:jc w:val="both"/>
              <w:rPr>
                <w:rFonts w:ascii="Arial" w:eastAsia="Arial" w:hAnsi="Arial" w:cs="Arial"/>
                <w:sz w:val="16"/>
                <w:szCs w:val="16"/>
              </w:rPr>
            </w:pPr>
            <w:r>
              <w:rPr>
                <w:rFonts w:ascii="Arial" w:eastAsia="Arial" w:hAnsi="Arial" w:cs="Arial"/>
                <w:b/>
                <w:sz w:val="16"/>
                <w:szCs w:val="16"/>
              </w:rPr>
              <w:t>Comparación indirecta ajustada</w:t>
            </w:r>
          </w:p>
        </w:tc>
      </w:tr>
      <w:tr w:rsidR="002C4AF7">
        <w:trPr>
          <w:trHeight w:val="395"/>
        </w:trPr>
        <w:tc>
          <w:tcPr>
            <w:tcW w:w="2130"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2C4AF7" w:rsidRDefault="002C4AF7">
            <w:pPr>
              <w:spacing w:before="240" w:after="240"/>
              <w:ind w:left="0" w:hanging="2"/>
              <w:jc w:val="both"/>
              <w:rPr>
                <w:rFonts w:ascii="Arial" w:eastAsia="Arial" w:hAnsi="Arial" w:cs="Arial"/>
                <w:sz w:val="16"/>
                <w:szCs w:val="16"/>
              </w:rPr>
            </w:pPr>
          </w:p>
        </w:tc>
        <w:tc>
          <w:tcPr>
            <w:tcW w:w="5565" w:type="dxa"/>
            <w:gridSpan w:val="4"/>
            <w:tcBorders>
              <w:top w:val="nil"/>
              <w:left w:val="nil"/>
              <w:bottom w:val="single" w:sz="8" w:space="0" w:color="000000"/>
              <w:right w:val="single" w:sz="8" w:space="0" w:color="000000"/>
            </w:tcBorders>
            <w:shd w:val="clear" w:color="auto" w:fill="D9D9D9"/>
          </w:tcPr>
          <w:p w:rsidR="002C4AF7" w:rsidRDefault="007C2686">
            <w:pPr>
              <w:spacing w:before="240" w:after="240"/>
              <w:ind w:left="0" w:hanging="2"/>
              <w:jc w:val="center"/>
              <w:rPr>
                <w:rFonts w:ascii="Arial" w:eastAsia="Arial" w:hAnsi="Arial" w:cs="Arial"/>
                <w:sz w:val="16"/>
                <w:szCs w:val="16"/>
              </w:rPr>
            </w:pPr>
            <w:r>
              <w:rPr>
                <w:rFonts w:ascii="Arial" w:eastAsia="Arial" w:hAnsi="Arial" w:cs="Arial"/>
                <w:b/>
                <w:sz w:val="16"/>
                <w:szCs w:val="16"/>
              </w:rPr>
              <w:t>HR (IC 95%)</w:t>
            </w:r>
          </w:p>
        </w:tc>
        <w:tc>
          <w:tcPr>
            <w:tcW w:w="1020" w:type="dxa"/>
            <w:tcBorders>
              <w:top w:val="nil"/>
              <w:left w:val="nil"/>
              <w:bottom w:val="single" w:sz="8" w:space="0" w:color="000000"/>
              <w:right w:val="single" w:sz="8" w:space="0" w:color="000000"/>
            </w:tcBorders>
            <w:shd w:val="clear" w:color="auto" w:fill="D9D9D9"/>
          </w:tcPr>
          <w:p w:rsidR="002C4AF7" w:rsidRDefault="007C2686">
            <w:pPr>
              <w:spacing w:before="240" w:after="240"/>
              <w:ind w:left="0" w:hanging="2"/>
              <w:jc w:val="center"/>
              <w:rPr>
                <w:rFonts w:ascii="Arial" w:eastAsia="Arial" w:hAnsi="Arial" w:cs="Arial"/>
                <w:sz w:val="16"/>
                <w:szCs w:val="16"/>
              </w:rPr>
            </w:pPr>
            <w:r>
              <w:rPr>
                <w:rFonts w:ascii="Arial" w:eastAsia="Arial" w:hAnsi="Arial" w:cs="Arial"/>
                <w:sz w:val="16"/>
                <w:szCs w:val="16"/>
              </w:rPr>
              <w:t>p</w:t>
            </w:r>
          </w:p>
        </w:tc>
      </w:tr>
      <w:tr w:rsidR="002C4AF7">
        <w:trPr>
          <w:trHeight w:val="1415"/>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C4AF7" w:rsidRDefault="007C2686">
            <w:pPr>
              <w:spacing w:before="240" w:after="240"/>
              <w:ind w:left="0" w:hanging="2"/>
              <w:jc w:val="center"/>
              <w:rPr>
                <w:rFonts w:ascii="Arial" w:eastAsia="Arial" w:hAnsi="Arial" w:cs="Arial"/>
                <w:sz w:val="16"/>
                <w:szCs w:val="16"/>
              </w:rPr>
            </w:pPr>
            <w:r>
              <w:rPr>
                <w:rFonts w:ascii="Arial" w:eastAsia="Arial" w:hAnsi="Arial" w:cs="Arial"/>
                <w:sz w:val="16"/>
                <w:szCs w:val="16"/>
              </w:rPr>
              <w:t>enzalutamida vs. abiraterona</w:t>
            </w:r>
          </w:p>
          <w:p w:rsidR="002C4AF7" w:rsidRDefault="007C2686">
            <w:pPr>
              <w:spacing w:before="240" w:after="240"/>
              <w:ind w:left="0" w:hanging="2"/>
              <w:jc w:val="center"/>
              <w:rPr>
                <w:rFonts w:ascii="Arial" w:eastAsia="Arial" w:hAnsi="Arial" w:cs="Arial"/>
                <w:sz w:val="16"/>
                <w:szCs w:val="16"/>
              </w:rPr>
            </w:pPr>
            <w:r>
              <w:rPr>
                <w:rFonts w:ascii="Arial" w:eastAsia="Arial" w:hAnsi="Arial" w:cs="Arial"/>
                <w:b/>
                <w:sz w:val="16"/>
                <w:szCs w:val="16"/>
              </w:rPr>
              <w:t>SG</w:t>
            </w:r>
          </w:p>
        </w:tc>
        <w:tc>
          <w:tcPr>
            <w:tcW w:w="5565" w:type="dxa"/>
            <w:gridSpan w:val="4"/>
            <w:tcBorders>
              <w:top w:val="nil"/>
              <w:left w:val="nil"/>
              <w:bottom w:val="single" w:sz="8" w:space="0" w:color="000000"/>
              <w:right w:val="single" w:sz="8" w:space="0" w:color="000000"/>
            </w:tcBorders>
            <w:vAlign w:val="center"/>
          </w:tcPr>
          <w:p w:rsidR="002C4AF7" w:rsidRDefault="007C2686">
            <w:pPr>
              <w:spacing w:before="240" w:after="240"/>
              <w:ind w:left="0" w:hanging="2"/>
              <w:jc w:val="center"/>
              <w:rPr>
                <w:rFonts w:ascii="Arial" w:eastAsia="Arial" w:hAnsi="Arial" w:cs="Arial"/>
                <w:sz w:val="16"/>
                <w:szCs w:val="16"/>
              </w:rPr>
            </w:pPr>
            <w:r>
              <w:rPr>
                <w:rFonts w:ascii="Arial" w:eastAsia="Arial" w:hAnsi="Arial" w:cs="Arial"/>
                <w:sz w:val="16"/>
                <w:szCs w:val="16"/>
              </w:rPr>
              <w:t>1 (0,764 a 1,309)</w:t>
            </w:r>
          </w:p>
        </w:tc>
        <w:tc>
          <w:tcPr>
            <w:tcW w:w="1020" w:type="dxa"/>
            <w:tcBorders>
              <w:top w:val="nil"/>
              <w:left w:val="nil"/>
              <w:bottom w:val="single" w:sz="8" w:space="0" w:color="000000"/>
              <w:right w:val="single" w:sz="8" w:space="0" w:color="000000"/>
            </w:tcBorders>
            <w:vAlign w:val="center"/>
          </w:tcPr>
          <w:p w:rsidR="002C4AF7" w:rsidRDefault="007C2686">
            <w:pPr>
              <w:spacing w:before="240" w:after="240"/>
              <w:ind w:left="0" w:hanging="2"/>
              <w:jc w:val="center"/>
              <w:rPr>
                <w:rFonts w:ascii="Arial" w:eastAsia="Arial" w:hAnsi="Arial" w:cs="Arial"/>
                <w:sz w:val="16"/>
                <w:szCs w:val="16"/>
              </w:rPr>
            </w:pPr>
            <w:r>
              <w:rPr>
                <w:rFonts w:ascii="Arial" w:eastAsia="Arial" w:hAnsi="Arial" w:cs="Arial"/>
                <w:sz w:val="16"/>
                <w:szCs w:val="16"/>
              </w:rPr>
              <w:t>NS</w:t>
            </w:r>
          </w:p>
        </w:tc>
      </w:tr>
    </w:tbl>
    <w:p w:rsidR="002C4AF7" w:rsidRDefault="002C4AF7">
      <w:pPr>
        <w:ind w:left="0" w:hanging="2"/>
        <w:rPr>
          <w:rFonts w:ascii="Arial" w:eastAsia="Arial" w:hAnsi="Arial" w:cs="Arial"/>
          <w:sz w:val="20"/>
          <w:szCs w:val="20"/>
        </w:rPr>
      </w:pPr>
    </w:p>
    <w:p w:rsidR="002C4AF7" w:rsidRDefault="007C2686">
      <w:pPr>
        <w:ind w:left="0" w:hanging="2"/>
        <w:rPr>
          <w:rFonts w:ascii="Arial" w:eastAsia="Arial" w:hAnsi="Arial" w:cs="Arial"/>
          <w:sz w:val="20"/>
          <w:szCs w:val="20"/>
        </w:rPr>
      </w:pPr>
      <w:r>
        <w:rPr>
          <w:rFonts w:ascii="Arial" w:eastAsia="Arial" w:hAnsi="Arial" w:cs="Arial"/>
          <w:sz w:val="20"/>
          <w:szCs w:val="20"/>
        </w:rPr>
        <w:t xml:space="preserve">Por lo que no se puede afirmar que exista una diferencia en cuanto a SG entre enzalutamida y abiraterona, ya que no se alcanza la significación estadística. </w:t>
      </w:r>
    </w:p>
    <w:p w:rsidR="002C4AF7" w:rsidRDefault="002C4AF7">
      <w:pPr>
        <w:ind w:left="0" w:hanging="2"/>
        <w:rPr>
          <w:rFonts w:ascii="Arial" w:eastAsia="Arial" w:hAnsi="Arial" w:cs="Arial"/>
          <w:sz w:val="20"/>
          <w:szCs w:val="20"/>
        </w:rPr>
      </w:pPr>
    </w:p>
    <w:p w:rsidR="002C4AF7" w:rsidRDefault="002C4AF7">
      <w:pPr>
        <w:ind w:left="0" w:hanging="2"/>
        <w:rPr>
          <w:rFonts w:ascii="Arial" w:eastAsia="Arial" w:hAnsi="Arial" w:cs="Arial"/>
          <w:sz w:val="20"/>
          <w:szCs w:val="20"/>
        </w:rPr>
      </w:pPr>
    </w:p>
    <w:p w:rsidR="002C4AF7" w:rsidRDefault="007C2686">
      <w:pPr>
        <w:ind w:left="0" w:hanging="2"/>
        <w:rPr>
          <w:rFonts w:ascii="Arial" w:eastAsia="Arial" w:hAnsi="Arial" w:cs="Arial"/>
          <w:sz w:val="20"/>
          <w:szCs w:val="20"/>
        </w:rPr>
      </w:pPr>
      <w:r>
        <w:rPr>
          <w:rFonts w:ascii="Arial" w:eastAsia="Arial" w:hAnsi="Arial" w:cs="Arial"/>
          <w:sz w:val="20"/>
          <w:szCs w:val="20"/>
        </w:rPr>
        <w:t xml:space="preserve">Una limitación de esta comparación es que en el estudio LATITUDE el 100% de los pacientes eran de nuevo diagnóstico y alto riesgo (indicación de abiraterona), mientras que en el estudio ARCHES sólo un 70% eran de nuevo diagnóstico y un 62% eran de alto volumen. Esta limitación habría que tenerla en cuenta a la hora de interpretar los resultados. </w:t>
      </w:r>
    </w:p>
    <w:p w:rsidR="002C4AF7" w:rsidRDefault="002C4AF7">
      <w:pPr>
        <w:ind w:left="0" w:hanging="2"/>
        <w:rPr>
          <w:rFonts w:ascii="Arial" w:eastAsia="Arial" w:hAnsi="Arial" w:cs="Arial"/>
          <w:sz w:val="20"/>
          <w:szCs w:val="20"/>
        </w:rPr>
      </w:pPr>
    </w:p>
    <w:p w:rsidR="002C4AF7" w:rsidRDefault="007C2686">
      <w:pPr>
        <w:spacing w:before="240" w:after="240"/>
        <w:ind w:left="0" w:hanging="2"/>
        <w:rPr>
          <w:rFonts w:ascii="Arimo" w:eastAsia="Arimo" w:hAnsi="Arimo" w:cs="Arimo"/>
          <w:sz w:val="20"/>
          <w:szCs w:val="20"/>
          <w:u w:val="single"/>
        </w:rPr>
      </w:pPr>
      <w:r>
        <w:rPr>
          <w:rFonts w:ascii="Arimo" w:eastAsia="Arimo" w:hAnsi="Arimo" w:cs="Arimo"/>
          <w:b/>
          <w:sz w:val="20"/>
          <w:szCs w:val="20"/>
          <w:u w:val="single"/>
        </w:rPr>
        <w:t>Comparación enzalutamida vs. docetaxel</w:t>
      </w:r>
    </w:p>
    <w:p w:rsidR="002C4AF7" w:rsidRDefault="002C4AF7">
      <w:pPr>
        <w:ind w:left="0" w:hanging="2"/>
        <w:rPr>
          <w:rFonts w:ascii="Arial" w:eastAsia="Arial" w:hAnsi="Arial" w:cs="Arial"/>
          <w:sz w:val="20"/>
          <w:szCs w:val="20"/>
        </w:rPr>
      </w:pPr>
    </w:p>
    <w:p w:rsidR="002C4AF7" w:rsidRDefault="007C2686">
      <w:pPr>
        <w:ind w:left="0" w:hanging="2"/>
        <w:rPr>
          <w:rFonts w:ascii="Arial" w:eastAsia="Arial" w:hAnsi="Arial" w:cs="Arial"/>
          <w:sz w:val="20"/>
          <w:szCs w:val="20"/>
        </w:rPr>
      </w:pPr>
      <w:r>
        <w:rPr>
          <w:rFonts w:ascii="Arial" w:eastAsia="Arial" w:hAnsi="Arial" w:cs="Arial"/>
          <w:sz w:val="20"/>
          <w:szCs w:val="20"/>
        </w:rPr>
        <w:t>En relación a las características basales del estudio CHARTED la media de edad de los pacientes fue de 63 años y la mayoría (99%) tenían un ECOG 0-1. Más de dos terceras partes de los pacientes tenían tumores con un Gleason 8-10 y el 65% presentaban enfermedad con alta carga tumoral, pacientes con enfermedad visceral y/o más de cuatro lesiones óseas, una como mínimo fuera de esqueleto axial.</w:t>
      </w:r>
    </w:p>
    <w:p w:rsidR="002C4AF7" w:rsidRDefault="002C4AF7">
      <w:pPr>
        <w:ind w:left="0" w:hanging="2"/>
        <w:rPr>
          <w:rFonts w:ascii="Arial" w:eastAsia="Arial" w:hAnsi="Arial" w:cs="Arial"/>
          <w:sz w:val="20"/>
          <w:szCs w:val="20"/>
        </w:rPr>
      </w:pPr>
    </w:p>
    <w:tbl>
      <w:tblPr>
        <w:tblStyle w:val="affff"/>
        <w:tblW w:w="8715" w:type="dxa"/>
        <w:tblInd w:w="15" w:type="dxa"/>
        <w:tblLayout w:type="fixed"/>
        <w:tblLook w:val="0000" w:firstRow="0" w:lastRow="0" w:firstColumn="0" w:lastColumn="0" w:noHBand="0" w:noVBand="0"/>
      </w:tblPr>
      <w:tblGrid>
        <w:gridCol w:w="2130"/>
        <w:gridCol w:w="1395"/>
        <w:gridCol w:w="1485"/>
        <w:gridCol w:w="1440"/>
        <w:gridCol w:w="1245"/>
        <w:gridCol w:w="1020"/>
      </w:tblGrid>
      <w:tr w:rsidR="002C4AF7">
        <w:trPr>
          <w:trHeight w:val="425"/>
        </w:trPr>
        <w:tc>
          <w:tcPr>
            <w:tcW w:w="8715" w:type="dxa"/>
            <w:gridSpan w:val="6"/>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tcPr>
          <w:p w:rsidR="002C4AF7" w:rsidRDefault="007C2686">
            <w:pPr>
              <w:spacing w:before="240" w:after="240"/>
              <w:ind w:left="0" w:hanging="2"/>
              <w:rPr>
                <w:rFonts w:ascii="Arial" w:eastAsia="Arial" w:hAnsi="Arial" w:cs="Arial"/>
                <w:sz w:val="18"/>
                <w:szCs w:val="18"/>
              </w:rPr>
            </w:pPr>
            <w:r>
              <w:rPr>
                <w:rFonts w:ascii="Arial" w:eastAsia="Arial" w:hAnsi="Arial" w:cs="Arial"/>
                <w:b/>
                <w:sz w:val="18"/>
                <w:szCs w:val="18"/>
              </w:rPr>
              <w:t>Tabla 9. COMPARACIÓN INDIRECTA PROPIA (Método Bucher, Calculadora Wells 2009)</w:t>
            </w:r>
          </w:p>
        </w:tc>
      </w:tr>
      <w:tr w:rsidR="002C4AF7">
        <w:trPr>
          <w:trHeight w:val="575"/>
        </w:trPr>
        <w:tc>
          <w:tcPr>
            <w:tcW w:w="213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2C4AF7" w:rsidRDefault="007C2686">
            <w:pPr>
              <w:spacing w:before="240" w:after="240"/>
              <w:ind w:left="0" w:hanging="2"/>
              <w:jc w:val="center"/>
              <w:rPr>
                <w:rFonts w:ascii="Arial" w:eastAsia="Arial" w:hAnsi="Arial" w:cs="Arial"/>
                <w:sz w:val="16"/>
                <w:szCs w:val="16"/>
              </w:rPr>
            </w:pPr>
            <w:r>
              <w:rPr>
                <w:rFonts w:ascii="Arial" w:eastAsia="Arial" w:hAnsi="Arial" w:cs="Arial"/>
                <w:b/>
                <w:sz w:val="16"/>
                <w:szCs w:val="16"/>
              </w:rPr>
              <w:t>Ensayo clínico</w:t>
            </w:r>
          </w:p>
        </w:tc>
        <w:tc>
          <w:tcPr>
            <w:tcW w:w="1395" w:type="dxa"/>
            <w:tcBorders>
              <w:top w:val="nil"/>
              <w:left w:val="nil"/>
              <w:bottom w:val="single" w:sz="8" w:space="0" w:color="000000"/>
              <w:right w:val="single" w:sz="8" w:space="0" w:color="000000"/>
            </w:tcBorders>
            <w:shd w:val="clear" w:color="auto" w:fill="E6E6E6"/>
          </w:tcPr>
          <w:p w:rsidR="002C4AF7" w:rsidRDefault="007C2686">
            <w:pPr>
              <w:spacing w:before="240" w:after="240"/>
              <w:ind w:left="0" w:hanging="2"/>
              <w:jc w:val="center"/>
              <w:rPr>
                <w:rFonts w:ascii="Arial" w:eastAsia="Arial" w:hAnsi="Arial" w:cs="Arial"/>
                <w:sz w:val="16"/>
                <w:szCs w:val="16"/>
              </w:rPr>
            </w:pPr>
            <w:r>
              <w:rPr>
                <w:rFonts w:ascii="Arial" w:eastAsia="Arial" w:hAnsi="Arial" w:cs="Arial"/>
                <w:b/>
                <w:sz w:val="16"/>
                <w:szCs w:val="16"/>
              </w:rPr>
              <w:t>Mediana SG grupo activo</w:t>
            </w:r>
          </w:p>
        </w:tc>
        <w:tc>
          <w:tcPr>
            <w:tcW w:w="1485" w:type="dxa"/>
            <w:tcBorders>
              <w:top w:val="nil"/>
              <w:left w:val="nil"/>
              <w:bottom w:val="single" w:sz="8" w:space="0" w:color="000000"/>
              <w:right w:val="single" w:sz="8" w:space="0" w:color="000000"/>
            </w:tcBorders>
            <w:shd w:val="clear" w:color="auto" w:fill="E6E6E6"/>
          </w:tcPr>
          <w:p w:rsidR="002C4AF7" w:rsidRDefault="007C2686">
            <w:pPr>
              <w:spacing w:before="240" w:after="240"/>
              <w:ind w:left="0" w:hanging="2"/>
              <w:jc w:val="center"/>
              <w:rPr>
                <w:rFonts w:ascii="Arial" w:eastAsia="Arial" w:hAnsi="Arial" w:cs="Arial"/>
                <w:sz w:val="16"/>
                <w:szCs w:val="16"/>
              </w:rPr>
            </w:pPr>
            <w:r>
              <w:rPr>
                <w:rFonts w:ascii="Arial" w:eastAsia="Arial" w:hAnsi="Arial" w:cs="Arial"/>
                <w:b/>
                <w:sz w:val="16"/>
                <w:szCs w:val="16"/>
              </w:rPr>
              <w:t>Mediana SG grupo control</w:t>
            </w:r>
          </w:p>
        </w:tc>
        <w:tc>
          <w:tcPr>
            <w:tcW w:w="1440" w:type="dxa"/>
            <w:tcBorders>
              <w:top w:val="nil"/>
              <w:left w:val="nil"/>
              <w:bottom w:val="single" w:sz="8" w:space="0" w:color="000000"/>
              <w:right w:val="single" w:sz="8" w:space="0" w:color="000000"/>
            </w:tcBorders>
            <w:shd w:val="clear" w:color="auto" w:fill="E6E6E6"/>
          </w:tcPr>
          <w:p w:rsidR="002C4AF7" w:rsidRDefault="007C2686">
            <w:pPr>
              <w:spacing w:before="240" w:after="240"/>
              <w:ind w:left="0" w:hanging="2"/>
              <w:jc w:val="center"/>
              <w:rPr>
                <w:rFonts w:ascii="Arial" w:eastAsia="Arial" w:hAnsi="Arial" w:cs="Arial"/>
                <w:sz w:val="16"/>
                <w:szCs w:val="16"/>
              </w:rPr>
            </w:pPr>
            <w:r>
              <w:rPr>
                <w:rFonts w:ascii="Arial" w:eastAsia="Arial" w:hAnsi="Arial" w:cs="Arial"/>
                <w:b/>
                <w:sz w:val="16"/>
                <w:szCs w:val="16"/>
              </w:rPr>
              <w:t>Diferencia de medianas</w:t>
            </w:r>
          </w:p>
        </w:tc>
        <w:tc>
          <w:tcPr>
            <w:tcW w:w="1245" w:type="dxa"/>
            <w:tcBorders>
              <w:top w:val="nil"/>
              <w:left w:val="nil"/>
              <w:bottom w:val="single" w:sz="8" w:space="0" w:color="000000"/>
              <w:right w:val="single" w:sz="8" w:space="0" w:color="000000"/>
            </w:tcBorders>
            <w:shd w:val="clear" w:color="auto" w:fill="E6E6E6"/>
          </w:tcPr>
          <w:p w:rsidR="002C4AF7" w:rsidRDefault="007C2686">
            <w:pPr>
              <w:spacing w:before="240" w:after="240"/>
              <w:ind w:left="0" w:hanging="2"/>
              <w:jc w:val="center"/>
              <w:rPr>
                <w:rFonts w:ascii="Arial" w:eastAsia="Arial" w:hAnsi="Arial" w:cs="Arial"/>
                <w:sz w:val="16"/>
                <w:szCs w:val="16"/>
              </w:rPr>
            </w:pPr>
            <w:r>
              <w:rPr>
                <w:rFonts w:ascii="Arial" w:eastAsia="Arial" w:hAnsi="Arial" w:cs="Arial"/>
                <w:b/>
                <w:sz w:val="16"/>
                <w:szCs w:val="16"/>
              </w:rPr>
              <w:t>HR (IC 95%)</w:t>
            </w:r>
          </w:p>
        </w:tc>
        <w:tc>
          <w:tcPr>
            <w:tcW w:w="1020" w:type="dxa"/>
            <w:tcBorders>
              <w:top w:val="nil"/>
              <w:left w:val="nil"/>
              <w:bottom w:val="single" w:sz="8" w:space="0" w:color="000000"/>
              <w:right w:val="single" w:sz="8" w:space="0" w:color="000000"/>
            </w:tcBorders>
            <w:shd w:val="clear" w:color="auto" w:fill="E6E6E6"/>
          </w:tcPr>
          <w:p w:rsidR="002C4AF7" w:rsidRDefault="007C2686">
            <w:pPr>
              <w:spacing w:before="240" w:after="240"/>
              <w:ind w:left="0" w:hanging="2"/>
              <w:jc w:val="center"/>
              <w:rPr>
                <w:rFonts w:ascii="Arial" w:eastAsia="Arial" w:hAnsi="Arial" w:cs="Arial"/>
                <w:sz w:val="16"/>
                <w:szCs w:val="16"/>
              </w:rPr>
            </w:pPr>
            <w:r>
              <w:rPr>
                <w:rFonts w:ascii="Arial" w:eastAsia="Arial" w:hAnsi="Arial" w:cs="Arial"/>
                <w:b/>
                <w:sz w:val="16"/>
                <w:szCs w:val="16"/>
              </w:rPr>
              <w:t>p</w:t>
            </w:r>
          </w:p>
        </w:tc>
      </w:tr>
      <w:tr w:rsidR="002C4AF7">
        <w:trPr>
          <w:trHeight w:val="1515"/>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C4AF7" w:rsidRDefault="007C2686">
            <w:pPr>
              <w:spacing w:before="240" w:after="240"/>
              <w:ind w:left="0" w:hanging="2"/>
              <w:rPr>
                <w:rFonts w:ascii="Arial" w:eastAsia="Arial" w:hAnsi="Arial" w:cs="Arial"/>
                <w:sz w:val="16"/>
                <w:szCs w:val="16"/>
                <w:vertAlign w:val="superscript"/>
              </w:rPr>
            </w:pPr>
            <w:r>
              <w:rPr>
                <w:rFonts w:ascii="Arial" w:eastAsia="Arial" w:hAnsi="Arial" w:cs="Arial"/>
                <w:sz w:val="16"/>
                <w:szCs w:val="16"/>
              </w:rPr>
              <w:t>Estudio ARCHES</w:t>
            </w: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Enzalutamida TDA  vs Placebo TDA</w:t>
            </w:r>
          </w:p>
          <w:p w:rsidR="002C4AF7" w:rsidRDefault="007C2686">
            <w:pPr>
              <w:spacing w:before="240" w:after="240"/>
              <w:ind w:left="0" w:hanging="2"/>
              <w:jc w:val="both"/>
              <w:rPr>
                <w:rFonts w:ascii="Arial" w:eastAsia="Arial" w:hAnsi="Arial" w:cs="Arial"/>
                <w:sz w:val="16"/>
                <w:szCs w:val="16"/>
              </w:rPr>
            </w:pPr>
            <w:r>
              <w:rPr>
                <w:rFonts w:ascii="Arial" w:eastAsia="Arial" w:hAnsi="Arial" w:cs="Arial"/>
                <w:b/>
                <w:sz w:val="16"/>
                <w:szCs w:val="16"/>
              </w:rPr>
              <w:t>Variable secundaria: SG</w:t>
            </w:r>
          </w:p>
        </w:tc>
        <w:tc>
          <w:tcPr>
            <w:tcW w:w="1395" w:type="dxa"/>
            <w:tcBorders>
              <w:top w:val="nil"/>
              <w:left w:val="nil"/>
              <w:bottom w:val="single" w:sz="8" w:space="0" w:color="000000"/>
              <w:right w:val="single" w:sz="8" w:space="0" w:color="000000"/>
            </w:tcBorders>
          </w:tcPr>
          <w:p w:rsidR="002C4AF7" w:rsidRDefault="002C4AF7">
            <w:pPr>
              <w:spacing w:before="240" w:after="240"/>
              <w:ind w:left="0" w:hanging="2"/>
              <w:jc w:val="both"/>
              <w:rPr>
                <w:rFonts w:ascii="Arial" w:eastAsia="Arial" w:hAnsi="Arial" w:cs="Arial"/>
                <w:sz w:val="16"/>
                <w:szCs w:val="16"/>
              </w:rPr>
            </w:pP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 xml:space="preserve">      NA</w:t>
            </w:r>
          </w:p>
        </w:tc>
        <w:tc>
          <w:tcPr>
            <w:tcW w:w="1485" w:type="dxa"/>
            <w:tcBorders>
              <w:top w:val="nil"/>
              <w:left w:val="nil"/>
              <w:bottom w:val="single" w:sz="8" w:space="0" w:color="000000"/>
              <w:right w:val="single" w:sz="8" w:space="0" w:color="000000"/>
            </w:tcBorders>
          </w:tcPr>
          <w:p w:rsidR="002C4AF7" w:rsidRDefault="002C4AF7">
            <w:pPr>
              <w:spacing w:before="240" w:after="240"/>
              <w:ind w:left="0" w:hanging="2"/>
              <w:jc w:val="center"/>
              <w:rPr>
                <w:rFonts w:ascii="Arial" w:eastAsia="Arial" w:hAnsi="Arial" w:cs="Arial"/>
                <w:sz w:val="16"/>
                <w:szCs w:val="16"/>
              </w:rPr>
            </w:pPr>
          </w:p>
          <w:p w:rsidR="002C4AF7" w:rsidRDefault="007C2686">
            <w:pPr>
              <w:spacing w:before="240" w:after="240"/>
              <w:ind w:left="0" w:hanging="2"/>
              <w:jc w:val="center"/>
              <w:rPr>
                <w:rFonts w:ascii="Arial" w:eastAsia="Arial" w:hAnsi="Arial" w:cs="Arial"/>
                <w:sz w:val="16"/>
                <w:szCs w:val="16"/>
              </w:rPr>
            </w:pPr>
            <w:r>
              <w:rPr>
                <w:rFonts w:ascii="Arial" w:eastAsia="Arial" w:hAnsi="Arial" w:cs="Arial"/>
                <w:sz w:val="16"/>
                <w:szCs w:val="16"/>
              </w:rPr>
              <w:t xml:space="preserve"> NA</w:t>
            </w:r>
          </w:p>
        </w:tc>
        <w:tc>
          <w:tcPr>
            <w:tcW w:w="1440" w:type="dxa"/>
            <w:tcBorders>
              <w:top w:val="nil"/>
              <w:left w:val="nil"/>
              <w:bottom w:val="single" w:sz="8" w:space="0" w:color="000000"/>
              <w:right w:val="single" w:sz="8" w:space="0" w:color="000000"/>
            </w:tcBorders>
          </w:tcPr>
          <w:p w:rsidR="002C4AF7" w:rsidRDefault="002C4AF7">
            <w:pPr>
              <w:spacing w:before="240" w:after="240"/>
              <w:ind w:left="0" w:hanging="2"/>
              <w:jc w:val="center"/>
              <w:rPr>
                <w:rFonts w:ascii="Arial" w:eastAsia="Arial" w:hAnsi="Arial" w:cs="Arial"/>
                <w:sz w:val="16"/>
                <w:szCs w:val="16"/>
              </w:rPr>
            </w:pPr>
          </w:p>
          <w:p w:rsidR="002C4AF7" w:rsidRDefault="007C2686">
            <w:pPr>
              <w:spacing w:before="240" w:after="240"/>
              <w:ind w:left="0" w:hanging="2"/>
              <w:jc w:val="center"/>
              <w:rPr>
                <w:rFonts w:ascii="Arial" w:eastAsia="Arial" w:hAnsi="Arial" w:cs="Arial"/>
                <w:sz w:val="16"/>
                <w:szCs w:val="16"/>
              </w:rPr>
            </w:pPr>
            <w:r>
              <w:rPr>
                <w:rFonts w:ascii="Arial" w:eastAsia="Arial" w:hAnsi="Arial" w:cs="Arial"/>
                <w:sz w:val="16"/>
                <w:szCs w:val="16"/>
              </w:rPr>
              <w:t>--</w:t>
            </w:r>
          </w:p>
        </w:tc>
        <w:tc>
          <w:tcPr>
            <w:tcW w:w="1245" w:type="dxa"/>
            <w:tcBorders>
              <w:top w:val="nil"/>
              <w:left w:val="nil"/>
              <w:bottom w:val="single" w:sz="8" w:space="0" w:color="000000"/>
              <w:right w:val="single" w:sz="8" w:space="0" w:color="000000"/>
            </w:tcBorders>
          </w:tcPr>
          <w:p w:rsidR="002C4AF7" w:rsidRDefault="002C4AF7">
            <w:pPr>
              <w:spacing w:before="240" w:after="240"/>
              <w:ind w:left="0" w:hanging="2"/>
              <w:jc w:val="center"/>
              <w:rPr>
                <w:rFonts w:ascii="Arial" w:eastAsia="Arial" w:hAnsi="Arial" w:cs="Arial"/>
                <w:sz w:val="16"/>
                <w:szCs w:val="16"/>
              </w:rPr>
            </w:pPr>
          </w:p>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0,66 (0,53-0,81)</w:t>
            </w:r>
          </w:p>
        </w:tc>
        <w:tc>
          <w:tcPr>
            <w:tcW w:w="1020" w:type="dxa"/>
            <w:tcBorders>
              <w:top w:val="nil"/>
              <w:left w:val="nil"/>
              <w:bottom w:val="single" w:sz="8" w:space="0" w:color="000000"/>
              <w:right w:val="single" w:sz="8" w:space="0" w:color="000000"/>
            </w:tcBorders>
          </w:tcPr>
          <w:p w:rsidR="002C4AF7" w:rsidRDefault="002C4AF7">
            <w:pPr>
              <w:spacing w:before="240" w:after="240"/>
              <w:ind w:left="0" w:hanging="2"/>
              <w:jc w:val="both"/>
              <w:rPr>
                <w:rFonts w:ascii="Arial" w:eastAsia="Arial" w:hAnsi="Arial" w:cs="Arial"/>
                <w:sz w:val="16"/>
                <w:szCs w:val="16"/>
              </w:rPr>
            </w:pPr>
          </w:p>
          <w:p w:rsidR="002C4AF7" w:rsidRDefault="007C2686">
            <w:pPr>
              <w:spacing w:before="240" w:after="240"/>
              <w:ind w:left="0" w:hanging="2"/>
              <w:jc w:val="both"/>
              <w:rPr>
                <w:rFonts w:ascii="Arial" w:eastAsia="Arial" w:hAnsi="Arial" w:cs="Arial"/>
                <w:sz w:val="8"/>
                <w:szCs w:val="8"/>
              </w:rPr>
            </w:pPr>
            <w:r>
              <w:rPr>
                <w:rFonts w:ascii="Arial" w:eastAsia="Arial" w:hAnsi="Arial" w:cs="Arial"/>
                <w:color w:val="333333"/>
                <w:sz w:val="16"/>
                <w:szCs w:val="16"/>
                <w:highlight w:val="white"/>
              </w:rPr>
              <w:t>p&lt;0.0001</w:t>
            </w:r>
          </w:p>
        </w:tc>
      </w:tr>
      <w:tr w:rsidR="002C4AF7">
        <w:trPr>
          <w:trHeight w:val="1455"/>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C4AF7" w:rsidRDefault="007C2686">
            <w:pPr>
              <w:spacing w:before="240" w:after="240"/>
              <w:ind w:left="0" w:hanging="2"/>
              <w:jc w:val="both"/>
              <w:rPr>
                <w:rFonts w:ascii="Arial" w:eastAsia="Arial" w:hAnsi="Arial" w:cs="Arial"/>
                <w:sz w:val="16"/>
                <w:szCs w:val="16"/>
                <w:vertAlign w:val="superscript"/>
              </w:rPr>
            </w:pPr>
            <w:r>
              <w:rPr>
                <w:rFonts w:ascii="Arial" w:eastAsia="Arial" w:hAnsi="Arial" w:cs="Arial"/>
                <w:sz w:val="16"/>
                <w:szCs w:val="16"/>
              </w:rPr>
              <w:t>Estudio CHAARTED</w:t>
            </w:r>
          </w:p>
          <w:p w:rsidR="002C4AF7" w:rsidRDefault="007C2686">
            <w:pPr>
              <w:spacing w:before="240" w:after="240"/>
              <w:ind w:left="0" w:hanging="2"/>
              <w:jc w:val="both"/>
              <w:rPr>
                <w:rFonts w:ascii="Arial" w:eastAsia="Arial" w:hAnsi="Arial" w:cs="Arial"/>
                <w:sz w:val="16"/>
                <w:szCs w:val="16"/>
              </w:rPr>
            </w:pPr>
            <w:r>
              <w:rPr>
                <w:rFonts w:ascii="Arial" w:eastAsia="Arial" w:hAnsi="Arial" w:cs="Arial"/>
                <w:sz w:val="16"/>
                <w:szCs w:val="16"/>
              </w:rPr>
              <w:t>Docetaxel TDA vs TDA</w:t>
            </w:r>
          </w:p>
          <w:p w:rsidR="002C4AF7" w:rsidRDefault="007C2686">
            <w:pPr>
              <w:spacing w:before="240" w:after="240"/>
              <w:ind w:left="0" w:hanging="2"/>
              <w:jc w:val="both"/>
              <w:rPr>
                <w:rFonts w:ascii="Arial" w:eastAsia="Arial" w:hAnsi="Arial" w:cs="Arial"/>
                <w:sz w:val="16"/>
                <w:szCs w:val="16"/>
              </w:rPr>
            </w:pPr>
            <w:r>
              <w:rPr>
                <w:rFonts w:ascii="Arial" w:eastAsia="Arial" w:hAnsi="Arial" w:cs="Arial"/>
                <w:b/>
                <w:sz w:val="16"/>
                <w:szCs w:val="16"/>
              </w:rPr>
              <w:t>Variable primaria: SG</w:t>
            </w:r>
          </w:p>
        </w:tc>
        <w:tc>
          <w:tcPr>
            <w:tcW w:w="1395" w:type="dxa"/>
            <w:tcBorders>
              <w:top w:val="nil"/>
              <w:left w:val="nil"/>
              <w:bottom w:val="single" w:sz="8" w:space="0" w:color="000000"/>
              <w:right w:val="single" w:sz="8" w:space="0" w:color="000000"/>
            </w:tcBorders>
          </w:tcPr>
          <w:p w:rsidR="002C4AF7" w:rsidRDefault="007C2686">
            <w:pPr>
              <w:spacing w:before="240" w:after="240"/>
              <w:ind w:left="0" w:hanging="2"/>
              <w:rPr>
                <w:rFonts w:ascii="Arial" w:eastAsia="Arial" w:hAnsi="Arial" w:cs="Arial"/>
                <w:sz w:val="16"/>
                <w:szCs w:val="16"/>
              </w:rPr>
            </w:pPr>
            <w:r>
              <w:rPr>
                <w:rFonts w:ascii="Arial" w:eastAsia="Arial" w:hAnsi="Arial" w:cs="Arial"/>
                <w:sz w:val="16"/>
                <w:szCs w:val="16"/>
              </w:rPr>
              <w:t xml:space="preserve">     57,6</w:t>
            </w:r>
          </w:p>
        </w:tc>
        <w:tc>
          <w:tcPr>
            <w:tcW w:w="1485" w:type="dxa"/>
            <w:tcBorders>
              <w:top w:val="nil"/>
              <w:left w:val="nil"/>
              <w:bottom w:val="single" w:sz="8" w:space="0" w:color="000000"/>
              <w:right w:val="single" w:sz="8" w:space="0" w:color="000000"/>
            </w:tcBorders>
          </w:tcPr>
          <w:p w:rsidR="002C4AF7" w:rsidRDefault="007C2686">
            <w:pPr>
              <w:spacing w:before="240" w:after="240"/>
              <w:ind w:left="0" w:hanging="2"/>
              <w:jc w:val="center"/>
              <w:rPr>
                <w:rFonts w:ascii="Arial" w:eastAsia="Arial" w:hAnsi="Arial" w:cs="Arial"/>
                <w:sz w:val="16"/>
                <w:szCs w:val="16"/>
              </w:rPr>
            </w:pPr>
            <w:r>
              <w:rPr>
                <w:rFonts w:ascii="Arial" w:eastAsia="Arial" w:hAnsi="Arial" w:cs="Arial"/>
                <w:sz w:val="16"/>
                <w:szCs w:val="16"/>
              </w:rPr>
              <w:t>47,2</w:t>
            </w:r>
          </w:p>
        </w:tc>
        <w:tc>
          <w:tcPr>
            <w:tcW w:w="1440" w:type="dxa"/>
            <w:tcBorders>
              <w:top w:val="nil"/>
              <w:left w:val="nil"/>
              <w:bottom w:val="single" w:sz="8" w:space="0" w:color="000000"/>
              <w:right w:val="single" w:sz="8" w:space="0" w:color="000000"/>
            </w:tcBorders>
          </w:tcPr>
          <w:p w:rsidR="002C4AF7" w:rsidRDefault="007C2686">
            <w:pPr>
              <w:spacing w:before="240" w:after="240"/>
              <w:ind w:left="0" w:hanging="2"/>
              <w:jc w:val="center"/>
              <w:rPr>
                <w:rFonts w:ascii="Arial" w:eastAsia="Arial" w:hAnsi="Arial" w:cs="Arial"/>
                <w:sz w:val="16"/>
                <w:szCs w:val="16"/>
              </w:rPr>
            </w:pPr>
            <w:r>
              <w:rPr>
                <w:rFonts w:ascii="Arial" w:eastAsia="Arial" w:hAnsi="Arial" w:cs="Arial"/>
                <w:sz w:val="16"/>
                <w:szCs w:val="16"/>
              </w:rPr>
              <w:t xml:space="preserve"> --</w:t>
            </w:r>
          </w:p>
        </w:tc>
        <w:tc>
          <w:tcPr>
            <w:tcW w:w="1245" w:type="dxa"/>
            <w:tcBorders>
              <w:top w:val="nil"/>
              <w:left w:val="nil"/>
              <w:bottom w:val="single" w:sz="8" w:space="0" w:color="000000"/>
              <w:right w:val="single" w:sz="8" w:space="0" w:color="000000"/>
            </w:tcBorders>
          </w:tcPr>
          <w:p w:rsidR="002C4AF7" w:rsidRDefault="007C2686">
            <w:pPr>
              <w:spacing w:before="240" w:after="240"/>
              <w:ind w:left="0" w:hanging="2"/>
              <w:jc w:val="center"/>
              <w:rPr>
                <w:rFonts w:ascii="Arial" w:eastAsia="Arial" w:hAnsi="Arial" w:cs="Arial"/>
                <w:sz w:val="16"/>
                <w:szCs w:val="16"/>
              </w:rPr>
            </w:pPr>
            <w:r>
              <w:rPr>
                <w:rFonts w:ascii="Arial" w:eastAsia="Arial" w:hAnsi="Arial" w:cs="Arial"/>
                <w:sz w:val="16"/>
                <w:szCs w:val="16"/>
              </w:rPr>
              <w:t>0.72</w:t>
            </w:r>
          </w:p>
          <w:p w:rsidR="002C4AF7" w:rsidRDefault="007C2686">
            <w:pPr>
              <w:spacing w:before="240" w:after="240"/>
              <w:ind w:left="0" w:hanging="2"/>
              <w:jc w:val="center"/>
              <w:rPr>
                <w:rFonts w:ascii="Arial" w:eastAsia="Arial" w:hAnsi="Arial" w:cs="Arial"/>
                <w:sz w:val="16"/>
                <w:szCs w:val="16"/>
              </w:rPr>
            </w:pPr>
            <w:r>
              <w:rPr>
                <w:rFonts w:ascii="Arial" w:eastAsia="Arial" w:hAnsi="Arial" w:cs="Arial"/>
                <w:sz w:val="16"/>
                <w:szCs w:val="16"/>
              </w:rPr>
              <w:t xml:space="preserve"> (0,59 a 0,89)</w:t>
            </w:r>
          </w:p>
          <w:p w:rsidR="002C4AF7" w:rsidRDefault="002C4AF7">
            <w:pPr>
              <w:spacing w:before="240" w:after="240"/>
              <w:ind w:left="0" w:hanging="2"/>
              <w:jc w:val="center"/>
              <w:rPr>
                <w:rFonts w:ascii="Arial" w:eastAsia="Arial" w:hAnsi="Arial" w:cs="Arial"/>
                <w:sz w:val="16"/>
                <w:szCs w:val="16"/>
              </w:rPr>
            </w:pPr>
          </w:p>
        </w:tc>
        <w:tc>
          <w:tcPr>
            <w:tcW w:w="1020" w:type="dxa"/>
            <w:tcBorders>
              <w:top w:val="nil"/>
              <w:left w:val="nil"/>
              <w:bottom w:val="single" w:sz="8" w:space="0" w:color="000000"/>
              <w:right w:val="single" w:sz="8" w:space="0" w:color="000000"/>
            </w:tcBorders>
          </w:tcPr>
          <w:p w:rsidR="002C4AF7" w:rsidRDefault="007C2686">
            <w:pPr>
              <w:spacing w:before="240" w:after="240"/>
              <w:ind w:left="0" w:hanging="2"/>
              <w:jc w:val="both"/>
              <w:rPr>
                <w:rFonts w:ascii="Arial" w:eastAsia="Arial" w:hAnsi="Arial" w:cs="Arial"/>
                <w:sz w:val="8"/>
                <w:szCs w:val="8"/>
              </w:rPr>
            </w:pPr>
            <w:r>
              <w:rPr>
                <w:rFonts w:ascii="Arial" w:eastAsia="Arial" w:hAnsi="Arial" w:cs="Arial"/>
                <w:color w:val="333333"/>
                <w:sz w:val="16"/>
                <w:szCs w:val="16"/>
                <w:highlight w:val="white"/>
              </w:rPr>
              <w:t>p&lt;0.0001</w:t>
            </w:r>
          </w:p>
        </w:tc>
      </w:tr>
      <w:tr w:rsidR="002C4AF7">
        <w:trPr>
          <w:trHeight w:val="395"/>
        </w:trPr>
        <w:tc>
          <w:tcPr>
            <w:tcW w:w="8715" w:type="dxa"/>
            <w:gridSpan w:val="6"/>
            <w:tcBorders>
              <w:top w:val="nil"/>
              <w:left w:val="single" w:sz="8" w:space="0" w:color="000000"/>
              <w:bottom w:val="single" w:sz="8" w:space="0" w:color="000000"/>
              <w:right w:val="single" w:sz="8" w:space="0" w:color="000000"/>
            </w:tcBorders>
            <w:shd w:val="clear" w:color="auto" w:fill="8FF9BF"/>
            <w:tcMar>
              <w:top w:w="100" w:type="dxa"/>
              <w:left w:w="100" w:type="dxa"/>
              <w:bottom w:w="100" w:type="dxa"/>
              <w:right w:w="100" w:type="dxa"/>
            </w:tcMar>
          </w:tcPr>
          <w:p w:rsidR="002C4AF7" w:rsidRDefault="007C2686">
            <w:pPr>
              <w:spacing w:before="240" w:after="240"/>
              <w:ind w:left="0" w:hanging="2"/>
              <w:jc w:val="both"/>
              <w:rPr>
                <w:rFonts w:ascii="Arial" w:eastAsia="Arial" w:hAnsi="Arial" w:cs="Arial"/>
                <w:sz w:val="16"/>
                <w:szCs w:val="16"/>
              </w:rPr>
            </w:pPr>
            <w:r>
              <w:rPr>
                <w:rFonts w:ascii="Arial" w:eastAsia="Arial" w:hAnsi="Arial" w:cs="Arial"/>
                <w:b/>
                <w:sz w:val="16"/>
                <w:szCs w:val="16"/>
              </w:rPr>
              <w:t>Comparación indirecta ajustada</w:t>
            </w:r>
          </w:p>
        </w:tc>
      </w:tr>
      <w:tr w:rsidR="002C4AF7">
        <w:trPr>
          <w:trHeight w:val="395"/>
        </w:trPr>
        <w:tc>
          <w:tcPr>
            <w:tcW w:w="2130"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2C4AF7" w:rsidRDefault="002C4AF7">
            <w:pPr>
              <w:spacing w:before="240" w:after="240"/>
              <w:ind w:left="0" w:hanging="2"/>
              <w:jc w:val="both"/>
              <w:rPr>
                <w:rFonts w:ascii="Arial" w:eastAsia="Arial" w:hAnsi="Arial" w:cs="Arial"/>
                <w:sz w:val="16"/>
                <w:szCs w:val="16"/>
              </w:rPr>
            </w:pPr>
          </w:p>
        </w:tc>
        <w:tc>
          <w:tcPr>
            <w:tcW w:w="5565" w:type="dxa"/>
            <w:gridSpan w:val="4"/>
            <w:tcBorders>
              <w:top w:val="nil"/>
              <w:left w:val="nil"/>
              <w:bottom w:val="single" w:sz="8" w:space="0" w:color="000000"/>
              <w:right w:val="single" w:sz="8" w:space="0" w:color="000000"/>
            </w:tcBorders>
            <w:shd w:val="clear" w:color="auto" w:fill="D9D9D9"/>
          </w:tcPr>
          <w:p w:rsidR="002C4AF7" w:rsidRDefault="007C2686">
            <w:pPr>
              <w:spacing w:before="240" w:after="240"/>
              <w:ind w:left="0" w:hanging="2"/>
              <w:jc w:val="center"/>
              <w:rPr>
                <w:rFonts w:ascii="Arial" w:eastAsia="Arial" w:hAnsi="Arial" w:cs="Arial"/>
                <w:sz w:val="16"/>
                <w:szCs w:val="16"/>
              </w:rPr>
            </w:pPr>
            <w:r>
              <w:rPr>
                <w:rFonts w:ascii="Arial" w:eastAsia="Arial" w:hAnsi="Arial" w:cs="Arial"/>
                <w:b/>
                <w:sz w:val="16"/>
                <w:szCs w:val="16"/>
              </w:rPr>
              <w:t>HR (IC 95%)</w:t>
            </w:r>
          </w:p>
        </w:tc>
        <w:tc>
          <w:tcPr>
            <w:tcW w:w="1020" w:type="dxa"/>
            <w:tcBorders>
              <w:top w:val="nil"/>
              <w:left w:val="nil"/>
              <w:bottom w:val="single" w:sz="8" w:space="0" w:color="000000"/>
              <w:right w:val="single" w:sz="8" w:space="0" w:color="000000"/>
            </w:tcBorders>
            <w:shd w:val="clear" w:color="auto" w:fill="D9D9D9"/>
          </w:tcPr>
          <w:p w:rsidR="002C4AF7" w:rsidRDefault="007C2686">
            <w:pPr>
              <w:spacing w:before="240" w:after="240"/>
              <w:ind w:left="0" w:hanging="2"/>
              <w:jc w:val="center"/>
              <w:rPr>
                <w:rFonts w:ascii="Arial" w:eastAsia="Arial" w:hAnsi="Arial" w:cs="Arial"/>
                <w:sz w:val="16"/>
                <w:szCs w:val="16"/>
              </w:rPr>
            </w:pPr>
            <w:r>
              <w:rPr>
                <w:rFonts w:ascii="Arial" w:eastAsia="Arial" w:hAnsi="Arial" w:cs="Arial"/>
                <w:sz w:val="16"/>
                <w:szCs w:val="16"/>
              </w:rPr>
              <w:t>p</w:t>
            </w:r>
          </w:p>
        </w:tc>
      </w:tr>
      <w:tr w:rsidR="002C4AF7">
        <w:trPr>
          <w:trHeight w:val="1415"/>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C4AF7" w:rsidRDefault="007C2686">
            <w:pPr>
              <w:spacing w:before="240" w:after="240"/>
              <w:ind w:left="0" w:hanging="2"/>
              <w:jc w:val="center"/>
              <w:rPr>
                <w:rFonts w:ascii="Arial" w:eastAsia="Arial" w:hAnsi="Arial" w:cs="Arial"/>
                <w:sz w:val="16"/>
                <w:szCs w:val="16"/>
              </w:rPr>
            </w:pPr>
            <w:r>
              <w:rPr>
                <w:rFonts w:ascii="Arial" w:eastAsia="Arial" w:hAnsi="Arial" w:cs="Arial"/>
                <w:sz w:val="16"/>
                <w:szCs w:val="16"/>
              </w:rPr>
              <w:t>enzalutamida vs. docetaxel</w:t>
            </w:r>
          </w:p>
          <w:p w:rsidR="002C4AF7" w:rsidRDefault="007C2686">
            <w:pPr>
              <w:spacing w:before="240" w:after="240"/>
              <w:ind w:left="0" w:hanging="2"/>
              <w:jc w:val="center"/>
              <w:rPr>
                <w:rFonts w:ascii="Arial" w:eastAsia="Arial" w:hAnsi="Arial" w:cs="Arial"/>
                <w:sz w:val="16"/>
                <w:szCs w:val="16"/>
              </w:rPr>
            </w:pPr>
            <w:r>
              <w:rPr>
                <w:rFonts w:ascii="Arial" w:eastAsia="Arial" w:hAnsi="Arial" w:cs="Arial"/>
                <w:b/>
                <w:sz w:val="16"/>
                <w:szCs w:val="16"/>
              </w:rPr>
              <w:t>SG</w:t>
            </w:r>
          </w:p>
        </w:tc>
        <w:tc>
          <w:tcPr>
            <w:tcW w:w="5565" w:type="dxa"/>
            <w:gridSpan w:val="4"/>
            <w:tcBorders>
              <w:top w:val="nil"/>
              <w:left w:val="nil"/>
              <w:bottom w:val="single" w:sz="8" w:space="0" w:color="000000"/>
              <w:right w:val="single" w:sz="8" w:space="0" w:color="000000"/>
            </w:tcBorders>
            <w:vAlign w:val="center"/>
          </w:tcPr>
          <w:p w:rsidR="002C4AF7" w:rsidRDefault="007C2686">
            <w:pPr>
              <w:spacing w:before="240" w:after="240"/>
              <w:ind w:left="0" w:hanging="2"/>
              <w:jc w:val="center"/>
              <w:rPr>
                <w:rFonts w:ascii="Arial" w:eastAsia="Arial" w:hAnsi="Arial" w:cs="Arial"/>
                <w:sz w:val="16"/>
                <w:szCs w:val="16"/>
              </w:rPr>
            </w:pPr>
            <w:r>
              <w:rPr>
                <w:rFonts w:ascii="Arial" w:eastAsia="Arial" w:hAnsi="Arial" w:cs="Arial"/>
                <w:sz w:val="16"/>
                <w:szCs w:val="16"/>
              </w:rPr>
              <w:t>0,917 (0,682 a 1,232)</w:t>
            </w:r>
          </w:p>
        </w:tc>
        <w:tc>
          <w:tcPr>
            <w:tcW w:w="1020" w:type="dxa"/>
            <w:tcBorders>
              <w:top w:val="nil"/>
              <w:left w:val="nil"/>
              <w:bottom w:val="single" w:sz="8" w:space="0" w:color="000000"/>
              <w:right w:val="single" w:sz="8" w:space="0" w:color="000000"/>
            </w:tcBorders>
            <w:vAlign w:val="center"/>
          </w:tcPr>
          <w:p w:rsidR="002C4AF7" w:rsidRDefault="007C2686">
            <w:pPr>
              <w:spacing w:before="240" w:after="240"/>
              <w:ind w:left="0" w:hanging="2"/>
              <w:jc w:val="center"/>
              <w:rPr>
                <w:rFonts w:ascii="Arial" w:eastAsia="Arial" w:hAnsi="Arial" w:cs="Arial"/>
                <w:sz w:val="16"/>
                <w:szCs w:val="16"/>
              </w:rPr>
            </w:pPr>
            <w:r>
              <w:rPr>
                <w:rFonts w:ascii="Arial" w:eastAsia="Arial" w:hAnsi="Arial" w:cs="Arial"/>
                <w:sz w:val="16"/>
                <w:szCs w:val="16"/>
              </w:rPr>
              <w:t>NS</w:t>
            </w:r>
          </w:p>
        </w:tc>
      </w:tr>
    </w:tbl>
    <w:p w:rsidR="002C4AF7" w:rsidRDefault="002C4AF7">
      <w:pPr>
        <w:ind w:left="0" w:hanging="2"/>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Por lo que no se puede afirmar que exista una diferencia en cuanto a SG entre enzalutamida y docetaxel, ya que no se alcanza la significación estadística. </w:t>
      </w:r>
    </w:p>
    <w:p w:rsidR="002C4AF7" w:rsidRDefault="002C4AF7">
      <w:pPr>
        <w:ind w:left="0" w:hanging="2"/>
        <w:jc w:val="both"/>
        <w:rPr>
          <w:rFonts w:ascii="Arial" w:eastAsia="Arial" w:hAnsi="Arial" w:cs="Arial"/>
          <w:sz w:val="20"/>
          <w:szCs w:val="20"/>
        </w:rPr>
      </w:pPr>
      <w:bookmarkStart w:id="28" w:name="_heading=h.3x86q8uhtfbs" w:colFirst="0" w:colLast="0"/>
      <w:bookmarkEnd w:id="28"/>
    </w:p>
    <w:p w:rsidR="002C4AF7" w:rsidRDefault="007C2686">
      <w:pPr>
        <w:ind w:left="0" w:hanging="2"/>
        <w:jc w:val="both"/>
        <w:rPr>
          <w:rFonts w:ascii="Arial" w:eastAsia="Arial" w:hAnsi="Arial" w:cs="Arial"/>
          <w:sz w:val="20"/>
          <w:szCs w:val="20"/>
        </w:rPr>
      </w:pPr>
      <w:bookmarkStart w:id="29" w:name="_heading=h.a7v5smbpoiim" w:colFirst="0" w:colLast="0"/>
      <w:bookmarkEnd w:id="29"/>
      <w:r>
        <w:rPr>
          <w:rFonts w:ascii="Arial" w:eastAsia="Arial" w:hAnsi="Arial" w:cs="Arial"/>
          <w:sz w:val="20"/>
          <w:szCs w:val="20"/>
        </w:rPr>
        <w:t>Los resultados son congruentes con las comparaciones indirectas para SG realizadas en informe GHEMA de apalutamida en esta misma indicación (20) aunque se corresponden con valores de SG con cortes intermedios y sin cruce pacientes al grupo de tratamiento activo.</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bookmarkStart w:id="30" w:name="_heading=h.jau7oxsmk5c0" w:colFirst="0" w:colLast="0"/>
      <w:bookmarkEnd w:id="30"/>
      <w:r>
        <w:rPr>
          <w:rFonts w:ascii="Arial" w:eastAsia="Arial" w:hAnsi="Arial" w:cs="Arial"/>
          <w:sz w:val="20"/>
          <w:szCs w:val="20"/>
        </w:rPr>
        <w:t>Por lo tanto, con las distintas comparaciones indirectas realizadas y metaanálisis en red localizados que incluyen los estudios de fase III, no se pueden sacar conclusiones robustas acerca de la eficacia comparada entre enzalutamida, apalutamida, abiraterona y docetaxel añadidos a la TPA, debido al diferente diseño de los estudios, diferente definición de las variables y las características de los pacientes. Con los datos disponibles hasta la fecha no se pueden establecer diferencias relevantes en términos de eficacia (SG ni SLP) entre las diferentes opciones terapéuticas.</w:t>
      </w:r>
    </w:p>
    <w:p w:rsidR="002C4AF7" w:rsidRDefault="007C2686">
      <w:pPr>
        <w:spacing w:before="240" w:after="240"/>
        <w:ind w:left="0" w:hanging="2"/>
        <w:jc w:val="both"/>
        <w:rPr>
          <w:rFonts w:ascii="Arial" w:eastAsia="Arial" w:hAnsi="Arial" w:cs="Arial"/>
          <w:sz w:val="20"/>
          <w:szCs w:val="20"/>
        </w:rPr>
      </w:pPr>
      <w:bookmarkStart w:id="31" w:name="_heading=h.hdc9uv2j2r6n" w:colFirst="0" w:colLast="0"/>
      <w:bookmarkEnd w:id="31"/>
      <w:r>
        <w:rPr>
          <w:rFonts w:ascii="Arial" w:eastAsia="Arial" w:hAnsi="Arial" w:cs="Arial"/>
          <w:b/>
          <w:sz w:val="20"/>
          <w:szCs w:val="20"/>
        </w:rPr>
        <w:t xml:space="preserve">Alternativas Terapéuticas Equivalentes (ATEs) </w:t>
      </w:r>
    </w:p>
    <w:p w:rsidR="002C4AF7" w:rsidRDefault="007C2686">
      <w:pPr>
        <w:spacing w:before="240" w:after="240"/>
        <w:ind w:left="0" w:hanging="2"/>
        <w:jc w:val="both"/>
        <w:rPr>
          <w:rFonts w:ascii="Arial" w:eastAsia="Arial" w:hAnsi="Arial" w:cs="Arial"/>
          <w:sz w:val="20"/>
          <w:szCs w:val="20"/>
        </w:rPr>
      </w:pPr>
      <w:bookmarkStart w:id="32" w:name="_heading=h.fejid6eumhhe" w:colFirst="0" w:colLast="0"/>
      <w:bookmarkEnd w:id="32"/>
      <w:r>
        <w:rPr>
          <w:rFonts w:ascii="Arial" w:eastAsia="Arial" w:hAnsi="Arial" w:cs="Arial"/>
          <w:sz w:val="20"/>
          <w:szCs w:val="20"/>
        </w:rPr>
        <w:t>Se ha analizado la posibilidad de considerar enzalutamida, apalutamida y docetaxel como alternativas terapéuticas equivalentes, aplicando el algoritmo recogido en la Guía ATE (21).</w:t>
      </w:r>
      <w:r>
        <w:rPr>
          <w:rFonts w:ascii="Arial" w:eastAsia="Arial" w:hAnsi="Arial" w:cs="Arial"/>
          <w:sz w:val="20"/>
          <w:szCs w:val="20"/>
          <w:highlight w:val="magenta"/>
        </w:rPr>
        <w:t xml:space="preserve"> </w:t>
      </w:r>
      <w:r>
        <w:rPr>
          <w:rFonts w:ascii="Arial" w:eastAsia="Arial" w:hAnsi="Arial" w:cs="Arial"/>
          <w:sz w:val="20"/>
          <w:szCs w:val="20"/>
        </w:rPr>
        <w:t>Tomamos como valor delta (Δ), la máxima diferencia considerada clínicamente irrelevante en los ensayos pivotales, HR=0,81. Con este valor, se comparó enzalutamida frente apalutamida, abiraterona y docetaxel en SG y se analizaron los resultados gráficamente, observando si los intervalos de confianza (IC95%) se encontraban dentro del intervalo de equivalencia ±Δ: 0,81 – 1,23 (valor que se obtiene al dividir 1/0,81).</w:t>
      </w:r>
    </w:p>
    <w:p w:rsidR="002C4AF7" w:rsidRDefault="007C2686">
      <w:pPr>
        <w:spacing w:before="240" w:after="240"/>
        <w:ind w:left="0" w:hanging="2"/>
        <w:jc w:val="both"/>
        <w:rPr>
          <w:rFonts w:ascii="Arial" w:eastAsia="Arial" w:hAnsi="Arial" w:cs="Arial"/>
          <w:color w:val="980000"/>
          <w:sz w:val="20"/>
          <w:szCs w:val="20"/>
        </w:rPr>
      </w:pPr>
      <w:bookmarkStart w:id="33" w:name="_heading=h.n83dtxkxh2hk" w:colFirst="0" w:colLast="0"/>
      <w:bookmarkEnd w:id="33"/>
      <w:r>
        <w:rPr>
          <w:rFonts w:ascii="Arial" w:eastAsia="Arial" w:hAnsi="Arial" w:cs="Arial"/>
          <w:noProof/>
          <w:color w:val="980000"/>
          <w:sz w:val="20"/>
          <w:szCs w:val="20"/>
        </w:rPr>
        <w:drawing>
          <wp:inline distT="0" distB="0" distL="114300" distR="114300">
            <wp:extent cx="4152900" cy="3371850"/>
            <wp:effectExtent l="0" t="0" r="0" b="0"/>
            <wp:docPr id="108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8"/>
                    <a:srcRect/>
                    <a:stretch>
                      <a:fillRect/>
                    </a:stretch>
                  </pic:blipFill>
                  <pic:spPr>
                    <a:xfrm>
                      <a:off x="0" y="0"/>
                      <a:ext cx="4152900" cy="3371850"/>
                    </a:xfrm>
                    <a:prstGeom prst="rect">
                      <a:avLst/>
                    </a:prstGeom>
                    <a:ln/>
                  </pic:spPr>
                </pic:pic>
              </a:graphicData>
            </a:graphic>
          </wp:inline>
        </w:drawing>
      </w:r>
    </w:p>
    <w:p w:rsidR="002C4AF7" w:rsidRDefault="007C2686">
      <w:pPr>
        <w:spacing w:before="240" w:after="240"/>
        <w:ind w:left="0" w:hanging="2"/>
        <w:jc w:val="center"/>
        <w:rPr>
          <w:rFonts w:ascii="Arial" w:eastAsia="Arial" w:hAnsi="Arial" w:cs="Arial"/>
          <w:sz w:val="18"/>
          <w:szCs w:val="18"/>
        </w:rPr>
      </w:pPr>
      <w:bookmarkStart w:id="34" w:name="_heading=h.wnx0fzjixe52" w:colFirst="0" w:colLast="0"/>
      <w:bookmarkEnd w:id="34"/>
      <w:r>
        <w:rPr>
          <w:rFonts w:ascii="Arial" w:eastAsia="Arial" w:hAnsi="Arial" w:cs="Arial"/>
          <w:b/>
          <w:sz w:val="18"/>
          <w:szCs w:val="18"/>
        </w:rPr>
        <w:lastRenderedPageBreak/>
        <w:t>Figura 16. Valores que puede presentar la diferencia y su IC95% respecto al margen de equivalencia y categorías de equivalencia terapéutica definidas en la Guía ATE.</w:t>
      </w:r>
    </w:p>
    <w:p w:rsidR="002C4AF7" w:rsidRDefault="007C2686">
      <w:pPr>
        <w:spacing w:before="240" w:after="240"/>
        <w:ind w:left="0" w:hanging="2"/>
        <w:jc w:val="both"/>
        <w:rPr>
          <w:rFonts w:ascii="Arial" w:eastAsia="Arial" w:hAnsi="Arial" w:cs="Arial"/>
          <w:sz w:val="20"/>
          <w:szCs w:val="20"/>
        </w:rPr>
      </w:pPr>
      <w:r>
        <w:rPr>
          <w:rFonts w:ascii="Arial" w:eastAsia="Arial" w:hAnsi="Arial" w:cs="Arial"/>
          <w:sz w:val="20"/>
          <w:szCs w:val="20"/>
        </w:rPr>
        <w:t>Se observa que los dos brazos, en las comparaciones indirectas, rebasan el margen de equivalencia. Por lo tanto, para el margen delta establecido (0,81 a 1,23), en las comparaciones  de enzalutamida vs. apalutamida, enzalutamida vs. abiraterona y enzalutamida vs. docetaxel, hay probabilidad de que haya diferencias clínicamente relevantes. Existe demasiada incertidumbre por lo que no se puede concluir que los fármacos sean ATE para la SG.</w:t>
      </w: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bookmarkStart w:id="35" w:name="_heading=h.3o7alnk" w:colFirst="0" w:colLast="0"/>
      <w:bookmarkEnd w:id="35"/>
      <w:r>
        <w:rPr>
          <w:rFonts w:ascii="Cambria" w:eastAsia="Cambria" w:hAnsi="Cambria" w:cs="Cambria"/>
          <w:b/>
          <w:i/>
          <w:color w:val="000000"/>
          <w:sz w:val="20"/>
          <w:szCs w:val="20"/>
        </w:rPr>
        <w:t xml:space="preserve">5.4 Evaluación de fuentes secundarias </w:t>
      </w:r>
    </w:p>
    <w:p w:rsidR="002C4AF7" w:rsidRDefault="002C4AF7">
      <w:pPr>
        <w:ind w:left="0" w:hanging="2"/>
        <w:jc w:val="both"/>
        <w:rPr>
          <w:rFonts w:ascii="Arial" w:eastAsia="Arial" w:hAnsi="Arial" w:cs="Arial"/>
          <w:color w:val="0000FF"/>
          <w:sz w:val="20"/>
          <w:szCs w:val="20"/>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bookmarkStart w:id="36" w:name="_heading=h.23ckvvd" w:colFirst="0" w:colLast="0"/>
      <w:bookmarkEnd w:id="36"/>
      <w:r>
        <w:rPr>
          <w:rFonts w:ascii="Cambria" w:eastAsia="Cambria" w:hAnsi="Cambria" w:cs="Cambria"/>
          <w:b/>
          <w:i/>
          <w:color w:val="000000"/>
          <w:sz w:val="20"/>
          <w:szCs w:val="20"/>
        </w:rPr>
        <w:t xml:space="preserve">5.4.1 Guías de Práctica clínica </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bookmarkStart w:id="37" w:name="_heading=h.7bsrimrrd4lf" w:colFirst="0" w:colLast="0"/>
      <w:bookmarkEnd w:id="37"/>
      <w:r>
        <w:rPr>
          <w:rFonts w:ascii="Arial" w:eastAsia="Arial" w:hAnsi="Arial" w:cs="Arial"/>
          <w:sz w:val="20"/>
          <w:szCs w:val="20"/>
        </w:rPr>
        <w:t xml:space="preserve">Actualmente, la mayoría de las guías de práctica clínica como las de la Asociación Europea de Urología (EAU) (22), el National Comprehensive Cancer Network (NCCN) (23), la European Society for Medical Oncology (ESMO) (24) y National Institute for Health and Clinical Excellence (NICE) (14) recomiendan como tratamiento estándar la TPA en combinación con docetaxel para hombres con CPHSm que son candidatos para la quimioterapia, particularmente aquellos con una carga metastásica alta. La EAU, NCCN y ESMO también proponen el tratamiento TPA combinado con acetato de abiraterona más prednisona o apalutamida o enzalutamida. </w:t>
      </w:r>
    </w:p>
    <w:p w:rsidR="002C4AF7" w:rsidRDefault="002C4AF7">
      <w:pPr>
        <w:ind w:left="0" w:hanging="2"/>
        <w:jc w:val="both"/>
        <w:rPr>
          <w:rFonts w:ascii="Arial" w:eastAsia="Arial" w:hAnsi="Arial" w:cs="Arial"/>
          <w:sz w:val="20"/>
          <w:szCs w:val="20"/>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r>
        <w:rPr>
          <w:rFonts w:ascii="Cambria" w:eastAsia="Cambria" w:hAnsi="Cambria" w:cs="Cambria"/>
          <w:b/>
          <w:i/>
          <w:color w:val="000000"/>
          <w:sz w:val="20"/>
          <w:szCs w:val="20"/>
        </w:rPr>
        <w:t>5.4.2 Evaluaciones previas por organismos independientes</w:t>
      </w:r>
    </w:p>
    <w:p w:rsidR="002C4AF7" w:rsidRDefault="007C2686">
      <w:pPr>
        <w:ind w:left="0" w:hanging="2"/>
        <w:jc w:val="both"/>
        <w:rPr>
          <w:rFonts w:ascii="Arial" w:eastAsia="Arial" w:hAnsi="Arial" w:cs="Arial"/>
          <w:sz w:val="20"/>
          <w:szCs w:val="20"/>
        </w:rPr>
      </w:pPr>
      <w:r>
        <w:rPr>
          <w:rFonts w:ascii="Arial" w:eastAsia="Arial" w:hAnsi="Arial" w:cs="Arial"/>
          <w:sz w:val="20"/>
          <w:szCs w:val="20"/>
        </w:rPr>
        <w:tab/>
      </w:r>
    </w:p>
    <w:p w:rsidR="002C4AF7" w:rsidRDefault="007C2686">
      <w:pPr>
        <w:ind w:left="0" w:hanging="2"/>
        <w:jc w:val="both"/>
        <w:rPr>
          <w:rFonts w:ascii="Arial" w:eastAsia="Arial" w:hAnsi="Arial" w:cs="Arial"/>
          <w:sz w:val="20"/>
          <w:szCs w:val="20"/>
        </w:rPr>
      </w:pPr>
      <w:r>
        <w:rPr>
          <w:rFonts w:ascii="Arial" w:eastAsia="Arial" w:hAnsi="Arial" w:cs="Arial"/>
          <w:sz w:val="20"/>
          <w:szCs w:val="20"/>
        </w:rPr>
        <w:t>A nivel nacional: Informe de posicionamiento terapéutico de enzalutamida en combinación con la terapia de privación androgénica en el tratamiento del cáncer de próstata hormonosensible metastásico. Fecha de publicación: 24 de febrero de 2022 (25)</w:t>
      </w: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CONSIDERACIONES FINALES DEL GC REVALMED SNS: La Dirección General de Cartera Común de Servicios del SNS y Farmacia (DGCCSSNSYF) ha emitido resolución de financiación para la indicación de XTANDI® (enzalutamida), en el tratamiento del cáncer de próstata hormonosensible metastásico (CPHSm) en combinación con tratamiento de deprivación androgénica (TPA), en hombres adultos que no toleren o no sean susceptibles de recibir quimioterapia con docetaxel. </w:t>
      </w:r>
    </w:p>
    <w:p w:rsidR="002C4AF7" w:rsidRDefault="007C2686">
      <w:pPr>
        <w:ind w:left="0" w:hanging="2"/>
        <w:jc w:val="both"/>
        <w:rPr>
          <w:rFonts w:ascii="Arial" w:eastAsia="Arial" w:hAnsi="Arial" w:cs="Arial"/>
          <w:sz w:val="20"/>
          <w:szCs w:val="20"/>
        </w:rPr>
      </w:pPr>
      <w:r>
        <w:rPr>
          <w:rFonts w:ascii="Arial" w:eastAsia="Arial" w:hAnsi="Arial" w:cs="Arial"/>
          <w:sz w:val="20"/>
          <w:szCs w:val="20"/>
        </w:rPr>
        <w:t>La elección entre XTANDI® y las alternativas existentes se deberá basar fundamentalmente en criterios de eficiencia.</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b/>
          <w:sz w:val="20"/>
          <w:szCs w:val="20"/>
        </w:rPr>
        <w:t>NICE</w:t>
      </w:r>
      <w:r>
        <w:rPr>
          <w:rFonts w:ascii="Arial" w:eastAsia="Arial" w:hAnsi="Arial" w:cs="Arial"/>
          <w:sz w:val="20"/>
          <w:szCs w:val="20"/>
        </w:rPr>
        <w:t>, Technology appraisal guidance [TA712] (26) recomienda enzalutamida asociada a TDA como una opción de tratamiento siempre y cuando la compañía proporcione enzalutamida según el acuerdo comercial acordado. Especialmente para pacientes que no pueden recibir docetaxel.</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En relación a los comparadores empleados, TDA y asociada a docetaxel se consideran comparadores relevantes.</w:t>
      </w:r>
    </w:p>
    <w:p w:rsidR="002C4AF7" w:rsidRDefault="007C2686">
      <w:pPr>
        <w:ind w:left="0" w:hanging="2"/>
        <w:jc w:val="both"/>
        <w:rPr>
          <w:rFonts w:ascii="Arial" w:eastAsia="Arial" w:hAnsi="Arial" w:cs="Arial"/>
          <w:sz w:val="20"/>
          <w:szCs w:val="20"/>
        </w:rPr>
      </w:pPr>
      <w:r>
        <w:rPr>
          <w:rFonts w:ascii="Arial" w:eastAsia="Arial" w:hAnsi="Arial" w:cs="Arial"/>
          <w:sz w:val="20"/>
          <w:szCs w:val="20"/>
        </w:rPr>
        <w:t>En relación a la sucesión de tratamientos en los distintos escenarios de cáncer de próstata, se indica que la elección del tratamiento en cáncer hormonosensible afecta a posteriores tratamientos tras la recaída. Así pues, si se recibe enzalutamida en el contexto metastásico hormonosensible, no se podrá recibir enzalutamida o abiraterona posteriormente. Si se recibe docetaxel en el escenario hormonosensible el paciente tendrá más opciones de tratamiento posteriormente (enzalutamida, abiraterona y volver a repetir docetaxel).</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En relación a la evidencia clínica: se considera que los ensayos ARCHES y ENZAMET son ensayos relevantes para valorar la eficacia del tratamiento. </w:t>
      </w: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La compañía proporcionó un metaanálisis en red que incluía ARCHES, ENZAMET y tres estudios de docetaxel asociado a TDA vs. TDA (STAMPEDE1, CHAARTED y GETUC, y seis ensayos de antiandrógeno convencional asociado a TDA vs. TDA (DAPROC, EORT 30853, INTERGROUP STUDY 0036, SWOG-8894, Janknegt 1993 y Zalcberg 1996). Los resultados sugieren valores superiores para SLP para enzalutamida más TDA comparado con docetaxel más TDA. Para SG, el valor estimado sugiere beneficio para enzalutamida más TDA pero incluye la posibilidad de que no exista diferencia. Ninguno de los resultados se incluyen en este informe ya que la compañía los </w:t>
      </w:r>
      <w:r>
        <w:rPr>
          <w:rFonts w:ascii="Arial" w:eastAsia="Arial" w:hAnsi="Arial" w:cs="Arial"/>
          <w:sz w:val="20"/>
          <w:szCs w:val="20"/>
        </w:rPr>
        <w:lastRenderedPageBreak/>
        <w:t>considera confidenciales. Por lo que el comité concluyó que enzalutamida más TDA aumenta SLP comparado con docetaxel más TDA pero la evidencia sobre SG contempla la incertidumbre.</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Conclusión</w:t>
      </w:r>
    </w:p>
    <w:p w:rsidR="002C4AF7" w:rsidRDefault="007C2686">
      <w:pPr>
        <w:ind w:left="0" w:hanging="2"/>
        <w:jc w:val="both"/>
        <w:rPr>
          <w:rFonts w:ascii="Arial" w:eastAsia="Arial" w:hAnsi="Arial" w:cs="Arial"/>
          <w:sz w:val="20"/>
          <w:szCs w:val="20"/>
        </w:rPr>
      </w:pPr>
      <w:r>
        <w:rPr>
          <w:rFonts w:ascii="Arial" w:eastAsia="Arial" w:hAnsi="Arial" w:cs="Arial"/>
          <w:sz w:val="20"/>
          <w:szCs w:val="20"/>
        </w:rPr>
        <w:t>Se recomienda enzalutamida con TDA para el cáncer de próstata hormonosensible metastásico.</w:t>
      </w: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Los resultados tempranos de los estudios sugieren </w:t>
      </w:r>
      <w:r w:rsidR="008A69C3">
        <w:rPr>
          <w:rFonts w:ascii="Arial" w:eastAsia="Arial" w:hAnsi="Arial" w:cs="Arial"/>
          <w:sz w:val="20"/>
          <w:szCs w:val="20"/>
        </w:rPr>
        <w:t>que enzalutamida asociado a TDA</w:t>
      </w:r>
      <w:r>
        <w:rPr>
          <w:rFonts w:ascii="Arial" w:eastAsia="Arial" w:hAnsi="Arial" w:cs="Arial"/>
          <w:sz w:val="20"/>
          <w:szCs w:val="20"/>
        </w:rPr>
        <w:t xml:space="preserve"> aumenta SLP y SG comparado con TDA.</w:t>
      </w:r>
    </w:p>
    <w:p w:rsidR="002C4AF7" w:rsidRDefault="007C2686">
      <w:pPr>
        <w:ind w:left="0" w:hanging="2"/>
        <w:jc w:val="both"/>
        <w:rPr>
          <w:rFonts w:ascii="Arial" w:eastAsia="Arial" w:hAnsi="Arial" w:cs="Arial"/>
          <w:sz w:val="20"/>
          <w:szCs w:val="20"/>
        </w:rPr>
      </w:pPr>
      <w:r>
        <w:rPr>
          <w:rFonts w:ascii="Arial" w:eastAsia="Arial" w:hAnsi="Arial" w:cs="Arial"/>
          <w:sz w:val="20"/>
          <w:szCs w:val="20"/>
        </w:rPr>
        <w:t>También, los resultados de una comparación indirecta sugieren que, comparado con docetaxel asociado a TDA, enzalutamida con TDA aumenta SLP. Pero la comparación para SG no queda clara. La estimación de coste efectividad se sitúa por debajo de los umbrales del NICE. Por lo tanto, se recomienda.</w:t>
      </w:r>
    </w:p>
    <w:p w:rsidR="002C4AF7" w:rsidRDefault="007C2686">
      <w:pPr>
        <w:ind w:left="0" w:hanging="2"/>
        <w:jc w:val="both"/>
        <w:rPr>
          <w:rFonts w:ascii="Arial" w:eastAsia="Arial" w:hAnsi="Arial" w:cs="Arial"/>
          <w:sz w:val="20"/>
          <w:szCs w:val="20"/>
        </w:rPr>
      </w:pPr>
      <w:r>
        <w:rPr>
          <w:rFonts w:ascii="Arial" w:eastAsia="Arial" w:hAnsi="Arial" w:cs="Arial"/>
          <w:sz w:val="20"/>
          <w:szCs w:val="20"/>
        </w:rPr>
        <w:t>No se han considerado como comparadores abiraterona ni apalutamida, asociados a TDA ya que actualmente no están indicados en este escenario.</w:t>
      </w:r>
    </w:p>
    <w:p w:rsidR="002C4AF7" w:rsidRDefault="007C2686">
      <w:pPr>
        <w:ind w:left="0" w:hanging="2"/>
        <w:jc w:val="both"/>
        <w:rPr>
          <w:rFonts w:ascii="Arial" w:eastAsia="Arial" w:hAnsi="Arial" w:cs="Arial"/>
          <w:sz w:val="20"/>
          <w:szCs w:val="20"/>
        </w:rPr>
      </w:pPr>
      <w:r>
        <w:rPr>
          <w:rFonts w:ascii="Arial" w:eastAsia="Arial" w:hAnsi="Arial" w:cs="Arial"/>
          <w:sz w:val="20"/>
          <w:szCs w:val="20"/>
        </w:rPr>
        <w:t>En octubre de 2021 se evalúa Abiraterona en este mismo escenario y no se recomienda por no ser coste efectiva (27). Y Apalutamida también se evalúa y se recomienda en el escenario de no poder administrar docetaxel (28).</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sidRPr="001475C9">
        <w:rPr>
          <w:rFonts w:ascii="Arial" w:eastAsia="Arial" w:hAnsi="Arial" w:cs="Arial"/>
          <w:b/>
          <w:sz w:val="20"/>
          <w:szCs w:val="20"/>
          <w:lang w:val="en-GB"/>
        </w:rPr>
        <w:t>pCODR</w:t>
      </w:r>
      <w:r w:rsidRPr="001475C9">
        <w:rPr>
          <w:rFonts w:ascii="Arial" w:eastAsia="Arial" w:hAnsi="Arial" w:cs="Arial"/>
          <w:sz w:val="20"/>
          <w:szCs w:val="20"/>
          <w:lang w:val="en-GB"/>
        </w:rPr>
        <w:t xml:space="preserve"> EXPERT REVIEW COMMITTEE (pERC) FINAL RECOMMENDATION. Drug: Enzalutamide (XTANDI).</w:t>
      </w:r>
      <w:r w:rsidR="008A69C3">
        <w:rPr>
          <w:rFonts w:ascii="Arial" w:eastAsia="Arial" w:hAnsi="Arial" w:cs="Arial"/>
          <w:sz w:val="20"/>
          <w:szCs w:val="20"/>
          <w:lang w:val="en-GB"/>
        </w:rPr>
        <w:t xml:space="preserve"> </w:t>
      </w:r>
      <w:r w:rsidRPr="001475C9">
        <w:rPr>
          <w:rFonts w:ascii="Arial" w:eastAsia="Arial" w:hAnsi="Arial" w:cs="Arial"/>
          <w:sz w:val="20"/>
          <w:szCs w:val="20"/>
          <w:lang w:val="en-GB"/>
        </w:rPr>
        <w:t xml:space="preserve">Submitted Reimbursement Request: In combination with androgen deprivation therapy, for the treatment of patients with metastatic castration-sensitive prostate cancer. </w:t>
      </w:r>
      <w:r>
        <w:rPr>
          <w:rFonts w:ascii="Arial" w:eastAsia="Arial" w:hAnsi="Arial" w:cs="Arial"/>
          <w:sz w:val="20"/>
          <w:szCs w:val="20"/>
        </w:rPr>
        <w:t xml:space="preserve">Septiembre 2020. Recomendaciones finales del comité de expertos del grupo revisor de fármacos de oncología de la CADTH (29). </w:t>
      </w:r>
    </w:p>
    <w:p w:rsidR="002C4AF7" w:rsidRDefault="007C2686">
      <w:pPr>
        <w:ind w:left="0" w:hanging="2"/>
        <w:jc w:val="both"/>
        <w:rPr>
          <w:rFonts w:ascii="Arial" w:eastAsia="Arial" w:hAnsi="Arial" w:cs="Arial"/>
          <w:sz w:val="20"/>
          <w:szCs w:val="20"/>
        </w:rPr>
      </w:pPr>
      <w:r>
        <w:rPr>
          <w:rFonts w:ascii="Arial" w:eastAsia="Arial" w:hAnsi="Arial" w:cs="Arial"/>
          <w:sz w:val="20"/>
          <w:szCs w:val="20"/>
        </w:rPr>
        <w:t>El grupo recomienda, condicionalmente, el reembolso de enzalutamida en combinación con TDA para el tratamiento de pacientes con CPMHS si se cumple la siguiente condición: que se mejore el coste eficacia hasta un nivel aceptable.</w:t>
      </w:r>
    </w:p>
    <w:p w:rsidR="002C4AF7" w:rsidRDefault="007C2686">
      <w:pPr>
        <w:ind w:left="0" w:hanging="2"/>
        <w:jc w:val="both"/>
        <w:rPr>
          <w:rFonts w:ascii="Arial" w:eastAsia="Arial" w:hAnsi="Arial" w:cs="Arial"/>
          <w:sz w:val="20"/>
          <w:szCs w:val="20"/>
          <w:highlight w:val="yellow"/>
        </w:rPr>
      </w:pPr>
      <w:r>
        <w:rPr>
          <w:rFonts w:ascii="Arial" w:eastAsia="Arial" w:hAnsi="Arial" w:cs="Arial"/>
          <w:sz w:val="20"/>
          <w:szCs w:val="20"/>
        </w:rPr>
        <w:t>Los pacientes han de ser: sensibles a la castración (no TDA previa) en contexto metastásico o en los seis meses de haber empezado la terapia) con buen ECOG y sin factores de riesgo para sufrir convulsiones. El tratamiento se continuará hasta toxicidad inaceptable o progresión de la enfermedad.</w:t>
      </w:r>
    </w:p>
    <w:p w:rsidR="002C4AF7" w:rsidRDefault="007C2686">
      <w:pPr>
        <w:ind w:left="0" w:hanging="2"/>
        <w:jc w:val="both"/>
        <w:rPr>
          <w:rFonts w:ascii="Arial" w:eastAsia="Arial" w:hAnsi="Arial" w:cs="Arial"/>
          <w:sz w:val="20"/>
          <w:szCs w:val="20"/>
        </w:rPr>
      </w:pPr>
      <w:r>
        <w:rPr>
          <w:rFonts w:ascii="Arial" w:eastAsia="Arial" w:hAnsi="Arial" w:cs="Arial"/>
          <w:sz w:val="20"/>
          <w:szCs w:val="20"/>
        </w:rPr>
        <w:t>El grupo realizó esta recomendación ya que se observó que enzalutamida en combinación con TDA conseguía un beneficio clínico neto comparado con TDA o con TDA asociado a un antiandrógeno no esteroideo, basado en la diferencia estadísticamente significativa y mejora con relevancia clínica en supervivencia libre de progresión radiográfica, supervivencia global, perfil de toxicidad manejable y no empeoramiento en la calidad de vida.</w:t>
      </w:r>
    </w:p>
    <w:p w:rsidR="002C4AF7" w:rsidRDefault="007C2686">
      <w:pPr>
        <w:ind w:left="0" w:hanging="2"/>
        <w:jc w:val="both"/>
        <w:rPr>
          <w:rFonts w:ascii="Arial" w:eastAsia="Arial" w:hAnsi="Arial" w:cs="Arial"/>
          <w:sz w:val="20"/>
          <w:szCs w:val="20"/>
        </w:rPr>
      </w:pPr>
      <w:r>
        <w:rPr>
          <w:rFonts w:ascii="Arial" w:eastAsia="Arial" w:hAnsi="Arial" w:cs="Arial"/>
          <w:sz w:val="20"/>
          <w:szCs w:val="20"/>
        </w:rPr>
        <w:t>El grupo también concluyó que enzalutamida en combinación con TDA se alinea con los valores de los pacientes: no empeoramiento de calidad de vida, retraso en la progresión de la enfermedad, en el inicio de los síntomas, en la necesidad de quimioterapia, eventos adversos manejables.</w:t>
      </w: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Se concluyó que </w:t>
      </w:r>
      <w:r w:rsidR="008A69C3">
        <w:rPr>
          <w:rFonts w:ascii="Arial" w:eastAsia="Arial" w:hAnsi="Arial" w:cs="Arial"/>
          <w:sz w:val="20"/>
          <w:szCs w:val="20"/>
        </w:rPr>
        <w:t>la terapia no era coste</w:t>
      </w:r>
      <w:r>
        <w:rPr>
          <w:rFonts w:ascii="Arial" w:eastAsia="Arial" w:hAnsi="Arial" w:cs="Arial"/>
          <w:sz w:val="20"/>
          <w:szCs w:val="20"/>
        </w:rPr>
        <w:t xml:space="preserve">efectiva al precio proporcionado, en relación a los comparadores actuales relevantes y que se requería una reducción de precio para llegar a obtener un coste efectividad aceptable. </w:t>
      </w: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También se indicó que resultados más maduros de la eficacia clínica del ARCHES y ENZAMET ayudarían a reducir la incertidumbre asociada a las extrapolaciones de SLEr y SG. </w:t>
      </w:r>
    </w:p>
    <w:p w:rsidR="002C4AF7" w:rsidRDefault="002C4AF7">
      <w:pPr>
        <w:ind w:left="0" w:hanging="2"/>
        <w:jc w:val="both"/>
        <w:rPr>
          <w:rFonts w:ascii="Arial" w:eastAsia="Arial" w:hAnsi="Arial" w:cs="Arial"/>
          <w:sz w:val="20"/>
          <w:szCs w:val="20"/>
        </w:rPr>
      </w:pPr>
    </w:p>
    <w:p w:rsidR="002C4AF7" w:rsidRDefault="008A69C3">
      <w:pPr>
        <w:ind w:left="0" w:hanging="2"/>
        <w:jc w:val="both"/>
        <w:rPr>
          <w:rFonts w:ascii="Arial" w:eastAsia="Arial" w:hAnsi="Arial" w:cs="Arial"/>
          <w:sz w:val="20"/>
          <w:szCs w:val="20"/>
        </w:rPr>
      </w:pPr>
      <w:r>
        <w:rPr>
          <w:rFonts w:ascii="Arial" w:eastAsia="Arial" w:hAnsi="Arial" w:cs="Arial"/>
          <w:sz w:val="20"/>
          <w:szCs w:val="20"/>
        </w:rPr>
        <w:t xml:space="preserve">Se hace una propuesta de </w:t>
      </w:r>
      <w:r w:rsidR="007C2686">
        <w:rPr>
          <w:rFonts w:ascii="Arial" w:eastAsia="Arial" w:hAnsi="Arial" w:cs="Arial"/>
          <w:sz w:val="20"/>
          <w:szCs w:val="20"/>
        </w:rPr>
        <w:t>procesos a realizar:</w:t>
      </w:r>
    </w:p>
    <w:p w:rsidR="002C4AF7" w:rsidRDefault="007C2686">
      <w:pPr>
        <w:numPr>
          <w:ilvl w:val="0"/>
          <w:numId w:val="1"/>
        </w:numPr>
        <w:ind w:left="0" w:hanging="2"/>
        <w:jc w:val="both"/>
        <w:rPr>
          <w:rFonts w:ascii="Arial" w:eastAsia="Arial" w:hAnsi="Arial" w:cs="Arial"/>
          <w:sz w:val="20"/>
          <w:szCs w:val="20"/>
        </w:rPr>
      </w:pPr>
      <w:r>
        <w:rPr>
          <w:rFonts w:ascii="Arial" w:eastAsia="Arial" w:hAnsi="Arial" w:cs="Arial"/>
          <w:sz w:val="20"/>
          <w:szCs w:val="20"/>
        </w:rPr>
        <w:t>Acuerdos de precio para mejorar el coste efectividad y reducir el impacto presupuestario</w:t>
      </w:r>
    </w:p>
    <w:p w:rsidR="002C4AF7" w:rsidRDefault="007C2686">
      <w:pPr>
        <w:numPr>
          <w:ilvl w:val="0"/>
          <w:numId w:val="1"/>
        </w:numPr>
        <w:ind w:left="0" w:hanging="2"/>
        <w:jc w:val="both"/>
        <w:rPr>
          <w:rFonts w:ascii="Arial" w:eastAsia="Arial" w:hAnsi="Arial" w:cs="Arial"/>
          <w:sz w:val="20"/>
          <w:szCs w:val="20"/>
        </w:rPr>
      </w:pPr>
      <w:r>
        <w:rPr>
          <w:rFonts w:ascii="Arial" w:eastAsia="Arial" w:hAnsi="Arial" w:cs="Arial"/>
          <w:sz w:val="20"/>
          <w:szCs w:val="20"/>
        </w:rPr>
        <w:t xml:space="preserve">Dilucidar el tratamiento de elección entre fármacos antiadrógenos. Actualmente no hay suficiente evidencia para tomar decisiones sobre el uso de enzalutamida comparada con apalutamida o abiraterona. </w:t>
      </w:r>
    </w:p>
    <w:p w:rsidR="002C4AF7" w:rsidRDefault="007C2686">
      <w:pPr>
        <w:numPr>
          <w:ilvl w:val="0"/>
          <w:numId w:val="1"/>
        </w:numPr>
        <w:ind w:left="0" w:hanging="2"/>
        <w:jc w:val="both"/>
        <w:rPr>
          <w:rFonts w:ascii="Arial" w:eastAsia="Arial" w:hAnsi="Arial" w:cs="Arial"/>
          <w:sz w:val="20"/>
          <w:szCs w:val="20"/>
        </w:rPr>
      </w:pPr>
      <w:r>
        <w:rPr>
          <w:rFonts w:ascii="Arial" w:eastAsia="Arial" w:hAnsi="Arial" w:cs="Arial"/>
          <w:sz w:val="20"/>
          <w:szCs w:val="20"/>
        </w:rPr>
        <w:t xml:space="preserve">Secuenciación de tratamientos tras enzalutamida para CPMHS.No hay evidencia de un nivel adecuado para indicar la secuenciación de fármacos antiandrógenos. </w:t>
      </w:r>
    </w:p>
    <w:p w:rsidR="002C4AF7" w:rsidRDefault="007C2686">
      <w:pPr>
        <w:numPr>
          <w:ilvl w:val="0"/>
          <w:numId w:val="1"/>
        </w:numPr>
        <w:ind w:left="0" w:hanging="2"/>
        <w:jc w:val="both"/>
        <w:rPr>
          <w:rFonts w:ascii="Arial" w:eastAsia="Arial" w:hAnsi="Arial" w:cs="Arial"/>
          <w:sz w:val="20"/>
          <w:szCs w:val="20"/>
        </w:rPr>
      </w:pPr>
      <w:bookmarkStart w:id="38" w:name="_heading=h.ihv636" w:colFirst="0" w:colLast="0"/>
      <w:bookmarkEnd w:id="38"/>
      <w:r>
        <w:rPr>
          <w:rFonts w:ascii="Arial" w:eastAsia="Arial" w:hAnsi="Arial" w:cs="Arial"/>
          <w:sz w:val="20"/>
          <w:szCs w:val="20"/>
        </w:rPr>
        <w:t>Docetaxel secuencial o concomitante. A pesar de que el ARCHES permitía docetaxel secuencial y enzalutamida, y el ENZAMET permitía docetaxel concurrente con enzalutamida, no hay suficiente evidencia para apoyar estos tratamientos en el ámbito canadiense.</w:t>
      </w:r>
    </w:p>
    <w:p w:rsidR="002C4AF7" w:rsidRDefault="002C4AF7">
      <w:pPr>
        <w:ind w:left="0" w:hanging="2"/>
        <w:jc w:val="both"/>
        <w:rPr>
          <w:rFonts w:ascii="Arial" w:eastAsia="Arial" w:hAnsi="Arial" w:cs="Arial"/>
          <w:sz w:val="20"/>
          <w:szCs w:val="20"/>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bookmarkStart w:id="39" w:name="_heading=h.32hioqz" w:colFirst="0" w:colLast="0"/>
      <w:bookmarkEnd w:id="39"/>
      <w:r>
        <w:rPr>
          <w:rFonts w:ascii="Cambria" w:eastAsia="Cambria" w:hAnsi="Cambria" w:cs="Cambria"/>
          <w:b/>
          <w:i/>
          <w:color w:val="000000"/>
          <w:sz w:val="20"/>
          <w:szCs w:val="20"/>
        </w:rPr>
        <w:t xml:space="preserve">5.4.3 Opiniones de expertos </w:t>
      </w:r>
    </w:p>
    <w:p w:rsidR="002C4AF7" w:rsidRDefault="002C4AF7">
      <w:pPr>
        <w:ind w:left="0" w:hanging="2"/>
        <w:rPr>
          <w:rFonts w:ascii="Arial" w:eastAsia="Arial" w:hAnsi="Arial" w:cs="Arial"/>
          <w:sz w:val="20"/>
          <w:szCs w:val="20"/>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bookmarkStart w:id="40" w:name="_heading=h.1hmsyys" w:colFirst="0" w:colLast="0"/>
      <w:bookmarkEnd w:id="40"/>
      <w:r>
        <w:rPr>
          <w:rFonts w:ascii="Cambria" w:eastAsia="Cambria" w:hAnsi="Cambria" w:cs="Cambria"/>
          <w:b/>
          <w:i/>
          <w:color w:val="000000"/>
          <w:sz w:val="20"/>
          <w:szCs w:val="20"/>
        </w:rPr>
        <w:t>5.4.4 Otras fuentes.</w:t>
      </w:r>
    </w:p>
    <w:p w:rsidR="002C4AF7" w:rsidRDefault="002C4AF7">
      <w:pPr>
        <w:ind w:left="0" w:hanging="2"/>
        <w:rPr>
          <w:rFonts w:ascii="Arial" w:eastAsia="Arial" w:hAnsi="Arial" w:cs="Arial"/>
          <w:sz w:val="20"/>
          <w:szCs w:val="20"/>
        </w:rPr>
      </w:pPr>
    </w:p>
    <w:tbl>
      <w:tblPr>
        <w:tblStyle w:val="affff0"/>
        <w:tblW w:w="889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2C4AF7">
        <w:trPr>
          <w:trHeight w:val="228"/>
        </w:trPr>
        <w:tc>
          <w:tcPr>
            <w:tcW w:w="8890" w:type="dxa"/>
            <w:shd w:val="clear" w:color="auto" w:fill="B3B3B3"/>
          </w:tcPr>
          <w:p w:rsidR="002C4AF7" w:rsidRDefault="007C2686">
            <w:pPr>
              <w:keepNext/>
              <w:shd w:val="clear" w:color="auto" w:fill="A6A6A6"/>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lastRenderedPageBreak/>
              <w:t xml:space="preserve">6. EVALUACIÓN DE LA SEGURIDAD. </w:t>
            </w:r>
          </w:p>
        </w:tc>
      </w:tr>
    </w:tbl>
    <w:p w:rsidR="002C4AF7" w:rsidRDefault="002C4AF7">
      <w:pPr>
        <w:ind w:left="0" w:hanging="2"/>
        <w:rPr>
          <w:rFonts w:ascii="Arial" w:eastAsia="Arial" w:hAnsi="Arial" w:cs="Arial"/>
          <w:sz w:val="20"/>
          <w:szCs w:val="20"/>
        </w:rPr>
      </w:pPr>
      <w:bookmarkStart w:id="41" w:name="_heading=h.41mghml" w:colFirst="0" w:colLast="0"/>
      <w:bookmarkEnd w:id="41"/>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r>
        <w:rPr>
          <w:rFonts w:ascii="Cambria" w:eastAsia="Cambria" w:hAnsi="Cambria" w:cs="Cambria"/>
          <w:b/>
          <w:i/>
          <w:color w:val="000000"/>
          <w:sz w:val="20"/>
          <w:szCs w:val="20"/>
        </w:rPr>
        <w:t>6.1.a Descripción de la búsqueda bibliográfica</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bookmarkStart w:id="42" w:name="_heading=h.2grqrue" w:colFirst="0" w:colLast="0"/>
      <w:bookmarkEnd w:id="42"/>
      <w:r>
        <w:rPr>
          <w:rFonts w:ascii="Arial" w:eastAsia="Arial" w:hAnsi="Arial" w:cs="Arial"/>
          <w:sz w:val="20"/>
          <w:szCs w:val="20"/>
        </w:rPr>
        <w:t xml:space="preserve">La evaluación de la seguridad se basa tanto en los datos del ensayo pivotal ARCHES (9) así como en el ensayo ENZAMET (11), además, datos que se incluyen en el informe EPAR de la EMA (10) y en la ficha técnica del medicamento (30). </w:t>
      </w:r>
    </w:p>
    <w:p w:rsidR="002C4AF7" w:rsidRDefault="002C4AF7">
      <w:pPr>
        <w:ind w:left="0" w:hanging="2"/>
        <w:rPr>
          <w:rFonts w:ascii="Arial" w:eastAsia="Arial" w:hAnsi="Arial" w:cs="Arial"/>
          <w:color w:val="FF0000"/>
          <w:sz w:val="20"/>
          <w:szCs w:val="20"/>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r>
        <w:rPr>
          <w:rFonts w:ascii="Cambria" w:eastAsia="Cambria" w:hAnsi="Cambria" w:cs="Cambria"/>
          <w:b/>
          <w:i/>
          <w:color w:val="000000"/>
          <w:sz w:val="20"/>
          <w:szCs w:val="20"/>
        </w:rPr>
        <w:t>6.1.b Descripción de los efectos adversos más significativos</w:t>
      </w:r>
    </w:p>
    <w:p w:rsidR="002C4AF7" w:rsidRDefault="002C4AF7">
      <w:pPr>
        <w:shd w:val="clear" w:color="auto" w:fill="FFFFFF"/>
        <w:ind w:left="0" w:hanging="2"/>
        <w:jc w:val="both"/>
        <w:rPr>
          <w:rFonts w:ascii="Arial" w:eastAsia="Arial" w:hAnsi="Arial" w:cs="Arial"/>
          <w:sz w:val="20"/>
          <w:szCs w:val="20"/>
        </w:rPr>
      </w:pPr>
    </w:p>
    <w:p w:rsidR="002C4AF7" w:rsidRDefault="007C2686">
      <w:pPr>
        <w:shd w:val="clear" w:color="auto" w:fill="FFFFFF"/>
        <w:ind w:left="0" w:hanging="2"/>
        <w:jc w:val="both"/>
        <w:rPr>
          <w:rFonts w:ascii="Arial" w:eastAsia="Arial" w:hAnsi="Arial" w:cs="Arial"/>
          <w:sz w:val="20"/>
          <w:szCs w:val="20"/>
        </w:rPr>
      </w:pPr>
      <w:r>
        <w:rPr>
          <w:rFonts w:ascii="Arial" w:eastAsia="Arial" w:hAnsi="Arial" w:cs="Arial"/>
          <w:sz w:val="20"/>
          <w:szCs w:val="20"/>
        </w:rPr>
        <w:t>Según la ficha técnica del medicamento, los efectos adversos más frecuentes de enzalutamida son astenia/fatiga, sofocos, fracturas e hipertensión. Otros efectos adversos importantes incluyen caídas, trastorno cognoscitivo y neutropenia. Se han notificado casos raros de síndrome de encefalopatía posterior reversible en pacientes tratados con enzalutamida.</w:t>
      </w:r>
    </w:p>
    <w:p w:rsidR="002C4AF7" w:rsidRDefault="002C4AF7">
      <w:pPr>
        <w:shd w:val="clear" w:color="auto" w:fill="FFFFFF"/>
        <w:ind w:left="0" w:hanging="2"/>
        <w:jc w:val="both"/>
        <w:rPr>
          <w:rFonts w:ascii="Arial" w:eastAsia="Arial" w:hAnsi="Arial" w:cs="Arial"/>
          <w:sz w:val="20"/>
          <w:szCs w:val="20"/>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ind w:left="0" w:hanging="2"/>
        <w:jc w:val="both"/>
        <w:rPr>
          <w:rFonts w:ascii="Arial" w:eastAsia="Arial" w:hAnsi="Arial" w:cs="Arial"/>
          <w:sz w:val="20"/>
          <w:szCs w:val="20"/>
        </w:rPr>
      </w:pPr>
      <w:r>
        <w:rPr>
          <w:rFonts w:ascii="Cambria" w:eastAsia="Cambria" w:hAnsi="Cambria" w:cs="Cambria"/>
          <w:b/>
          <w:i/>
          <w:sz w:val="18"/>
          <w:szCs w:val="18"/>
        </w:rPr>
        <w:t>6.2 Ensayos Clínicos comparativos</w:t>
      </w:r>
      <w:r>
        <w:rPr>
          <w:rFonts w:ascii="Cambria" w:eastAsia="Cambria" w:hAnsi="Cambria" w:cs="Cambria"/>
          <w:b/>
          <w:i/>
          <w:sz w:val="20"/>
          <w:szCs w:val="20"/>
        </w:rPr>
        <w:t xml:space="preserve">. </w:t>
      </w:r>
    </w:p>
    <w:p w:rsidR="002C4AF7" w:rsidRDefault="002C4AF7">
      <w:pPr>
        <w:shd w:val="clear" w:color="auto" w:fill="FFFFFF"/>
        <w:ind w:left="0" w:hanging="2"/>
        <w:jc w:val="both"/>
        <w:rPr>
          <w:rFonts w:ascii="Arial" w:eastAsia="Arial" w:hAnsi="Arial" w:cs="Arial"/>
          <w:sz w:val="20"/>
          <w:szCs w:val="20"/>
        </w:rPr>
      </w:pPr>
    </w:p>
    <w:p w:rsidR="002C4AF7" w:rsidRDefault="007C2686">
      <w:pPr>
        <w:shd w:val="clear" w:color="auto" w:fill="FFFFFF"/>
        <w:ind w:left="0" w:hanging="2"/>
        <w:jc w:val="both"/>
        <w:rPr>
          <w:rFonts w:ascii="Arial" w:eastAsia="Arial" w:hAnsi="Arial" w:cs="Arial"/>
          <w:sz w:val="20"/>
          <w:szCs w:val="20"/>
        </w:rPr>
      </w:pPr>
      <w:r>
        <w:rPr>
          <w:rFonts w:ascii="Arial" w:eastAsia="Arial" w:hAnsi="Arial" w:cs="Arial"/>
          <w:b/>
          <w:sz w:val="20"/>
          <w:szCs w:val="20"/>
        </w:rPr>
        <w:t>ARCHES</w:t>
      </w:r>
    </w:p>
    <w:p w:rsidR="002C4AF7" w:rsidRDefault="007C2686">
      <w:pPr>
        <w:shd w:val="clear" w:color="auto" w:fill="FFFFFF"/>
        <w:ind w:left="0" w:hanging="2"/>
        <w:jc w:val="both"/>
        <w:rPr>
          <w:rFonts w:ascii="Arial" w:eastAsia="Arial" w:hAnsi="Arial" w:cs="Arial"/>
          <w:sz w:val="20"/>
          <w:szCs w:val="20"/>
        </w:rPr>
      </w:pPr>
      <w:r>
        <w:rPr>
          <w:rFonts w:ascii="Arial" w:eastAsia="Arial" w:hAnsi="Arial" w:cs="Arial"/>
          <w:sz w:val="20"/>
          <w:szCs w:val="20"/>
        </w:rPr>
        <w:t xml:space="preserve">En el estudio ARCHES, el análisis intermedio, con fecha 14 de octubre de 2018, la duración media del tratamiento fue de 12,8 meses (rango 0,2 a 26,6 meses) en el grupo de enzalutamida más TDA  y de 11,6 meses (rango 0,2 a 24,6 meses) en el grupo de placebo más TDA. Se notificaron EA de grado 3 o superiores, EA graves y EA que llevaron a la interrupción del tratamiento en proporciones similares en ambos grupos de tratamiento. No hubo EA inesperados. </w:t>
      </w:r>
    </w:p>
    <w:p w:rsidR="002C4AF7" w:rsidRDefault="00883B7B">
      <w:pPr>
        <w:shd w:val="clear" w:color="auto" w:fill="FFFFFF"/>
        <w:ind w:left="0" w:hanging="2"/>
        <w:jc w:val="both"/>
        <w:rPr>
          <w:rFonts w:ascii="Arial" w:eastAsia="Arial" w:hAnsi="Arial" w:cs="Arial"/>
          <w:sz w:val="20"/>
          <w:szCs w:val="20"/>
        </w:rPr>
      </w:pPr>
      <w:sdt>
        <w:sdtPr>
          <w:tag w:val="goog_rdk_9"/>
          <w:id w:val="-882864860"/>
        </w:sdtPr>
        <w:sdtEndPr/>
        <w:sdtContent>
          <w:r w:rsidR="007C2686">
            <w:rPr>
              <w:rFonts w:ascii="Arial Unicode MS" w:eastAsia="Arial Unicode MS" w:hAnsi="Arial Unicode MS" w:cs="Arial Unicode MS"/>
              <w:sz w:val="20"/>
              <w:szCs w:val="20"/>
            </w:rPr>
            <w:t>Los EA notificados con mayor frecuencia en ≥5% de los pacientes fueron sofocos (enzalutamida: 27,1% vs. placebo: 22,3%), fatiga (19,6% frente a 15,3%), artralgia (12,2% frente a 10,6%) y dolor de espalda (7,5% frente a 10,8%).</w:t>
          </w:r>
        </w:sdtContent>
      </w:sdt>
    </w:p>
    <w:p w:rsidR="002C4AF7" w:rsidRDefault="002C4AF7">
      <w:pPr>
        <w:shd w:val="clear" w:color="auto" w:fill="FFFFFF"/>
        <w:ind w:left="0" w:hanging="2"/>
        <w:jc w:val="both"/>
        <w:rPr>
          <w:rFonts w:ascii="Arial" w:eastAsia="Arial" w:hAnsi="Arial" w:cs="Arial"/>
          <w:sz w:val="20"/>
          <w:szCs w:val="20"/>
        </w:rPr>
      </w:pPr>
    </w:p>
    <w:p w:rsidR="002C4AF7" w:rsidRDefault="00883B7B">
      <w:pPr>
        <w:shd w:val="clear" w:color="auto" w:fill="FFFFFF"/>
        <w:ind w:left="0" w:hanging="2"/>
        <w:jc w:val="both"/>
        <w:rPr>
          <w:rFonts w:ascii="Arial" w:eastAsia="Arial" w:hAnsi="Arial" w:cs="Arial"/>
          <w:sz w:val="20"/>
          <w:szCs w:val="20"/>
        </w:rPr>
      </w:pPr>
      <w:sdt>
        <w:sdtPr>
          <w:tag w:val="goog_rdk_10"/>
          <w:id w:val="88517059"/>
        </w:sdtPr>
        <w:sdtEndPr/>
        <w:sdtContent>
          <w:r w:rsidR="007C2686">
            <w:rPr>
              <w:rFonts w:ascii="Arial Unicode MS" w:eastAsia="Arial Unicode MS" w:hAnsi="Arial Unicode MS" w:cs="Arial Unicode MS"/>
              <w:sz w:val="20"/>
              <w:szCs w:val="20"/>
            </w:rPr>
            <w:t>Se notificaron eventos adversos de grado 3 o superior en el 24,3% de los pacientes en el grupo de enzalutamida y el 25,6% en el grupo placebo. Los de grado ≥3 notificados con mayor frecuencia fueron hipertensión (3,3% de enzalutamida vs. 1,7% placebo), astenia (1% frente a 0,5%), progresión de neoplasias malignas (1% frente a 0,5%) y síncope (1% frente al 0,2%).</w:t>
          </w:r>
        </w:sdtContent>
      </w:sdt>
    </w:p>
    <w:p w:rsidR="002C4AF7" w:rsidRDefault="002C4AF7">
      <w:pPr>
        <w:shd w:val="clear" w:color="auto" w:fill="FFFFFF"/>
        <w:ind w:left="0" w:hanging="2"/>
        <w:jc w:val="both"/>
        <w:rPr>
          <w:rFonts w:ascii="Arial" w:eastAsia="Arial" w:hAnsi="Arial" w:cs="Arial"/>
          <w:sz w:val="20"/>
          <w:szCs w:val="20"/>
        </w:rPr>
      </w:pPr>
    </w:p>
    <w:p w:rsidR="002C4AF7" w:rsidRDefault="007C2686">
      <w:pPr>
        <w:shd w:val="clear" w:color="auto" w:fill="FFFFFF"/>
        <w:ind w:left="0" w:hanging="2"/>
        <w:jc w:val="both"/>
        <w:rPr>
          <w:rFonts w:ascii="Arial" w:eastAsia="Arial" w:hAnsi="Arial" w:cs="Arial"/>
          <w:sz w:val="20"/>
          <w:szCs w:val="20"/>
        </w:rPr>
      </w:pPr>
      <w:r>
        <w:rPr>
          <w:rFonts w:ascii="Arial" w:eastAsia="Arial" w:hAnsi="Arial" w:cs="Arial"/>
          <w:sz w:val="20"/>
          <w:szCs w:val="20"/>
        </w:rPr>
        <w:t>De los 14 EA (2,4%) que provocaron la muerte en el grupo de enzalutamida más TDA y 10 (1,7%) en el grupo de placebo más TDA, el investigador evaluó que ninguno estaba relacionado con el tratamiento en el grupo de enzalutamida más TDA, mientras que uno (deterioro general de la salud física) se evaluó que el evento estaba relacionado en el grupo de placebo más TDA.</w:t>
      </w:r>
    </w:p>
    <w:p w:rsidR="002C4AF7" w:rsidRDefault="007C2686">
      <w:pPr>
        <w:shd w:val="clear" w:color="auto" w:fill="FFFFFF"/>
        <w:ind w:left="0" w:hanging="2"/>
        <w:jc w:val="both"/>
        <w:rPr>
          <w:rFonts w:ascii="Arial" w:eastAsia="Arial" w:hAnsi="Arial" w:cs="Arial"/>
          <w:sz w:val="20"/>
          <w:szCs w:val="20"/>
        </w:rPr>
      </w:pPr>
      <w:r>
        <w:rPr>
          <w:rFonts w:ascii="Arial" w:eastAsia="Arial" w:hAnsi="Arial" w:cs="Arial"/>
          <w:sz w:val="20"/>
          <w:szCs w:val="20"/>
        </w:rPr>
        <w:t xml:space="preserve">No hubo diferencia estadísticamente significativa entre grupos en relación al riesgo de deterioro por síntomas urinarios o calidad de vida, sugiriendo que no hay impacto negativo en las variables reportadas por el paciente al adicionar enzalutamida al tratamiento. </w:t>
      </w:r>
    </w:p>
    <w:p w:rsidR="002C4AF7" w:rsidRDefault="007C2686">
      <w:pPr>
        <w:shd w:val="clear" w:color="auto" w:fill="FFFFFF"/>
        <w:ind w:left="0" w:hanging="2"/>
        <w:jc w:val="both"/>
        <w:rPr>
          <w:rFonts w:ascii="Arial" w:eastAsia="Arial" w:hAnsi="Arial" w:cs="Arial"/>
          <w:sz w:val="20"/>
          <w:szCs w:val="20"/>
        </w:rPr>
      </w:pPr>
      <w:r>
        <w:rPr>
          <w:rFonts w:ascii="Arial" w:eastAsia="Arial" w:hAnsi="Arial" w:cs="Arial"/>
          <w:sz w:val="20"/>
          <w:szCs w:val="20"/>
        </w:rPr>
        <w:t xml:space="preserve">El 7,2% de los pacientes del grupo enzalutamida discontinuó en tratamiento en comparación con el 5,2% del grupo placebo debido a eventos adversos. El 4,4% de los pacientes del grupo enzalutamida tuvo algún evento adverso que conllevó la reducción de dosis en relación al 1,9% de los pacientes del grupo placebo. </w:t>
      </w:r>
    </w:p>
    <w:p w:rsidR="002C4AF7" w:rsidRDefault="007C2686">
      <w:pPr>
        <w:shd w:val="clear" w:color="auto" w:fill="FFFFFF"/>
        <w:ind w:left="0" w:hanging="2"/>
        <w:jc w:val="both"/>
        <w:rPr>
          <w:rFonts w:ascii="Arial" w:eastAsia="Arial" w:hAnsi="Arial" w:cs="Arial"/>
          <w:sz w:val="20"/>
          <w:szCs w:val="20"/>
        </w:rPr>
      </w:pPr>
      <w:r>
        <w:rPr>
          <w:rFonts w:ascii="Arial" w:eastAsia="Arial" w:hAnsi="Arial" w:cs="Arial"/>
          <w:sz w:val="20"/>
          <w:szCs w:val="20"/>
        </w:rPr>
        <w:t>Los eventos adversos de especial interés más frecuentes fueron: eventos musculoesqueléticos (26,4% vs. 27,7%) y fatiga ( 24,1% vs. 19,5%). Las fracturas de cualquier grado ocurrieron en el 6,5 y 4,2 % de los pacientes para enzalutamida y placebo, respectivamente. Las crisis convulsivas ocurrieron en el 0,3% de pacientes de ambos grupos.</w:t>
      </w:r>
    </w:p>
    <w:p w:rsidR="002C4AF7" w:rsidRDefault="002C4AF7">
      <w:pPr>
        <w:shd w:val="clear" w:color="auto" w:fill="FFFFFF"/>
        <w:ind w:left="0" w:hanging="2"/>
        <w:jc w:val="both"/>
        <w:rPr>
          <w:rFonts w:ascii="Arial" w:eastAsia="Arial" w:hAnsi="Arial" w:cs="Arial"/>
          <w:highlight w:val="lightGray"/>
        </w:rPr>
      </w:pPr>
    </w:p>
    <w:tbl>
      <w:tblPr>
        <w:tblStyle w:val="affff1"/>
        <w:tblW w:w="887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2"/>
        <w:gridCol w:w="1260"/>
        <w:gridCol w:w="1253"/>
        <w:gridCol w:w="1805"/>
        <w:gridCol w:w="555"/>
        <w:gridCol w:w="1314"/>
      </w:tblGrid>
      <w:tr w:rsidR="002C4AF7">
        <w:tc>
          <w:tcPr>
            <w:tcW w:w="8879" w:type="dxa"/>
            <w:gridSpan w:val="6"/>
            <w:shd w:val="clear" w:color="auto" w:fill="CCFFCC"/>
          </w:tcPr>
          <w:p w:rsidR="002C4AF7" w:rsidRDefault="007C2686">
            <w:pPr>
              <w:ind w:left="0" w:hanging="2"/>
              <w:jc w:val="both"/>
              <w:rPr>
                <w:rFonts w:ascii="Arial" w:eastAsia="Arial" w:hAnsi="Arial" w:cs="Arial"/>
                <w:sz w:val="18"/>
                <w:szCs w:val="18"/>
              </w:rPr>
            </w:pPr>
            <w:r>
              <w:rPr>
                <w:rFonts w:ascii="Arial" w:eastAsia="Arial" w:hAnsi="Arial" w:cs="Arial"/>
                <w:b/>
                <w:i/>
                <w:sz w:val="18"/>
                <w:szCs w:val="18"/>
              </w:rPr>
              <w:t>Referencia: ARCHES (9)</w:t>
            </w:r>
          </w:p>
          <w:p w:rsidR="002C4AF7" w:rsidRDefault="002C4AF7">
            <w:pPr>
              <w:ind w:left="0" w:hanging="2"/>
              <w:jc w:val="both"/>
              <w:rPr>
                <w:rFonts w:ascii="Arial" w:eastAsia="Arial" w:hAnsi="Arial" w:cs="Arial"/>
                <w:sz w:val="16"/>
                <w:szCs w:val="16"/>
              </w:rPr>
            </w:pPr>
          </w:p>
        </w:tc>
      </w:tr>
      <w:tr w:rsidR="002C4AF7">
        <w:trPr>
          <w:trHeight w:val="123"/>
        </w:trPr>
        <w:tc>
          <w:tcPr>
            <w:tcW w:w="8879" w:type="dxa"/>
            <w:gridSpan w:val="6"/>
          </w:tcPr>
          <w:p w:rsidR="002C4AF7" w:rsidRDefault="007C2686">
            <w:pPr>
              <w:widowControl w:val="0"/>
              <w:spacing w:line="225" w:lineRule="auto"/>
              <w:ind w:left="0" w:hanging="2"/>
              <w:rPr>
                <w:rFonts w:ascii="Arial" w:eastAsia="Arial" w:hAnsi="Arial" w:cs="Arial"/>
                <w:sz w:val="16"/>
                <w:szCs w:val="16"/>
              </w:rPr>
            </w:pPr>
            <w:r>
              <w:rPr>
                <w:rFonts w:ascii="Arial" w:eastAsia="Arial" w:hAnsi="Arial" w:cs="Arial"/>
                <w:i/>
                <w:sz w:val="20"/>
                <w:szCs w:val="20"/>
              </w:rPr>
              <w:t>Ensayo Fase III, doble ciego, aleatorizado, controlado con placebo.</w:t>
            </w:r>
          </w:p>
        </w:tc>
      </w:tr>
      <w:tr w:rsidR="002C4AF7">
        <w:tc>
          <w:tcPr>
            <w:tcW w:w="8879" w:type="dxa"/>
            <w:gridSpan w:val="6"/>
            <w:shd w:val="clear" w:color="auto" w:fill="CCFFCC"/>
          </w:tcPr>
          <w:p w:rsidR="002C4AF7" w:rsidRDefault="007C2686">
            <w:pPr>
              <w:ind w:left="0" w:hanging="2"/>
              <w:jc w:val="both"/>
              <w:rPr>
                <w:rFonts w:ascii="Arial" w:eastAsia="Arial" w:hAnsi="Arial" w:cs="Arial"/>
                <w:sz w:val="16"/>
                <w:szCs w:val="16"/>
              </w:rPr>
            </w:pPr>
            <w:r>
              <w:rPr>
                <w:rFonts w:ascii="Arial" w:eastAsia="Arial" w:hAnsi="Arial" w:cs="Arial"/>
                <w:b/>
                <w:sz w:val="16"/>
                <w:szCs w:val="16"/>
              </w:rPr>
              <w:t>Resultados de seguridad</w:t>
            </w:r>
          </w:p>
        </w:tc>
      </w:tr>
      <w:tr w:rsidR="002C4AF7">
        <w:trPr>
          <w:trHeight w:val="685"/>
        </w:trPr>
        <w:tc>
          <w:tcPr>
            <w:tcW w:w="2692" w:type="dxa"/>
          </w:tcPr>
          <w:p w:rsidR="002C4AF7" w:rsidRDefault="007C2686">
            <w:pPr>
              <w:ind w:left="0" w:hanging="2"/>
              <w:jc w:val="both"/>
              <w:rPr>
                <w:rFonts w:ascii="Arial" w:eastAsia="Arial" w:hAnsi="Arial" w:cs="Arial"/>
                <w:sz w:val="16"/>
                <w:szCs w:val="16"/>
              </w:rPr>
            </w:pPr>
            <w:r>
              <w:rPr>
                <w:rFonts w:ascii="Arial" w:eastAsia="Arial" w:hAnsi="Arial" w:cs="Arial"/>
                <w:b/>
                <w:i/>
                <w:sz w:val="16"/>
                <w:szCs w:val="16"/>
              </w:rPr>
              <w:lastRenderedPageBreak/>
              <w:t>Variable de seguridad evaluada en el estudio</w:t>
            </w:r>
          </w:p>
        </w:tc>
        <w:tc>
          <w:tcPr>
            <w:tcW w:w="1260" w:type="dxa"/>
          </w:tcPr>
          <w:p w:rsidR="002C4AF7" w:rsidRDefault="007C2686">
            <w:pPr>
              <w:tabs>
                <w:tab w:val="left" w:pos="1673"/>
              </w:tabs>
              <w:ind w:left="0" w:hanging="2"/>
              <w:rPr>
                <w:rFonts w:ascii="Arial" w:eastAsia="Arial" w:hAnsi="Arial" w:cs="Arial"/>
                <w:sz w:val="16"/>
                <w:szCs w:val="16"/>
              </w:rPr>
            </w:pPr>
            <w:r>
              <w:rPr>
                <w:rFonts w:ascii="Arial" w:eastAsia="Arial" w:hAnsi="Arial" w:cs="Arial"/>
                <w:b/>
                <w:i/>
                <w:sz w:val="16"/>
                <w:szCs w:val="16"/>
              </w:rPr>
              <w:t>Enzalutamida + TDA</w:t>
            </w:r>
          </w:p>
          <w:p w:rsidR="002C4AF7" w:rsidRDefault="007C2686">
            <w:pPr>
              <w:tabs>
                <w:tab w:val="left" w:pos="1673"/>
              </w:tabs>
              <w:ind w:left="0" w:hanging="2"/>
              <w:rPr>
                <w:rFonts w:ascii="Arial" w:eastAsia="Arial" w:hAnsi="Arial" w:cs="Arial"/>
                <w:sz w:val="16"/>
                <w:szCs w:val="16"/>
              </w:rPr>
            </w:pPr>
            <w:r>
              <w:rPr>
                <w:rFonts w:ascii="Arial" w:eastAsia="Arial" w:hAnsi="Arial" w:cs="Arial"/>
                <w:b/>
                <w:i/>
                <w:sz w:val="16"/>
                <w:szCs w:val="16"/>
              </w:rPr>
              <w:t>N (572)</w:t>
            </w:r>
          </w:p>
        </w:tc>
        <w:tc>
          <w:tcPr>
            <w:tcW w:w="1253" w:type="dxa"/>
          </w:tcPr>
          <w:p w:rsidR="002C4AF7" w:rsidRDefault="007C2686">
            <w:pPr>
              <w:tabs>
                <w:tab w:val="left" w:pos="1673"/>
              </w:tabs>
              <w:ind w:left="0" w:hanging="2"/>
              <w:rPr>
                <w:rFonts w:ascii="Arial" w:eastAsia="Arial" w:hAnsi="Arial" w:cs="Arial"/>
                <w:sz w:val="16"/>
                <w:szCs w:val="16"/>
              </w:rPr>
            </w:pPr>
            <w:r>
              <w:rPr>
                <w:rFonts w:ascii="Arial" w:eastAsia="Arial" w:hAnsi="Arial" w:cs="Arial"/>
                <w:b/>
                <w:i/>
                <w:sz w:val="16"/>
                <w:szCs w:val="16"/>
              </w:rPr>
              <w:t>Placebo + TDA</w:t>
            </w:r>
          </w:p>
          <w:p w:rsidR="002C4AF7" w:rsidRDefault="007C2686">
            <w:pPr>
              <w:tabs>
                <w:tab w:val="left" w:pos="1673"/>
              </w:tabs>
              <w:ind w:left="0" w:hanging="2"/>
              <w:rPr>
                <w:rFonts w:ascii="Arial" w:eastAsia="Arial" w:hAnsi="Arial" w:cs="Arial"/>
                <w:sz w:val="16"/>
                <w:szCs w:val="16"/>
              </w:rPr>
            </w:pPr>
            <w:r>
              <w:rPr>
                <w:rFonts w:ascii="Arial" w:eastAsia="Arial" w:hAnsi="Arial" w:cs="Arial"/>
                <w:b/>
                <w:i/>
                <w:sz w:val="16"/>
                <w:szCs w:val="16"/>
              </w:rPr>
              <w:t xml:space="preserve">N (574) </w:t>
            </w:r>
          </w:p>
        </w:tc>
        <w:tc>
          <w:tcPr>
            <w:tcW w:w="1805" w:type="dxa"/>
          </w:tcPr>
          <w:p w:rsidR="002C4AF7" w:rsidRDefault="007C2686">
            <w:pPr>
              <w:tabs>
                <w:tab w:val="left" w:pos="1673"/>
              </w:tabs>
              <w:ind w:left="0" w:hanging="2"/>
              <w:rPr>
                <w:rFonts w:ascii="Arial" w:eastAsia="Arial" w:hAnsi="Arial" w:cs="Arial"/>
                <w:sz w:val="16"/>
                <w:szCs w:val="16"/>
              </w:rPr>
            </w:pPr>
            <w:r>
              <w:rPr>
                <w:rFonts w:ascii="Arial" w:eastAsia="Arial" w:hAnsi="Arial" w:cs="Arial"/>
                <w:b/>
                <w:i/>
                <w:sz w:val="16"/>
                <w:szCs w:val="16"/>
              </w:rPr>
              <w:t>RAR (IC 95%)</w:t>
            </w:r>
            <w:r>
              <w:rPr>
                <w:rFonts w:ascii="Arial" w:eastAsia="Arial" w:hAnsi="Arial" w:cs="Arial"/>
                <w:sz w:val="16"/>
                <w:szCs w:val="16"/>
              </w:rPr>
              <w:t xml:space="preserve"> Diferencia Riesgo Absoluto</w:t>
            </w:r>
            <w:r>
              <w:rPr>
                <w:rFonts w:ascii="Arial" w:eastAsia="Arial" w:hAnsi="Arial" w:cs="Arial"/>
                <w:b/>
                <w:i/>
                <w:sz w:val="16"/>
                <w:szCs w:val="16"/>
              </w:rPr>
              <w:t xml:space="preserve"> *</w:t>
            </w:r>
          </w:p>
        </w:tc>
        <w:tc>
          <w:tcPr>
            <w:tcW w:w="555" w:type="dxa"/>
          </w:tcPr>
          <w:p w:rsidR="002C4AF7" w:rsidRDefault="007C2686">
            <w:pPr>
              <w:tabs>
                <w:tab w:val="left" w:pos="1673"/>
              </w:tabs>
              <w:ind w:left="0" w:hanging="2"/>
              <w:jc w:val="both"/>
              <w:rPr>
                <w:rFonts w:ascii="Arial" w:eastAsia="Arial" w:hAnsi="Arial" w:cs="Arial"/>
                <w:sz w:val="16"/>
                <w:szCs w:val="16"/>
              </w:rPr>
            </w:pPr>
            <w:r>
              <w:rPr>
                <w:rFonts w:ascii="Arial" w:eastAsia="Arial" w:hAnsi="Arial" w:cs="Arial"/>
                <w:b/>
                <w:i/>
                <w:sz w:val="16"/>
                <w:szCs w:val="16"/>
              </w:rPr>
              <w:t>P</w:t>
            </w:r>
          </w:p>
        </w:tc>
        <w:tc>
          <w:tcPr>
            <w:tcW w:w="1314" w:type="dxa"/>
          </w:tcPr>
          <w:p w:rsidR="002C4AF7" w:rsidRDefault="007C2686">
            <w:pPr>
              <w:ind w:left="0" w:hanging="2"/>
              <w:jc w:val="both"/>
              <w:rPr>
                <w:rFonts w:ascii="Arial" w:eastAsia="Arial" w:hAnsi="Arial" w:cs="Arial"/>
                <w:sz w:val="16"/>
                <w:szCs w:val="16"/>
              </w:rPr>
            </w:pPr>
            <w:r>
              <w:rPr>
                <w:rFonts w:ascii="Arial" w:eastAsia="Arial" w:hAnsi="Arial" w:cs="Arial"/>
                <w:b/>
                <w:i/>
                <w:sz w:val="16"/>
                <w:szCs w:val="16"/>
              </w:rPr>
              <w:t>NNH o NND (IC 95%)</w:t>
            </w:r>
          </w:p>
        </w:tc>
      </w:tr>
      <w:tr w:rsidR="002C4AF7">
        <w:trPr>
          <w:trHeight w:val="709"/>
        </w:trPr>
        <w:tc>
          <w:tcPr>
            <w:tcW w:w="2692" w:type="dxa"/>
          </w:tcPr>
          <w:p w:rsidR="002C4AF7" w:rsidRDefault="007C2686">
            <w:pPr>
              <w:ind w:left="0" w:hanging="2"/>
              <w:rPr>
                <w:rFonts w:ascii="Arial" w:eastAsia="Arial" w:hAnsi="Arial" w:cs="Arial"/>
                <w:sz w:val="16"/>
                <w:szCs w:val="16"/>
              </w:rPr>
            </w:pPr>
            <w:r>
              <w:rPr>
                <w:rFonts w:ascii="Arial" w:eastAsia="Arial" w:hAnsi="Arial" w:cs="Arial"/>
                <w:i/>
                <w:sz w:val="16"/>
                <w:szCs w:val="16"/>
              </w:rPr>
              <w:t xml:space="preserve"> -EA</w:t>
            </w:r>
          </w:p>
          <w:p w:rsidR="002C4AF7" w:rsidRDefault="007C2686">
            <w:pPr>
              <w:ind w:left="0" w:hanging="2"/>
              <w:rPr>
                <w:rFonts w:ascii="Arial" w:eastAsia="Arial" w:hAnsi="Arial" w:cs="Arial"/>
                <w:sz w:val="16"/>
                <w:szCs w:val="16"/>
              </w:rPr>
            </w:pPr>
            <w:r>
              <w:rPr>
                <w:rFonts w:ascii="Arial" w:eastAsia="Arial" w:hAnsi="Arial" w:cs="Arial"/>
                <w:i/>
                <w:sz w:val="16"/>
                <w:szCs w:val="16"/>
              </w:rPr>
              <w:t xml:space="preserve"> -</w:t>
            </w:r>
            <w:r>
              <w:rPr>
                <w:rFonts w:ascii="Arial" w:eastAsia="Arial" w:hAnsi="Arial" w:cs="Arial"/>
                <w:i/>
                <w:sz w:val="18"/>
                <w:szCs w:val="18"/>
              </w:rPr>
              <w:t xml:space="preserve">EA grado </w:t>
            </w:r>
            <w:sdt>
              <w:sdtPr>
                <w:tag w:val="goog_rdk_11"/>
                <w:id w:val="59769563"/>
              </w:sdtPr>
              <w:sdtEndPr/>
              <w:sdtContent>
                <w:r>
                  <w:rPr>
                    <w:rFonts w:ascii="Arial Unicode MS" w:eastAsia="Arial Unicode MS" w:hAnsi="Arial Unicode MS" w:cs="Arial Unicode MS"/>
                    <w:i/>
                    <w:color w:val="5F6368"/>
                    <w:sz w:val="21"/>
                    <w:szCs w:val="21"/>
                    <w:highlight w:val="white"/>
                  </w:rPr>
                  <w:t>≥</w:t>
                </w:r>
              </w:sdtContent>
            </w:sdt>
            <w:r>
              <w:rPr>
                <w:rFonts w:ascii="Arial" w:eastAsia="Arial" w:hAnsi="Arial" w:cs="Arial"/>
                <w:i/>
                <w:sz w:val="18"/>
                <w:szCs w:val="18"/>
              </w:rPr>
              <w:t>3</w:t>
            </w:r>
          </w:p>
          <w:p w:rsidR="002C4AF7" w:rsidRDefault="007C2686">
            <w:pPr>
              <w:ind w:left="0" w:hanging="2"/>
              <w:rPr>
                <w:rFonts w:ascii="Arial" w:eastAsia="Arial" w:hAnsi="Arial" w:cs="Arial"/>
                <w:sz w:val="16"/>
                <w:szCs w:val="16"/>
              </w:rPr>
            </w:pPr>
            <w:r>
              <w:rPr>
                <w:rFonts w:ascii="Arial" w:eastAsia="Arial" w:hAnsi="Arial" w:cs="Arial"/>
                <w:i/>
                <w:sz w:val="16"/>
                <w:szCs w:val="16"/>
              </w:rPr>
              <w:t xml:space="preserve"> -EA serios</w:t>
            </w:r>
          </w:p>
          <w:p w:rsidR="002C4AF7" w:rsidRDefault="007C2686">
            <w:pPr>
              <w:ind w:left="0" w:hanging="2"/>
              <w:rPr>
                <w:rFonts w:ascii="Arial" w:eastAsia="Arial" w:hAnsi="Arial" w:cs="Arial"/>
                <w:sz w:val="16"/>
                <w:szCs w:val="16"/>
              </w:rPr>
            </w:pPr>
            <w:r>
              <w:rPr>
                <w:rFonts w:ascii="Arial" w:eastAsia="Arial" w:hAnsi="Arial" w:cs="Arial"/>
                <w:i/>
                <w:sz w:val="16"/>
                <w:szCs w:val="16"/>
              </w:rPr>
              <w:t>- EA que llevan a muerte</w:t>
            </w:r>
          </w:p>
          <w:p w:rsidR="002C4AF7" w:rsidRDefault="002C4AF7">
            <w:pPr>
              <w:ind w:left="0" w:hanging="2"/>
              <w:rPr>
                <w:rFonts w:ascii="Arial" w:eastAsia="Arial" w:hAnsi="Arial" w:cs="Arial"/>
                <w:sz w:val="16"/>
                <w:szCs w:val="16"/>
              </w:rPr>
            </w:pPr>
          </w:p>
          <w:p w:rsidR="002C4AF7" w:rsidRDefault="007C2686">
            <w:pPr>
              <w:ind w:left="0" w:hanging="2"/>
              <w:rPr>
                <w:rFonts w:ascii="Arial" w:eastAsia="Arial" w:hAnsi="Arial" w:cs="Arial"/>
                <w:sz w:val="16"/>
                <w:szCs w:val="16"/>
              </w:rPr>
            </w:pPr>
            <w:r>
              <w:rPr>
                <w:rFonts w:ascii="Arial" w:eastAsia="Arial" w:hAnsi="Arial" w:cs="Arial"/>
                <w:i/>
                <w:sz w:val="16"/>
                <w:szCs w:val="16"/>
              </w:rPr>
              <w:t xml:space="preserve">EA que ocurrieron en </w:t>
            </w:r>
            <w:sdt>
              <w:sdtPr>
                <w:tag w:val="goog_rdk_12"/>
                <w:id w:val="-536269504"/>
              </w:sdtPr>
              <w:sdtEndPr/>
              <w:sdtContent>
                <w:r>
                  <w:rPr>
                    <w:rFonts w:ascii="Arial Unicode MS" w:eastAsia="Arial Unicode MS" w:hAnsi="Arial Unicode MS" w:cs="Arial Unicode MS"/>
                    <w:sz w:val="16"/>
                    <w:szCs w:val="16"/>
                  </w:rPr>
                  <w:t>≥ 5% de pacientes</w:t>
                </w:r>
              </w:sdtContent>
            </w:sdt>
          </w:p>
          <w:p w:rsidR="002C4AF7" w:rsidRDefault="007C2686">
            <w:pPr>
              <w:numPr>
                <w:ilvl w:val="0"/>
                <w:numId w:val="4"/>
              </w:numPr>
              <w:ind w:left="0" w:hanging="2"/>
            </w:pPr>
            <w:r>
              <w:rPr>
                <w:rFonts w:ascii="Arial" w:eastAsia="Arial" w:hAnsi="Arial" w:cs="Arial"/>
                <w:sz w:val="16"/>
                <w:szCs w:val="16"/>
              </w:rPr>
              <w:t>Sofocos</w:t>
            </w:r>
          </w:p>
          <w:p w:rsidR="002C4AF7" w:rsidRDefault="007C2686">
            <w:pPr>
              <w:numPr>
                <w:ilvl w:val="0"/>
                <w:numId w:val="4"/>
              </w:numPr>
              <w:ind w:left="0" w:hanging="2"/>
            </w:pPr>
            <w:r>
              <w:rPr>
                <w:rFonts w:ascii="Arial" w:eastAsia="Arial" w:hAnsi="Arial" w:cs="Arial"/>
                <w:sz w:val="16"/>
                <w:szCs w:val="16"/>
              </w:rPr>
              <w:t>Fatiga</w:t>
            </w:r>
          </w:p>
          <w:p w:rsidR="002C4AF7" w:rsidRDefault="007C2686">
            <w:pPr>
              <w:numPr>
                <w:ilvl w:val="0"/>
                <w:numId w:val="4"/>
              </w:numPr>
              <w:ind w:left="0" w:hanging="2"/>
            </w:pPr>
            <w:r>
              <w:rPr>
                <w:rFonts w:ascii="Arial" w:eastAsia="Arial" w:hAnsi="Arial" w:cs="Arial"/>
                <w:sz w:val="16"/>
                <w:szCs w:val="16"/>
              </w:rPr>
              <w:t>Artralgia</w:t>
            </w:r>
          </w:p>
          <w:p w:rsidR="002C4AF7" w:rsidRDefault="007C2686">
            <w:pPr>
              <w:numPr>
                <w:ilvl w:val="0"/>
                <w:numId w:val="4"/>
              </w:numPr>
              <w:ind w:left="0" w:hanging="2"/>
            </w:pPr>
            <w:r>
              <w:rPr>
                <w:rFonts w:ascii="Arial" w:eastAsia="Arial" w:hAnsi="Arial" w:cs="Arial"/>
                <w:sz w:val="16"/>
                <w:szCs w:val="16"/>
              </w:rPr>
              <w:t>Dolor de espalda</w:t>
            </w:r>
          </w:p>
          <w:p w:rsidR="002C4AF7" w:rsidRDefault="007C2686">
            <w:pPr>
              <w:numPr>
                <w:ilvl w:val="0"/>
                <w:numId w:val="4"/>
              </w:numPr>
              <w:ind w:left="0" w:hanging="2"/>
            </w:pPr>
            <w:r>
              <w:rPr>
                <w:rFonts w:ascii="Arial" w:eastAsia="Arial" w:hAnsi="Arial" w:cs="Arial"/>
                <w:sz w:val="16"/>
                <w:szCs w:val="16"/>
              </w:rPr>
              <w:t>Aumento de peso</w:t>
            </w:r>
          </w:p>
          <w:p w:rsidR="002C4AF7" w:rsidRDefault="007C2686">
            <w:pPr>
              <w:numPr>
                <w:ilvl w:val="0"/>
                <w:numId w:val="4"/>
              </w:numPr>
              <w:ind w:left="0" w:hanging="2"/>
            </w:pPr>
            <w:r>
              <w:rPr>
                <w:rFonts w:ascii="Arial" w:eastAsia="Arial" w:hAnsi="Arial" w:cs="Arial"/>
                <w:sz w:val="16"/>
                <w:szCs w:val="16"/>
              </w:rPr>
              <w:t>Hipertensión</w:t>
            </w:r>
          </w:p>
          <w:p w:rsidR="002C4AF7" w:rsidRDefault="007C2686">
            <w:pPr>
              <w:numPr>
                <w:ilvl w:val="0"/>
                <w:numId w:val="4"/>
              </w:numPr>
              <w:ind w:left="0" w:hanging="2"/>
            </w:pPr>
            <w:r>
              <w:rPr>
                <w:rFonts w:ascii="Arial" w:eastAsia="Arial" w:hAnsi="Arial" w:cs="Arial"/>
                <w:sz w:val="16"/>
                <w:szCs w:val="16"/>
              </w:rPr>
              <w:t>Diarrea</w:t>
            </w:r>
          </w:p>
          <w:p w:rsidR="002C4AF7" w:rsidRDefault="007C2686">
            <w:pPr>
              <w:numPr>
                <w:ilvl w:val="0"/>
                <w:numId w:val="4"/>
              </w:numPr>
              <w:ind w:left="0" w:hanging="2"/>
            </w:pPr>
            <w:r>
              <w:rPr>
                <w:rFonts w:ascii="Arial" w:eastAsia="Arial" w:hAnsi="Arial" w:cs="Arial"/>
                <w:sz w:val="16"/>
                <w:szCs w:val="16"/>
              </w:rPr>
              <w:t>Edema</w:t>
            </w:r>
          </w:p>
          <w:p w:rsidR="002C4AF7" w:rsidRDefault="007C2686">
            <w:pPr>
              <w:numPr>
                <w:ilvl w:val="0"/>
                <w:numId w:val="4"/>
              </w:numPr>
              <w:ind w:left="0" w:hanging="2"/>
            </w:pPr>
            <w:r>
              <w:rPr>
                <w:rFonts w:ascii="Arial" w:eastAsia="Arial" w:hAnsi="Arial" w:cs="Arial"/>
                <w:sz w:val="16"/>
                <w:szCs w:val="16"/>
              </w:rPr>
              <w:t>Náuseas</w:t>
            </w:r>
          </w:p>
          <w:p w:rsidR="002C4AF7" w:rsidRDefault="007C2686">
            <w:pPr>
              <w:numPr>
                <w:ilvl w:val="0"/>
                <w:numId w:val="4"/>
              </w:numPr>
              <w:ind w:left="0" w:hanging="2"/>
            </w:pPr>
            <w:r>
              <w:rPr>
                <w:rFonts w:ascii="Arial" w:eastAsia="Arial" w:hAnsi="Arial" w:cs="Arial"/>
                <w:sz w:val="16"/>
                <w:szCs w:val="16"/>
              </w:rPr>
              <w:t>Astenia</w:t>
            </w:r>
          </w:p>
          <w:p w:rsidR="002C4AF7" w:rsidRDefault="007C2686">
            <w:pPr>
              <w:numPr>
                <w:ilvl w:val="0"/>
                <w:numId w:val="4"/>
              </w:numPr>
              <w:ind w:left="0" w:hanging="2"/>
            </w:pPr>
            <w:r>
              <w:rPr>
                <w:rFonts w:ascii="Arial" w:eastAsia="Arial" w:hAnsi="Arial" w:cs="Arial"/>
                <w:sz w:val="16"/>
                <w:szCs w:val="16"/>
              </w:rPr>
              <w:t>Estreñimiento</w:t>
            </w:r>
          </w:p>
          <w:p w:rsidR="002C4AF7" w:rsidRDefault="007C2686">
            <w:pPr>
              <w:numPr>
                <w:ilvl w:val="0"/>
                <w:numId w:val="4"/>
              </w:numPr>
              <w:ind w:left="0" w:hanging="2"/>
            </w:pPr>
            <w:r>
              <w:rPr>
                <w:rFonts w:ascii="Arial" w:eastAsia="Arial" w:hAnsi="Arial" w:cs="Arial"/>
                <w:sz w:val="16"/>
                <w:szCs w:val="16"/>
              </w:rPr>
              <w:t>Dolor musculoesquelético</w:t>
            </w:r>
          </w:p>
          <w:p w:rsidR="002C4AF7" w:rsidRDefault="007C2686">
            <w:pPr>
              <w:numPr>
                <w:ilvl w:val="0"/>
                <w:numId w:val="4"/>
              </w:numPr>
              <w:ind w:left="0" w:hanging="2"/>
            </w:pPr>
            <w:r>
              <w:rPr>
                <w:rFonts w:ascii="Arial" w:eastAsia="Arial" w:hAnsi="Arial" w:cs="Arial"/>
                <w:sz w:val="16"/>
                <w:szCs w:val="16"/>
              </w:rPr>
              <w:t>Mareo</w:t>
            </w:r>
          </w:p>
          <w:p w:rsidR="002C4AF7" w:rsidRDefault="002C4AF7">
            <w:pPr>
              <w:ind w:left="0" w:hanging="2"/>
              <w:rPr>
                <w:rFonts w:ascii="Arial" w:eastAsia="Arial" w:hAnsi="Arial" w:cs="Arial"/>
                <w:sz w:val="16"/>
                <w:szCs w:val="16"/>
              </w:rPr>
            </w:pPr>
          </w:p>
          <w:p w:rsidR="002C4AF7" w:rsidRDefault="002C4AF7">
            <w:pPr>
              <w:ind w:left="0" w:hanging="2"/>
              <w:rPr>
                <w:rFonts w:ascii="Arial" w:eastAsia="Arial" w:hAnsi="Arial" w:cs="Arial"/>
                <w:sz w:val="16"/>
                <w:szCs w:val="16"/>
              </w:rPr>
            </w:pPr>
          </w:p>
          <w:p w:rsidR="002C4AF7" w:rsidRDefault="007C2686">
            <w:pPr>
              <w:ind w:left="0" w:hanging="2"/>
              <w:rPr>
                <w:rFonts w:ascii="Arial" w:eastAsia="Arial" w:hAnsi="Arial" w:cs="Arial"/>
                <w:sz w:val="18"/>
                <w:szCs w:val="18"/>
              </w:rPr>
            </w:pPr>
            <w:r>
              <w:rPr>
                <w:rFonts w:ascii="Arial" w:eastAsia="Arial" w:hAnsi="Arial" w:cs="Arial"/>
                <w:i/>
                <w:sz w:val="16"/>
                <w:szCs w:val="16"/>
              </w:rPr>
              <w:t xml:space="preserve">EA que ocurrieron en </w:t>
            </w:r>
            <w:sdt>
              <w:sdtPr>
                <w:tag w:val="goog_rdk_13"/>
                <w:id w:val="985675961"/>
              </w:sdtPr>
              <w:sdtEndPr/>
              <w:sdtContent>
                <w:r>
                  <w:rPr>
                    <w:rFonts w:ascii="Arial Unicode MS" w:eastAsia="Arial Unicode MS" w:hAnsi="Arial Unicode MS" w:cs="Arial Unicode MS"/>
                    <w:sz w:val="16"/>
                    <w:szCs w:val="16"/>
                  </w:rPr>
                  <w:t xml:space="preserve">≥ 5% de pacientes </w:t>
                </w:r>
              </w:sdtContent>
            </w:sdt>
            <w:r>
              <w:rPr>
                <w:rFonts w:ascii="Arial" w:eastAsia="Arial" w:hAnsi="Arial" w:cs="Arial"/>
                <w:i/>
                <w:sz w:val="18"/>
                <w:szCs w:val="18"/>
              </w:rPr>
              <w:t xml:space="preserve">grado </w:t>
            </w:r>
            <w:sdt>
              <w:sdtPr>
                <w:tag w:val="goog_rdk_14"/>
                <w:id w:val="1614249115"/>
              </w:sdtPr>
              <w:sdtEndPr/>
              <w:sdtContent>
                <w:r>
                  <w:rPr>
                    <w:rFonts w:ascii="Arial Unicode MS" w:eastAsia="Arial Unicode MS" w:hAnsi="Arial Unicode MS" w:cs="Arial Unicode MS"/>
                    <w:i/>
                    <w:color w:val="5F6368"/>
                    <w:sz w:val="21"/>
                    <w:szCs w:val="21"/>
                    <w:highlight w:val="white"/>
                  </w:rPr>
                  <w:t>≥</w:t>
                </w:r>
              </w:sdtContent>
            </w:sdt>
            <w:r>
              <w:rPr>
                <w:rFonts w:ascii="Arial" w:eastAsia="Arial" w:hAnsi="Arial" w:cs="Arial"/>
                <w:i/>
                <w:sz w:val="18"/>
                <w:szCs w:val="18"/>
              </w:rPr>
              <w:t>3</w:t>
            </w:r>
          </w:p>
          <w:p w:rsidR="002C4AF7" w:rsidRDefault="002C4AF7">
            <w:pPr>
              <w:ind w:left="0" w:hanging="2"/>
              <w:rPr>
                <w:rFonts w:ascii="Arial" w:eastAsia="Arial" w:hAnsi="Arial" w:cs="Arial"/>
                <w:sz w:val="18"/>
                <w:szCs w:val="18"/>
              </w:rPr>
            </w:pPr>
          </w:p>
          <w:p w:rsidR="002C4AF7" w:rsidRDefault="007C2686">
            <w:pPr>
              <w:numPr>
                <w:ilvl w:val="0"/>
                <w:numId w:val="4"/>
              </w:numPr>
              <w:ind w:left="0" w:hanging="2"/>
            </w:pPr>
            <w:r>
              <w:rPr>
                <w:rFonts w:ascii="Arial" w:eastAsia="Arial" w:hAnsi="Arial" w:cs="Arial"/>
                <w:sz w:val="16"/>
                <w:szCs w:val="16"/>
              </w:rPr>
              <w:t>Sofocos</w:t>
            </w:r>
          </w:p>
          <w:p w:rsidR="002C4AF7" w:rsidRDefault="007C2686">
            <w:pPr>
              <w:numPr>
                <w:ilvl w:val="0"/>
                <w:numId w:val="4"/>
              </w:numPr>
              <w:ind w:left="0" w:hanging="2"/>
            </w:pPr>
            <w:r>
              <w:rPr>
                <w:rFonts w:ascii="Arial" w:eastAsia="Arial" w:hAnsi="Arial" w:cs="Arial"/>
                <w:sz w:val="16"/>
                <w:szCs w:val="16"/>
              </w:rPr>
              <w:t>Fatiga</w:t>
            </w:r>
          </w:p>
          <w:p w:rsidR="002C4AF7" w:rsidRDefault="007C2686">
            <w:pPr>
              <w:numPr>
                <w:ilvl w:val="0"/>
                <w:numId w:val="4"/>
              </w:numPr>
              <w:ind w:left="0" w:hanging="2"/>
            </w:pPr>
            <w:r>
              <w:rPr>
                <w:rFonts w:ascii="Arial" w:eastAsia="Arial" w:hAnsi="Arial" w:cs="Arial"/>
                <w:sz w:val="16"/>
                <w:szCs w:val="16"/>
              </w:rPr>
              <w:t>Artralgia</w:t>
            </w:r>
          </w:p>
          <w:p w:rsidR="002C4AF7" w:rsidRDefault="007C2686">
            <w:pPr>
              <w:numPr>
                <w:ilvl w:val="0"/>
                <w:numId w:val="4"/>
              </w:numPr>
              <w:ind w:left="0" w:hanging="2"/>
            </w:pPr>
            <w:r>
              <w:rPr>
                <w:rFonts w:ascii="Arial" w:eastAsia="Arial" w:hAnsi="Arial" w:cs="Arial"/>
                <w:sz w:val="16"/>
                <w:szCs w:val="16"/>
              </w:rPr>
              <w:t>Dolor de espalda</w:t>
            </w:r>
          </w:p>
          <w:p w:rsidR="002C4AF7" w:rsidRDefault="007C2686">
            <w:pPr>
              <w:numPr>
                <w:ilvl w:val="0"/>
                <w:numId w:val="4"/>
              </w:numPr>
              <w:ind w:left="0" w:hanging="2"/>
            </w:pPr>
            <w:r>
              <w:rPr>
                <w:rFonts w:ascii="Arial" w:eastAsia="Arial" w:hAnsi="Arial" w:cs="Arial"/>
                <w:sz w:val="16"/>
                <w:szCs w:val="16"/>
              </w:rPr>
              <w:t>Aumento de peso</w:t>
            </w:r>
          </w:p>
          <w:p w:rsidR="002C4AF7" w:rsidRDefault="007C2686">
            <w:pPr>
              <w:numPr>
                <w:ilvl w:val="0"/>
                <w:numId w:val="4"/>
              </w:numPr>
              <w:ind w:left="0" w:hanging="2"/>
            </w:pPr>
            <w:r>
              <w:rPr>
                <w:rFonts w:ascii="Arial" w:eastAsia="Arial" w:hAnsi="Arial" w:cs="Arial"/>
                <w:sz w:val="16"/>
                <w:szCs w:val="16"/>
              </w:rPr>
              <w:t>Hipertensión</w:t>
            </w:r>
          </w:p>
          <w:p w:rsidR="002C4AF7" w:rsidRDefault="007C2686">
            <w:pPr>
              <w:numPr>
                <w:ilvl w:val="0"/>
                <w:numId w:val="4"/>
              </w:numPr>
              <w:ind w:left="0" w:hanging="2"/>
            </w:pPr>
            <w:r>
              <w:rPr>
                <w:rFonts w:ascii="Arial" w:eastAsia="Arial" w:hAnsi="Arial" w:cs="Arial"/>
                <w:sz w:val="16"/>
                <w:szCs w:val="16"/>
              </w:rPr>
              <w:t>Diarrea</w:t>
            </w:r>
          </w:p>
          <w:p w:rsidR="002C4AF7" w:rsidRDefault="007C2686">
            <w:pPr>
              <w:numPr>
                <w:ilvl w:val="0"/>
                <w:numId w:val="4"/>
              </w:numPr>
              <w:ind w:left="0" w:hanging="2"/>
            </w:pPr>
            <w:r>
              <w:rPr>
                <w:rFonts w:ascii="Arial" w:eastAsia="Arial" w:hAnsi="Arial" w:cs="Arial"/>
                <w:sz w:val="16"/>
                <w:szCs w:val="16"/>
              </w:rPr>
              <w:t>Edema</w:t>
            </w:r>
          </w:p>
          <w:p w:rsidR="002C4AF7" w:rsidRDefault="007C2686">
            <w:pPr>
              <w:numPr>
                <w:ilvl w:val="0"/>
                <w:numId w:val="4"/>
              </w:numPr>
              <w:ind w:left="0" w:hanging="2"/>
            </w:pPr>
            <w:r>
              <w:rPr>
                <w:rFonts w:ascii="Arial" w:eastAsia="Arial" w:hAnsi="Arial" w:cs="Arial"/>
                <w:sz w:val="16"/>
                <w:szCs w:val="16"/>
              </w:rPr>
              <w:t>Náuseas</w:t>
            </w:r>
          </w:p>
          <w:p w:rsidR="002C4AF7" w:rsidRDefault="007C2686">
            <w:pPr>
              <w:numPr>
                <w:ilvl w:val="0"/>
                <w:numId w:val="4"/>
              </w:numPr>
              <w:ind w:left="0" w:hanging="2"/>
            </w:pPr>
            <w:r>
              <w:rPr>
                <w:rFonts w:ascii="Arial" w:eastAsia="Arial" w:hAnsi="Arial" w:cs="Arial"/>
                <w:sz w:val="16"/>
                <w:szCs w:val="16"/>
              </w:rPr>
              <w:t>Astenia</w:t>
            </w:r>
          </w:p>
          <w:p w:rsidR="002C4AF7" w:rsidRDefault="007C2686">
            <w:pPr>
              <w:numPr>
                <w:ilvl w:val="0"/>
                <w:numId w:val="4"/>
              </w:numPr>
              <w:ind w:left="0" w:hanging="2"/>
            </w:pPr>
            <w:r>
              <w:rPr>
                <w:rFonts w:ascii="Arial" w:eastAsia="Arial" w:hAnsi="Arial" w:cs="Arial"/>
                <w:sz w:val="16"/>
                <w:szCs w:val="16"/>
              </w:rPr>
              <w:t>Estreñimiento</w:t>
            </w:r>
          </w:p>
          <w:p w:rsidR="002C4AF7" w:rsidRDefault="007C2686">
            <w:pPr>
              <w:numPr>
                <w:ilvl w:val="0"/>
                <w:numId w:val="4"/>
              </w:numPr>
              <w:ind w:left="0" w:hanging="2"/>
            </w:pPr>
            <w:r>
              <w:rPr>
                <w:rFonts w:ascii="Arial" w:eastAsia="Arial" w:hAnsi="Arial" w:cs="Arial"/>
                <w:sz w:val="16"/>
                <w:szCs w:val="16"/>
              </w:rPr>
              <w:t>Dolor musculoesquelético</w:t>
            </w:r>
          </w:p>
          <w:p w:rsidR="002C4AF7" w:rsidRDefault="007C2686">
            <w:pPr>
              <w:numPr>
                <w:ilvl w:val="0"/>
                <w:numId w:val="4"/>
              </w:numPr>
              <w:ind w:left="0" w:hanging="2"/>
            </w:pPr>
            <w:r>
              <w:rPr>
                <w:rFonts w:ascii="Arial" w:eastAsia="Arial" w:hAnsi="Arial" w:cs="Arial"/>
                <w:sz w:val="16"/>
                <w:szCs w:val="16"/>
              </w:rPr>
              <w:t>Mareo</w:t>
            </w:r>
          </w:p>
        </w:tc>
        <w:tc>
          <w:tcPr>
            <w:tcW w:w="1260" w:type="dxa"/>
          </w:tcPr>
          <w:p w:rsidR="002C4AF7" w:rsidRDefault="007C2686">
            <w:pPr>
              <w:ind w:left="0" w:hanging="2"/>
              <w:jc w:val="center"/>
              <w:rPr>
                <w:rFonts w:ascii="Arial" w:eastAsia="Arial" w:hAnsi="Arial" w:cs="Arial"/>
                <w:sz w:val="16"/>
                <w:szCs w:val="16"/>
              </w:rPr>
            </w:pPr>
            <w:r>
              <w:rPr>
                <w:rFonts w:ascii="Arial" w:eastAsia="Arial" w:hAnsi="Arial" w:cs="Arial"/>
                <w:i/>
                <w:sz w:val="16"/>
                <w:szCs w:val="16"/>
              </w:rPr>
              <w:t>85,1%</w:t>
            </w: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24,3%</w:t>
            </w: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18,2%</w:t>
            </w: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2.4 %</w:t>
            </w:r>
          </w:p>
          <w:p w:rsidR="002C4AF7" w:rsidRDefault="002C4AF7">
            <w:pPr>
              <w:ind w:left="0" w:hanging="2"/>
              <w:jc w:val="center"/>
              <w:rPr>
                <w:rFonts w:ascii="Arial" w:eastAsia="Arial" w:hAnsi="Arial" w:cs="Arial"/>
                <w:sz w:val="16"/>
                <w:szCs w:val="16"/>
              </w:rPr>
            </w:pPr>
          </w:p>
          <w:p w:rsidR="002C4AF7" w:rsidRDefault="002C4AF7">
            <w:pPr>
              <w:ind w:left="0" w:hanging="2"/>
              <w:jc w:val="center"/>
              <w:rPr>
                <w:rFonts w:ascii="Arial" w:eastAsia="Arial" w:hAnsi="Arial" w:cs="Arial"/>
                <w:sz w:val="16"/>
                <w:szCs w:val="16"/>
              </w:rPr>
            </w:pP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27,1 %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19,6 %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12,2 %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7,5 %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6,1 %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8,0 %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5,9 %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5,1 %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6,5 %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5,4 %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4,9 %</w:t>
            </w: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6,3 %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5,1 %</w:t>
            </w:r>
          </w:p>
          <w:p w:rsidR="002C4AF7" w:rsidRDefault="002C4AF7">
            <w:pPr>
              <w:ind w:left="0" w:hanging="2"/>
              <w:jc w:val="center"/>
              <w:rPr>
                <w:rFonts w:ascii="Arial" w:eastAsia="Arial" w:hAnsi="Arial" w:cs="Arial"/>
                <w:sz w:val="16"/>
                <w:szCs w:val="16"/>
              </w:rPr>
            </w:pP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0,3 %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0,9 %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0,3 %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0,9 %</w:t>
            </w: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0,3 %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3,3 %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0 %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0,2 %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0,2 %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1,0 %</w:t>
            </w: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0 %</w:t>
            </w: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0,2 %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0 %</w:t>
            </w:r>
          </w:p>
        </w:tc>
        <w:tc>
          <w:tcPr>
            <w:tcW w:w="1253" w:type="dxa"/>
          </w:tcPr>
          <w:p w:rsidR="002C4AF7" w:rsidRDefault="007C2686">
            <w:pPr>
              <w:ind w:left="0" w:hanging="2"/>
              <w:jc w:val="center"/>
              <w:rPr>
                <w:rFonts w:ascii="Arial" w:eastAsia="Arial" w:hAnsi="Arial" w:cs="Arial"/>
                <w:sz w:val="16"/>
                <w:szCs w:val="16"/>
              </w:rPr>
            </w:pPr>
            <w:r>
              <w:rPr>
                <w:rFonts w:ascii="Arial" w:eastAsia="Arial" w:hAnsi="Arial" w:cs="Arial"/>
                <w:i/>
                <w:sz w:val="16"/>
                <w:szCs w:val="16"/>
              </w:rPr>
              <w:t>85,9%</w:t>
            </w: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25,6%</w:t>
            </w: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19.5%</w:t>
            </w: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1,7 %</w:t>
            </w:r>
          </w:p>
          <w:p w:rsidR="002C4AF7" w:rsidRDefault="002C4AF7">
            <w:pPr>
              <w:ind w:left="0" w:hanging="2"/>
              <w:jc w:val="center"/>
              <w:rPr>
                <w:rFonts w:ascii="Arial" w:eastAsia="Arial" w:hAnsi="Arial" w:cs="Arial"/>
                <w:sz w:val="16"/>
                <w:szCs w:val="16"/>
              </w:rPr>
            </w:pPr>
          </w:p>
          <w:p w:rsidR="002C4AF7" w:rsidRDefault="002C4AF7">
            <w:pPr>
              <w:ind w:left="0" w:hanging="2"/>
              <w:jc w:val="center"/>
              <w:rPr>
                <w:rFonts w:ascii="Arial" w:eastAsia="Arial" w:hAnsi="Arial" w:cs="Arial"/>
                <w:sz w:val="16"/>
                <w:szCs w:val="16"/>
              </w:rPr>
            </w:pP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22,3%</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15,3 %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10,6 %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10,8 %ç</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0,3%</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3,3 %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5,7 %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6,6 %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5,1 %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4,9 %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5,4 %</w:t>
            </w: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4,0 %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3,5 %</w:t>
            </w:r>
          </w:p>
          <w:p w:rsidR="002C4AF7" w:rsidRDefault="002C4AF7">
            <w:pPr>
              <w:ind w:left="0" w:hanging="2"/>
              <w:jc w:val="center"/>
              <w:rPr>
                <w:rFonts w:ascii="Arial" w:eastAsia="Arial" w:hAnsi="Arial" w:cs="Arial"/>
                <w:sz w:val="16"/>
                <w:szCs w:val="16"/>
              </w:rPr>
            </w:pP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0 %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1,0 %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0,7 %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0,5 %</w:t>
            </w: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0,2 %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1,7 %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0,2 %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0,2 %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0 %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0,5 %</w:t>
            </w: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0 %</w:t>
            </w: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0,2 %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0 %</w:t>
            </w:r>
          </w:p>
          <w:p w:rsidR="002C4AF7" w:rsidRDefault="002C4AF7">
            <w:pPr>
              <w:ind w:left="0" w:hanging="2"/>
              <w:jc w:val="center"/>
              <w:rPr>
                <w:rFonts w:ascii="Arial" w:eastAsia="Arial" w:hAnsi="Arial" w:cs="Arial"/>
                <w:sz w:val="16"/>
                <w:szCs w:val="16"/>
              </w:rPr>
            </w:pPr>
          </w:p>
          <w:p w:rsidR="002C4AF7" w:rsidRDefault="002C4AF7">
            <w:pPr>
              <w:ind w:left="0" w:hanging="2"/>
              <w:jc w:val="center"/>
              <w:rPr>
                <w:rFonts w:ascii="Arial" w:eastAsia="Arial" w:hAnsi="Arial" w:cs="Arial"/>
                <w:sz w:val="16"/>
                <w:szCs w:val="16"/>
              </w:rPr>
            </w:pPr>
          </w:p>
        </w:tc>
        <w:tc>
          <w:tcPr>
            <w:tcW w:w="1805" w:type="dxa"/>
          </w:tcPr>
          <w:p w:rsidR="002C4AF7" w:rsidRDefault="007C2686">
            <w:pPr>
              <w:ind w:left="0" w:hanging="2"/>
              <w:jc w:val="center"/>
              <w:rPr>
                <w:rFonts w:ascii="Arial" w:eastAsia="Arial" w:hAnsi="Arial" w:cs="Arial"/>
                <w:sz w:val="16"/>
                <w:szCs w:val="16"/>
              </w:rPr>
            </w:pPr>
            <w:r>
              <w:rPr>
                <w:rFonts w:ascii="Arial" w:eastAsia="Arial" w:hAnsi="Arial" w:cs="Arial"/>
                <w:i/>
                <w:sz w:val="16"/>
                <w:szCs w:val="16"/>
              </w:rPr>
              <w:t>-</w:t>
            </w: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w:t>
            </w:r>
          </w:p>
          <w:p w:rsidR="002C4AF7" w:rsidRDefault="007C2686">
            <w:pPr>
              <w:tabs>
                <w:tab w:val="center" w:pos="851"/>
              </w:tabs>
              <w:ind w:left="0" w:hanging="2"/>
              <w:rPr>
                <w:rFonts w:ascii="Arial" w:eastAsia="Arial" w:hAnsi="Arial" w:cs="Arial"/>
                <w:sz w:val="16"/>
                <w:szCs w:val="16"/>
              </w:rPr>
            </w:pPr>
            <w:r>
              <w:rPr>
                <w:rFonts w:ascii="Arial" w:eastAsia="Arial" w:hAnsi="Arial" w:cs="Arial"/>
                <w:i/>
                <w:sz w:val="16"/>
                <w:szCs w:val="16"/>
              </w:rPr>
              <w:t xml:space="preserve">                  -</w:t>
            </w:r>
          </w:p>
          <w:p w:rsidR="002C4AF7" w:rsidRDefault="007C2686">
            <w:pPr>
              <w:tabs>
                <w:tab w:val="center" w:pos="851"/>
              </w:tabs>
              <w:ind w:left="0" w:hanging="2"/>
              <w:jc w:val="center"/>
              <w:rPr>
                <w:rFonts w:ascii="Arial" w:eastAsia="Arial" w:hAnsi="Arial" w:cs="Arial"/>
                <w:sz w:val="16"/>
                <w:szCs w:val="16"/>
              </w:rPr>
            </w:pPr>
            <w:r>
              <w:rPr>
                <w:rFonts w:ascii="Arial" w:eastAsia="Arial" w:hAnsi="Arial" w:cs="Arial"/>
                <w:i/>
                <w:sz w:val="16"/>
                <w:szCs w:val="16"/>
              </w:rPr>
              <w:t>-</w:t>
            </w:r>
          </w:p>
          <w:p w:rsidR="002C4AF7" w:rsidRDefault="007C2686">
            <w:pPr>
              <w:tabs>
                <w:tab w:val="center" w:pos="851"/>
              </w:tabs>
              <w:ind w:left="0" w:hanging="2"/>
              <w:rPr>
                <w:rFonts w:ascii="Arial" w:eastAsia="Arial" w:hAnsi="Arial" w:cs="Arial"/>
                <w:sz w:val="16"/>
                <w:szCs w:val="16"/>
              </w:rPr>
            </w:pPr>
            <w:r>
              <w:rPr>
                <w:rFonts w:ascii="Arial" w:eastAsia="Arial" w:hAnsi="Arial" w:cs="Arial"/>
                <w:i/>
                <w:sz w:val="16"/>
                <w:szCs w:val="16"/>
              </w:rPr>
              <w:tab/>
            </w:r>
          </w:p>
          <w:p w:rsidR="002C4AF7" w:rsidRDefault="002C4AF7">
            <w:pPr>
              <w:tabs>
                <w:tab w:val="center" w:pos="851"/>
              </w:tabs>
              <w:ind w:left="0" w:hanging="2"/>
              <w:rPr>
                <w:rFonts w:ascii="Arial" w:eastAsia="Arial" w:hAnsi="Arial" w:cs="Arial"/>
                <w:sz w:val="16"/>
                <w:szCs w:val="16"/>
              </w:rPr>
            </w:pPr>
          </w:p>
          <w:p w:rsidR="002C4AF7" w:rsidRDefault="002C4AF7">
            <w:pPr>
              <w:tabs>
                <w:tab w:val="center" w:pos="851"/>
              </w:tabs>
              <w:ind w:left="0" w:hanging="2"/>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w:t>
            </w: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w:t>
            </w:r>
          </w:p>
          <w:p w:rsidR="002C4AF7" w:rsidRDefault="007C2686">
            <w:pPr>
              <w:tabs>
                <w:tab w:val="center" w:pos="851"/>
              </w:tabs>
              <w:ind w:left="0" w:hanging="2"/>
              <w:rPr>
                <w:rFonts w:ascii="Arial" w:eastAsia="Arial" w:hAnsi="Arial" w:cs="Arial"/>
                <w:sz w:val="16"/>
                <w:szCs w:val="16"/>
              </w:rPr>
            </w:pPr>
            <w:r>
              <w:rPr>
                <w:rFonts w:ascii="Arial" w:eastAsia="Arial" w:hAnsi="Arial" w:cs="Arial"/>
                <w:i/>
                <w:sz w:val="16"/>
                <w:szCs w:val="16"/>
              </w:rPr>
              <w:t xml:space="preserve">                  -</w:t>
            </w:r>
          </w:p>
          <w:p w:rsidR="002C4AF7" w:rsidRDefault="007C2686">
            <w:pPr>
              <w:tabs>
                <w:tab w:val="center" w:pos="851"/>
              </w:tabs>
              <w:ind w:left="0" w:hanging="2"/>
              <w:jc w:val="center"/>
              <w:rPr>
                <w:rFonts w:ascii="Arial" w:eastAsia="Arial" w:hAnsi="Arial" w:cs="Arial"/>
                <w:sz w:val="16"/>
                <w:szCs w:val="16"/>
              </w:rPr>
            </w:pPr>
            <w:r>
              <w:rPr>
                <w:rFonts w:ascii="Arial" w:eastAsia="Arial" w:hAnsi="Arial" w:cs="Arial"/>
                <w:i/>
                <w:sz w:val="16"/>
                <w:szCs w:val="16"/>
              </w:rPr>
              <w:t>-</w:t>
            </w: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w:t>
            </w: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w:t>
            </w:r>
          </w:p>
          <w:p w:rsidR="002C4AF7" w:rsidRDefault="007C2686">
            <w:pPr>
              <w:tabs>
                <w:tab w:val="center" w:pos="851"/>
              </w:tabs>
              <w:ind w:left="0" w:hanging="2"/>
              <w:rPr>
                <w:rFonts w:ascii="Arial" w:eastAsia="Arial" w:hAnsi="Arial" w:cs="Arial"/>
                <w:sz w:val="16"/>
                <w:szCs w:val="16"/>
              </w:rPr>
            </w:pPr>
            <w:r>
              <w:rPr>
                <w:rFonts w:ascii="Arial" w:eastAsia="Arial" w:hAnsi="Arial" w:cs="Arial"/>
                <w:i/>
                <w:sz w:val="16"/>
                <w:szCs w:val="16"/>
              </w:rPr>
              <w:t xml:space="preserve">                  -</w:t>
            </w:r>
          </w:p>
          <w:p w:rsidR="002C4AF7" w:rsidRDefault="007C2686">
            <w:pPr>
              <w:tabs>
                <w:tab w:val="center" w:pos="851"/>
              </w:tabs>
              <w:ind w:left="0" w:hanging="2"/>
              <w:jc w:val="center"/>
              <w:rPr>
                <w:rFonts w:ascii="Arial" w:eastAsia="Arial" w:hAnsi="Arial" w:cs="Arial"/>
                <w:sz w:val="16"/>
                <w:szCs w:val="16"/>
              </w:rPr>
            </w:pPr>
            <w:r>
              <w:rPr>
                <w:rFonts w:ascii="Arial" w:eastAsia="Arial" w:hAnsi="Arial" w:cs="Arial"/>
                <w:i/>
                <w:sz w:val="16"/>
                <w:szCs w:val="16"/>
              </w:rPr>
              <w:t>-</w:t>
            </w: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w:t>
            </w: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w:t>
            </w:r>
          </w:p>
          <w:p w:rsidR="002C4AF7" w:rsidRDefault="007C2686">
            <w:pPr>
              <w:tabs>
                <w:tab w:val="center" w:pos="851"/>
              </w:tabs>
              <w:ind w:left="0" w:hanging="2"/>
              <w:rPr>
                <w:rFonts w:ascii="Arial" w:eastAsia="Arial" w:hAnsi="Arial" w:cs="Arial"/>
                <w:sz w:val="16"/>
                <w:szCs w:val="16"/>
              </w:rPr>
            </w:pPr>
            <w:r>
              <w:rPr>
                <w:rFonts w:ascii="Arial" w:eastAsia="Arial" w:hAnsi="Arial" w:cs="Arial"/>
                <w:i/>
                <w:sz w:val="16"/>
                <w:szCs w:val="16"/>
              </w:rPr>
              <w:t xml:space="preserve">                  -</w:t>
            </w:r>
          </w:p>
          <w:p w:rsidR="002C4AF7" w:rsidRDefault="007C2686">
            <w:pPr>
              <w:tabs>
                <w:tab w:val="center" w:pos="851"/>
              </w:tabs>
              <w:ind w:left="0" w:hanging="2"/>
              <w:jc w:val="center"/>
              <w:rPr>
                <w:rFonts w:ascii="Arial" w:eastAsia="Arial" w:hAnsi="Arial" w:cs="Arial"/>
                <w:sz w:val="16"/>
                <w:szCs w:val="16"/>
              </w:rPr>
            </w:pPr>
            <w:r>
              <w:rPr>
                <w:rFonts w:ascii="Arial" w:eastAsia="Arial" w:hAnsi="Arial" w:cs="Arial"/>
                <w:i/>
                <w:sz w:val="16"/>
                <w:szCs w:val="16"/>
              </w:rPr>
              <w:t>-</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w:t>
            </w:r>
          </w:p>
          <w:p w:rsidR="002C4AF7" w:rsidRDefault="002C4AF7">
            <w:pPr>
              <w:tabs>
                <w:tab w:val="center" w:pos="851"/>
              </w:tabs>
              <w:ind w:left="0" w:hanging="2"/>
              <w:rPr>
                <w:rFonts w:ascii="Arial" w:eastAsia="Arial" w:hAnsi="Arial" w:cs="Arial"/>
                <w:sz w:val="16"/>
                <w:szCs w:val="16"/>
              </w:rPr>
            </w:pPr>
          </w:p>
          <w:p w:rsidR="002C4AF7" w:rsidRDefault="002C4AF7">
            <w:pPr>
              <w:tabs>
                <w:tab w:val="center" w:pos="851"/>
              </w:tabs>
              <w:ind w:left="0" w:hanging="2"/>
              <w:rPr>
                <w:rFonts w:ascii="Arial" w:eastAsia="Arial" w:hAnsi="Arial" w:cs="Arial"/>
                <w:sz w:val="16"/>
                <w:szCs w:val="16"/>
              </w:rPr>
            </w:pPr>
          </w:p>
          <w:p w:rsidR="002C4AF7" w:rsidRDefault="002C4AF7">
            <w:pPr>
              <w:tabs>
                <w:tab w:val="center" w:pos="851"/>
              </w:tabs>
              <w:ind w:left="0" w:hanging="2"/>
              <w:rPr>
                <w:rFonts w:ascii="Arial" w:eastAsia="Arial" w:hAnsi="Arial" w:cs="Arial"/>
                <w:sz w:val="16"/>
                <w:szCs w:val="16"/>
              </w:rPr>
            </w:pPr>
          </w:p>
          <w:p w:rsidR="002C4AF7" w:rsidRDefault="002C4AF7">
            <w:pPr>
              <w:tabs>
                <w:tab w:val="center" w:pos="851"/>
              </w:tabs>
              <w:ind w:left="0" w:hanging="2"/>
              <w:rPr>
                <w:rFonts w:ascii="Arial" w:eastAsia="Arial" w:hAnsi="Arial" w:cs="Arial"/>
                <w:sz w:val="16"/>
                <w:szCs w:val="16"/>
              </w:rPr>
            </w:pPr>
          </w:p>
          <w:p w:rsidR="002C4AF7" w:rsidRDefault="002C4AF7">
            <w:pPr>
              <w:tabs>
                <w:tab w:val="center" w:pos="851"/>
              </w:tabs>
              <w:ind w:left="0" w:hanging="2"/>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w:t>
            </w: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w:t>
            </w:r>
          </w:p>
          <w:p w:rsidR="002C4AF7" w:rsidRDefault="007C2686">
            <w:pPr>
              <w:tabs>
                <w:tab w:val="center" w:pos="851"/>
              </w:tabs>
              <w:ind w:left="0" w:hanging="2"/>
              <w:rPr>
                <w:rFonts w:ascii="Arial" w:eastAsia="Arial" w:hAnsi="Arial" w:cs="Arial"/>
                <w:sz w:val="16"/>
                <w:szCs w:val="16"/>
              </w:rPr>
            </w:pPr>
            <w:r>
              <w:rPr>
                <w:rFonts w:ascii="Arial" w:eastAsia="Arial" w:hAnsi="Arial" w:cs="Arial"/>
                <w:i/>
                <w:sz w:val="16"/>
                <w:szCs w:val="16"/>
              </w:rPr>
              <w:t xml:space="preserve">                  -</w:t>
            </w:r>
          </w:p>
          <w:p w:rsidR="002C4AF7" w:rsidRDefault="007C2686">
            <w:pPr>
              <w:tabs>
                <w:tab w:val="center" w:pos="851"/>
              </w:tabs>
              <w:ind w:left="0" w:hanging="2"/>
              <w:jc w:val="center"/>
              <w:rPr>
                <w:rFonts w:ascii="Arial" w:eastAsia="Arial" w:hAnsi="Arial" w:cs="Arial"/>
                <w:sz w:val="16"/>
                <w:szCs w:val="16"/>
              </w:rPr>
            </w:pPr>
            <w:r>
              <w:rPr>
                <w:rFonts w:ascii="Arial" w:eastAsia="Arial" w:hAnsi="Arial" w:cs="Arial"/>
                <w:i/>
                <w:sz w:val="16"/>
                <w:szCs w:val="16"/>
              </w:rPr>
              <w:t>-</w:t>
            </w: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w:t>
            </w: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w:t>
            </w:r>
          </w:p>
          <w:p w:rsidR="002C4AF7" w:rsidRDefault="007C2686">
            <w:pPr>
              <w:tabs>
                <w:tab w:val="center" w:pos="851"/>
              </w:tabs>
              <w:ind w:left="0" w:hanging="2"/>
              <w:rPr>
                <w:rFonts w:ascii="Arial" w:eastAsia="Arial" w:hAnsi="Arial" w:cs="Arial"/>
                <w:sz w:val="16"/>
                <w:szCs w:val="16"/>
              </w:rPr>
            </w:pPr>
            <w:r>
              <w:rPr>
                <w:rFonts w:ascii="Arial" w:eastAsia="Arial" w:hAnsi="Arial" w:cs="Arial"/>
                <w:i/>
                <w:sz w:val="16"/>
                <w:szCs w:val="16"/>
              </w:rPr>
              <w:t xml:space="preserve">                  -</w:t>
            </w:r>
          </w:p>
          <w:p w:rsidR="002C4AF7" w:rsidRDefault="007C2686">
            <w:pPr>
              <w:tabs>
                <w:tab w:val="center" w:pos="851"/>
              </w:tabs>
              <w:ind w:left="0" w:hanging="2"/>
              <w:jc w:val="center"/>
              <w:rPr>
                <w:rFonts w:ascii="Arial" w:eastAsia="Arial" w:hAnsi="Arial" w:cs="Arial"/>
                <w:sz w:val="16"/>
                <w:szCs w:val="16"/>
              </w:rPr>
            </w:pPr>
            <w:r>
              <w:rPr>
                <w:rFonts w:ascii="Arial" w:eastAsia="Arial" w:hAnsi="Arial" w:cs="Arial"/>
                <w:i/>
                <w:sz w:val="16"/>
                <w:szCs w:val="16"/>
              </w:rPr>
              <w:t>-</w:t>
            </w: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w:t>
            </w: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w:t>
            </w:r>
          </w:p>
          <w:p w:rsidR="002C4AF7" w:rsidRDefault="007C2686">
            <w:pPr>
              <w:tabs>
                <w:tab w:val="center" w:pos="851"/>
              </w:tabs>
              <w:ind w:left="0" w:hanging="2"/>
              <w:rPr>
                <w:rFonts w:ascii="Arial" w:eastAsia="Arial" w:hAnsi="Arial" w:cs="Arial"/>
                <w:sz w:val="16"/>
                <w:szCs w:val="16"/>
              </w:rPr>
            </w:pPr>
            <w:r>
              <w:rPr>
                <w:rFonts w:ascii="Arial" w:eastAsia="Arial" w:hAnsi="Arial" w:cs="Arial"/>
                <w:i/>
                <w:sz w:val="16"/>
                <w:szCs w:val="16"/>
              </w:rPr>
              <w:t xml:space="preserve">                  -</w:t>
            </w:r>
          </w:p>
          <w:p w:rsidR="002C4AF7" w:rsidRDefault="007C2686">
            <w:pPr>
              <w:tabs>
                <w:tab w:val="center" w:pos="851"/>
              </w:tabs>
              <w:ind w:left="0" w:hanging="2"/>
              <w:jc w:val="center"/>
              <w:rPr>
                <w:rFonts w:ascii="Arial" w:eastAsia="Arial" w:hAnsi="Arial" w:cs="Arial"/>
                <w:sz w:val="16"/>
                <w:szCs w:val="16"/>
              </w:rPr>
            </w:pPr>
            <w:r>
              <w:rPr>
                <w:rFonts w:ascii="Arial" w:eastAsia="Arial" w:hAnsi="Arial" w:cs="Arial"/>
                <w:i/>
                <w:sz w:val="16"/>
                <w:szCs w:val="16"/>
              </w:rPr>
              <w:t>-</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w:t>
            </w:r>
          </w:p>
        </w:tc>
        <w:tc>
          <w:tcPr>
            <w:tcW w:w="555" w:type="dxa"/>
          </w:tcPr>
          <w:p w:rsidR="002C4AF7" w:rsidRDefault="002C4AF7">
            <w:pPr>
              <w:ind w:left="0" w:hanging="2"/>
              <w:jc w:val="center"/>
              <w:rPr>
                <w:rFonts w:ascii="Arial" w:eastAsia="Arial" w:hAnsi="Arial" w:cs="Arial"/>
                <w:sz w:val="16"/>
                <w:szCs w:val="16"/>
              </w:rPr>
            </w:pPr>
          </w:p>
        </w:tc>
        <w:tc>
          <w:tcPr>
            <w:tcW w:w="1314" w:type="dxa"/>
          </w:tcPr>
          <w:p w:rsidR="002C4AF7" w:rsidRDefault="002C4AF7">
            <w:pPr>
              <w:ind w:left="0" w:hanging="2"/>
              <w:rPr>
                <w:rFonts w:ascii="Arial" w:eastAsia="Arial" w:hAnsi="Arial" w:cs="Arial"/>
                <w:sz w:val="16"/>
                <w:szCs w:val="16"/>
              </w:rPr>
            </w:pPr>
          </w:p>
          <w:p w:rsidR="002C4AF7" w:rsidRDefault="002C4AF7">
            <w:pPr>
              <w:ind w:left="0" w:hanging="2"/>
              <w:rPr>
                <w:rFonts w:ascii="Arial" w:eastAsia="Arial" w:hAnsi="Arial" w:cs="Arial"/>
                <w:sz w:val="16"/>
                <w:szCs w:val="16"/>
              </w:rPr>
            </w:pPr>
          </w:p>
        </w:tc>
      </w:tr>
      <w:tr w:rsidR="002C4AF7">
        <w:trPr>
          <w:trHeight w:val="218"/>
        </w:trPr>
        <w:tc>
          <w:tcPr>
            <w:tcW w:w="8879" w:type="dxa"/>
            <w:gridSpan w:val="6"/>
          </w:tcPr>
          <w:p w:rsidR="002C4AF7" w:rsidRDefault="007C2686">
            <w:pPr>
              <w:ind w:left="0" w:hanging="2"/>
              <w:jc w:val="both"/>
              <w:rPr>
                <w:rFonts w:ascii="Arial" w:eastAsia="Arial" w:hAnsi="Arial" w:cs="Arial"/>
                <w:sz w:val="16"/>
                <w:szCs w:val="16"/>
              </w:rPr>
            </w:pPr>
            <w:r>
              <w:rPr>
                <w:rFonts w:ascii="Arial" w:eastAsia="Arial" w:hAnsi="Arial" w:cs="Arial"/>
                <w:sz w:val="16"/>
                <w:szCs w:val="16"/>
              </w:rPr>
              <w:t xml:space="preserve">(*) RAR y NND o NNH con IC 95 % se exponen en la tabla solo si p&lt;0,05 </w:t>
            </w:r>
          </w:p>
          <w:p w:rsidR="002C4AF7" w:rsidRDefault="002C4AF7">
            <w:pPr>
              <w:ind w:left="0" w:hanging="2"/>
              <w:jc w:val="both"/>
              <w:rPr>
                <w:rFonts w:ascii="Arial" w:eastAsia="Arial" w:hAnsi="Arial" w:cs="Arial"/>
                <w:sz w:val="16"/>
                <w:szCs w:val="16"/>
              </w:rPr>
            </w:pPr>
          </w:p>
        </w:tc>
      </w:tr>
      <w:tr w:rsidR="002C4AF7">
        <w:trPr>
          <w:trHeight w:val="218"/>
        </w:trPr>
        <w:tc>
          <w:tcPr>
            <w:tcW w:w="8879" w:type="dxa"/>
            <w:gridSpan w:val="6"/>
          </w:tcPr>
          <w:p w:rsidR="002C4AF7" w:rsidRDefault="002C4AF7">
            <w:pPr>
              <w:ind w:left="0" w:hanging="2"/>
              <w:jc w:val="both"/>
              <w:rPr>
                <w:rFonts w:ascii="Arial" w:eastAsia="Arial" w:hAnsi="Arial" w:cs="Arial"/>
                <w:sz w:val="16"/>
                <w:szCs w:val="16"/>
              </w:rPr>
            </w:pPr>
          </w:p>
        </w:tc>
      </w:tr>
    </w:tbl>
    <w:p w:rsidR="002C4AF7" w:rsidRDefault="002C4AF7">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p>
    <w:p w:rsidR="002C4AF7" w:rsidRDefault="002C4AF7">
      <w:pPr>
        <w:keepNext/>
        <w:shd w:val="clear" w:color="auto" w:fill="FFFFFF"/>
        <w:spacing w:line="240" w:lineRule="auto"/>
        <w:ind w:left="0" w:hanging="2"/>
        <w:jc w:val="both"/>
        <w:rPr>
          <w:rFonts w:ascii="Cambria" w:eastAsia="Cambria" w:hAnsi="Cambria" w:cs="Cambria"/>
          <w:sz w:val="20"/>
          <w:szCs w:val="20"/>
        </w:rPr>
      </w:pPr>
    </w:p>
    <w:p w:rsidR="002C4AF7" w:rsidRDefault="007C2686">
      <w:pPr>
        <w:keepNext/>
        <w:shd w:val="clear" w:color="auto" w:fill="FFFFFF"/>
        <w:spacing w:line="240" w:lineRule="auto"/>
        <w:ind w:left="0" w:hanging="2"/>
        <w:jc w:val="both"/>
        <w:rPr>
          <w:rFonts w:ascii="Arial" w:eastAsia="Arial" w:hAnsi="Arial" w:cs="Arial"/>
          <w:sz w:val="20"/>
          <w:szCs w:val="20"/>
        </w:rPr>
      </w:pPr>
      <w:r>
        <w:rPr>
          <w:rFonts w:ascii="Arial" w:eastAsia="Arial" w:hAnsi="Arial" w:cs="Arial"/>
          <w:b/>
          <w:sz w:val="20"/>
          <w:szCs w:val="20"/>
        </w:rPr>
        <w:t>ENZAMET</w:t>
      </w:r>
    </w:p>
    <w:p w:rsidR="002C4AF7" w:rsidRDefault="007C2686">
      <w:pPr>
        <w:keepNext/>
        <w:shd w:val="clear" w:color="auto" w:fill="FFFFFF"/>
        <w:ind w:left="0" w:hanging="2"/>
        <w:jc w:val="both"/>
        <w:rPr>
          <w:rFonts w:ascii="Arial" w:eastAsia="Arial" w:hAnsi="Arial" w:cs="Arial"/>
          <w:sz w:val="20"/>
          <w:szCs w:val="20"/>
        </w:rPr>
      </w:pPr>
      <w:r>
        <w:rPr>
          <w:rFonts w:ascii="Arial" w:eastAsia="Arial" w:hAnsi="Arial" w:cs="Arial"/>
          <w:sz w:val="20"/>
          <w:szCs w:val="20"/>
        </w:rPr>
        <w:t>El estudio ENZAMET, en el análisis intermedio, con fecha 28 de febrero de 2019, la mediana de la duración del tratamiento fue de 29,5 meses (rango: 0,1 a 58,4) en el grupo de enzalutamida y 22,1 meses (rango: 0,0 a 58,6) en el grupo AANS.</w:t>
      </w:r>
    </w:p>
    <w:p w:rsidR="002C4AF7" w:rsidRDefault="007C2686">
      <w:pPr>
        <w:keepNext/>
        <w:shd w:val="clear" w:color="auto" w:fill="FFFFFF"/>
        <w:ind w:left="0" w:hanging="2"/>
        <w:jc w:val="both"/>
        <w:rPr>
          <w:rFonts w:ascii="Arial" w:eastAsia="Arial" w:hAnsi="Arial" w:cs="Arial"/>
          <w:sz w:val="20"/>
          <w:szCs w:val="20"/>
        </w:rPr>
      </w:pPr>
      <w:r>
        <w:rPr>
          <w:rFonts w:ascii="Arial" w:eastAsia="Arial" w:hAnsi="Arial" w:cs="Arial"/>
          <w:sz w:val="20"/>
          <w:szCs w:val="20"/>
        </w:rPr>
        <w:t>Más pacientes del grupo de enzalutamida interrumpieron el tratamiento del estudio debido a un evento adverso que el grupo de AANS (N = 33 vs. N = 14).</w:t>
      </w:r>
    </w:p>
    <w:p w:rsidR="002C4AF7" w:rsidRDefault="00883B7B">
      <w:pPr>
        <w:keepNext/>
        <w:shd w:val="clear" w:color="auto" w:fill="FFFFFF"/>
        <w:ind w:left="0" w:hanging="2"/>
        <w:jc w:val="both"/>
        <w:rPr>
          <w:rFonts w:ascii="Arial" w:eastAsia="Arial" w:hAnsi="Arial" w:cs="Arial"/>
          <w:sz w:val="20"/>
          <w:szCs w:val="20"/>
        </w:rPr>
      </w:pPr>
      <w:sdt>
        <w:sdtPr>
          <w:tag w:val="goog_rdk_15"/>
          <w:id w:val="-1270535626"/>
        </w:sdtPr>
        <w:sdtEndPr/>
        <w:sdtContent>
          <w:r w:rsidR="007C2686">
            <w:rPr>
              <w:rFonts w:ascii="Arial Unicode MS" w:eastAsia="Arial Unicode MS" w:hAnsi="Arial Unicode MS" w:cs="Arial Unicode MS"/>
              <w:sz w:val="20"/>
              <w:szCs w:val="20"/>
            </w:rPr>
            <w:t>Más pacientes en el grupo de enzalutamida tenían un grado ≥ 3 EA que el Grupo AANS (57,0% vs 43,0%). El número de pacientes con eventos de neutropenia febril, notificados en, al menos el 2% de pacientes, fue similar entre los grupos de tratamiento (N enzalutamida: 37 y AANS: 32) y todos menos 2 de estos eventos ocurrieron durante el tratamiento concomitante temprano con docetaxel (67 de 69).</w:t>
          </w:r>
        </w:sdtContent>
      </w:sdt>
    </w:p>
    <w:p w:rsidR="002C4AF7" w:rsidRDefault="007C2686">
      <w:pPr>
        <w:keepNext/>
        <w:shd w:val="clear" w:color="auto" w:fill="FFFFFF"/>
        <w:ind w:left="0" w:hanging="2"/>
        <w:jc w:val="both"/>
        <w:rPr>
          <w:rFonts w:ascii="Arial" w:eastAsia="Arial" w:hAnsi="Arial" w:cs="Arial"/>
          <w:sz w:val="20"/>
          <w:szCs w:val="20"/>
        </w:rPr>
      </w:pPr>
      <w:r>
        <w:rPr>
          <w:rFonts w:ascii="Arial" w:eastAsia="Arial" w:hAnsi="Arial" w:cs="Arial"/>
          <w:sz w:val="20"/>
          <w:szCs w:val="20"/>
        </w:rPr>
        <w:t>Para los eventos adversos que ocurrieron durante los primeros 6 meses, se informó que los pacientes tratados con enzalutamida y docetaxel temprano tenían más probabilidades de tener neuropatía sensorial periférica de grado 2 (9%) en comparación con el grupo AANS (3%).</w:t>
      </w:r>
    </w:p>
    <w:p w:rsidR="002C4AF7" w:rsidRDefault="007C2686">
      <w:pPr>
        <w:keepNext/>
        <w:shd w:val="clear" w:color="auto" w:fill="FFFFFF"/>
        <w:spacing w:line="240" w:lineRule="auto"/>
        <w:ind w:left="0" w:hanging="2"/>
        <w:jc w:val="both"/>
        <w:rPr>
          <w:rFonts w:ascii="Arial" w:eastAsia="Arial" w:hAnsi="Arial" w:cs="Arial"/>
          <w:sz w:val="20"/>
          <w:szCs w:val="20"/>
        </w:rPr>
      </w:pPr>
      <w:r>
        <w:rPr>
          <w:rFonts w:ascii="Arial" w:eastAsia="Arial" w:hAnsi="Arial" w:cs="Arial"/>
          <w:sz w:val="20"/>
          <w:szCs w:val="20"/>
        </w:rPr>
        <w:t xml:space="preserve">Se notificaron 385 eventos adversos graves en 235 pacientes del grupo enzalutamida y 297 eventos en 189 pacientes en el grupo control. </w:t>
      </w:r>
    </w:p>
    <w:p w:rsidR="002C4AF7" w:rsidRDefault="007C2686">
      <w:pPr>
        <w:keepNext/>
        <w:shd w:val="clear" w:color="auto" w:fill="FFFFFF"/>
        <w:ind w:left="0" w:hanging="2"/>
        <w:jc w:val="both"/>
        <w:rPr>
          <w:rFonts w:ascii="Arial" w:eastAsia="Arial" w:hAnsi="Arial" w:cs="Arial"/>
          <w:sz w:val="20"/>
          <w:szCs w:val="20"/>
        </w:rPr>
      </w:pPr>
      <w:r>
        <w:rPr>
          <w:rFonts w:ascii="Arial" w:eastAsia="Arial" w:hAnsi="Arial" w:cs="Arial"/>
          <w:sz w:val="20"/>
          <w:szCs w:val="20"/>
        </w:rPr>
        <w:t>Seis eventos adversos de grado 5 ocurrieron en el grupo de enzalutamida. En el grupo de AANS, ocurrieron siete EA de grado 5.</w:t>
      </w:r>
    </w:p>
    <w:p w:rsidR="002C4AF7" w:rsidRDefault="002C4AF7">
      <w:pPr>
        <w:shd w:val="clear" w:color="auto" w:fill="FFFFFF"/>
        <w:ind w:left="0" w:hanging="2"/>
        <w:jc w:val="both"/>
        <w:rPr>
          <w:rFonts w:ascii="Arial" w:eastAsia="Arial" w:hAnsi="Arial" w:cs="Arial"/>
          <w:highlight w:val="lightGray"/>
        </w:rPr>
      </w:pPr>
    </w:p>
    <w:tbl>
      <w:tblPr>
        <w:tblStyle w:val="affff2"/>
        <w:tblW w:w="8881"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2"/>
        <w:gridCol w:w="1035"/>
        <w:gridCol w:w="855"/>
        <w:gridCol w:w="2430"/>
        <w:gridCol w:w="555"/>
        <w:gridCol w:w="1314"/>
      </w:tblGrid>
      <w:tr w:rsidR="002C4AF7">
        <w:tc>
          <w:tcPr>
            <w:tcW w:w="8881" w:type="dxa"/>
            <w:gridSpan w:val="6"/>
            <w:shd w:val="clear" w:color="auto" w:fill="CCFFCC"/>
          </w:tcPr>
          <w:p w:rsidR="002C4AF7" w:rsidRDefault="007C2686">
            <w:pPr>
              <w:ind w:left="0" w:hanging="2"/>
              <w:jc w:val="both"/>
              <w:rPr>
                <w:rFonts w:ascii="Arial" w:eastAsia="Arial" w:hAnsi="Arial" w:cs="Arial"/>
                <w:sz w:val="18"/>
                <w:szCs w:val="18"/>
              </w:rPr>
            </w:pPr>
            <w:r>
              <w:rPr>
                <w:rFonts w:ascii="Arial" w:eastAsia="Arial" w:hAnsi="Arial" w:cs="Arial"/>
                <w:b/>
                <w:i/>
                <w:sz w:val="18"/>
                <w:szCs w:val="18"/>
              </w:rPr>
              <w:t>Referencia: ENZAMET (11)</w:t>
            </w:r>
          </w:p>
          <w:p w:rsidR="002C4AF7" w:rsidRDefault="002C4AF7">
            <w:pPr>
              <w:ind w:left="0" w:hanging="2"/>
              <w:jc w:val="both"/>
              <w:rPr>
                <w:rFonts w:ascii="Arial" w:eastAsia="Arial" w:hAnsi="Arial" w:cs="Arial"/>
                <w:sz w:val="16"/>
                <w:szCs w:val="16"/>
              </w:rPr>
            </w:pPr>
          </w:p>
        </w:tc>
      </w:tr>
      <w:tr w:rsidR="002C4AF7">
        <w:trPr>
          <w:trHeight w:val="123"/>
        </w:trPr>
        <w:tc>
          <w:tcPr>
            <w:tcW w:w="8881" w:type="dxa"/>
            <w:gridSpan w:val="6"/>
          </w:tcPr>
          <w:p w:rsidR="002C4AF7" w:rsidRDefault="007C2686">
            <w:pPr>
              <w:widowControl w:val="0"/>
              <w:spacing w:line="225" w:lineRule="auto"/>
              <w:ind w:left="0" w:hanging="2"/>
              <w:rPr>
                <w:rFonts w:ascii="Arial" w:eastAsia="Arial" w:hAnsi="Arial" w:cs="Arial"/>
                <w:sz w:val="16"/>
                <w:szCs w:val="16"/>
              </w:rPr>
            </w:pPr>
            <w:r>
              <w:rPr>
                <w:rFonts w:ascii="Arial" w:eastAsia="Arial" w:hAnsi="Arial" w:cs="Arial"/>
                <w:i/>
                <w:sz w:val="20"/>
                <w:szCs w:val="20"/>
              </w:rPr>
              <w:t>Ensayo Fase III, abierto, aleatorizado, controlado con placebo.</w:t>
            </w:r>
          </w:p>
        </w:tc>
      </w:tr>
      <w:tr w:rsidR="002C4AF7">
        <w:tc>
          <w:tcPr>
            <w:tcW w:w="8881" w:type="dxa"/>
            <w:gridSpan w:val="6"/>
            <w:shd w:val="clear" w:color="auto" w:fill="CCFFCC"/>
          </w:tcPr>
          <w:p w:rsidR="002C4AF7" w:rsidRDefault="007C2686">
            <w:pPr>
              <w:ind w:left="0" w:hanging="2"/>
              <w:jc w:val="both"/>
              <w:rPr>
                <w:rFonts w:ascii="Arial" w:eastAsia="Arial" w:hAnsi="Arial" w:cs="Arial"/>
                <w:sz w:val="16"/>
                <w:szCs w:val="16"/>
              </w:rPr>
            </w:pPr>
            <w:r>
              <w:rPr>
                <w:rFonts w:ascii="Arial" w:eastAsia="Arial" w:hAnsi="Arial" w:cs="Arial"/>
                <w:b/>
                <w:sz w:val="16"/>
                <w:szCs w:val="16"/>
              </w:rPr>
              <w:t>Resultados de seguridad</w:t>
            </w:r>
          </w:p>
        </w:tc>
      </w:tr>
      <w:tr w:rsidR="002C4AF7">
        <w:trPr>
          <w:trHeight w:val="685"/>
        </w:trPr>
        <w:tc>
          <w:tcPr>
            <w:tcW w:w="2692" w:type="dxa"/>
          </w:tcPr>
          <w:p w:rsidR="002C4AF7" w:rsidRDefault="007C2686">
            <w:pPr>
              <w:ind w:left="0" w:hanging="2"/>
              <w:jc w:val="both"/>
              <w:rPr>
                <w:rFonts w:ascii="Arial" w:eastAsia="Arial" w:hAnsi="Arial" w:cs="Arial"/>
                <w:sz w:val="16"/>
                <w:szCs w:val="16"/>
              </w:rPr>
            </w:pPr>
            <w:r>
              <w:rPr>
                <w:rFonts w:ascii="Arial" w:eastAsia="Arial" w:hAnsi="Arial" w:cs="Arial"/>
                <w:b/>
                <w:i/>
                <w:sz w:val="16"/>
                <w:szCs w:val="16"/>
              </w:rPr>
              <w:t>Variable de seguridad evaluada en el estudio</w:t>
            </w:r>
          </w:p>
        </w:tc>
        <w:tc>
          <w:tcPr>
            <w:tcW w:w="1035" w:type="dxa"/>
          </w:tcPr>
          <w:p w:rsidR="002C4AF7" w:rsidRDefault="007C2686">
            <w:pPr>
              <w:tabs>
                <w:tab w:val="left" w:pos="1673"/>
              </w:tabs>
              <w:ind w:left="0" w:hanging="2"/>
              <w:rPr>
                <w:rFonts w:ascii="Arial" w:eastAsia="Arial" w:hAnsi="Arial" w:cs="Arial"/>
                <w:sz w:val="16"/>
                <w:szCs w:val="16"/>
              </w:rPr>
            </w:pPr>
            <w:r>
              <w:rPr>
                <w:rFonts w:ascii="Arial" w:eastAsia="Arial" w:hAnsi="Arial" w:cs="Arial"/>
                <w:b/>
                <w:i/>
                <w:sz w:val="16"/>
                <w:szCs w:val="16"/>
              </w:rPr>
              <w:t>Enzalutamida + TDA</w:t>
            </w:r>
          </w:p>
          <w:p w:rsidR="002C4AF7" w:rsidRDefault="007C2686">
            <w:pPr>
              <w:tabs>
                <w:tab w:val="left" w:pos="1673"/>
              </w:tabs>
              <w:ind w:left="0" w:hanging="2"/>
              <w:rPr>
                <w:rFonts w:ascii="Arial" w:eastAsia="Arial" w:hAnsi="Arial" w:cs="Arial"/>
                <w:sz w:val="16"/>
                <w:szCs w:val="16"/>
              </w:rPr>
            </w:pPr>
            <w:r>
              <w:rPr>
                <w:rFonts w:ascii="Arial" w:eastAsia="Arial" w:hAnsi="Arial" w:cs="Arial"/>
                <w:b/>
                <w:i/>
                <w:sz w:val="16"/>
                <w:szCs w:val="16"/>
              </w:rPr>
              <w:t>N (572)</w:t>
            </w:r>
          </w:p>
        </w:tc>
        <w:tc>
          <w:tcPr>
            <w:tcW w:w="855" w:type="dxa"/>
          </w:tcPr>
          <w:p w:rsidR="002C4AF7" w:rsidRDefault="007C2686">
            <w:pPr>
              <w:tabs>
                <w:tab w:val="left" w:pos="1673"/>
              </w:tabs>
              <w:ind w:left="0" w:hanging="2"/>
              <w:rPr>
                <w:rFonts w:ascii="Arial" w:eastAsia="Arial" w:hAnsi="Arial" w:cs="Arial"/>
                <w:sz w:val="16"/>
                <w:szCs w:val="16"/>
              </w:rPr>
            </w:pPr>
            <w:r>
              <w:rPr>
                <w:rFonts w:ascii="Arial" w:eastAsia="Arial" w:hAnsi="Arial" w:cs="Arial"/>
                <w:b/>
                <w:i/>
                <w:sz w:val="16"/>
                <w:szCs w:val="16"/>
              </w:rPr>
              <w:t>NSAA + TDA</w:t>
            </w:r>
          </w:p>
          <w:p w:rsidR="002C4AF7" w:rsidRDefault="007C2686">
            <w:pPr>
              <w:tabs>
                <w:tab w:val="left" w:pos="1673"/>
              </w:tabs>
              <w:ind w:left="0" w:hanging="2"/>
              <w:rPr>
                <w:rFonts w:ascii="Arial" w:eastAsia="Arial" w:hAnsi="Arial" w:cs="Arial"/>
                <w:sz w:val="16"/>
                <w:szCs w:val="16"/>
              </w:rPr>
            </w:pPr>
            <w:r>
              <w:rPr>
                <w:rFonts w:ascii="Arial" w:eastAsia="Arial" w:hAnsi="Arial" w:cs="Arial"/>
                <w:b/>
                <w:i/>
                <w:sz w:val="16"/>
                <w:szCs w:val="16"/>
              </w:rPr>
              <w:t xml:space="preserve">N (574) </w:t>
            </w:r>
          </w:p>
        </w:tc>
        <w:tc>
          <w:tcPr>
            <w:tcW w:w="2430" w:type="dxa"/>
          </w:tcPr>
          <w:p w:rsidR="002C4AF7" w:rsidRDefault="007C2686">
            <w:pPr>
              <w:tabs>
                <w:tab w:val="left" w:pos="1673"/>
              </w:tabs>
              <w:ind w:left="0" w:hanging="2"/>
              <w:rPr>
                <w:rFonts w:ascii="Arial" w:eastAsia="Arial" w:hAnsi="Arial" w:cs="Arial"/>
                <w:sz w:val="16"/>
                <w:szCs w:val="16"/>
              </w:rPr>
            </w:pPr>
            <w:r>
              <w:rPr>
                <w:rFonts w:ascii="Arial" w:eastAsia="Arial" w:hAnsi="Arial" w:cs="Arial"/>
                <w:b/>
                <w:i/>
                <w:sz w:val="16"/>
                <w:szCs w:val="16"/>
              </w:rPr>
              <w:t>RAR (IC 95%)</w:t>
            </w:r>
            <w:r>
              <w:rPr>
                <w:rFonts w:ascii="Arial" w:eastAsia="Arial" w:hAnsi="Arial" w:cs="Arial"/>
                <w:sz w:val="16"/>
                <w:szCs w:val="16"/>
              </w:rPr>
              <w:t xml:space="preserve"> Diferencia Riesgo Absoluto</w:t>
            </w:r>
            <w:r>
              <w:rPr>
                <w:rFonts w:ascii="Arial" w:eastAsia="Arial" w:hAnsi="Arial" w:cs="Arial"/>
                <w:b/>
                <w:i/>
                <w:sz w:val="16"/>
                <w:szCs w:val="16"/>
              </w:rPr>
              <w:t xml:space="preserve"> *</w:t>
            </w:r>
          </w:p>
        </w:tc>
        <w:tc>
          <w:tcPr>
            <w:tcW w:w="555" w:type="dxa"/>
          </w:tcPr>
          <w:p w:rsidR="002C4AF7" w:rsidRDefault="007C2686">
            <w:pPr>
              <w:tabs>
                <w:tab w:val="left" w:pos="1673"/>
              </w:tabs>
              <w:ind w:left="0" w:hanging="2"/>
              <w:jc w:val="both"/>
              <w:rPr>
                <w:rFonts w:ascii="Arial" w:eastAsia="Arial" w:hAnsi="Arial" w:cs="Arial"/>
                <w:sz w:val="16"/>
                <w:szCs w:val="16"/>
              </w:rPr>
            </w:pPr>
            <w:r>
              <w:rPr>
                <w:rFonts w:ascii="Arial" w:eastAsia="Arial" w:hAnsi="Arial" w:cs="Arial"/>
                <w:b/>
                <w:i/>
                <w:sz w:val="16"/>
                <w:szCs w:val="16"/>
              </w:rPr>
              <w:t>P</w:t>
            </w:r>
          </w:p>
        </w:tc>
        <w:tc>
          <w:tcPr>
            <w:tcW w:w="1314" w:type="dxa"/>
          </w:tcPr>
          <w:p w:rsidR="002C4AF7" w:rsidRDefault="007C2686">
            <w:pPr>
              <w:ind w:left="0" w:hanging="2"/>
              <w:jc w:val="both"/>
              <w:rPr>
                <w:rFonts w:ascii="Arial" w:eastAsia="Arial" w:hAnsi="Arial" w:cs="Arial"/>
                <w:sz w:val="16"/>
                <w:szCs w:val="16"/>
              </w:rPr>
            </w:pPr>
            <w:r>
              <w:rPr>
                <w:rFonts w:ascii="Arial" w:eastAsia="Arial" w:hAnsi="Arial" w:cs="Arial"/>
                <w:b/>
                <w:i/>
                <w:sz w:val="16"/>
                <w:szCs w:val="16"/>
              </w:rPr>
              <w:t>NNH o NND (IC 95%)</w:t>
            </w:r>
          </w:p>
        </w:tc>
      </w:tr>
      <w:tr w:rsidR="002C4AF7">
        <w:trPr>
          <w:trHeight w:val="709"/>
        </w:trPr>
        <w:tc>
          <w:tcPr>
            <w:tcW w:w="2692" w:type="dxa"/>
          </w:tcPr>
          <w:p w:rsidR="002C4AF7" w:rsidRDefault="007C2686">
            <w:pPr>
              <w:ind w:left="0" w:hanging="2"/>
              <w:rPr>
                <w:rFonts w:ascii="Arial" w:eastAsia="Arial" w:hAnsi="Arial" w:cs="Arial"/>
                <w:sz w:val="18"/>
                <w:szCs w:val="18"/>
              </w:rPr>
            </w:pPr>
            <w:r>
              <w:rPr>
                <w:rFonts w:ascii="Arial" w:eastAsia="Arial" w:hAnsi="Arial" w:cs="Arial"/>
                <w:i/>
                <w:sz w:val="16"/>
                <w:szCs w:val="16"/>
              </w:rPr>
              <w:t xml:space="preserve"> EA que ocurrieron en </w:t>
            </w:r>
            <w:r>
              <w:rPr>
                <w:rFonts w:ascii="Arial" w:eastAsia="Arial" w:hAnsi="Arial" w:cs="Arial"/>
                <w:sz w:val="16"/>
                <w:szCs w:val="16"/>
              </w:rPr>
              <w:t xml:space="preserve">pacientes </w:t>
            </w:r>
            <w:r>
              <w:rPr>
                <w:rFonts w:ascii="Arial" w:eastAsia="Arial" w:hAnsi="Arial" w:cs="Arial"/>
                <w:i/>
                <w:sz w:val="18"/>
                <w:szCs w:val="18"/>
              </w:rPr>
              <w:t xml:space="preserve">grado </w:t>
            </w:r>
            <w:sdt>
              <w:sdtPr>
                <w:tag w:val="goog_rdk_16"/>
                <w:id w:val="-1609491203"/>
              </w:sdtPr>
              <w:sdtEndPr/>
              <w:sdtContent>
                <w:r>
                  <w:rPr>
                    <w:rFonts w:ascii="Arial Unicode MS" w:eastAsia="Arial Unicode MS" w:hAnsi="Arial Unicode MS" w:cs="Arial Unicode MS"/>
                    <w:i/>
                    <w:color w:val="5F6368"/>
                    <w:sz w:val="21"/>
                    <w:szCs w:val="21"/>
                    <w:highlight w:val="white"/>
                  </w:rPr>
                  <w:t>≥</w:t>
                </w:r>
              </w:sdtContent>
            </w:sdt>
            <w:r>
              <w:rPr>
                <w:rFonts w:ascii="Arial" w:eastAsia="Arial" w:hAnsi="Arial" w:cs="Arial"/>
                <w:i/>
                <w:sz w:val="18"/>
                <w:szCs w:val="18"/>
              </w:rPr>
              <w:t>3</w:t>
            </w:r>
          </w:p>
          <w:p w:rsidR="002C4AF7" w:rsidRDefault="007C2686">
            <w:pPr>
              <w:numPr>
                <w:ilvl w:val="0"/>
                <w:numId w:val="4"/>
              </w:numPr>
              <w:ind w:left="0" w:hanging="2"/>
            </w:pPr>
            <w:r>
              <w:rPr>
                <w:rFonts w:ascii="Arial" w:eastAsia="Arial" w:hAnsi="Arial" w:cs="Arial"/>
                <w:sz w:val="16"/>
                <w:szCs w:val="16"/>
              </w:rPr>
              <w:t>Neutropenia Febril</w:t>
            </w:r>
          </w:p>
          <w:p w:rsidR="002C4AF7" w:rsidRDefault="007C2686">
            <w:pPr>
              <w:numPr>
                <w:ilvl w:val="0"/>
                <w:numId w:val="4"/>
              </w:numPr>
              <w:ind w:left="0" w:hanging="2"/>
            </w:pPr>
            <w:r>
              <w:rPr>
                <w:rFonts w:ascii="Arial" w:eastAsia="Arial" w:hAnsi="Arial" w:cs="Arial"/>
                <w:sz w:val="16"/>
                <w:szCs w:val="16"/>
              </w:rPr>
              <w:t>Hipertensión</w:t>
            </w:r>
          </w:p>
          <w:p w:rsidR="002C4AF7" w:rsidRDefault="007C2686">
            <w:pPr>
              <w:numPr>
                <w:ilvl w:val="0"/>
                <w:numId w:val="4"/>
              </w:numPr>
              <w:ind w:left="0" w:hanging="2"/>
            </w:pPr>
            <w:r>
              <w:rPr>
                <w:rFonts w:ascii="Arial" w:eastAsia="Arial" w:hAnsi="Arial" w:cs="Arial"/>
                <w:sz w:val="16"/>
                <w:szCs w:val="16"/>
              </w:rPr>
              <w:t>Disminución recuento neutrófilos</w:t>
            </w:r>
          </w:p>
          <w:p w:rsidR="002C4AF7" w:rsidRDefault="007C2686">
            <w:pPr>
              <w:numPr>
                <w:ilvl w:val="0"/>
                <w:numId w:val="4"/>
              </w:numPr>
              <w:ind w:left="0" w:hanging="2"/>
            </w:pPr>
            <w:r>
              <w:rPr>
                <w:rFonts w:ascii="Arial" w:eastAsia="Arial" w:hAnsi="Arial" w:cs="Arial"/>
                <w:sz w:val="16"/>
                <w:szCs w:val="16"/>
              </w:rPr>
              <w:t>Fatiga</w:t>
            </w:r>
          </w:p>
          <w:p w:rsidR="002C4AF7" w:rsidRDefault="007C2686">
            <w:pPr>
              <w:numPr>
                <w:ilvl w:val="0"/>
                <w:numId w:val="4"/>
              </w:numPr>
              <w:ind w:left="0" w:hanging="2"/>
            </w:pPr>
            <w:r>
              <w:rPr>
                <w:rFonts w:ascii="Arial" w:eastAsia="Arial" w:hAnsi="Arial" w:cs="Arial"/>
                <w:sz w:val="16"/>
                <w:szCs w:val="16"/>
              </w:rPr>
              <w:t>Síncope</w:t>
            </w:r>
          </w:p>
          <w:p w:rsidR="002C4AF7" w:rsidRDefault="007C2686">
            <w:pPr>
              <w:numPr>
                <w:ilvl w:val="0"/>
                <w:numId w:val="4"/>
              </w:numPr>
              <w:ind w:left="0" w:hanging="2"/>
            </w:pPr>
            <w:r>
              <w:rPr>
                <w:rFonts w:ascii="Arial" w:eastAsia="Arial" w:hAnsi="Arial" w:cs="Arial"/>
                <w:sz w:val="16"/>
                <w:szCs w:val="16"/>
              </w:rPr>
              <w:t>Procedimiento médico/quirúrgico</w:t>
            </w:r>
          </w:p>
          <w:p w:rsidR="002C4AF7" w:rsidRDefault="007C2686">
            <w:pPr>
              <w:numPr>
                <w:ilvl w:val="0"/>
                <w:numId w:val="4"/>
              </w:numPr>
              <w:ind w:left="0" w:hanging="2"/>
            </w:pPr>
            <w:r>
              <w:rPr>
                <w:rFonts w:ascii="Arial" w:eastAsia="Arial" w:hAnsi="Arial" w:cs="Arial"/>
                <w:sz w:val="16"/>
                <w:szCs w:val="16"/>
              </w:rPr>
              <w:t>Anemia</w:t>
            </w:r>
          </w:p>
          <w:p w:rsidR="002C4AF7" w:rsidRDefault="007C2686">
            <w:pPr>
              <w:numPr>
                <w:ilvl w:val="0"/>
                <w:numId w:val="4"/>
              </w:numPr>
              <w:ind w:left="0" w:hanging="2"/>
            </w:pPr>
            <w:r>
              <w:rPr>
                <w:rFonts w:ascii="Arial" w:eastAsia="Arial" w:hAnsi="Arial" w:cs="Arial"/>
                <w:sz w:val="16"/>
                <w:szCs w:val="16"/>
              </w:rPr>
              <w:t xml:space="preserve">Caídas </w:t>
            </w:r>
          </w:p>
          <w:p w:rsidR="002C4AF7" w:rsidRDefault="007C2686">
            <w:pPr>
              <w:numPr>
                <w:ilvl w:val="0"/>
                <w:numId w:val="4"/>
              </w:numPr>
              <w:ind w:left="0" w:hanging="2"/>
            </w:pPr>
            <w:r>
              <w:rPr>
                <w:rFonts w:ascii="Arial" w:eastAsia="Arial" w:hAnsi="Arial" w:cs="Arial"/>
                <w:sz w:val="16"/>
                <w:szCs w:val="16"/>
              </w:rPr>
              <w:t>Eventos tromboembólicos</w:t>
            </w:r>
          </w:p>
          <w:p w:rsidR="002C4AF7" w:rsidRDefault="007C2686">
            <w:pPr>
              <w:numPr>
                <w:ilvl w:val="0"/>
                <w:numId w:val="4"/>
              </w:numPr>
              <w:ind w:left="0" w:hanging="2"/>
            </w:pPr>
            <w:r>
              <w:rPr>
                <w:rFonts w:ascii="Arial" w:eastAsia="Arial" w:hAnsi="Arial" w:cs="Arial"/>
                <w:sz w:val="16"/>
                <w:szCs w:val="16"/>
              </w:rPr>
              <w:t>Síndrome coronario agudo</w:t>
            </w:r>
          </w:p>
          <w:p w:rsidR="002C4AF7" w:rsidRDefault="007C2686">
            <w:pPr>
              <w:numPr>
                <w:ilvl w:val="0"/>
                <w:numId w:val="4"/>
              </w:numPr>
              <w:spacing w:line="240" w:lineRule="auto"/>
              <w:ind w:left="0" w:hanging="2"/>
            </w:pPr>
            <w:r>
              <w:rPr>
                <w:rFonts w:ascii="Arial" w:eastAsia="Arial" w:hAnsi="Arial" w:cs="Arial"/>
                <w:sz w:val="16"/>
                <w:szCs w:val="16"/>
              </w:rPr>
              <w:t>Infarto miocardio</w:t>
            </w:r>
          </w:p>
          <w:p w:rsidR="002C4AF7" w:rsidRDefault="007C2686">
            <w:pPr>
              <w:numPr>
                <w:ilvl w:val="0"/>
                <w:numId w:val="4"/>
              </w:numPr>
              <w:spacing w:line="240" w:lineRule="auto"/>
              <w:ind w:left="0" w:hanging="2"/>
            </w:pPr>
            <w:r>
              <w:rPr>
                <w:rFonts w:ascii="Arial" w:eastAsia="Arial" w:hAnsi="Arial" w:cs="Arial"/>
                <w:sz w:val="16"/>
                <w:szCs w:val="16"/>
              </w:rPr>
              <w:t>Dolor de pecho de causa cardiaca</w:t>
            </w:r>
          </w:p>
          <w:p w:rsidR="002C4AF7" w:rsidRDefault="007C2686">
            <w:pPr>
              <w:numPr>
                <w:ilvl w:val="0"/>
                <w:numId w:val="4"/>
              </w:numPr>
              <w:spacing w:line="240" w:lineRule="auto"/>
              <w:ind w:left="0" w:hanging="2"/>
            </w:pPr>
            <w:r>
              <w:rPr>
                <w:rFonts w:ascii="Arial" w:eastAsia="Arial" w:hAnsi="Arial" w:cs="Arial"/>
                <w:sz w:val="16"/>
                <w:szCs w:val="16"/>
              </w:rPr>
              <w:t>Ictus</w:t>
            </w:r>
          </w:p>
          <w:p w:rsidR="002C4AF7" w:rsidRDefault="007C2686">
            <w:pPr>
              <w:numPr>
                <w:ilvl w:val="0"/>
                <w:numId w:val="4"/>
              </w:numPr>
              <w:spacing w:line="240" w:lineRule="auto"/>
              <w:ind w:left="0" w:hanging="2"/>
            </w:pPr>
            <w:r>
              <w:rPr>
                <w:rFonts w:ascii="Arial" w:eastAsia="Arial" w:hAnsi="Arial" w:cs="Arial"/>
                <w:sz w:val="16"/>
                <w:szCs w:val="16"/>
              </w:rPr>
              <w:t>Crisis convulsiva</w:t>
            </w:r>
          </w:p>
          <w:p w:rsidR="002C4AF7" w:rsidRDefault="007C2686">
            <w:pPr>
              <w:numPr>
                <w:ilvl w:val="0"/>
                <w:numId w:val="4"/>
              </w:numPr>
              <w:spacing w:line="240" w:lineRule="auto"/>
              <w:ind w:left="0" w:hanging="2"/>
            </w:pPr>
            <w:r>
              <w:rPr>
                <w:rFonts w:ascii="Arial" w:eastAsia="Arial" w:hAnsi="Arial" w:cs="Arial"/>
                <w:sz w:val="16"/>
                <w:szCs w:val="16"/>
              </w:rPr>
              <w:t>Delirio</w:t>
            </w:r>
          </w:p>
        </w:tc>
        <w:tc>
          <w:tcPr>
            <w:tcW w:w="1035" w:type="dxa"/>
          </w:tcPr>
          <w:p w:rsidR="002C4AF7" w:rsidRDefault="002C4AF7">
            <w:pPr>
              <w:ind w:left="0" w:hanging="2"/>
              <w:jc w:val="center"/>
              <w:rPr>
                <w:rFonts w:ascii="Arial" w:eastAsia="Arial" w:hAnsi="Arial" w:cs="Arial"/>
                <w:sz w:val="16"/>
                <w:szCs w:val="16"/>
              </w:rPr>
            </w:pPr>
          </w:p>
          <w:p w:rsidR="002C4AF7" w:rsidRDefault="002C4AF7">
            <w:pPr>
              <w:ind w:left="0" w:hanging="2"/>
              <w:jc w:val="center"/>
              <w:rPr>
                <w:rFonts w:ascii="Arial" w:eastAsia="Arial" w:hAnsi="Arial" w:cs="Arial"/>
                <w:sz w:val="16"/>
                <w:szCs w:val="16"/>
              </w:rPr>
            </w:pP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7 %</w:t>
            </w: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8 %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6 %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6 %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4 %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2 %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1 %</w:t>
            </w: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1 %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1 %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1 %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1 %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1 %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&lt; 1 %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&lt; 1 %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0</w:t>
            </w:r>
          </w:p>
          <w:p w:rsidR="002C4AF7" w:rsidRDefault="002C4AF7">
            <w:pPr>
              <w:ind w:left="0" w:hanging="2"/>
              <w:jc w:val="center"/>
              <w:rPr>
                <w:rFonts w:ascii="Arial" w:eastAsia="Arial" w:hAnsi="Arial" w:cs="Arial"/>
                <w:sz w:val="16"/>
                <w:szCs w:val="16"/>
              </w:rPr>
            </w:pPr>
          </w:p>
          <w:p w:rsidR="002C4AF7" w:rsidRDefault="002C4AF7">
            <w:pPr>
              <w:ind w:left="0" w:hanging="2"/>
              <w:jc w:val="center"/>
              <w:rPr>
                <w:rFonts w:ascii="Arial" w:eastAsia="Arial" w:hAnsi="Arial" w:cs="Arial"/>
                <w:sz w:val="16"/>
                <w:szCs w:val="16"/>
              </w:rPr>
            </w:pPr>
          </w:p>
        </w:tc>
        <w:tc>
          <w:tcPr>
            <w:tcW w:w="855" w:type="dxa"/>
          </w:tcPr>
          <w:p w:rsidR="002C4AF7" w:rsidRDefault="002C4AF7">
            <w:pPr>
              <w:ind w:left="0" w:hanging="2"/>
              <w:jc w:val="center"/>
              <w:rPr>
                <w:rFonts w:ascii="Arial" w:eastAsia="Arial" w:hAnsi="Arial" w:cs="Arial"/>
                <w:sz w:val="16"/>
                <w:szCs w:val="16"/>
              </w:rPr>
            </w:pPr>
          </w:p>
          <w:p w:rsidR="002C4AF7" w:rsidRDefault="002C4AF7">
            <w:pPr>
              <w:ind w:left="0" w:hanging="2"/>
              <w:jc w:val="center"/>
              <w:rPr>
                <w:rFonts w:ascii="Arial" w:eastAsia="Arial" w:hAnsi="Arial" w:cs="Arial"/>
                <w:sz w:val="16"/>
                <w:szCs w:val="16"/>
              </w:rPr>
            </w:pP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6 %</w:t>
            </w: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4 %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3 %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1 %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1 %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2 %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1 %</w:t>
            </w: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&gt; 1 %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1 %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1 %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&gt; 1 %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&gt; 1 %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&gt; 1 %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 xml:space="preserve">0 </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&gt; 1 %</w:t>
            </w:r>
          </w:p>
          <w:p w:rsidR="002C4AF7" w:rsidRDefault="002C4AF7">
            <w:pPr>
              <w:ind w:left="0" w:hanging="2"/>
              <w:jc w:val="center"/>
              <w:rPr>
                <w:rFonts w:ascii="Arial" w:eastAsia="Arial" w:hAnsi="Arial" w:cs="Arial"/>
                <w:sz w:val="16"/>
                <w:szCs w:val="16"/>
              </w:rPr>
            </w:pPr>
          </w:p>
          <w:p w:rsidR="002C4AF7" w:rsidRDefault="002C4AF7">
            <w:pPr>
              <w:ind w:left="0" w:hanging="2"/>
              <w:jc w:val="center"/>
              <w:rPr>
                <w:rFonts w:ascii="Arial" w:eastAsia="Arial" w:hAnsi="Arial" w:cs="Arial"/>
                <w:sz w:val="16"/>
                <w:szCs w:val="16"/>
              </w:rPr>
            </w:pPr>
          </w:p>
          <w:p w:rsidR="002C4AF7" w:rsidRDefault="002C4AF7">
            <w:pPr>
              <w:ind w:left="0" w:hanging="2"/>
              <w:jc w:val="center"/>
              <w:rPr>
                <w:rFonts w:ascii="Arial" w:eastAsia="Arial" w:hAnsi="Arial" w:cs="Arial"/>
                <w:sz w:val="16"/>
                <w:szCs w:val="16"/>
              </w:rPr>
            </w:pPr>
          </w:p>
        </w:tc>
        <w:tc>
          <w:tcPr>
            <w:tcW w:w="2430" w:type="dxa"/>
          </w:tcPr>
          <w:p w:rsidR="002C4AF7" w:rsidRDefault="002C4AF7">
            <w:pPr>
              <w:ind w:left="0" w:hanging="2"/>
              <w:jc w:val="center"/>
              <w:rPr>
                <w:rFonts w:ascii="Arial" w:eastAsia="Arial" w:hAnsi="Arial" w:cs="Arial"/>
                <w:sz w:val="16"/>
                <w:szCs w:val="16"/>
              </w:rPr>
            </w:pP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sz w:val="16"/>
                <w:szCs w:val="16"/>
              </w:rPr>
              <w:t>-3,16 % (-5,96 % a -0,2 9%)</w:t>
            </w:r>
          </w:p>
          <w:p w:rsidR="002C4AF7" w:rsidRDefault="007C2686">
            <w:pPr>
              <w:tabs>
                <w:tab w:val="center" w:pos="851"/>
              </w:tabs>
              <w:ind w:left="0" w:hanging="2"/>
              <w:jc w:val="center"/>
              <w:rPr>
                <w:rFonts w:ascii="Arial" w:eastAsia="Arial" w:hAnsi="Arial" w:cs="Arial"/>
                <w:sz w:val="16"/>
                <w:szCs w:val="16"/>
              </w:rPr>
            </w:pPr>
            <w:r>
              <w:rPr>
                <w:rFonts w:ascii="Arial" w:eastAsia="Arial" w:hAnsi="Arial" w:cs="Arial"/>
                <w:i/>
                <w:sz w:val="16"/>
                <w:szCs w:val="16"/>
              </w:rPr>
              <w:t xml:space="preserve">    -2,64 % (-5% a -0,18%)</w:t>
            </w:r>
          </w:p>
          <w:p w:rsidR="002C4AF7" w:rsidRDefault="002C4AF7">
            <w:pPr>
              <w:tabs>
                <w:tab w:val="center" w:pos="851"/>
              </w:tabs>
              <w:ind w:left="0" w:hanging="2"/>
              <w:jc w:val="center"/>
              <w:rPr>
                <w:rFonts w:ascii="Arial" w:eastAsia="Arial" w:hAnsi="Arial" w:cs="Arial"/>
                <w:sz w:val="16"/>
                <w:szCs w:val="16"/>
              </w:rPr>
            </w:pPr>
          </w:p>
          <w:p w:rsidR="002C4AF7" w:rsidRDefault="007C2686">
            <w:pPr>
              <w:tabs>
                <w:tab w:val="center" w:pos="851"/>
              </w:tabs>
              <w:ind w:left="0" w:hanging="2"/>
              <w:jc w:val="center"/>
              <w:rPr>
                <w:rFonts w:ascii="Arial" w:eastAsia="Arial" w:hAnsi="Arial" w:cs="Arial"/>
                <w:sz w:val="16"/>
                <w:szCs w:val="16"/>
              </w:rPr>
            </w:pPr>
            <w:r>
              <w:rPr>
                <w:rFonts w:ascii="Arial" w:eastAsia="Arial" w:hAnsi="Arial" w:cs="Arial"/>
                <w:i/>
                <w:sz w:val="16"/>
                <w:szCs w:val="16"/>
              </w:rPr>
              <w:t>- 4,79 % (-6,74% a -2,24 %)</w:t>
            </w:r>
          </w:p>
          <w:p w:rsidR="002C4AF7" w:rsidRDefault="007C2686">
            <w:pPr>
              <w:tabs>
                <w:tab w:val="center" w:pos="851"/>
              </w:tabs>
              <w:ind w:left="0" w:hanging="2"/>
              <w:jc w:val="center"/>
              <w:rPr>
                <w:rFonts w:ascii="Arial" w:eastAsia="Arial" w:hAnsi="Arial" w:cs="Arial"/>
                <w:sz w:val="16"/>
                <w:szCs w:val="16"/>
              </w:rPr>
            </w:pPr>
            <w:r>
              <w:rPr>
                <w:rFonts w:ascii="Arial" w:eastAsia="Arial" w:hAnsi="Arial" w:cs="Arial"/>
                <w:i/>
                <w:sz w:val="16"/>
                <w:szCs w:val="16"/>
              </w:rPr>
              <w:t>- 2,48 % (-4,24% a 0,52 %)</w:t>
            </w:r>
          </w:p>
          <w:p w:rsidR="002C4AF7" w:rsidRDefault="002C4AF7">
            <w:pPr>
              <w:tabs>
                <w:tab w:val="center" w:pos="851"/>
              </w:tabs>
              <w:ind w:left="0" w:hanging="2"/>
              <w:jc w:val="center"/>
              <w:rPr>
                <w:rFonts w:ascii="Arial" w:eastAsia="Arial" w:hAnsi="Arial" w:cs="Arial"/>
                <w:sz w:val="16"/>
                <w:szCs w:val="16"/>
              </w:rPr>
            </w:pP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w:t>
            </w: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w:t>
            </w:r>
          </w:p>
          <w:p w:rsidR="002C4AF7" w:rsidRDefault="007C2686">
            <w:pPr>
              <w:tabs>
                <w:tab w:val="center" w:pos="851"/>
              </w:tabs>
              <w:ind w:left="0" w:hanging="2"/>
              <w:jc w:val="center"/>
              <w:rPr>
                <w:rFonts w:ascii="Arial" w:eastAsia="Arial" w:hAnsi="Arial" w:cs="Arial"/>
                <w:sz w:val="16"/>
                <w:szCs w:val="16"/>
              </w:rPr>
            </w:pPr>
            <w:r>
              <w:rPr>
                <w:rFonts w:ascii="Arial" w:eastAsia="Arial" w:hAnsi="Arial" w:cs="Arial"/>
                <w:i/>
                <w:sz w:val="16"/>
                <w:szCs w:val="16"/>
              </w:rPr>
              <w:t xml:space="preserve"> -</w:t>
            </w:r>
          </w:p>
          <w:p w:rsidR="002C4AF7" w:rsidRDefault="002C4AF7">
            <w:pPr>
              <w:tabs>
                <w:tab w:val="center" w:pos="851"/>
              </w:tabs>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w:t>
            </w:r>
          </w:p>
          <w:p w:rsidR="002C4AF7" w:rsidRDefault="002C4AF7">
            <w:pPr>
              <w:ind w:left="0" w:hanging="2"/>
              <w:jc w:val="center"/>
              <w:rPr>
                <w:rFonts w:ascii="Arial" w:eastAsia="Arial" w:hAnsi="Arial" w:cs="Arial"/>
                <w:sz w:val="16"/>
                <w:szCs w:val="16"/>
              </w:rPr>
            </w:pPr>
          </w:p>
          <w:p w:rsidR="002C4AF7" w:rsidRDefault="007C2686">
            <w:pPr>
              <w:tabs>
                <w:tab w:val="center" w:pos="851"/>
              </w:tabs>
              <w:ind w:left="0" w:hanging="2"/>
              <w:jc w:val="center"/>
              <w:rPr>
                <w:rFonts w:ascii="Arial" w:eastAsia="Arial" w:hAnsi="Arial" w:cs="Arial"/>
                <w:sz w:val="16"/>
                <w:szCs w:val="16"/>
              </w:rPr>
            </w:pPr>
            <w:r>
              <w:rPr>
                <w:rFonts w:ascii="Arial" w:eastAsia="Arial" w:hAnsi="Arial" w:cs="Arial"/>
                <w:i/>
                <w:sz w:val="16"/>
                <w:szCs w:val="16"/>
              </w:rPr>
              <w:t>-</w:t>
            </w:r>
          </w:p>
          <w:p w:rsidR="002C4AF7" w:rsidRDefault="007C2686">
            <w:pPr>
              <w:tabs>
                <w:tab w:val="center" w:pos="851"/>
              </w:tabs>
              <w:ind w:left="0" w:hanging="2"/>
              <w:jc w:val="center"/>
              <w:rPr>
                <w:rFonts w:ascii="Arial" w:eastAsia="Arial" w:hAnsi="Arial" w:cs="Arial"/>
                <w:sz w:val="16"/>
                <w:szCs w:val="16"/>
              </w:rPr>
            </w:pPr>
            <w:r>
              <w:rPr>
                <w:rFonts w:ascii="Arial" w:eastAsia="Arial" w:hAnsi="Arial" w:cs="Arial"/>
                <w:i/>
                <w:sz w:val="16"/>
                <w:szCs w:val="16"/>
              </w:rPr>
              <w:t>-</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i/>
                <w:sz w:val="16"/>
                <w:szCs w:val="16"/>
              </w:rPr>
              <w:t>-</w:t>
            </w:r>
          </w:p>
          <w:p w:rsidR="002C4AF7" w:rsidRDefault="007C2686">
            <w:pPr>
              <w:tabs>
                <w:tab w:val="center" w:pos="851"/>
              </w:tabs>
              <w:ind w:left="0" w:hanging="2"/>
              <w:jc w:val="center"/>
              <w:rPr>
                <w:rFonts w:ascii="Arial" w:eastAsia="Arial" w:hAnsi="Arial" w:cs="Arial"/>
                <w:sz w:val="16"/>
                <w:szCs w:val="16"/>
              </w:rPr>
            </w:pPr>
            <w:r>
              <w:rPr>
                <w:rFonts w:ascii="Arial" w:eastAsia="Arial" w:hAnsi="Arial" w:cs="Arial"/>
                <w:i/>
                <w:sz w:val="16"/>
                <w:szCs w:val="16"/>
              </w:rPr>
              <w:t>-</w:t>
            </w:r>
          </w:p>
          <w:p w:rsidR="002C4AF7" w:rsidRDefault="007C2686">
            <w:pPr>
              <w:tabs>
                <w:tab w:val="center" w:pos="851"/>
              </w:tabs>
              <w:ind w:left="0" w:hanging="2"/>
              <w:jc w:val="center"/>
              <w:rPr>
                <w:rFonts w:ascii="Arial" w:eastAsia="Arial" w:hAnsi="Arial" w:cs="Arial"/>
                <w:sz w:val="16"/>
                <w:szCs w:val="16"/>
              </w:rPr>
            </w:pPr>
            <w:r>
              <w:rPr>
                <w:rFonts w:ascii="Arial" w:eastAsia="Arial" w:hAnsi="Arial" w:cs="Arial"/>
                <w:i/>
                <w:sz w:val="16"/>
                <w:szCs w:val="16"/>
              </w:rPr>
              <w:t>-</w:t>
            </w:r>
          </w:p>
          <w:p w:rsidR="002C4AF7" w:rsidRDefault="002C4AF7">
            <w:pPr>
              <w:tabs>
                <w:tab w:val="center" w:pos="851"/>
              </w:tabs>
              <w:ind w:left="0" w:hanging="2"/>
              <w:rPr>
                <w:rFonts w:ascii="Arial" w:eastAsia="Arial" w:hAnsi="Arial" w:cs="Arial"/>
                <w:sz w:val="16"/>
                <w:szCs w:val="16"/>
              </w:rPr>
            </w:pPr>
          </w:p>
          <w:p w:rsidR="002C4AF7" w:rsidRDefault="002C4AF7">
            <w:pPr>
              <w:tabs>
                <w:tab w:val="center" w:pos="851"/>
              </w:tabs>
              <w:ind w:left="0" w:hanging="2"/>
              <w:rPr>
                <w:rFonts w:ascii="Arial" w:eastAsia="Arial" w:hAnsi="Arial" w:cs="Arial"/>
                <w:sz w:val="16"/>
                <w:szCs w:val="16"/>
              </w:rPr>
            </w:pPr>
          </w:p>
          <w:p w:rsidR="002C4AF7" w:rsidRDefault="002C4AF7">
            <w:pPr>
              <w:tabs>
                <w:tab w:val="center" w:pos="851"/>
              </w:tabs>
              <w:ind w:left="0" w:hanging="2"/>
              <w:rPr>
                <w:rFonts w:ascii="Arial" w:eastAsia="Arial" w:hAnsi="Arial" w:cs="Arial"/>
                <w:sz w:val="16"/>
                <w:szCs w:val="16"/>
              </w:rPr>
            </w:pPr>
          </w:p>
          <w:p w:rsidR="002C4AF7" w:rsidRDefault="002C4AF7">
            <w:pPr>
              <w:tabs>
                <w:tab w:val="center" w:pos="851"/>
              </w:tabs>
              <w:ind w:left="0" w:hanging="2"/>
              <w:rPr>
                <w:rFonts w:ascii="Arial" w:eastAsia="Arial" w:hAnsi="Arial" w:cs="Arial"/>
                <w:sz w:val="16"/>
                <w:szCs w:val="16"/>
              </w:rPr>
            </w:pPr>
          </w:p>
          <w:p w:rsidR="002C4AF7" w:rsidRDefault="002C4AF7">
            <w:pPr>
              <w:ind w:left="0" w:hanging="2"/>
              <w:rPr>
                <w:rFonts w:ascii="Arial" w:eastAsia="Arial" w:hAnsi="Arial" w:cs="Arial"/>
                <w:sz w:val="16"/>
                <w:szCs w:val="16"/>
              </w:rPr>
            </w:pPr>
          </w:p>
        </w:tc>
        <w:tc>
          <w:tcPr>
            <w:tcW w:w="555" w:type="dxa"/>
          </w:tcPr>
          <w:p w:rsidR="002C4AF7" w:rsidRDefault="002C4AF7">
            <w:pPr>
              <w:ind w:left="0" w:hanging="2"/>
              <w:jc w:val="center"/>
              <w:rPr>
                <w:rFonts w:ascii="Arial" w:eastAsia="Arial" w:hAnsi="Arial" w:cs="Arial"/>
                <w:sz w:val="16"/>
                <w:szCs w:val="16"/>
              </w:rPr>
            </w:pPr>
          </w:p>
          <w:p w:rsidR="002C4AF7" w:rsidRDefault="002C4AF7">
            <w:pPr>
              <w:ind w:left="0" w:hanging="2"/>
              <w:jc w:val="center"/>
              <w:rPr>
                <w:rFonts w:ascii="Arial" w:eastAsia="Arial" w:hAnsi="Arial" w:cs="Arial"/>
                <w:sz w:val="16"/>
                <w:szCs w:val="16"/>
              </w:rPr>
            </w:pPr>
          </w:p>
          <w:p w:rsidR="002C4AF7" w:rsidRDefault="002C4AF7">
            <w:pPr>
              <w:ind w:left="0" w:hanging="2"/>
              <w:jc w:val="center"/>
              <w:rPr>
                <w:rFonts w:ascii="Arial" w:eastAsia="Arial" w:hAnsi="Arial" w:cs="Arial"/>
                <w:sz w:val="16"/>
                <w:szCs w:val="16"/>
              </w:rPr>
            </w:pP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sz w:val="16"/>
                <w:szCs w:val="16"/>
              </w:rPr>
              <w:t>0,027</w:t>
            </w:r>
          </w:p>
          <w:p w:rsidR="002C4AF7" w:rsidRDefault="007C2686">
            <w:pPr>
              <w:ind w:left="0" w:hanging="2"/>
              <w:jc w:val="center"/>
              <w:rPr>
                <w:rFonts w:ascii="Arial" w:eastAsia="Arial" w:hAnsi="Arial" w:cs="Arial"/>
                <w:sz w:val="16"/>
                <w:szCs w:val="16"/>
              </w:rPr>
            </w:pPr>
            <w:r>
              <w:rPr>
                <w:rFonts w:ascii="Arial" w:eastAsia="Arial" w:hAnsi="Arial" w:cs="Arial"/>
                <w:sz w:val="16"/>
                <w:szCs w:val="16"/>
              </w:rPr>
              <w:t>0,028</w:t>
            </w: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sz w:val="16"/>
                <w:szCs w:val="16"/>
              </w:rPr>
              <w:t>0,000</w:t>
            </w:r>
          </w:p>
          <w:p w:rsidR="002C4AF7" w:rsidRDefault="007C2686">
            <w:pPr>
              <w:ind w:left="0" w:hanging="2"/>
              <w:jc w:val="center"/>
              <w:rPr>
                <w:rFonts w:ascii="Arial" w:eastAsia="Arial" w:hAnsi="Arial" w:cs="Arial"/>
                <w:sz w:val="16"/>
                <w:szCs w:val="16"/>
              </w:rPr>
            </w:pPr>
            <w:r>
              <w:rPr>
                <w:rFonts w:ascii="Arial" w:eastAsia="Arial" w:hAnsi="Arial" w:cs="Arial"/>
                <w:sz w:val="16"/>
                <w:szCs w:val="16"/>
              </w:rPr>
              <w:t>0,006</w:t>
            </w:r>
          </w:p>
        </w:tc>
        <w:tc>
          <w:tcPr>
            <w:tcW w:w="1314" w:type="dxa"/>
          </w:tcPr>
          <w:p w:rsidR="002C4AF7" w:rsidRDefault="002C4AF7">
            <w:pPr>
              <w:ind w:left="0" w:hanging="2"/>
              <w:rPr>
                <w:rFonts w:ascii="Arial" w:eastAsia="Arial" w:hAnsi="Arial" w:cs="Arial"/>
                <w:sz w:val="16"/>
                <w:szCs w:val="16"/>
              </w:rPr>
            </w:pPr>
          </w:p>
          <w:p w:rsidR="002C4AF7" w:rsidRDefault="002C4AF7">
            <w:pPr>
              <w:ind w:left="0" w:hanging="2"/>
              <w:rPr>
                <w:rFonts w:ascii="Arial" w:eastAsia="Arial" w:hAnsi="Arial" w:cs="Arial"/>
                <w:sz w:val="16"/>
                <w:szCs w:val="16"/>
              </w:rPr>
            </w:pPr>
          </w:p>
          <w:p w:rsidR="002C4AF7" w:rsidRDefault="002C4AF7">
            <w:pPr>
              <w:ind w:left="0" w:hanging="2"/>
              <w:rPr>
                <w:rFonts w:ascii="Arial" w:eastAsia="Arial" w:hAnsi="Arial" w:cs="Arial"/>
                <w:sz w:val="16"/>
                <w:szCs w:val="16"/>
              </w:rPr>
            </w:pPr>
          </w:p>
          <w:p w:rsidR="002C4AF7" w:rsidRDefault="002C4AF7">
            <w:pPr>
              <w:ind w:left="0" w:hanging="2"/>
              <w:rPr>
                <w:rFonts w:ascii="Arial" w:eastAsia="Arial" w:hAnsi="Arial" w:cs="Arial"/>
                <w:sz w:val="16"/>
                <w:szCs w:val="16"/>
              </w:rPr>
            </w:pPr>
          </w:p>
          <w:p w:rsidR="002C4AF7" w:rsidRDefault="007C2686">
            <w:pPr>
              <w:ind w:left="0" w:hanging="2"/>
              <w:rPr>
                <w:rFonts w:ascii="Arial" w:eastAsia="Arial" w:hAnsi="Arial" w:cs="Arial"/>
                <w:sz w:val="16"/>
                <w:szCs w:val="16"/>
              </w:rPr>
            </w:pPr>
            <w:r>
              <w:rPr>
                <w:rFonts w:ascii="Arial" w:eastAsia="Arial" w:hAnsi="Arial" w:cs="Arial"/>
                <w:sz w:val="16"/>
                <w:szCs w:val="16"/>
              </w:rPr>
              <w:t>-32 (-351 a -17)</w:t>
            </w:r>
          </w:p>
          <w:p w:rsidR="002C4AF7" w:rsidRDefault="007C2686">
            <w:pPr>
              <w:ind w:left="0" w:hanging="2"/>
              <w:rPr>
                <w:rFonts w:ascii="Arial" w:eastAsia="Arial" w:hAnsi="Arial" w:cs="Arial"/>
                <w:sz w:val="16"/>
                <w:szCs w:val="16"/>
              </w:rPr>
            </w:pPr>
            <w:r>
              <w:rPr>
                <w:rFonts w:ascii="Arial" w:eastAsia="Arial" w:hAnsi="Arial" w:cs="Arial"/>
                <w:sz w:val="16"/>
                <w:szCs w:val="16"/>
              </w:rPr>
              <w:t>-38 -(560 a -20)</w:t>
            </w:r>
          </w:p>
          <w:p w:rsidR="002C4AF7" w:rsidRDefault="002C4AF7">
            <w:pPr>
              <w:ind w:left="0" w:hanging="2"/>
              <w:rPr>
                <w:rFonts w:ascii="Arial" w:eastAsia="Arial" w:hAnsi="Arial" w:cs="Arial"/>
                <w:sz w:val="16"/>
                <w:szCs w:val="16"/>
              </w:rPr>
            </w:pPr>
          </w:p>
          <w:p w:rsidR="002C4AF7" w:rsidRDefault="007C2686">
            <w:pPr>
              <w:ind w:left="0" w:hanging="2"/>
              <w:rPr>
                <w:rFonts w:ascii="Arial" w:eastAsia="Arial" w:hAnsi="Arial" w:cs="Arial"/>
                <w:sz w:val="16"/>
                <w:szCs w:val="16"/>
              </w:rPr>
            </w:pPr>
            <w:r>
              <w:rPr>
                <w:rFonts w:ascii="Arial" w:eastAsia="Arial" w:hAnsi="Arial" w:cs="Arial"/>
                <w:sz w:val="16"/>
                <w:szCs w:val="16"/>
              </w:rPr>
              <w:t>-21 (-39 a -15)</w:t>
            </w:r>
          </w:p>
          <w:p w:rsidR="002C4AF7" w:rsidRDefault="007C2686">
            <w:pPr>
              <w:ind w:left="0" w:hanging="2"/>
              <w:rPr>
                <w:rFonts w:ascii="Arial" w:eastAsia="Arial" w:hAnsi="Arial" w:cs="Arial"/>
                <w:sz w:val="16"/>
                <w:szCs w:val="16"/>
              </w:rPr>
            </w:pPr>
            <w:r>
              <w:rPr>
                <w:rFonts w:ascii="Arial" w:eastAsia="Arial" w:hAnsi="Arial" w:cs="Arial"/>
                <w:sz w:val="16"/>
                <w:szCs w:val="16"/>
              </w:rPr>
              <w:t xml:space="preserve">- 40 (-193 a </w:t>
            </w:r>
          </w:p>
        </w:tc>
      </w:tr>
      <w:tr w:rsidR="002C4AF7">
        <w:trPr>
          <w:trHeight w:val="218"/>
        </w:trPr>
        <w:tc>
          <w:tcPr>
            <w:tcW w:w="8881" w:type="dxa"/>
            <w:gridSpan w:val="6"/>
          </w:tcPr>
          <w:p w:rsidR="002C4AF7" w:rsidRDefault="007C2686">
            <w:pPr>
              <w:ind w:left="0" w:hanging="2"/>
              <w:jc w:val="both"/>
              <w:rPr>
                <w:rFonts w:ascii="Arial" w:eastAsia="Arial" w:hAnsi="Arial" w:cs="Arial"/>
                <w:sz w:val="16"/>
                <w:szCs w:val="16"/>
              </w:rPr>
            </w:pPr>
            <w:r>
              <w:rPr>
                <w:rFonts w:ascii="Arial" w:eastAsia="Arial" w:hAnsi="Arial" w:cs="Arial"/>
                <w:sz w:val="16"/>
                <w:szCs w:val="16"/>
              </w:rPr>
              <w:t xml:space="preserve">(*) RAR y NND o NNH con IC 95 % se exponen en la tabla solo si p&lt;0,05 </w:t>
            </w:r>
          </w:p>
          <w:p w:rsidR="002C4AF7" w:rsidRDefault="002C4AF7">
            <w:pPr>
              <w:ind w:left="0" w:hanging="2"/>
              <w:jc w:val="both"/>
              <w:rPr>
                <w:rFonts w:ascii="Arial" w:eastAsia="Arial" w:hAnsi="Arial" w:cs="Arial"/>
                <w:sz w:val="16"/>
                <w:szCs w:val="16"/>
              </w:rPr>
            </w:pPr>
          </w:p>
        </w:tc>
      </w:tr>
      <w:tr w:rsidR="002C4AF7">
        <w:trPr>
          <w:trHeight w:val="218"/>
        </w:trPr>
        <w:tc>
          <w:tcPr>
            <w:tcW w:w="8881" w:type="dxa"/>
            <w:gridSpan w:val="6"/>
          </w:tcPr>
          <w:p w:rsidR="002C4AF7" w:rsidRDefault="002C4AF7">
            <w:pPr>
              <w:ind w:left="0" w:hanging="2"/>
              <w:jc w:val="both"/>
              <w:rPr>
                <w:rFonts w:ascii="Arial" w:eastAsia="Arial" w:hAnsi="Arial" w:cs="Arial"/>
                <w:sz w:val="16"/>
                <w:szCs w:val="16"/>
              </w:rPr>
            </w:pPr>
          </w:p>
        </w:tc>
      </w:tr>
    </w:tbl>
    <w:p w:rsidR="002C4AF7" w:rsidRDefault="002C4AF7">
      <w:pPr>
        <w:keepNext/>
        <w:pBdr>
          <w:top w:val="single" w:sz="4" w:space="1" w:color="000000"/>
          <w:left w:val="single" w:sz="4" w:space="4" w:color="000000"/>
          <w:bottom w:val="single" w:sz="4" w:space="1" w:color="000000"/>
          <w:right w:val="single" w:sz="4" w:space="4" w:color="000000"/>
        </w:pBdr>
        <w:shd w:val="clear" w:color="auto" w:fill="D9D9D9"/>
        <w:ind w:left="0" w:hanging="2"/>
        <w:jc w:val="both"/>
        <w:rPr>
          <w:rFonts w:ascii="Arial" w:eastAsia="Arial" w:hAnsi="Arial" w:cs="Arial"/>
          <w:sz w:val="20"/>
          <w:szCs w:val="20"/>
        </w:rPr>
      </w:pPr>
      <w:bookmarkStart w:id="43" w:name="_heading=h.w6edfapvm1j1" w:colFirst="0" w:colLast="0"/>
      <w:bookmarkEnd w:id="43"/>
    </w:p>
    <w:p w:rsidR="002C4AF7" w:rsidRDefault="002C4AF7">
      <w:pPr>
        <w:ind w:left="0" w:hanging="2"/>
        <w:rPr>
          <w:rFonts w:ascii="Arial" w:eastAsia="Arial" w:hAnsi="Arial" w:cs="Arial"/>
          <w:sz w:val="16"/>
          <w:szCs w:val="16"/>
        </w:rPr>
      </w:pPr>
      <w:bookmarkStart w:id="44" w:name="_heading=h.3fwokq0" w:colFirst="0" w:colLast="0"/>
      <w:bookmarkEnd w:id="44"/>
    </w:p>
    <w:p w:rsidR="002C4AF7" w:rsidRDefault="002C4AF7">
      <w:pPr>
        <w:ind w:left="0" w:hanging="2"/>
        <w:jc w:val="both"/>
        <w:rPr>
          <w:rFonts w:ascii="Arial" w:eastAsia="Arial" w:hAnsi="Arial" w:cs="Arial"/>
          <w:color w:val="000080"/>
          <w:sz w:val="20"/>
          <w:szCs w:val="20"/>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r>
        <w:rPr>
          <w:rFonts w:ascii="Cambria" w:eastAsia="Cambria" w:hAnsi="Cambria" w:cs="Cambria"/>
          <w:b/>
          <w:i/>
          <w:color w:val="000000"/>
          <w:sz w:val="20"/>
          <w:szCs w:val="20"/>
        </w:rPr>
        <w:t>6.3 Fuentes secundarias sobre seguridad</w:t>
      </w:r>
    </w:p>
    <w:p w:rsidR="002C4AF7" w:rsidRDefault="007C2686">
      <w:pPr>
        <w:spacing w:before="240" w:after="240"/>
        <w:ind w:left="0" w:hanging="2"/>
        <w:jc w:val="both"/>
        <w:rPr>
          <w:rFonts w:ascii="Arial" w:eastAsia="Arial" w:hAnsi="Arial" w:cs="Arial"/>
          <w:sz w:val="20"/>
          <w:szCs w:val="20"/>
        </w:rPr>
      </w:pPr>
      <w:r>
        <w:rPr>
          <w:rFonts w:ascii="Arial" w:eastAsia="Arial" w:hAnsi="Arial" w:cs="Arial"/>
          <w:sz w:val="20"/>
          <w:szCs w:val="20"/>
        </w:rPr>
        <w:t>En el EPAR (10) se proporcionan datos de seguridad adicionales de enzalutamida:</w:t>
      </w:r>
    </w:p>
    <w:p w:rsidR="002C4AF7" w:rsidRDefault="007C2686">
      <w:pPr>
        <w:spacing w:before="240" w:after="240"/>
        <w:ind w:left="0" w:hanging="2"/>
        <w:jc w:val="both"/>
        <w:rPr>
          <w:rFonts w:ascii="Arial" w:eastAsia="Arial" w:hAnsi="Arial" w:cs="Arial"/>
          <w:sz w:val="20"/>
          <w:szCs w:val="20"/>
        </w:rPr>
      </w:pPr>
      <w:r>
        <w:rPr>
          <w:rFonts w:ascii="Arial" w:eastAsia="Arial" w:hAnsi="Arial" w:cs="Arial"/>
          <w:noProof/>
          <w:sz w:val="20"/>
          <w:szCs w:val="20"/>
        </w:rPr>
        <w:drawing>
          <wp:inline distT="0" distB="0" distL="114300" distR="114300">
            <wp:extent cx="5288915" cy="3371850"/>
            <wp:effectExtent l="0" t="0" r="0" b="0"/>
            <wp:docPr id="108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9"/>
                    <a:srcRect/>
                    <a:stretch>
                      <a:fillRect/>
                    </a:stretch>
                  </pic:blipFill>
                  <pic:spPr>
                    <a:xfrm>
                      <a:off x="0" y="0"/>
                      <a:ext cx="5288915" cy="3371850"/>
                    </a:xfrm>
                    <a:prstGeom prst="rect">
                      <a:avLst/>
                    </a:prstGeom>
                    <a:ln/>
                  </pic:spPr>
                </pic:pic>
              </a:graphicData>
            </a:graphic>
          </wp:inline>
        </w:drawing>
      </w:r>
    </w:p>
    <w:p w:rsidR="002C4AF7" w:rsidRDefault="007C2686">
      <w:pPr>
        <w:spacing w:before="240" w:after="240"/>
        <w:ind w:left="0" w:hanging="2"/>
        <w:jc w:val="both"/>
        <w:rPr>
          <w:rFonts w:ascii="Arial" w:eastAsia="Arial" w:hAnsi="Arial" w:cs="Arial"/>
          <w:sz w:val="20"/>
          <w:szCs w:val="20"/>
        </w:rPr>
      </w:pPr>
      <w:bookmarkStart w:id="45" w:name="_heading=h.1v1yuxt" w:colFirst="0" w:colLast="0"/>
      <w:bookmarkEnd w:id="45"/>
      <w:r>
        <w:rPr>
          <w:rFonts w:ascii="Arial" w:eastAsia="Arial" w:hAnsi="Arial" w:cs="Arial"/>
          <w:sz w:val="20"/>
          <w:szCs w:val="20"/>
        </w:rPr>
        <w:t>Todos estos estudios de enzalutamida, agrupados, incluyeron 4.081 pacientes tratados con 160 mg/día de enzalutamida, que componen la población de seguridad integrada y 2.474 pacientes tratados con placebo más tratamiento estándar.</w:t>
      </w:r>
      <w:r>
        <w:rPr>
          <w:rFonts w:ascii="Arial" w:eastAsia="Arial" w:hAnsi="Arial" w:cs="Arial"/>
          <w:noProof/>
          <w:sz w:val="20"/>
          <w:szCs w:val="20"/>
        </w:rPr>
        <w:drawing>
          <wp:inline distT="0" distB="0" distL="114300" distR="114300">
            <wp:extent cx="5527040" cy="3028950"/>
            <wp:effectExtent l="0" t="0" r="0" b="0"/>
            <wp:docPr id="108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0"/>
                    <a:srcRect/>
                    <a:stretch>
                      <a:fillRect/>
                    </a:stretch>
                  </pic:blipFill>
                  <pic:spPr>
                    <a:xfrm>
                      <a:off x="0" y="0"/>
                      <a:ext cx="5527040" cy="3028950"/>
                    </a:xfrm>
                    <a:prstGeom prst="rect">
                      <a:avLst/>
                    </a:prstGeom>
                    <a:ln/>
                  </pic:spPr>
                </pic:pic>
              </a:graphicData>
            </a:graphic>
          </wp:inline>
        </w:drawing>
      </w:r>
    </w:p>
    <w:p w:rsidR="002C4AF7" w:rsidRDefault="007C2686">
      <w:pPr>
        <w:ind w:left="0" w:hanging="2"/>
        <w:jc w:val="both"/>
        <w:rPr>
          <w:rFonts w:ascii="Arial" w:eastAsia="Arial" w:hAnsi="Arial" w:cs="Arial"/>
          <w:sz w:val="20"/>
          <w:szCs w:val="20"/>
        </w:rPr>
      </w:pPr>
      <w:bookmarkStart w:id="46" w:name="_heading=h.nqcqpyj2mh9g" w:colFirst="0" w:colLast="0"/>
      <w:bookmarkEnd w:id="46"/>
      <w:r>
        <w:rPr>
          <w:rFonts w:ascii="Arial" w:eastAsia="Arial" w:hAnsi="Arial" w:cs="Arial"/>
          <w:sz w:val="20"/>
          <w:szCs w:val="20"/>
        </w:rPr>
        <w:lastRenderedPageBreak/>
        <w:t>En el apartado anterior de comparaciones indirectas y metanálisis en red se muestran los resultados de seguridad de la comparación entre las distintas alternativas de tratamiento de los eventos adversos de alto grado.</w:t>
      </w:r>
    </w:p>
    <w:p w:rsidR="002C4AF7" w:rsidRDefault="002C4AF7">
      <w:pPr>
        <w:ind w:left="0" w:hanging="2"/>
        <w:jc w:val="right"/>
        <w:rPr>
          <w:rFonts w:ascii="Arial" w:eastAsia="Arial" w:hAnsi="Arial" w:cs="Arial"/>
          <w:sz w:val="20"/>
          <w:szCs w:val="20"/>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r>
        <w:rPr>
          <w:rFonts w:ascii="Cambria" w:eastAsia="Cambria" w:hAnsi="Cambria" w:cs="Cambria"/>
          <w:b/>
          <w:i/>
          <w:color w:val="000000"/>
          <w:sz w:val="20"/>
          <w:szCs w:val="20"/>
        </w:rPr>
        <w:t xml:space="preserve">6.4 Precauciones de empleo en casos especiales </w:t>
      </w:r>
    </w:p>
    <w:p w:rsidR="002C4AF7" w:rsidRDefault="002C4AF7">
      <w:pPr>
        <w:ind w:left="0" w:hanging="2"/>
        <w:rPr>
          <w:rFonts w:ascii="Arial" w:eastAsia="Arial" w:hAnsi="Arial" w:cs="Arial"/>
          <w:sz w:val="20"/>
          <w:szCs w:val="20"/>
        </w:rPr>
      </w:pPr>
    </w:p>
    <w:p w:rsidR="002C4AF7" w:rsidRDefault="007C2686">
      <w:pPr>
        <w:widowControl w:val="0"/>
        <w:spacing w:after="240"/>
        <w:ind w:left="0" w:hanging="2"/>
        <w:jc w:val="both"/>
        <w:rPr>
          <w:rFonts w:ascii="Arial" w:eastAsia="Arial" w:hAnsi="Arial" w:cs="Arial"/>
          <w:sz w:val="20"/>
          <w:szCs w:val="20"/>
        </w:rPr>
      </w:pPr>
      <w:r>
        <w:rPr>
          <w:rFonts w:ascii="Arial" w:eastAsia="Arial" w:hAnsi="Arial" w:cs="Arial"/>
          <w:b/>
          <w:sz w:val="20"/>
          <w:szCs w:val="20"/>
        </w:rPr>
        <w:t>Anticoncepción en hombres y mujeres</w:t>
      </w:r>
    </w:p>
    <w:p w:rsidR="002C4AF7" w:rsidRDefault="007C2686">
      <w:pPr>
        <w:widowControl w:val="0"/>
        <w:spacing w:after="240"/>
        <w:ind w:left="0" w:hanging="2"/>
        <w:jc w:val="both"/>
        <w:rPr>
          <w:rFonts w:ascii="Arial" w:eastAsia="Arial" w:hAnsi="Arial" w:cs="Arial"/>
          <w:sz w:val="20"/>
          <w:szCs w:val="20"/>
        </w:rPr>
      </w:pPr>
      <w:r>
        <w:rPr>
          <w:rFonts w:ascii="Arial" w:eastAsia="Arial" w:hAnsi="Arial" w:cs="Arial"/>
          <w:sz w:val="20"/>
          <w:szCs w:val="20"/>
        </w:rPr>
        <w:t>Se desconoce si la enzalutamida o sus metabolitos están presentes en el semen. Si el paciente mantiene relaciones sexuales con una mujer embarazada, debe utilizar un preservativo durante el tratamiento con enzalutamida y en los 3 meses posteriores al mismo. Si el paciente mantiene relaciones sexuales con una mujer en edad fértil, debe utilizar un preservativo y otro método anticonceptivo durante el tratamiento con enzalutamida y en los 3 meses posteriores al mismo. Los estudios realizados en animales han mostrado toxicidad para la reproducción.</w:t>
      </w:r>
    </w:p>
    <w:p w:rsidR="002C4AF7" w:rsidRDefault="007C2686">
      <w:pPr>
        <w:widowControl w:val="0"/>
        <w:spacing w:after="240"/>
        <w:ind w:left="0" w:hanging="2"/>
        <w:jc w:val="both"/>
        <w:rPr>
          <w:rFonts w:ascii="Arial" w:eastAsia="Arial" w:hAnsi="Arial" w:cs="Arial"/>
          <w:sz w:val="20"/>
          <w:szCs w:val="20"/>
        </w:rPr>
      </w:pPr>
      <w:r>
        <w:rPr>
          <w:rFonts w:ascii="Arial" w:eastAsia="Arial" w:hAnsi="Arial" w:cs="Arial"/>
          <w:b/>
          <w:sz w:val="20"/>
          <w:szCs w:val="20"/>
        </w:rPr>
        <w:t xml:space="preserve">Fertilidad </w:t>
      </w:r>
    </w:p>
    <w:p w:rsidR="002C4AF7" w:rsidRDefault="007C2686">
      <w:pPr>
        <w:widowControl w:val="0"/>
        <w:spacing w:after="240"/>
        <w:ind w:left="0" w:hanging="2"/>
        <w:jc w:val="both"/>
        <w:rPr>
          <w:rFonts w:ascii="Arial" w:eastAsia="Arial" w:hAnsi="Arial" w:cs="Arial"/>
          <w:sz w:val="20"/>
          <w:szCs w:val="20"/>
        </w:rPr>
      </w:pPr>
      <w:r>
        <w:rPr>
          <w:rFonts w:ascii="Arial" w:eastAsia="Arial" w:hAnsi="Arial" w:cs="Arial"/>
          <w:sz w:val="20"/>
          <w:szCs w:val="20"/>
        </w:rPr>
        <w:t>Los estudios realizados en animales mostraron que la enzalutamida afectaba al sistema reproductor de ratas y perros machos.</w:t>
      </w:r>
    </w:p>
    <w:p w:rsidR="002C4AF7" w:rsidRDefault="007C2686">
      <w:pPr>
        <w:ind w:left="0" w:hanging="2"/>
        <w:jc w:val="both"/>
        <w:rPr>
          <w:rFonts w:ascii="Arial" w:eastAsia="Arial" w:hAnsi="Arial" w:cs="Arial"/>
          <w:sz w:val="20"/>
          <w:szCs w:val="20"/>
        </w:rPr>
      </w:pPr>
      <w:r>
        <w:rPr>
          <w:rFonts w:ascii="Arial" w:eastAsia="Arial" w:hAnsi="Arial" w:cs="Arial"/>
          <w:b/>
          <w:sz w:val="20"/>
          <w:szCs w:val="20"/>
        </w:rPr>
        <w:t>Insuficiencia renal</w:t>
      </w:r>
    </w:p>
    <w:p w:rsidR="002C4AF7" w:rsidRDefault="002C4AF7">
      <w:pPr>
        <w:ind w:left="0" w:hanging="2"/>
        <w:jc w:val="both"/>
        <w:rPr>
          <w:rFonts w:ascii="Arial" w:eastAsia="Arial" w:hAnsi="Arial" w:cs="Arial"/>
          <w:sz w:val="20"/>
          <w:szCs w:val="20"/>
        </w:rPr>
      </w:pPr>
    </w:p>
    <w:p w:rsidR="002C4AF7" w:rsidRDefault="007C2686">
      <w:pPr>
        <w:widowControl w:val="0"/>
        <w:spacing w:after="240"/>
        <w:ind w:left="0" w:hanging="2"/>
        <w:jc w:val="both"/>
        <w:rPr>
          <w:rFonts w:ascii="Arial" w:eastAsia="Arial" w:hAnsi="Arial" w:cs="Arial"/>
          <w:sz w:val="20"/>
          <w:szCs w:val="20"/>
        </w:rPr>
      </w:pPr>
      <w:r>
        <w:rPr>
          <w:rFonts w:ascii="Arial" w:eastAsia="Arial" w:hAnsi="Arial" w:cs="Arial"/>
          <w:sz w:val="20"/>
          <w:szCs w:val="20"/>
        </w:rPr>
        <w:t xml:space="preserve">Se debe administrar con precaución a pacientes con insuficiencia renal grave ya que no se ha estudiado en esta población de pacientes. </w:t>
      </w:r>
    </w:p>
    <w:p w:rsidR="002C4AF7" w:rsidRDefault="007C2686">
      <w:pPr>
        <w:widowControl w:val="0"/>
        <w:spacing w:after="240"/>
        <w:ind w:left="0" w:hanging="2"/>
        <w:rPr>
          <w:rFonts w:ascii="Arial" w:eastAsia="Arial" w:hAnsi="Arial" w:cs="Arial"/>
          <w:sz w:val="20"/>
          <w:szCs w:val="20"/>
        </w:rPr>
      </w:pPr>
      <w:r>
        <w:rPr>
          <w:rFonts w:ascii="Arial" w:eastAsia="Arial" w:hAnsi="Arial" w:cs="Arial"/>
          <w:b/>
          <w:sz w:val="20"/>
          <w:szCs w:val="20"/>
        </w:rPr>
        <w:t>Insuficiencia hepática grave</w:t>
      </w:r>
    </w:p>
    <w:p w:rsidR="002C4AF7" w:rsidRDefault="007C2686">
      <w:pPr>
        <w:widowControl w:val="0"/>
        <w:spacing w:after="240"/>
        <w:ind w:left="0" w:hanging="2"/>
        <w:jc w:val="both"/>
        <w:rPr>
          <w:rFonts w:ascii="Arial" w:eastAsia="Arial" w:hAnsi="Arial" w:cs="Arial"/>
          <w:sz w:val="20"/>
          <w:szCs w:val="20"/>
        </w:rPr>
      </w:pPr>
      <w:r>
        <w:rPr>
          <w:rFonts w:ascii="Arial" w:eastAsia="Arial" w:hAnsi="Arial" w:cs="Arial"/>
          <w:sz w:val="20"/>
          <w:szCs w:val="20"/>
        </w:rPr>
        <w:t>Se ha observado un aumento de la semivida de enzalutamida en pacientes con insuficiencia hepática grave, posiblemente relacionado con un aumento de la distribución tisular. Se desconoce la relevancia clínica de esta observación. Sin embargo, se prevé una prolongación del tiempo para alcanzar las concentraciones en estado estacionario, y se puede aumentar el tiempo para el efecto farmacológico máximo, así como el tiempo de inicio y la disminución de la inducción enzimática.</w:t>
      </w:r>
    </w:p>
    <w:p w:rsidR="002C4AF7" w:rsidRDefault="007C2686">
      <w:pPr>
        <w:widowControl w:val="0"/>
        <w:spacing w:after="240"/>
        <w:ind w:left="0" w:hanging="2"/>
        <w:jc w:val="both"/>
        <w:rPr>
          <w:rFonts w:ascii="Arial" w:eastAsia="Arial" w:hAnsi="Arial" w:cs="Arial"/>
          <w:sz w:val="20"/>
          <w:szCs w:val="20"/>
        </w:rPr>
      </w:pPr>
      <w:r>
        <w:rPr>
          <w:rFonts w:ascii="Arial" w:eastAsia="Arial" w:hAnsi="Arial" w:cs="Arial"/>
          <w:b/>
          <w:sz w:val="20"/>
          <w:szCs w:val="20"/>
        </w:rPr>
        <w:t>Edad avanzada</w:t>
      </w:r>
    </w:p>
    <w:p w:rsidR="002C4AF7" w:rsidRDefault="007C2686">
      <w:pPr>
        <w:widowControl w:val="0"/>
        <w:spacing w:after="240"/>
        <w:ind w:left="0" w:hanging="2"/>
        <w:jc w:val="both"/>
        <w:rPr>
          <w:rFonts w:ascii="Arial" w:eastAsia="Arial" w:hAnsi="Arial" w:cs="Arial"/>
          <w:sz w:val="20"/>
          <w:szCs w:val="20"/>
        </w:rPr>
      </w:pPr>
      <w:r>
        <w:rPr>
          <w:rFonts w:ascii="Arial" w:eastAsia="Arial" w:hAnsi="Arial" w:cs="Arial"/>
          <w:sz w:val="20"/>
          <w:szCs w:val="20"/>
        </w:rPr>
        <w:t xml:space="preserve">No se observaron diferencias globales en cuanto a seguridad o eficacia entre estos pacientes de edad avanzada y los pacientes más jóvenes. </w:t>
      </w:r>
    </w:p>
    <w:p w:rsidR="002C4AF7" w:rsidRDefault="007C2686">
      <w:pPr>
        <w:ind w:left="0" w:hanging="2"/>
        <w:jc w:val="both"/>
        <w:rPr>
          <w:rFonts w:ascii="Arial" w:eastAsia="Arial" w:hAnsi="Arial" w:cs="Arial"/>
          <w:sz w:val="20"/>
          <w:szCs w:val="20"/>
        </w:rPr>
      </w:pPr>
      <w:r>
        <w:rPr>
          <w:rFonts w:ascii="Arial" w:eastAsia="Arial" w:hAnsi="Arial" w:cs="Arial"/>
          <w:b/>
          <w:sz w:val="20"/>
          <w:szCs w:val="20"/>
        </w:rPr>
        <w:t>Contraindicaciones</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Hipersensibilidad al principio activo o a alguno de los excipientes. </w:t>
      </w:r>
    </w:p>
    <w:p w:rsidR="002C4AF7" w:rsidRDefault="007C2686">
      <w:pPr>
        <w:ind w:left="0" w:hanging="2"/>
        <w:jc w:val="both"/>
        <w:rPr>
          <w:rFonts w:ascii="Arial" w:eastAsia="Arial" w:hAnsi="Arial" w:cs="Arial"/>
          <w:sz w:val="20"/>
          <w:szCs w:val="20"/>
        </w:rPr>
      </w:pPr>
      <w:r>
        <w:rPr>
          <w:rFonts w:ascii="Arial" w:eastAsia="Arial" w:hAnsi="Arial" w:cs="Arial"/>
          <w:sz w:val="20"/>
          <w:szCs w:val="20"/>
        </w:rPr>
        <w:t>Mujeres embarazadas o que puedan quedarse embarazadas.</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b/>
          <w:sz w:val="20"/>
          <w:szCs w:val="20"/>
        </w:rPr>
        <w:t>Interacciones</w:t>
      </w:r>
    </w:p>
    <w:p w:rsidR="002C4AF7" w:rsidRDefault="002C4AF7">
      <w:pPr>
        <w:ind w:left="0" w:hanging="2"/>
        <w:jc w:val="both"/>
        <w:rPr>
          <w:rFonts w:ascii="Arial" w:eastAsia="Arial" w:hAnsi="Arial" w:cs="Arial"/>
          <w:sz w:val="20"/>
          <w:szCs w:val="20"/>
        </w:rPr>
      </w:pPr>
    </w:p>
    <w:p w:rsidR="002C4AF7" w:rsidRDefault="007C2686">
      <w:pPr>
        <w:widowControl w:val="0"/>
        <w:spacing w:after="240"/>
        <w:ind w:left="0" w:hanging="2"/>
        <w:jc w:val="both"/>
        <w:rPr>
          <w:rFonts w:ascii="Arial" w:eastAsia="Arial" w:hAnsi="Arial" w:cs="Arial"/>
          <w:sz w:val="20"/>
          <w:szCs w:val="20"/>
        </w:rPr>
      </w:pPr>
      <w:r>
        <w:rPr>
          <w:rFonts w:ascii="Arial" w:eastAsia="Arial" w:hAnsi="Arial" w:cs="Arial"/>
          <w:sz w:val="20"/>
          <w:szCs w:val="20"/>
        </w:rPr>
        <w:t>- Efecto de otros medicamentos sobre enzalutamida</w:t>
      </w:r>
    </w:p>
    <w:p w:rsidR="002C4AF7" w:rsidRDefault="007C2686">
      <w:pPr>
        <w:widowControl w:val="0"/>
        <w:spacing w:after="240"/>
        <w:ind w:left="0" w:hanging="2"/>
        <w:jc w:val="both"/>
        <w:rPr>
          <w:rFonts w:ascii="Arial" w:eastAsia="Arial" w:hAnsi="Arial" w:cs="Arial"/>
          <w:sz w:val="20"/>
          <w:szCs w:val="20"/>
        </w:rPr>
      </w:pPr>
      <w:r>
        <w:rPr>
          <w:rFonts w:ascii="Arial" w:eastAsia="Arial" w:hAnsi="Arial" w:cs="Arial"/>
          <w:i/>
          <w:sz w:val="20"/>
          <w:szCs w:val="20"/>
        </w:rPr>
        <w:t xml:space="preserve">Inhibidores del CYP2C8 </w:t>
      </w:r>
    </w:p>
    <w:p w:rsidR="002C4AF7" w:rsidRDefault="007C2686">
      <w:pPr>
        <w:widowControl w:val="0"/>
        <w:spacing w:after="240"/>
        <w:ind w:left="0" w:hanging="2"/>
        <w:jc w:val="both"/>
        <w:rPr>
          <w:rFonts w:ascii="Arial" w:eastAsia="Arial" w:hAnsi="Arial" w:cs="Arial"/>
          <w:sz w:val="20"/>
          <w:szCs w:val="20"/>
        </w:rPr>
      </w:pPr>
      <w:r>
        <w:rPr>
          <w:rFonts w:ascii="Arial" w:eastAsia="Arial" w:hAnsi="Arial" w:cs="Arial"/>
          <w:sz w:val="20"/>
          <w:szCs w:val="20"/>
        </w:rPr>
        <w:t xml:space="preserve">El CYP2C8 desempeña una función importante en la eliminación de enzalutamida y en la formación de su metabolito activo. Se recomienda evitar o usar con precaución los inhibidores potentes del CYP2C8 (p. ej. gemfibrozilo) durante el tratamiento con enzalutamida. Si se debe administrar simultáneamente a los pacientes un inhibidor potente del CYP2C8, la dosis de enzalutamida se debe reducir a 80 mg una vez al día. </w:t>
      </w:r>
    </w:p>
    <w:p w:rsidR="002C4AF7" w:rsidRDefault="007C2686">
      <w:pPr>
        <w:widowControl w:val="0"/>
        <w:spacing w:after="240"/>
        <w:ind w:left="0" w:hanging="2"/>
        <w:jc w:val="both"/>
        <w:rPr>
          <w:rFonts w:ascii="Arial" w:eastAsia="Arial" w:hAnsi="Arial" w:cs="Arial"/>
          <w:sz w:val="20"/>
          <w:szCs w:val="20"/>
        </w:rPr>
      </w:pPr>
      <w:r>
        <w:rPr>
          <w:rFonts w:ascii="Arial" w:eastAsia="Arial" w:hAnsi="Arial" w:cs="Arial"/>
          <w:i/>
          <w:sz w:val="20"/>
          <w:szCs w:val="20"/>
        </w:rPr>
        <w:t>Inhibidores del CYP3A4</w:t>
      </w:r>
    </w:p>
    <w:p w:rsidR="002C4AF7" w:rsidRDefault="007C2686">
      <w:pPr>
        <w:widowControl w:val="0"/>
        <w:spacing w:after="240"/>
        <w:ind w:left="0" w:hanging="2"/>
        <w:jc w:val="both"/>
        <w:rPr>
          <w:rFonts w:ascii="Arial" w:eastAsia="Arial" w:hAnsi="Arial" w:cs="Arial"/>
          <w:sz w:val="20"/>
          <w:szCs w:val="20"/>
        </w:rPr>
      </w:pPr>
      <w:r>
        <w:rPr>
          <w:rFonts w:ascii="Arial" w:eastAsia="Arial" w:hAnsi="Arial" w:cs="Arial"/>
          <w:sz w:val="20"/>
          <w:szCs w:val="20"/>
        </w:rPr>
        <w:t xml:space="preserve">El CYP3A4 desempeña un papel secundario en el metabolismo de enzalutamida. No es necesario </w:t>
      </w:r>
      <w:r>
        <w:rPr>
          <w:rFonts w:ascii="Arial" w:eastAsia="Arial" w:hAnsi="Arial" w:cs="Arial"/>
          <w:sz w:val="20"/>
          <w:szCs w:val="20"/>
        </w:rPr>
        <w:lastRenderedPageBreak/>
        <w:t xml:space="preserve">ajustar la dosis al administrar simultáneamente con inhibidores del CYP3A4. </w:t>
      </w:r>
    </w:p>
    <w:p w:rsidR="002C4AF7" w:rsidRDefault="007C2686">
      <w:pPr>
        <w:widowControl w:val="0"/>
        <w:spacing w:after="240"/>
        <w:ind w:left="0" w:hanging="2"/>
        <w:jc w:val="both"/>
        <w:rPr>
          <w:rFonts w:ascii="Arial" w:eastAsia="Arial" w:hAnsi="Arial" w:cs="Arial"/>
          <w:sz w:val="20"/>
          <w:szCs w:val="20"/>
        </w:rPr>
      </w:pPr>
      <w:r>
        <w:rPr>
          <w:rFonts w:ascii="Arial" w:eastAsia="Arial" w:hAnsi="Arial" w:cs="Arial"/>
          <w:i/>
          <w:sz w:val="20"/>
          <w:szCs w:val="20"/>
        </w:rPr>
        <w:t xml:space="preserve">Inductores del CYP2C8 y CYP3A4 </w:t>
      </w:r>
    </w:p>
    <w:p w:rsidR="002C4AF7" w:rsidRDefault="007C2686">
      <w:pPr>
        <w:widowControl w:val="0"/>
        <w:spacing w:after="240"/>
        <w:ind w:left="0" w:hanging="2"/>
        <w:jc w:val="both"/>
        <w:rPr>
          <w:rFonts w:ascii="Arial" w:eastAsia="Arial" w:hAnsi="Arial" w:cs="Arial"/>
          <w:sz w:val="20"/>
          <w:szCs w:val="20"/>
        </w:rPr>
      </w:pPr>
      <w:r>
        <w:rPr>
          <w:rFonts w:ascii="Arial" w:eastAsia="Arial" w:hAnsi="Arial" w:cs="Arial"/>
          <w:sz w:val="20"/>
          <w:szCs w:val="20"/>
        </w:rPr>
        <w:t xml:space="preserve">No es necesario ajustar la dosis al administrar simultáneamente con inductores del CYP2C8 o CYP3A4. </w:t>
      </w:r>
    </w:p>
    <w:p w:rsidR="002C4AF7" w:rsidRDefault="007C2686">
      <w:pPr>
        <w:widowControl w:val="0"/>
        <w:spacing w:after="240"/>
        <w:ind w:left="0" w:hanging="2"/>
        <w:jc w:val="both"/>
        <w:rPr>
          <w:rFonts w:ascii="Arial" w:eastAsia="Arial" w:hAnsi="Arial" w:cs="Arial"/>
          <w:sz w:val="20"/>
          <w:szCs w:val="20"/>
        </w:rPr>
      </w:pPr>
      <w:r>
        <w:rPr>
          <w:rFonts w:ascii="Arial" w:eastAsia="Arial" w:hAnsi="Arial" w:cs="Arial"/>
          <w:sz w:val="20"/>
          <w:szCs w:val="20"/>
        </w:rPr>
        <w:t>- Efecto de enzalutamida sobre otros medicamentos</w:t>
      </w:r>
    </w:p>
    <w:p w:rsidR="002C4AF7" w:rsidRDefault="007C2686">
      <w:pPr>
        <w:widowControl w:val="0"/>
        <w:spacing w:after="240"/>
        <w:ind w:left="0" w:hanging="2"/>
        <w:jc w:val="both"/>
        <w:rPr>
          <w:rFonts w:ascii="Arial" w:eastAsia="Arial" w:hAnsi="Arial" w:cs="Arial"/>
          <w:sz w:val="20"/>
          <w:szCs w:val="20"/>
        </w:rPr>
      </w:pPr>
      <w:r>
        <w:rPr>
          <w:rFonts w:ascii="Arial" w:eastAsia="Arial" w:hAnsi="Arial" w:cs="Arial"/>
          <w:i/>
          <w:sz w:val="20"/>
          <w:szCs w:val="20"/>
        </w:rPr>
        <w:t xml:space="preserve">Inducción enzimática </w:t>
      </w:r>
    </w:p>
    <w:p w:rsidR="002C4AF7" w:rsidRDefault="007C2686">
      <w:pPr>
        <w:widowControl w:val="0"/>
        <w:spacing w:after="240"/>
        <w:ind w:left="0" w:hanging="2"/>
        <w:jc w:val="both"/>
        <w:rPr>
          <w:rFonts w:ascii="Arial" w:eastAsia="Arial" w:hAnsi="Arial" w:cs="Arial"/>
          <w:sz w:val="20"/>
          <w:szCs w:val="20"/>
        </w:rPr>
      </w:pPr>
      <w:r>
        <w:rPr>
          <w:rFonts w:ascii="Arial" w:eastAsia="Arial" w:hAnsi="Arial" w:cs="Arial"/>
          <w:sz w:val="20"/>
          <w:szCs w:val="20"/>
        </w:rPr>
        <w:t xml:space="preserve">Enzalutamida es un inductor enzimático potente y aumenta la síntesis de muchos enzimas y transportadores; por lo tanto, se espera que haya interacción con muchos medicamentos comunes que sean sustratos de enzimas o transportadores. La reducción de las concentraciones plasmáticas puede ser sustancial, y puede dar lugar a una pérdida o reducción del efecto clínico. También hay un riesgo de que la formación de metabolitos activos aumente. Las enzimas que pueden ser inducidas incluyen el CYP3A en el hígado e intestino, CYP2B6, CYP2C9, CYP2C19 y la uridina 5'-difosfo-glucuronosiltransferasa (UGTs - enzimas de conjugación glucurónica). La proteína transportadora gp-P también puede ser inducida, y probablemente otros transportadores también, como por ejemplo la proteína 2 asociada a resistencia a múltiples fármacos (MRP2), la proteína de resistencia al cáncer de mama (BCRP) y el polipéptido transportador de aniones orgánicos 1B1 (OATP1B1). </w:t>
      </w:r>
    </w:p>
    <w:p w:rsidR="002C4AF7" w:rsidRDefault="007C2686">
      <w:pPr>
        <w:widowControl w:val="0"/>
        <w:spacing w:after="240"/>
        <w:ind w:left="0" w:hanging="2"/>
        <w:jc w:val="both"/>
        <w:rPr>
          <w:rFonts w:ascii="Arial" w:eastAsia="Arial" w:hAnsi="Arial" w:cs="Arial"/>
          <w:sz w:val="20"/>
          <w:szCs w:val="20"/>
        </w:rPr>
      </w:pPr>
      <w:r>
        <w:rPr>
          <w:rFonts w:ascii="Arial" w:eastAsia="Arial" w:hAnsi="Arial" w:cs="Arial"/>
          <w:sz w:val="20"/>
          <w:szCs w:val="20"/>
        </w:rPr>
        <w:t xml:space="preserve">Los estudios </w:t>
      </w:r>
      <w:r>
        <w:rPr>
          <w:rFonts w:ascii="Arial" w:eastAsia="Arial" w:hAnsi="Arial" w:cs="Arial"/>
          <w:i/>
          <w:sz w:val="20"/>
          <w:szCs w:val="20"/>
        </w:rPr>
        <w:t xml:space="preserve">in vivo </w:t>
      </w:r>
      <w:r>
        <w:rPr>
          <w:rFonts w:ascii="Arial" w:eastAsia="Arial" w:hAnsi="Arial" w:cs="Arial"/>
          <w:sz w:val="20"/>
          <w:szCs w:val="20"/>
        </w:rPr>
        <w:t xml:space="preserve">han mostrado que enzalutamida es un inductor potente del CYP3A4 y un inductor moderado del CYP2C9 y CYP2C19. </w:t>
      </w:r>
    </w:p>
    <w:p w:rsidR="002C4AF7" w:rsidRDefault="007C2686">
      <w:pPr>
        <w:widowControl w:val="0"/>
        <w:spacing w:after="240"/>
        <w:ind w:left="0" w:hanging="2"/>
        <w:jc w:val="both"/>
        <w:rPr>
          <w:rFonts w:ascii="Arial" w:eastAsia="Arial" w:hAnsi="Arial" w:cs="Arial"/>
          <w:sz w:val="20"/>
          <w:szCs w:val="20"/>
        </w:rPr>
      </w:pPr>
      <w:r>
        <w:rPr>
          <w:rFonts w:ascii="Arial" w:eastAsia="Arial" w:hAnsi="Arial" w:cs="Arial"/>
          <w:sz w:val="20"/>
          <w:szCs w:val="20"/>
        </w:rPr>
        <w:t xml:space="preserve">Se esperan interacciones con determinados medicamentos que se eliminan a través del metabolismo o del transporte activo. Se recomienda evitar o usar con precaución estos medicamentos, si su efecto terapéutico es de gran importancia para el paciente, y no se pueden realizar fácilmente ajustes de dosis basados en un seguimiento de la eficacia o de las concentraciones plasmáticas.  </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b/>
          <w:sz w:val="20"/>
          <w:szCs w:val="20"/>
        </w:rPr>
        <w:t>Monitorización de efectos adversos</w:t>
      </w:r>
    </w:p>
    <w:p w:rsidR="002C4AF7" w:rsidRDefault="002C4AF7">
      <w:pPr>
        <w:widowControl w:val="0"/>
        <w:spacing w:after="240"/>
        <w:ind w:left="0" w:hanging="2"/>
        <w:jc w:val="both"/>
        <w:rPr>
          <w:rFonts w:ascii="Arial" w:eastAsia="Arial" w:hAnsi="Arial" w:cs="Arial"/>
          <w:sz w:val="20"/>
          <w:szCs w:val="20"/>
        </w:rPr>
      </w:pPr>
    </w:p>
    <w:p w:rsidR="002C4AF7" w:rsidRDefault="007C2686">
      <w:pPr>
        <w:widowControl w:val="0"/>
        <w:spacing w:after="240"/>
        <w:ind w:left="0" w:hanging="2"/>
        <w:jc w:val="both"/>
        <w:rPr>
          <w:rFonts w:ascii="Arial" w:eastAsia="Arial" w:hAnsi="Arial" w:cs="Arial"/>
          <w:sz w:val="20"/>
          <w:szCs w:val="20"/>
        </w:rPr>
      </w:pPr>
      <w:r>
        <w:rPr>
          <w:rFonts w:ascii="Arial" w:eastAsia="Arial" w:hAnsi="Arial" w:cs="Arial"/>
          <w:sz w:val="20"/>
          <w:szCs w:val="20"/>
        </w:rPr>
        <w:t xml:space="preserve">-Riesgo de crisis epilépticas. El uso de enzalutamida se ha asociado con crisis epilépticas. La decisión de continuar el tratamiento en pacientes que desarrollen crisis epilépticas se debe considerar caso por caso. </w:t>
      </w:r>
    </w:p>
    <w:p w:rsidR="002C4AF7" w:rsidRDefault="007C2686">
      <w:pPr>
        <w:widowControl w:val="0"/>
        <w:spacing w:after="240"/>
        <w:ind w:left="0" w:hanging="2"/>
        <w:jc w:val="both"/>
        <w:rPr>
          <w:rFonts w:ascii="Arial" w:eastAsia="Arial" w:hAnsi="Arial" w:cs="Arial"/>
          <w:sz w:val="20"/>
          <w:szCs w:val="20"/>
        </w:rPr>
      </w:pPr>
      <w:r>
        <w:rPr>
          <w:rFonts w:ascii="Arial" w:eastAsia="Arial" w:hAnsi="Arial" w:cs="Arial"/>
          <w:sz w:val="20"/>
          <w:szCs w:val="20"/>
        </w:rPr>
        <w:t xml:space="preserve">-Síndrome de encefalopatía posterior reversible. Se han notificado casos raros de síndrome de encefalopatía posterior reversible (SEPR) en pacientes que estaban recibiendo enzalutamida. SEPR es un trastorno neurológico, raro, reversible, que se puede presentar con síntomas que evolucionan rápidamente, incluyendo crisis epiléptica, cefalea, confusión, ceguera, y otras alteraciones visuales y neurológicas, con o sin hipertensión asociada. Un diagnóstico de SEPR requiere confirmación mediante técnicas de imagen cerebral, preferiblemente resonancia magnética. Se recomienda interrumpir el tratamiento en los pacientes que desarrollen SEPR. </w:t>
      </w:r>
    </w:p>
    <w:p w:rsidR="002C4AF7" w:rsidRDefault="00883B7B">
      <w:pPr>
        <w:widowControl w:val="0"/>
        <w:spacing w:after="240"/>
        <w:ind w:left="0" w:hanging="2"/>
        <w:jc w:val="both"/>
        <w:rPr>
          <w:rFonts w:ascii="Arial" w:eastAsia="Arial" w:hAnsi="Arial" w:cs="Arial"/>
          <w:sz w:val="20"/>
          <w:szCs w:val="20"/>
        </w:rPr>
      </w:pPr>
      <w:sdt>
        <w:sdtPr>
          <w:tag w:val="goog_rdk_17"/>
          <w:id w:val="1464388493"/>
        </w:sdtPr>
        <w:sdtEndPr/>
        <w:sdtContent>
          <w:r w:rsidR="007C2686">
            <w:rPr>
              <w:rFonts w:ascii="Arial Unicode MS" w:eastAsia="Arial Unicode MS" w:hAnsi="Arial Unicode MS" w:cs="Arial Unicode MS"/>
              <w:sz w:val="20"/>
              <w:szCs w:val="20"/>
            </w:rPr>
            <w:t>-Enfermedad cardiovascular reciente. En los ensayos de fase 3 se excluyó a los pacientes con infarto de miocardio reciente (en los últimos 6 meses) o angina inestable reciente (en los últimos 3 meses), insuficiencia cardíaca de clase III o IV según la New York Heart Association (NYHA) excepto si la Fracción de Eyección Ventricular Izquierda (FEVI) ≥ 45%, bradicardia o hipertensión incontrolada. Esto se debe tener en cuenta si se prescribe.</w:t>
          </w:r>
        </w:sdtContent>
      </w:sdt>
    </w:p>
    <w:p w:rsidR="002C4AF7" w:rsidRDefault="007C2686">
      <w:pPr>
        <w:widowControl w:val="0"/>
        <w:spacing w:after="240"/>
        <w:ind w:left="0" w:hanging="2"/>
        <w:jc w:val="both"/>
        <w:rPr>
          <w:rFonts w:ascii="Arial" w:eastAsia="Arial" w:hAnsi="Arial" w:cs="Arial"/>
          <w:sz w:val="20"/>
          <w:szCs w:val="20"/>
        </w:rPr>
      </w:pPr>
      <w:bookmarkStart w:id="47" w:name="_heading=h.2u6wntf" w:colFirst="0" w:colLast="0"/>
      <w:bookmarkEnd w:id="47"/>
      <w:r>
        <w:rPr>
          <w:rFonts w:ascii="Arial" w:eastAsia="Arial" w:hAnsi="Arial" w:cs="Arial"/>
          <w:sz w:val="20"/>
          <w:szCs w:val="20"/>
        </w:rPr>
        <w:t xml:space="preserve">- El tratamiento de deprivación androgénica puede producir una prolongación del intervalo QT. En </w:t>
      </w:r>
      <w:r>
        <w:rPr>
          <w:rFonts w:ascii="Arial" w:eastAsia="Arial" w:hAnsi="Arial" w:cs="Arial"/>
          <w:sz w:val="20"/>
          <w:szCs w:val="20"/>
        </w:rPr>
        <w:lastRenderedPageBreak/>
        <w:t>pacientes con antecedentes o factores de riesgo de prolongación del intervalo QT, y en pacientes tratados con medicación concomitante que pueda producir una prolongación del intervalo QT, los médicos deben evaluar la relación beneficio riesgo, incluyendo el riesgo potencial de Torsade de pointes, antes de iniciar el tratamiento.</w:t>
      </w:r>
    </w:p>
    <w:tbl>
      <w:tblPr>
        <w:tblStyle w:val="affff3"/>
        <w:tblW w:w="9001"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1"/>
      </w:tblGrid>
      <w:tr w:rsidR="002C4AF7">
        <w:tc>
          <w:tcPr>
            <w:tcW w:w="9001" w:type="dxa"/>
            <w:shd w:val="clear" w:color="auto" w:fill="B3B3B3"/>
          </w:tcPr>
          <w:p w:rsidR="002C4AF7" w:rsidRDefault="007C2686">
            <w:pPr>
              <w:keepNext/>
              <w:shd w:val="clear" w:color="auto" w:fill="A6A6A6"/>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7. AREA ECONÓMICA</w:t>
            </w:r>
          </w:p>
        </w:tc>
      </w:tr>
    </w:tbl>
    <w:p w:rsidR="002C4AF7" w:rsidRDefault="002C4AF7">
      <w:pPr>
        <w:ind w:left="0" w:hanging="2"/>
        <w:jc w:val="both"/>
        <w:rPr>
          <w:rFonts w:ascii="Arial" w:eastAsia="Arial" w:hAnsi="Arial" w:cs="Arial"/>
          <w:sz w:val="20"/>
          <w:szCs w:val="20"/>
          <w:highlight w:val="lightGray"/>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r>
        <w:rPr>
          <w:rFonts w:ascii="Cambria" w:eastAsia="Cambria" w:hAnsi="Cambria" w:cs="Cambria"/>
          <w:b/>
          <w:i/>
          <w:color w:val="000000"/>
          <w:sz w:val="20"/>
          <w:szCs w:val="20"/>
        </w:rPr>
        <w:t>7.1 Costes. Coste incremental</w:t>
      </w:r>
    </w:p>
    <w:p w:rsidR="002C4AF7" w:rsidRDefault="002C4AF7">
      <w:pPr>
        <w:ind w:left="0" w:hanging="2"/>
        <w:jc w:val="both"/>
        <w:rPr>
          <w:rFonts w:ascii="Arial" w:eastAsia="Arial" w:hAnsi="Arial" w:cs="Arial"/>
          <w:sz w:val="20"/>
          <w:szCs w:val="20"/>
          <w:highlight w:val="lightGray"/>
        </w:rPr>
      </w:pPr>
    </w:p>
    <w:tbl>
      <w:tblPr>
        <w:tblStyle w:val="affff4"/>
        <w:tblW w:w="889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9"/>
        <w:gridCol w:w="1597"/>
        <w:gridCol w:w="1598"/>
        <w:gridCol w:w="1598"/>
        <w:gridCol w:w="1598"/>
      </w:tblGrid>
      <w:tr w:rsidR="002C4AF7">
        <w:tc>
          <w:tcPr>
            <w:tcW w:w="7292" w:type="dxa"/>
            <w:gridSpan w:val="4"/>
            <w:shd w:val="clear" w:color="auto" w:fill="CCFFCC"/>
          </w:tcPr>
          <w:p w:rsidR="002C4AF7" w:rsidRDefault="007C2686">
            <w:pPr>
              <w:ind w:left="0" w:hanging="2"/>
              <w:rPr>
                <w:rFonts w:ascii="Arial" w:eastAsia="Arial" w:hAnsi="Arial" w:cs="Arial"/>
                <w:sz w:val="16"/>
                <w:szCs w:val="16"/>
              </w:rPr>
            </w:pPr>
            <w:r>
              <w:rPr>
                <w:rFonts w:ascii="Arial" w:eastAsia="Arial" w:hAnsi="Arial" w:cs="Arial"/>
                <w:b/>
                <w:sz w:val="18"/>
                <w:szCs w:val="18"/>
              </w:rPr>
              <w:t xml:space="preserve">Tabla 10  Costes de la terapia con el medicamento y con las distintas alternativas </w:t>
            </w:r>
          </w:p>
        </w:tc>
        <w:tc>
          <w:tcPr>
            <w:tcW w:w="1598" w:type="dxa"/>
            <w:shd w:val="clear" w:color="auto" w:fill="CCFFCC"/>
          </w:tcPr>
          <w:p w:rsidR="002C4AF7" w:rsidRDefault="002C4AF7">
            <w:pPr>
              <w:widowControl w:val="0"/>
              <w:spacing w:line="276" w:lineRule="auto"/>
              <w:ind w:left="0" w:hanging="2"/>
              <w:rPr>
                <w:rFonts w:ascii="Arial" w:eastAsia="Arial" w:hAnsi="Arial" w:cs="Arial"/>
                <w:sz w:val="16"/>
                <w:szCs w:val="16"/>
              </w:rPr>
            </w:pPr>
          </w:p>
        </w:tc>
      </w:tr>
      <w:tr w:rsidR="002C4AF7">
        <w:trPr>
          <w:trHeight w:val="382"/>
        </w:trPr>
        <w:tc>
          <w:tcPr>
            <w:tcW w:w="2499" w:type="dxa"/>
            <w:shd w:val="clear" w:color="auto" w:fill="E6E6E6"/>
          </w:tcPr>
          <w:p w:rsidR="002C4AF7" w:rsidRDefault="002C4AF7">
            <w:pPr>
              <w:ind w:left="0" w:hanging="2"/>
              <w:jc w:val="both"/>
              <w:rPr>
                <w:rFonts w:ascii="Arial" w:eastAsia="Arial" w:hAnsi="Arial" w:cs="Arial"/>
              </w:rPr>
            </w:pPr>
          </w:p>
        </w:tc>
        <w:tc>
          <w:tcPr>
            <w:tcW w:w="1597" w:type="dxa"/>
            <w:shd w:val="clear" w:color="auto" w:fill="E6E6E6"/>
          </w:tcPr>
          <w:p w:rsidR="002C4AF7" w:rsidRDefault="007C2686">
            <w:pPr>
              <w:ind w:left="0" w:hanging="2"/>
              <w:jc w:val="both"/>
              <w:rPr>
                <w:rFonts w:ascii="Arial" w:eastAsia="Arial" w:hAnsi="Arial" w:cs="Arial"/>
                <w:sz w:val="16"/>
                <w:szCs w:val="16"/>
              </w:rPr>
            </w:pPr>
            <w:r>
              <w:rPr>
                <w:rFonts w:ascii="Arial" w:eastAsia="Arial" w:hAnsi="Arial" w:cs="Arial"/>
                <w:b/>
                <w:sz w:val="16"/>
                <w:szCs w:val="16"/>
              </w:rPr>
              <w:t>ENZALUTAMIDA</w:t>
            </w:r>
          </w:p>
          <w:p w:rsidR="002C4AF7" w:rsidRDefault="007C2686">
            <w:pPr>
              <w:ind w:left="0" w:hanging="2"/>
              <w:jc w:val="both"/>
              <w:rPr>
                <w:rFonts w:ascii="Arial" w:eastAsia="Arial" w:hAnsi="Arial" w:cs="Arial"/>
              </w:rPr>
            </w:pPr>
            <w:r>
              <w:rPr>
                <w:rFonts w:ascii="Arial" w:eastAsia="Arial" w:hAnsi="Arial" w:cs="Arial"/>
                <w:sz w:val="16"/>
                <w:szCs w:val="16"/>
              </w:rPr>
              <w:t>comprimidos 40 mg</w:t>
            </w:r>
          </w:p>
        </w:tc>
        <w:tc>
          <w:tcPr>
            <w:tcW w:w="1598" w:type="dxa"/>
            <w:shd w:val="clear" w:color="auto" w:fill="E6E6E6"/>
          </w:tcPr>
          <w:p w:rsidR="002C4AF7" w:rsidRDefault="007C2686">
            <w:pPr>
              <w:ind w:left="0" w:hanging="2"/>
              <w:jc w:val="both"/>
              <w:rPr>
                <w:rFonts w:ascii="Arial" w:eastAsia="Arial" w:hAnsi="Arial" w:cs="Arial"/>
                <w:sz w:val="16"/>
                <w:szCs w:val="16"/>
              </w:rPr>
            </w:pPr>
            <w:r>
              <w:rPr>
                <w:rFonts w:ascii="Arial" w:eastAsia="Arial" w:hAnsi="Arial" w:cs="Arial"/>
                <w:b/>
                <w:sz w:val="16"/>
                <w:szCs w:val="16"/>
              </w:rPr>
              <w:t>APALUTAMIDA</w:t>
            </w:r>
          </w:p>
          <w:p w:rsidR="002C4AF7" w:rsidRDefault="007C2686">
            <w:pPr>
              <w:ind w:left="0" w:hanging="2"/>
              <w:jc w:val="both"/>
              <w:rPr>
                <w:rFonts w:ascii="Arial" w:eastAsia="Arial" w:hAnsi="Arial" w:cs="Arial"/>
              </w:rPr>
            </w:pPr>
            <w:r>
              <w:rPr>
                <w:rFonts w:ascii="Arial" w:eastAsia="Arial" w:hAnsi="Arial" w:cs="Arial"/>
                <w:sz w:val="16"/>
                <w:szCs w:val="16"/>
              </w:rPr>
              <w:t>comprimidos 60 mg</w:t>
            </w:r>
          </w:p>
        </w:tc>
        <w:tc>
          <w:tcPr>
            <w:tcW w:w="1598" w:type="dxa"/>
            <w:shd w:val="clear" w:color="auto" w:fill="E6E6E6"/>
          </w:tcPr>
          <w:p w:rsidR="002C4AF7" w:rsidRDefault="007C2686">
            <w:pPr>
              <w:ind w:left="0" w:hanging="2"/>
              <w:jc w:val="both"/>
              <w:rPr>
                <w:rFonts w:ascii="Arial" w:eastAsia="Arial" w:hAnsi="Arial" w:cs="Arial"/>
                <w:sz w:val="16"/>
                <w:szCs w:val="16"/>
              </w:rPr>
            </w:pPr>
            <w:r>
              <w:rPr>
                <w:rFonts w:ascii="Arial" w:eastAsia="Arial" w:hAnsi="Arial" w:cs="Arial"/>
                <w:b/>
                <w:sz w:val="16"/>
                <w:szCs w:val="16"/>
              </w:rPr>
              <w:t>ABIRATERONA (¶)</w:t>
            </w:r>
          </w:p>
          <w:p w:rsidR="002C4AF7" w:rsidRDefault="007C2686">
            <w:pPr>
              <w:ind w:left="0" w:hanging="2"/>
              <w:jc w:val="both"/>
              <w:rPr>
                <w:rFonts w:ascii="Arial" w:eastAsia="Arial" w:hAnsi="Arial" w:cs="Arial"/>
              </w:rPr>
            </w:pPr>
            <w:r>
              <w:rPr>
                <w:rFonts w:ascii="Arial" w:eastAsia="Arial" w:hAnsi="Arial" w:cs="Arial"/>
                <w:sz w:val="16"/>
                <w:szCs w:val="16"/>
              </w:rPr>
              <w:t>comprimidos 500 mg</w:t>
            </w:r>
          </w:p>
        </w:tc>
        <w:tc>
          <w:tcPr>
            <w:tcW w:w="1598" w:type="dxa"/>
            <w:shd w:val="clear" w:color="auto" w:fill="E6E6E6"/>
          </w:tcPr>
          <w:p w:rsidR="002C4AF7" w:rsidRDefault="007C2686">
            <w:pPr>
              <w:ind w:left="0" w:hanging="2"/>
              <w:jc w:val="both"/>
              <w:rPr>
                <w:rFonts w:ascii="Arial" w:eastAsia="Arial" w:hAnsi="Arial" w:cs="Arial"/>
                <w:sz w:val="16"/>
                <w:szCs w:val="16"/>
              </w:rPr>
            </w:pPr>
            <w:r>
              <w:rPr>
                <w:rFonts w:ascii="Arial" w:eastAsia="Arial" w:hAnsi="Arial" w:cs="Arial"/>
                <w:b/>
                <w:sz w:val="16"/>
                <w:szCs w:val="16"/>
              </w:rPr>
              <w:t>DOCETAXEL (vial 80 mg)</w:t>
            </w:r>
          </w:p>
        </w:tc>
      </w:tr>
      <w:tr w:rsidR="002C4AF7">
        <w:trPr>
          <w:trHeight w:val="168"/>
        </w:trPr>
        <w:tc>
          <w:tcPr>
            <w:tcW w:w="2499" w:type="dxa"/>
          </w:tcPr>
          <w:p w:rsidR="002C4AF7" w:rsidRDefault="007C2686">
            <w:pPr>
              <w:ind w:left="0" w:hanging="2"/>
              <w:jc w:val="both"/>
              <w:rPr>
                <w:rFonts w:ascii="Arial" w:eastAsia="Arial" w:hAnsi="Arial" w:cs="Arial"/>
              </w:rPr>
            </w:pPr>
            <w:r>
              <w:rPr>
                <w:rFonts w:ascii="Arial" w:eastAsia="Arial" w:hAnsi="Arial" w:cs="Arial"/>
                <w:b/>
                <w:sz w:val="16"/>
                <w:szCs w:val="16"/>
              </w:rPr>
              <w:t>Precio unitario (PVL+IVA) *</w:t>
            </w:r>
          </w:p>
        </w:tc>
        <w:tc>
          <w:tcPr>
            <w:tcW w:w="1597" w:type="dxa"/>
          </w:tcPr>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28 €</w:t>
            </w:r>
          </w:p>
        </w:tc>
        <w:tc>
          <w:tcPr>
            <w:tcW w:w="1598" w:type="dxa"/>
          </w:tcPr>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28 €</w:t>
            </w:r>
          </w:p>
        </w:tc>
        <w:tc>
          <w:tcPr>
            <w:tcW w:w="1598" w:type="dxa"/>
          </w:tcPr>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21,83€</w:t>
            </w:r>
          </w:p>
        </w:tc>
        <w:tc>
          <w:tcPr>
            <w:tcW w:w="1598" w:type="dxa"/>
          </w:tcPr>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180 €</w:t>
            </w:r>
          </w:p>
        </w:tc>
      </w:tr>
      <w:tr w:rsidR="002C4AF7">
        <w:trPr>
          <w:trHeight w:val="506"/>
        </w:trPr>
        <w:tc>
          <w:tcPr>
            <w:tcW w:w="2499" w:type="dxa"/>
          </w:tcPr>
          <w:p w:rsidR="002C4AF7" w:rsidRDefault="007C2686">
            <w:pPr>
              <w:ind w:left="0" w:hanging="2"/>
              <w:jc w:val="both"/>
              <w:rPr>
                <w:rFonts w:ascii="Arial" w:eastAsia="Arial" w:hAnsi="Arial" w:cs="Arial"/>
              </w:rPr>
            </w:pPr>
            <w:r>
              <w:rPr>
                <w:rFonts w:ascii="Arial" w:eastAsia="Arial" w:hAnsi="Arial" w:cs="Arial"/>
                <w:b/>
                <w:sz w:val="16"/>
                <w:szCs w:val="16"/>
              </w:rPr>
              <w:t>Posología</w:t>
            </w:r>
          </w:p>
        </w:tc>
        <w:tc>
          <w:tcPr>
            <w:tcW w:w="1597" w:type="dxa"/>
          </w:tcPr>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160 mg/ 24h</w:t>
            </w:r>
          </w:p>
        </w:tc>
        <w:tc>
          <w:tcPr>
            <w:tcW w:w="1598" w:type="dxa"/>
          </w:tcPr>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240 mg/ 24h</w:t>
            </w:r>
          </w:p>
        </w:tc>
        <w:tc>
          <w:tcPr>
            <w:tcW w:w="1598" w:type="dxa"/>
          </w:tcPr>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1000 mg/ 24h</w:t>
            </w:r>
          </w:p>
        </w:tc>
        <w:tc>
          <w:tcPr>
            <w:tcW w:w="1598" w:type="dxa"/>
          </w:tcPr>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75 mg/m2 cada 21</w:t>
            </w:r>
          </w:p>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días, máximo 6 ciclos</w:t>
            </w:r>
          </w:p>
        </w:tc>
      </w:tr>
      <w:tr w:rsidR="002C4AF7">
        <w:tc>
          <w:tcPr>
            <w:tcW w:w="2499" w:type="dxa"/>
          </w:tcPr>
          <w:p w:rsidR="002C4AF7" w:rsidRDefault="007C2686">
            <w:pPr>
              <w:ind w:left="0" w:hanging="2"/>
              <w:jc w:val="both"/>
              <w:rPr>
                <w:rFonts w:ascii="Arial" w:eastAsia="Arial" w:hAnsi="Arial" w:cs="Arial"/>
              </w:rPr>
            </w:pPr>
            <w:r>
              <w:rPr>
                <w:rFonts w:ascii="Arial" w:eastAsia="Arial" w:hAnsi="Arial" w:cs="Arial"/>
                <w:b/>
                <w:sz w:val="16"/>
                <w:szCs w:val="16"/>
              </w:rPr>
              <w:t>Coste día o por ciclo</w:t>
            </w:r>
          </w:p>
        </w:tc>
        <w:tc>
          <w:tcPr>
            <w:tcW w:w="1597" w:type="dxa"/>
          </w:tcPr>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111,90 €</w:t>
            </w:r>
          </w:p>
        </w:tc>
        <w:tc>
          <w:tcPr>
            <w:tcW w:w="1598" w:type="dxa"/>
          </w:tcPr>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111,90 €</w:t>
            </w:r>
          </w:p>
        </w:tc>
        <w:tc>
          <w:tcPr>
            <w:tcW w:w="1598" w:type="dxa"/>
          </w:tcPr>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43,66 €</w:t>
            </w:r>
          </w:p>
        </w:tc>
        <w:tc>
          <w:tcPr>
            <w:tcW w:w="1598" w:type="dxa"/>
          </w:tcPr>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280,15 €</w:t>
            </w:r>
          </w:p>
        </w:tc>
      </w:tr>
      <w:tr w:rsidR="002C4AF7">
        <w:tc>
          <w:tcPr>
            <w:tcW w:w="2499" w:type="dxa"/>
          </w:tcPr>
          <w:p w:rsidR="002C4AF7" w:rsidRDefault="007C2686">
            <w:pPr>
              <w:ind w:left="0" w:hanging="2"/>
              <w:rPr>
                <w:rFonts w:ascii="Arial" w:eastAsia="Arial" w:hAnsi="Arial" w:cs="Arial"/>
                <w:sz w:val="16"/>
                <w:szCs w:val="16"/>
              </w:rPr>
            </w:pPr>
            <w:r>
              <w:rPr>
                <w:rFonts w:ascii="Arial" w:eastAsia="Arial" w:hAnsi="Arial" w:cs="Arial"/>
                <w:b/>
                <w:sz w:val="16"/>
                <w:szCs w:val="16"/>
              </w:rPr>
              <w:t>Coste tratamiento completo</w:t>
            </w:r>
            <w:r>
              <w:rPr>
                <w:rFonts w:ascii="Arial" w:eastAsia="Arial" w:hAnsi="Arial" w:cs="Arial"/>
                <w:sz w:val="16"/>
                <w:szCs w:val="16"/>
              </w:rPr>
              <w:t xml:space="preserve"> </w:t>
            </w:r>
          </w:p>
          <w:p w:rsidR="002C4AF7" w:rsidRDefault="007C2686">
            <w:pPr>
              <w:ind w:left="0" w:hanging="2"/>
              <w:rPr>
                <w:rFonts w:ascii="Arial" w:eastAsia="Arial" w:hAnsi="Arial" w:cs="Arial"/>
                <w:sz w:val="16"/>
                <w:szCs w:val="16"/>
              </w:rPr>
            </w:pPr>
            <w:r>
              <w:rPr>
                <w:rFonts w:ascii="Arial" w:eastAsia="Arial" w:hAnsi="Arial" w:cs="Arial"/>
                <w:sz w:val="16"/>
                <w:szCs w:val="16"/>
              </w:rPr>
              <w:t xml:space="preserve">o tratamiento/año </w:t>
            </w:r>
          </w:p>
        </w:tc>
        <w:tc>
          <w:tcPr>
            <w:tcW w:w="1597" w:type="dxa"/>
          </w:tcPr>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41.253,29 € /año+ coste TDA</w:t>
            </w:r>
          </w:p>
        </w:tc>
        <w:tc>
          <w:tcPr>
            <w:tcW w:w="1598" w:type="dxa"/>
          </w:tcPr>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41.253,29 € /año+ coste TDA</w:t>
            </w:r>
          </w:p>
        </w:tc>
        <w:tc>
          <w:tcPr>
            <w:tcW w:w="1598" w:type="dxa"/>
          </w:tcPr>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15.778,12 € /año+ coste TDA</w:t>
            </w:r>
          </w:p>
        </w:tc>
        <w:tc>
          <w:tcPr>
            <w:tcW w:w="1598" w:type="dxa"/>
          </w:tcPr>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1.680.89 €+ coste TDA</w:t>
            </w:r>
          </w:p>
        </w:tc>
      </w:tr>
      <w:tr w:rsidR="002C4AF7">
        <w:tc>
          <w:tcPr>
            <w:tcW w:w="2499" w:type="dxa"/>
          </w:tcPr>
          <w:p w:rsidR="002C4AF7" w:rsidRDefault="007C2686">
            <w:pPr>
              <w:ind w:left="0" w:hanging="2"/>
              <w:jc w:val="both"/>
              <w:rPr>
                <w:rFonts w:ascii="Arial" w:eastAsia="Arial" w:hAnsi="Arial" w:cs="Arial"/>
                <w:sz w:val="16"/>
                <w:szCs w:val="16"/>
              </w:rPr>
            </w:pPr>
            <w:r>
              <w:rPr>
                <w:rFonts w:ascii="Arial" w:eastAsia="Arial" w:hAnsi="Arial" w:cs="Arial"/>
                <w:b/>
                <w:sz w:val="16"/>
                <w:szCs w:val="16"/>
              </w:rPr>
              <w:t xml:space="preserve">Costes directos asociados </w:t>
            </w:r>
          </w:p>
        </w:tc>
        <w:tc>
          <w:tcPr>
            <w:tcW w:w="1597" w:type="dxa"/>
          </w:tcPr>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No procede</w:t>
            </w:r>
          </w:p>
        </w:tc>
        <w:tc>
          <w:tcPr>
            <w:tcW w:w="1598" w:type="dxa"/>
          </w:tcPr>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No procede</w:t>
            </w:r>
          </w:p>
        </w:tc>
        <w:tc>
          <w:tcPr>
            <w:tcW w:w="1598" w:type="dxa"/>
          </w:tcPr>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No procede</w:t>
            </w:r>
          </w:p>
        </w:tc>
        <w:tc>
          <w:tcPr>
            <w:tcW w:w="1598" w:type="dxa"/>
          </w:tcPr>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1.002€ (6 ciclos)</w:t>
            </w:r>
          </w:p>
        </w:tc>
      </w:tr>
      <w:tr w:rsidR="002C4AF7">
        <w:tc>
          <w:tcPr>
            <w:tcW w:w="2499" w:type="dxa"/>
          </w:tcPr>
          <w:p w:rsidR="002C4AF7" w:rsidRDefault="007C2686">
            <w:pPr>
              <w:ind w:left="0" w:hanging="2"/>
              <w:rPr>
                <w:rFonts w:ascii="Arial" w:eastAsia="Arial" w:hAnsi="Arial" w:cs="Arial"/>
                <w:sz w:val="16"/>
                <w:szCs w:val="16"/>
              </w:rPr>
            </w:pPr>
            <w:r>
              <w:rPr>
                <w:rFonts w:ascii="Arial" w:eastAsia="Arial" w:hAnsi="Arial" w:cs="Arial"/>
                <w:sz w:val="16"/>
                <w:szCs w:val="16"/>
              </w:rPr>
              <w:t xml:space="preserve">coste global tratamiento/año </w:t>
            </w:r>
          </w:p>
        </w:tc>
        <w:tc>
          <w:tcPr>
            <w:tcW w:w="1597" w:type="dxa"/>
          </w:tcPr>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41.253,29 € /año</w:t>
            </w:r>
          </w:p>
        </w:tc>
        <w:tc>
          <w:tcPr>
            <w:tcW w:w="1598" w:type="dxa"/>
          </w:tcPr>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41.253,29 € /año</w:t>
            </w:r>
          </w:p>
        </w:tc>
        <w:tc>
          <w:tcPr>
            <w:tcW w:w="1598" w:type="dxa"/>
          </w:tcPr>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15.778,12 € /año</w:t>
            </w:r>
          </w:p>
        </w:tc>
        <w:tc>
          <w:tcPr>
            <w:tcW w:w="1598" w:type="dxa"/>
          </w:tcPr>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2.682.89 € (6 ciclos)</w:t>
            </w:r>
          </w:p>
        </w:tc>
      </w:tr>
      <w:tr w:rsidR="002C4AF7">
        <w:tc>
          <w:tcPr>
            <w:tcW w:w="2499" w:type="dxa"/>
          </w:tcPr>
          <w:p w:rsidR="002C4AF7" w:rsidRDefault="007C2686">
            <w:pPr>
              <w:ind w:left="0" w:hanging="2"/>
              <w:rPr>
                <w:rFonts w:ascii="Arial" w:eastAsia="Arial" w:hAnsi="Arial" w:cs="Arial"/>
                <w:sz w:val="16"/>
                <w:szCs w:val="16"/>
              </w:rPr>
            </w:pPr>
            <w:r>
              <w:rPr>
                <w:rFonts w:ascii="Arial" w:eastAsia="Arial" w:hAnsi="Arial" w:cs="Arial"/>
                <w:b/>
                <w:sz w:val="16"/>
                <w:szCs w:val="16"/>
              </w:rPr>
              <w:t>Coste incremental (diferencial) respecto a la terapia de referencia***</w:t>
            </w:r>
          </w:p>
        </w:tc>
        <w:tc>
          <w:tcPr>
            <w:tcW w:w="1597" w:type="dxa"/>
          </w:tcPr>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 xml:space="preserve">41.253,29 € </w:t>
            </w:r>
          </w:p>
        </w:tc>
        <w:tc>
          <w:tcPr>
            <w:tcW w:w="1598" w:type="dxa"/>
          </w:tcPr>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 xml:space="preserve">41.253,29 € </w:t>
            </w:r>
          </w:p>
        </w:tc>
        <w:tc>
          <w:tcPr>
            <w:tcW w:w="1598" w:type="dxa"/>
          </w:tcPr>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15.778,12 €</w:t>
            </w:r>
          </w:p>
        </w:tc>
        <w:tc>
          <w:tcPr>
            <w:tcW w:w="1598" w:type="dxa"/>
          </w:tcPr>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2.682.89  €</w:t>
            </w:r>
          </w:p>
        </w:tc>
      </w:tr>
      <w:tr w:rsidR="002C4AF7">
        <w:tc>
          <w:tcPr>
            <w:tcW w:w="2499" w:type="dxa"/>
          </w:tcPr>
          <w:p w:rsidR="002C4AF7" w:rsidRDefault="007C2686">
            <w:pPr>
              <w:ind w:left="0" w:hanging="2"/>
              <w:rPr>
                <w:rFonts w:ascii="Arial" w:eastAsia="Arial" w:hAnsi="Arial" w:cs="Arial"/>
                <w:sz w:val="16"/>
                <w:szCs w:val="16"/>
              </w:rPr>
            </w:pPr>
            <w:r>
              <w:rPr>
                <w:rFonts w:ascii="Arial" w:eastAsia="Arial" w:hAnsi="Arial" w:cs="Arial"/>
                <w:b/>
                <w:sz w:val="16"/>
                <w:szCs w:val="16"/>
              </w:rPr>
              <w:t>Coste incremental (diferencial) **** respecto al medicamento evaluado</w:t>
            </w:r>
          </w:p>
        </w:tc>
        <w:tc>
          <w:tcPr>
            <w:tcW w:w="1597" w:type="dxa"/>
          </w:tcPr>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Referencia</w:t>
            </w:r>
          </w:p>
        </w:tc>
        <w:tc>
          <w:tcPr>
            <w:tcW w:w="1598" w:type="dxa"/>
          </w:tcPr>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0 €</w:t>
            </w:r>
          </w:p>
        </w:tc>
        <w:tc>
          <w:tcPr>
            <w:tcW w:w="1598" w:type="dxa"/>
          </w:tcPr>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-25.475,17 € /año</w:t>
            </w:r>
          </w:p>
        </w:tc>
        <w:tc>
          <w:tcPr>
            <w:tcW w:w="1598" w:type="dxa"/>
          </w:tcPr>
          <w:p w:rsidR="002C4AF7" w:rsidRDefault="007C2686">
            <w:pPr>
              <w:ind w:left="0" w:hanging="2"/>
              <w:jc w:val="both"/>
              <w:rPr>
                <w:rFonts w:ascii="Arial" w:eastAsia="Arial" w:hAnsi="Arial" w:cs="Arial"/>
                <w:sz w:val="16"/>
                <w:szCs w:val="16"/>
                <w:highlight w:val="white"/>
              </w:rPr>
            </w:pPr>
            <w:r>
              <w:rPr>
                <w:rFonts w:ascii="Arial" w:eastAsia="Arial" w:hAnsi="Arial" w:cs="Arial"/>
                <w:sz w:val="16"/>
                <w:szCs w:val="16"/>
                <w:highlight w:val="white"/>
              </w:rPr>
              <w:t>-38.570,4 €</w:t>
            </w:r>
          </w:p>
        </w:tc>
      </w:tr>
    </w:tbl>
    <w:p w:rsidR="002C4AF7" w:rsidRDefault="007C2686">
      <w:pPr>
        <w:widowControl w:val="0"/>
        <w:spacing w:after="240"/>
        <w:ind w:left="0" w:hanging="2"/>
        <w:jc w:val="both"/>
        <w:rPr>
          <w:rFonts w:ascii="Arial" w:eastAsia="Arial" w:hAnsi="Arial" w:cs="Arial"/>
          <w:sz w:val="16"/>
          <w:szCs w:val="16"/>
        </w:rPr>
      </w:pPr>
      <w:r>
        <w:rPr>
          <w:rFonts w:ascii="Arial" w:eastAsia="Arial" w:hAnsi="Arial" w:cs="Arial"/>
          <w:sz w:val="16"/>
          <w:szCs w:val="16"/>
        </w:rPr>
        <w:t xml:space="preserve">(¶) En pacientes </w:t>
      </w:r>
      <w:r>
        <w:rPr>
          <w:rFonts w:ascii="Arial" w:eastAsia="Arial" w:hAnsi="Arial" w:cs="Arial"/>
          <w:color w:val="000000"/>
          <w:sz w:val="16"/>
          <w:szCs w:val="16"/>
        </w:rPr>
        <w:t>de nuevo diagnóstico y alto riesgo</w:t>
      </w:r>
    </w:p>
    <w:p w:rsidR="002C4AF7" w:rsidRDefault="002C4AF7">
      <w:pPr>
        <w:ind w:left="0" w:hanging="2"/>
        <w:jc w:val="both"/>
        <w:rPr>
          <w:rFonts w:ascii="Arial" w:eastAsia="Arial" w:hAnsi="Arial" w:cs="Arial"/>
          <w:sz w:val="20"/>
          <w:szCs w:val="20"/>
        </w:rPr>
      </w:pPr>
    </w:p>
    <w:p w:rsidR="002C4AF7" w:rsidRDefault="002C4AF7">
      <w:pPr>
        <w:ind w:left="0" w:hanging="2"/>
        <w:jc w:val="both"/>
        <w:rPr>
          <w:rFonts w:ascii="Arial" w:eastAsia="Arial" w:hAnsi="Arial" w:cs="Arial"/>
          <w:sz w:val="20"/>
          <w:szCs w:val="20"/>
        </w:rPr>
      </w:pPr>
    </w:p>
    <w:tbl>
      <w:tblPr>
        <w:tblStyle w:val="affff5"/>
        <w:tblW w:w="8670" w:type="dxa"/>
        <w:tblInd w:w="-98" w:type="dxa"/>
        <w:tblLayout w:type="fixed"/>
        <w:tblLook w:val="0000" w:firstRow="0" w:lastRow="0" w:firstColumn="0" w:lastColumn="0" w:noHBand="0" w:noVBand="0"/>
      </w:tblPr>
      <w:tblGrid>
        <w:gridCol w:w="2295"/>
        <w:gridCol w:w="3165"/>
        <w:gridCol w:w="3210"/>
      </w:tblGrid>
      <w:tr w:rsidR="002C4AF7">
        <w:trPr>
          <w:trHeight w:val="755"/>
        </w:trPr>
        <w:tc>
          <w:tcPr>
            <w:tcW w:w="8670" w:type="dxa"/>
            <w:gridSpan w:val="3"/>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tcPr>
          <w:p w:rsidR="002C4AF7" w:rsidRDefault="007C2686">
            <w:pPr>
              <w:spacing w:after="240"/>
              <w:ind w:left="0" w:right="100" w:hanging="2"/>
              <w:rPr>
                <w:rFonts w:ascii="Arial" w:eastAsia="Arial" w:hAnsi="Arial" w:cs="Arial"/>
                <w:sz w:val="20"/>
                <w:szCs w:val="20"/>
              </w:rPr>
            </w:pPr>
            <w:r>
              <w:rPr>
                <w:rFonts w:ascii="Arial" w:eastAsia="Arial" w:hAnsi="Arial" w:cs="Arial"/>
                <w:b/>
                <w:sz w:val="20"/>
                <w:szCs w:val="20"/>
              </w:rPr>
              <w:t>Tabla 11 Análisis de sensibilidad sobre coste del tratamiento con enzalutamida  suponiendo un descuento sobre el precio notificado.</w:t>
            </w:r>
          </w:p>
        </w:tc>
      </w:tr>
      <w:tr w:rsidR="002C4AF7">
        <w:trPr>
          <w:cantSplit/>
          <w:trHeight w:val="605"/>
        </w:trPr>
        <w:tc>
          <w:tcPr>
            <w:tcW w:w="2295" w:type="dxa"/>
            <w:vMerge w:val="restart"/>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2C4AF7" w:rsidRDefault="002C4AF7">
            <w:pPr>
              <w:ind w:left="0" w:right="1180" w:hanging="2"/>
              <w:jc w:val="center"/>
              <w:rPr>
                <w:rFonts w:ascii="Arial" w:eastAsia="Arial" w:hAnsi="Arial" w:cs="Arial"/>
                <w:sz w:val="18"/>
                <w:szCs w:val="18"/>
              </w:rPr>
            </w:pPr>
          </w:p>
        </w:tc>
        <w:tc>
          <w:tcPr>
            <w:tcW w:w="6375" w:type="dxa"/>
            <w:gridSpan w:val="2"/>
            <w:tcBorders>
              <w:top w:val="nil"/>
              <w:left w:val="nil"/>
              <w:bottom w:val="single" w:sz="8" w:space="0" w:color="000000"/>
              <w:right w:val="single" w:sz="8" w:space="0" w:color="000000"/>
            </w:tcBorders>
            <w:shd w:val="clear" w:color="auto" w:fill="D9D9D9"/>
          </w:tcPr>
          <w:p w:rsidR="002C4AF7" w:rsidRDefault="007C2686">
            <w:pPr>
              <w:spacing w:after="240"/>
              <w:ind w:left="0" w:right="100" w:hanging="2"/>
              <w:jc w:val="center"/>
              <w:rPr>
                <w:rFonts w:ascii="Arial" w:eastAsia="Arial" w:hAnsi="Arial" w:cs="Arial"/>
                <w:sz w:val="16"/>
                <w:szCs w:val="16"/>
              </w:rPr>
            </w:pPr>
            <w:r>
              <w:rPr>
                <w:rFonts w:ascii="Arial" w:eastAsia="Arial" w:hAnsi="Arial" w:cs="Arial"/>
                <w:b/>
                <w:sz w:val="16"/>
                <w:szCs w:val="16"/>
              </w:rPr>
              <w:t>% DESCUENTO SOBRE PVL NOTIFICADO DE ENZALUTAMIDA</w:t>
            </w:r>
          </w:p>
        </w:tc>
      </w:tr>
      <w:tr w:rsidR="002C4AF7">
        <w:trPr>
          <w:cantSplit/>
          <w:trHeight w:val="620"/>
        </w:trPr>
        <w:tc>
          <w:tcPr>
            <w:tcW w:w="2295" w:type="dxa"/>
            <w:vMerge/>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2C4AF7" w:rsidRDefault="002C4AF7">
            <w:pPr>
              <w:widowControl w:val="0"/>
              <w:pBdr>
                <w:top w:val="nil"/>
                <w:left w:val="nil"/>
                <w:bottom w:val="nil"/>
                <w:right w:val="nil"/>
                <w:between w:val="nil"/>
              </w:pBdr>
              <w:spacing w:line="276" w:lineRule="auto"/>
              <w:ind w:left="0" w:hanging="2"/>
              <w:rPr>
                <w:rFonts w:ascii="Arial" w:eastAsia="Arial" w:hAnsi="Arial" w:cs="Arial"/>
                <w:sz w:val="16"/>
                <w:szCs w:val="16"/>
              </w:rPr>
            </w:pPr>
          </w:p>
        </w:tc>
        <w:tc>
          <w:tcPr>
            <w:tcW w:w="3165" w:type="dxa"/>
            <w:tcBorders>
              <w:top w:val="nil"/>
              <w:left w:val="nil"/>
              <w:bottom w:val="single" w:sz="8" w:space="0" w:color="000000"/>
              <w:right w:val="single" w:sz="8" w:space="0" w:color="000000"/>
            </w:tcBorders>
            <w:shd w:val="clear" w:color="auto" w:fill="D9D9D9"/>
          </w:tcPr>
          <w:p w:rsidR="002C4AF7" w:rsidRDefault="007C2686">
            <w:pPr>
              <w:spacing w:after="240"/>
              <w:ind w:left="0" w:right="100" w:hanging="2"/>
              <w:jc w:val="center"/>
              <w:rPr>
                <w:rFonts w:ascii="Arial" w:eastAsia="Arial" w:hAnsi="Arial" w:cs="Arial"/>
                <w:sz w:val="18"/>
                <w:szCs w:val="18"/>
              </w:rPr>
            </w:pPr>
            <w:r>
              <w:rPr>
                <w:rFonts w:ascii="Arial" w:eastAsia="Arial" w:hAnsi="Arial" w:cs="Arial"/>
                <w:b/>
                <w:sz w:val="18"/>
                <w:szCs w:val="18"/>
              </w:rPr>
              <w:t>25% descuento</w:t>
            </w:r>
          </w:p>
        </w:tc>
        <w:tc>
          <w:tcPr>
            <w:tcW w:w="3210" w:type="dxa"/>
            <w:tcBorders>
              <w:top w:val="nil"/>
              <w:left w:val="nil"/>
              <w:bottom w:val="single" w:sz="8" w:space="0" w:color="000000"/>
              <w:right w:val="single" w:sz="8" w:space="0" w:color="000000"/>
            </w:tcBorders>
            <w:shd w:val="clear" w:color="auto" w:fill="D9D9D9"/>
          </w:tcPr>
          <w:p w:rsidR="002C4AF7" w:rsidRDefault="007C2686">
            <w:pPr>
              <w:spacing w:after="240"/>
              <w:ind w:left="0" w:right="100" w:hanging="2"/>
              <w:jc w:val="center"/>
              <w:rPr>
                <w:rFonts w:ascii="Arial" w:eastAsia="Arial" w:hAnsi="Arial" w:cs="Arial"/>
                <w:sz w:val="18"/>
                <w:szCs w:val="18"/>
              </w:rPr>
            </w:pPr>
            <w:r>
              <w:rPr>
                <w:rFonts w:ascii="Arial" w:eastAsia="Arial" w:hAnsi="Arial" w:cs="Arial"/>
                <w:b/>
                <w:sz w:val="18"/>
                <w:szCs w:val="18"/>
              </w:rPr>
              <w:t>45% descuento</w:t>
            </w:r>
          </w:p>
        </w:tc>
      </w:tr>
      <w:tr w:rsidR="002C4AF7">
        <w:trPr>
          <w:trHeight w:val="665"/>
        </w:trPr>
        <w:tc>
          <w:tcPr>
            <w:tcW w:w="22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C4AF7" w:rsidRDefault="007C2686">
            <w:pPr>
              <w:spacing w:before="60"/>
              <w:ind w:left="0" w:right="100" w:hanging="2"/>
              <w:rPr>
                <w:rFonts w:ascii="Arial" w:eastAsia="Arial" w:hAnsi="Arial" w:cs="Arial"/>
                <w:sz w:val="18"/>
                <w:szCs w:val="18"/>
              </w:rPr>
            </w:pPr>
            <w:bookmarkStart w:id="48" w:name="_heading=h.7lzjd0rwc96z" w:colFirst="0" w:colLast="0"/>
            <w:bookmarkEnd w:id="48"/>
            <w:r>
              <w:rPr>
                <w:rFonts w:ascii="Arial" w:eastAsia="Arial" w:hAnsi="Arial" w:cs="Arial"/>
                <w:b/>
                <w:sz w:val="18"/>
                <w:szCs w:val="18"/>
              </w:rPr>
              <w:t>Precio unitario*</w:t>
            </w:r>
            <w:r>
              <w:rPr>
                <w:rFonts w:ascii="Arial" w:eastAsia="Arial" w:hAnsi="Arial" w:cs="Arial"/>
                <w:b/>
                <w:sz w:val="18"/>
                <w:szCs w:val="18"/>
              </w:rPr>
              <w:br/>
            </w:r>
          </w:p>
          <w:p w:rsidR="002C4AF7" w:rsidRDefault="007C2686">
            <w:pPr>
              <w:spacing w:before="60"/>
              <w:ind w:left="0" w:right="100" w:hanging="2"/>
              <w:rPr>
                <w:rFonts w:ascii="Arial" w:eastAsia="Arial" w:hAnsi="Arial" w:cs="Arial"/>
                <w:sz w:val="18"/>
                <w:szCs w:val="18"/>
              </w:rPr>
            </w:pPr>
            <w:r>
              <w:rPr>
                <w:rFonts w:ascii="Arial" w:eastAsia="Arial" w:hAnsi="Arial" w:cs="Arial"/>
                <w:b/>
                <w:sz w:val="18"/>
                <w:szCs w:val="18"/>
              </w:rPr>
              <w:t>precio envase (112 udes)</w:t>
            </w:r>
          </w:p>
        </w:tc>
        <w:tc>
          <w:tcPr>
            <w:tcW w:w="3165" w:type="dxa"/>
            <w:tcBorders>
              <w:top w:val="nil"/>
              <w:left w:val="nil"/>
              <w:bottom w:val="single" w:sz="8" w:space="0" w:color="000000"/>
              <w:right w:val="single" w:sz="8" w:space="0" w:color="000000"/>
            </w:tcBorders>
          </w:tcPr>
          <w:p w:rsidR="002C4AF7" w:rsidRDefault="007C2686">
            <w:pPr>
              <w:spacing w:after="240"/>
              <w:ind w:left="0" w:right="100" w:hanging="2"/>
              <w:jc w:val="center"/>
              <w:rPr>
                <w:rFonts w:ascii="Arial" w:eastAsia="Arial" w:hAnsi="Arial" w:cs="Arial"/>
                <w:sz w:val="18"/>
                <w:szCs w:val="18"/>
              </w:rPr>
            </w:pPr>
            <w:bookmarkStart w:id="49" w:name="_heading=h.y6zvvd7dh6s3" w:colFirst="0" w:colLast="0"/>
            <w:bookmarkEnd w:id="49"/>
            <w:r>
              <w:rPr>
                <w:rFonts w:ascii="Arial" w:eastAsia="Arial" w:hAnsi="Arial" w:cs="Arial"/>
                <w:sz w:val="18"/>
                <w:szCs w:val="18"/>
              </w:rPr>
              <w:t>21,25€</w:t>
            </w:r>
            <w:r>
              <w:rPr>
                <w:rFonts w:ascii="Arial" w:eastAsia="Arial" w:hAnsi="Arial" w:cs="Arial"/>
                <w:sz w:val="18"/>
                <w:szCs w:val="18"/>
              </w:rPr>
              <w:br/>
            </w:r>
          </w:p>
          <w:p w:rsidR="002C4AF7" w:rsidRDefault="007C2686">
            <w:pPr>
              <w:spacing w:after="240"/>
              <w:ind w:left="0" w:right="100" w:hanging="2"/>
              <w:jc w:val="center"/>
              <w:rPr>
                <w:rFonts w:ascii="Arial" w:eastAsia="Arial" w:hAnsi="Arial" w:cs="Arial"/>
                <w:sz w:val="18"/>
                <w:szCs w:val="18"/>
              </w:rPr>
            </w:pPr>
            <w:r>
              <w:rPr>
                <w:rFonts w:ascii="Arial" w:eastAsia="Arial" w:hAnsi="Arial" w:cs="Arial"/>
                <w:sz w:val="18"/>
                <w:szCs w:val="18"/>
              </w:rPr>
              <w:t>2.380€</w:t>
            </w:r>
          </w:p>
        </w:tc>
        <w:tc>
          <w:tcPr>
            <w:tcW w:w="3210" w:type="dxa"/>
            <w:tcBorders>
              <w:top w:val="nil"/>
              <w:left w:val="nil"/>
              <w:bottom w:val="single" w:sz="8" w:space="0" w:color="000000"/>
              <w:right w:val="single" w:sz="8" w:space="0" w:color="000000"/>
            </w:tcBorders>
          </w:tcPr>
          <w:p w:rsidR="002C4AF7" w:rsidRDefault="007C2686">
            <w:pPr>
              <w:spacing w:after="240"/>
              <w:ind w:left="0" w:right="100" w:hanging="2"/>
              <w:jc w:val="center"/>
              <w:rPr>
                <w:rFonts w:ascii="Arial" w:eastAsia="Arial" w:hAnsi="Arial" w:cs="Arial"/>
                <w:sz w:val="18"/>
                <w:szCs w:val="18"/>
              </w:rPr>
            </w:pPr>
            <w:bookmarkStart w:id="50" w:name="_heading=h.aj9ztydpftpx" w:colFirst="0" w:colLast="0"/>
            <w:bookmarkEnd w:id="50"/>
            <w:r>
              <w:rPr>
                <w:rFonts w:ascii="Arial" w:eastAsia="Arial" w:hAnsi="Arial" w:cs="Arial"/>
                <w:sz w:val="18"/>
                <w:szCs w:val="18"/>
              </w:rPr>
              <w:t>15,58€</w:t>
            </w:r>
            <w:r>
              <w:rPr>
                <w:rFonts w:ascii="Arial" w:eastAsia="Arial" w:hAnsi="Arial" w:cs="Arial"/>
                <w:sz w:val="18"/>
                <w:szCs w:val="18"/>
              </w:rPr>
              <w:br/>
            </w:r>
          </w:p>
          <w:p w:rsidR="002C4AF7" w:rsidRDefault="007C2686">
            <w:pPr>
              <w:spacing w:after="240"/>
              <w:ind w:left="0" w:right="100" w:hanging="2"/>
              <w:jc w:val="center"/>
              <w:rPr>
                <w:rFonts w:ascii="Arial" w:eastAsia="Arial" w:hAnsi="Arial" w:cs="Arial"/>
                <w:sz w:val="18"/>
                <w:szCs w:val="18"/>
              </w:rPr>
            </w:pPr>
            <w:r>
              <w:rPr>
                <w:rFonts w:ascii="Arial" w:eastAsia="Arial" w:hAnsi="Arial" w:cs="Arial"/>
                <w:sz w:val="18"/>
                <w:szCs w:val="18"/>
              </w:rPr>
              <w:t>1.744€</w:t>
            </w:r>
          </w:p>
        </w:tc>
      </w:tr>
      <w:tr w:rsidR="002C4AF7">
        <w:trPr>
          <w:trHeight w:val="665"/>
        </w:trPr>
        <w:tc>
          <w:tcPr>
            <w:tcW w:w="22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C4AF7" w:rsidRDefault="007C2686">
            <w:pPr>
              <w:spacing w:before="60"/>
              <w:ind w:left="0" w:right="100" w:hanging="2"/>
              <w:rPr>
                <w:rFonts w:ascii="Arial" w:eastAsia="Arial" w:hAnsi="Arial" w:cs="Arial"/>
                <w:sz w:val="18"/>
                <w:szCs w:val="18"/>
              </w:rPr>
            </w:pPr>
            <w:r>
              <w:rPr>
                <w:rFonts w:ascii="Arial" w:eastAsia="Arial" w:hAnsi="Arial" w:cs="Arial"/>
                <w:b/>
                <w:sz w:val="18"/>
                <w:szCs w:val="18"/>
              </w:rPr>
              <w:t>Posología</w:t>
            </w:r>
          </w:p>
        </w:tc>
        <w:tc>
          <w:tcPr>
            <w:tcW w:w="6375" w:type="dxa"/>
            <w:gridSpan w:val="2"/>
            <w:tcBorders>
              <w:top w:val="nil"/>
              <w:left w:val="nil"/>
              <w:bottom w:val="single" w:sz="8" w:space="0" w:color="000000"/>
              <w:right w:val="single" w:sz="8" w:space="0" w:color="000000"/>
            </w:tcBorders>
          </w:tcPr>
          <w:p w:rsidR="002C4AF7" w:rsidRDefault="007C2686">
            <w:pPr>
              <w:spacing w:after="240"/>
              <w:ind w:left="0" w:right="100" w:hanging="2"/>
              <w:jc w:val="center"/>
              <w:rPr>
                <w:rFonts w:ascii="Arial" w:eastAsia="Arial" w:hAnsi="Arial" w:cs="Arial"/>
                <w:sz w:val="18"/>
                <w:szCs w:val="18"/>
              </w:rPr>
            </w:pPr>
            <w:r>
              <w:rPr>
                <w:rFonts w:ascii="Arial" w:eastAsia="Arial" w:hAnsi="Arial" w:cs="Arial"/>
                <w:sz w:val="18"/>
                <w:szCs w:val="18"/>
              </w:rPr>
              <w:t>160 mg/24h</w:t>
            </w:r>
          </w:p>
        </w:tc>
      </w:tr>
      <w:tr w:rsidR="002C4AF7">
        <w:trPr>
          <w:trHeight w:val="725"/>
        </w:trPr>
        <w:tc>
          <w:tcPr>
            <w:tcW w:w="22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C4AF7" w:rsidRDefault="007C2686">
            <w:pPr>
              <w:spacing w:before="60" w:line="225" w:lineRule="auto"/>
              <w:ind w:left="0" w:right="100" w:hanging="2"/>
              <w:rPr>
                <w:rFonts w:ascii="Arial" w:eastAsia="Arial" w:hAnsi="Arial" w:cs="Arial"/>
                <w:sz w:val="18"/>
                <w:szCs w:val="18"/>
              </w:rPr>
            </w:pPr>
            <w:r>
              <w:rPr>
                <w:rFonts w:ascii="Arial" w:eastAsia="Arial" w:hAnsi="Arial" w:cs="Arial"/>
                <w:b/>
                <w:sz w:val="18"/>
                <w:szCs w:val="18"/>
              </w:rPr>
              <w:t>Coste día o por ciclo</w:t>
            </w:r>
          </w:p>
        </w:tc>
        <w:tc>
          <w:tcPr>
            <w:tcW w:w="3165" w:type="dxa"/>
            <w:tcBorders>
              <w:top w:val="nil"/>
              <w:left w:val="nil"/>
              <w:bottom w:val="single" w:sz="8" w:space="0" w:color="000000"/>
              <w:right w:val="single" w:sz="8" w:space="0" w:color="000000"/>
            </w:tcBorders>
          </w:tcPr>
          <w:p w:rsidR="002C4AF7" w:rsidRDefault="007C2686">
            <w:pPr>
              <w:spacing w:before="60"/>
              <w:ind w:left="0" w:right="280" w:hanging="2"/>
              <w:jc w:val="center"/>
              <w:rPr>
                <w:rFonts w:ascii="Arial" w:eastAsia="Arial" w:hAnsi="Arial" w:cs="Arial"/>
                <w:sz w:val="18"/>
                <w:szCs w:val="18"/>
              </w:rPr>
            </w:pPr>
            <w:r>
              <w:rPr>
                <w:rFonts w:ascii="Arial" w:eastAsia="Arial" w:hAnsi="Arial" w:cs="Arial"/>
                <w:sz w:val="18"/>
                <w:szCs w:val="18"/>
              </w:rPr>
              <w:t>85 €/día +</w:t>
            </w:r>
          </w:p>
          <w:p w:rsidR="002C4AF7" w:rsidRDefault="007C2686">
            <w:pPr>
              <w:spacing w:after="240"/>
              <w:ind w:left="0" w:right="100" w:hanging="2"/>
              <w:jc w:val="center"/>
              <w:rPr>
                <w:rFonts w:ascii="Arial" w:eastAsia="Arial" w:hAnsi="Arial" w:cs="Arial"/>
                <w:sz w:val="18"/>
                <w:szCs w:val="18"/>
              </w:rPr>
            </w:pPr>
            <w:r>
              <w:rPr>
                <w:rFonts w:ascii="Arial" w:eastAsia="Arial" w:hAnsi="Arial" w:cs="Arial"/>
                <w:sz w:val="18"/>
                <w:szCs w:val="18"/>
              </w:rPr>
              <w:t>coste TDA</w:t>
            </w:r>
          </w:p>
        </w:tc>
        <w:tc>
          <w:tcPr>
            <w:tcW w:w="3210" w:type="dxa"/>
            <w:tcBorders>
              <w:top w:val="nil"/>
              <w:left w:val="nil"/>
              <w:bottom w:val="single" w:sz="8" w:space="0" w:color="000000"/>
              <w:right w:val="single" w:sz="8" w:space="0" w:color="000000"/>
            </w:tcBorders>
          </w:tcPr>
          <w:p w:rsidR="002C4AF7" w:rsidRDefault="007C2686">
            <w:pPr>
              <w:spacing w:before="60"/>
              <w:ind w:left="0" w:right="280" w:hanging="2"/>
              <w:jc w:val="center"/>
              <w:rPr>
                <w:rFonts w:ascii="Arial" w:eastAsia="Arial" w:hAnsi="Arial" w:cs="Arial"/>
                <w:sz w:val="18"/>
                <w:szCs w:val="18"/>
              </w:rPr>
            </w:pPr>
            <w:r>
              <w:rPr>
                <w:rFonts w:ascii="Arial" w:eastAsia="Arial" w:hAnsi="Arial" w:cs="Arial"/>
                <w:sz w:val="18"/>
                <w:szCs w:val="18"/>
              </w:rPr>
              <w:t>62,32 €/día +</w:t>
            </w:r>
          </w:p>
          <w:p w:rsidR="002C4AF7" w:rsidRDefault="007C2686">
            <w:pPr>
              <w:spacing w:after="240"/>
              <w:ind w:left="0" w:right="100" w:hanging="2"/>
              <w:jc w:val="center"/>
              <w:rPr>
                <w:rFonts w:ascii="Arial" w:eastAsia="Arial" w:hAnsi="Arial" w:cs="Arial"/>
                <w:sz w:val="18"/>
                <w:szCs w:val="18"/>
              </w:rPr>
            </w:pPr>
            <w:r>
              <w:rPr>
                <w:rFonts w:ascii="Arial" w:eastAsia="Arial" w:hAnsi="Arial" w:cs="Arial"/>
                <w:sz w:val="18"/>
                <w:szCs w:val="18"/>
              </w:rPr>
              <w:t>coste TDA</w:t>
            </w:r>
          </w:p>
        </w:tc>
      </w:tr>
      <w:tr w:rsidR="002C4AF7">
        <w:trPr>
          <w:trHeight w:val="725"/>
        </w:trPr>
        <w:tc>
          <w:tcPr>
            <w:tcW w:w="22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C4AF7" w:rsidRDefault="007C2686">
            <w:pPr>
              <w:spacing w:before="60"/>
              <w:ind w:left="0" w:right="100" w:hanging="2"/>
              <w:rPr>
                <w:rFonts w:ascii="Arial" w:eastAsia="Arial" w:hAnsi="Arial" w:cs="Arial"/>
                <w:sz w:val="18"/>
                <w:szCs w:val="18"/>
              </w:rPr>
            </w:pPr>
            <w:r>
              <w:rPr>
                <w:rFonts w:ascii="Arial" w:eastAsia="Arial" w:hAnsi="Arial" w:cs="Arial"/>
                <w:b/>
                <w:sz w:val="18"/>
                <w:szCs w:val="18"/>
              </w:rPr>
              <w:t>Coste tratamiento completo</w:t>
            </w:r>
          </w:p>
        </w:tc>
        <w:tc>
          <w:tcPr>
            <w:tcW w:w="3165" w:type="dxa"/>
            <w:tcBorders>
              <w:top w:val="nil"/>
              <w:left w:val="nil"/>
              <w:bottom w:val="single" w:sz="8" w:space="0" w:color="000000"/>
              <w:right w:val="single" w:sz="8" w:space="0" w:color="000000"/>
            </w:tcBorders>
          </w:tcPr>
          <w:p w:rsidR="002C4AF7" w:rsidRDefault="007C2686">
            <w:pPr>
              <w:spacing w:before="60" w:line="225" w:lineRule="auto"/>
              <w:ind w:left="0" w:right="140" w:hanging="2"/>
              <w:jc w:val="center"/>
              <w:rPr>
                <w:rFonts w:ascii="Arial" w:eastAsia="Arial" w:hAnsi="Arial" w:cs="Arial"/>
                <w:sz w:val="18"/>
                <w:szCs w:val="18"/>
              </w:rPr>
            </w:pPr>
            <w:r>
              <w:rPr>
                <w:rFonts w:ascii="Arial" w:eastAsia="Arial" w:hAnsi="Arial" w:cs="Arial"/>
                <w:sz w:val="18"/>
                <w:szCs w:val="18"/>
              </w:rPr>
              <w:t>31.021 € (año) + coste TDA</w:t>
            </w:r>
          </w:p>
        </w:tc>
        <w:tc>
          <w:tcPr>
            <w:tcW w:w="3210" w:type="dxa"/>
            <w:tcBorders>
              <w:top w:val="nil"/>
              <w:left w:val="nil"/>
              <w:bottom w:val="single" w:sz="8" w:space="0" w:color="000000"/>
              <w:right w:val="single" w:sz="8" w:space="0" w:color="000000"/>
            </w:tcBorders>
          </w:tcPr>
          <w:p w:rsidR="002C4AF7" w:rsidRDefault="007C2686">
            <w:pPr>
              <w:spacing w:before="60" w:line="225" w:lineRule="auto"/>
              <w:ind w:left="0" w:right="140" w:hanging="2"/>
              <w:jc w:val="center"/>
              <w:rPr>
                <w:rFonts w:ascii="Arial" w:eastAsia="Arial" w:hAnsi="Arial" w:cs="Arial"/>
                <w:sz w:val="18"/>
                <w:szCs w:val="18"/>
              </w:rPr>
            </w:pPr>
            <w:r>
              <w:rPr>
                <w:rFonts w:ascii="Arial" w:eastAsia="Arial" w:hAnsi="Arial" w:cs="Arial"/>
                <w:sz w:val="18"/>
                <w:szCs w:val="18"/>
              </w:rPr>
              <w:t>22.746 € (año) + coste TDA</w:t>
            </w:r>
          </w:p>
        </w:tc>
      </w:tr>
      <w:tr w:rsidR="002C4AF7">
        <w:trPr>
          <w:trHeight w:val="845"/>
        </w:trPr>
        <w:tc>
          <w:tcPr>
            <w:tcW w:w="22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C4AF7" w:rsidRDefault="007C2686">
            <w:pPr>
              <w:spacing w:before="240" w:after="240" w:line="219" w:lineRule="auto"/>
              <w:ind w:left="0" w:right="100" w:hanging="2"/>
              <w:rPr>
                <w:rFonts w:ascii="Arial" w:eastAsia="Arial" w:hAnsi="Arial" w:cs="Arial"/>
                <w:sz w:val="18"/>
                <w:szCs w:val="18"/>
              </w:rPr>
            </w:pPr>
            <w:r>
              <w:rPr>
                <w:rFonts w:ascii="Arial" w:eastAsia="Arial" w:hAnsi="Arial" w:cs="Arial"/>
                <w:b/>
                <w:sz w:val="18"/>
                <w:szCs w:val="18"/>
              </w:rPr>
              <w:lastRenderedPageBreak/>
              <w:t>Costes directos</w:t>
            </w:r>
          </w:p>
          <w:p w:rsidR="002C4AF7" w:rsidRDefault="007C2686">
            <w:pPr>
              <w:spacing w:line="209" w:lineRule="auto"/>
              <w:ind w:left="0" w:right="100" w:hanging="2"/>
              <w:rPr>
                <w:rFonts w:ascii="Arial" w:eastAsia="Arial" w:hAnsi="Arial" w:cs="Arial"/>
                <w:sz w:val="18"/>
                <w:szCs w:val="18"/>
              </w:rPr>
            </w:pPr>
            <w:r>
              <w:rPr>
                <w:rFonts w:ascii="Arial" w:eastAsia="Arial" w:hAnsi="Arial" w:cs="Arial"/>
                <w:b/>
                <w:sz w:val="18"/>
                <w:szCs w:val="18"/>
              </w:rPr>
              <w:t>asociados</w:t>
            </w:r>
          </w:p>
        </w:tc>
        <w:tc>
          <w:tcPr>
            <w:tcW w:w="6375" w:type="dxa"/>
            <w:gridSpan w:val="2"/>
            <w:tcBorders>
              <w:top w:val="nil"/>
              <w:left w:val="nil"/>
              <w:bottom w:val="single" w:sz="8" w:space="0" w:color="000000"/>
              <w:right w:val="single" w:sz="8" w:space="0" w:color="000000"/>
            </w:tcBorders>
          </w:tcPr>
          <w:p w:rsidR="002C4AF7" w:rsidRDefault="007C2686">
            <w:pPr>
              <w:spacing w:after="240"/>
              <w:ind w:left="0" w:right="100" w:hanging="2"/>
              <w:jc w:val="center"/>
              <w:rPr>
                <w:rFonts w:ascii="Arial" w:eastAsia="Arial" w:hAnsi="Arial" w:cs="Arial"/>
                <w:sz w:val="18"/>
                <w:szCs w:val="18"/>
              </w:rPr>
            </w:pPr>
            <w:r>
              <w:rPr>
                <w:rFonts w:ascii="Arial" w:eastAsia="Arial" w:hAnsi="Arial" w:cs="Arial"/>
                <w:sz w:val="18"/>
                <w:szCs w:val="18"/>
              </w:rPr>
              <w:t>No procede</w:t>
            </w:r>
          </w:p>
        </w:tc>
      </w:tr>
      <w:tr w:rsidR="002C4AF7">
        <w:trPr>
          <w:trHeight w:val="710"/>
        </w:trPr>
        <w:tc>
          <w:tcPr>
            <w:tcW w:w="22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C4AF7" w:rsidRDefault="007C2686">
            <w:pPr>
              <w:spacing w:before="240" w:after="240" w:line="219" w:lineRule="auto"/>
              <w:ind w:left="0" w:right="100" w:hanging="2"/>
              <w:rPr>
                <w:rFonts w:ascii="Arial" w:eastAsia="Arial" w:hAnsi="Arial" w:cs="Arial"/>
                <w:sz w:val="18"/>
                <w:szCs w:val="18"/>
              </w:rPr>
            </w:pPr>
            <w:r>
              <w:rPr>
                <w:rFonts w:ascii="Arial" w:eastAsia="Arial" w:hAnsi="Arial" w:cs="Arial"/>
                <w:b/>
                <w:sz w:val="18"/>
                <w:szCs w:val="18"/>
              </w:rPr>
              <w:t>Coste global</w:t>
            </w:r>
          </w:p>
        </w:tc>
        <w:tc>
          <w:tcPr>
            <w:tcW w:w="3165" w:type="dxa"/>
            <w:tcBorders>
              <w:top w:val="nil"/>
              <w:left w:val="nil"/>
              <w:bottom w:val="single" w:sz="8" w:space="0" w:color="000000"/>
              <w:right w:val="single" w:sz="8" w:space="0" w:color="000000"/>
            </w:tcBorders>
          </w:tcPr>
          <w:p w:rsidR="002C4AF7" w:rsidRDefault="007C2686">
            <w:pPr>
              <w:spacing w:before="60" w:line="225" w:lineRule="auto"/>
              <w:ind w:left="0" w:right="140" w:hanging="2"/>
              <w:jc w:val="center"/>
              <w:rPr>
                <w:rFonts w:ascii="Arial" w:eastAsia="Arial" w:hAnsi="Arial" w:cs="Arial"/>
                <w:sz w:val="18"/>
                <w:szCs w:val="18"/>
              </w:rPr>
            </w:pPr>
            <w:r>
              <w:rPr>
                <w:rFonts w:ascii="Arial" w:eastAsia="Arial" w:hAnsi="Arial" w:cs="Arial"/>
                <w:sz w:val="18"/>
                <w:szCs w:val="18"/>
              </w:rPr>
              <w:t>31.021 € (año) + coste TDA</w:t>
            </w:r>
          </w:p>
        </w:tc>
        <w:tc>
          <w:tcPr>
            <w:tcW w:w="3210" w:type="dxa"/>
            <w:tcBorders>
              <w:top w:val="nil"/>
              <w:left w:val="nil"/>
              <w:bottom w:val="single" w:sz="8" w:space="0" w:color="000000"/>
              <w:right w:val="single" w:sz="8" w:space="0" w:color="000000"/>
            </w:tcBorders>
          </w:tcPr>
          <w:p w:rsidR="002C4AF7" w:rsidRDefault="007C2686">
            <w:pPr>
              <w:spacing w:before="60" w:line="225" w:lineRule="auto"/>
              <w:ind w:left="0" w:right="140" w:hanging="2"/>
              <w:jc w:val="center"/>
              <w:rPr>
                <w:rFonts w:ascii="Arial" w:eastAsia="Arial" w:hAnsi="Arial" w:cs="Arial"/>
                <w:sz w:val="18"/>
                <w:szCs w:val="18"/>
              </w:rPr>
            </w:pPr>
            <w:r>
              <w:rPr>
                <w:rFonts w:ascii="Arial" w:eastAsia="Arial" w:hAnsi="Arial" w:cs="Arial"/>
                <w:sz w:val="18"/>
                <w:szCs w:val="18"/>
              </w:rPr>
              <w:t>22.746 € (año) + coste TDA</w:t>
            </w:r>
          </w:p>
        </w:tc>
      </w:tr>
    </w:tbl>
    <w:p w:rsidR="002C4AF7" w:rsidRDefault="007C2686">
      <w:pPr>
        <w:ind w:left="0" w:right="1080" w:hanging="2"/>
        <w:jc w:val="both"/>
        <w:rPr>
          <w:rFonts w:ascii="Arial" w:eastAsia="Arial" w:hAnsi="Arial" w:cs="Arial"/>
          <w:sz w:val="18"/>
          <w:szCs w:val="18"/>
        </w:rPr>
      </w:pPr>
      <w:bookmarkStart w:id="51" w:name="_heading=h.ifitomtkrtst" w:colFirst="0" w:colLast="0"/>
      <w:bookmarkEnd w:id="51"/>
      <w:r>
        <w:rPr>
          <w:rFonts w:ascii="Arial" w:eastAsia="Arial" w:hAnsi="Arial" w:cs="Arial"/>
          <w:b/>
          <w:sz w:val="18"/>
          <w:szCs w:val="18"/>
        </w:rPr>
        <w:t>*</w:t>
      </w:r>
      <w:r>
        <w:rPr>
          <w:rFonts w:ascii="Arial" w:eastAsia="Arial" w:hAnsi="Arial" w:cs="Arial"/>
          <w:sz w:val="18"/>
          <w:szCs w:val="18"/>
        </w:rPr>
        <w:t>En el coste unitario no se incluyeron otros costes directos, ni el coste de la unidad de TDA, únicamente el coste (PVL + 4% IVA) por comprimido de 40 mg de enzalutamida, suponiendo un descuento del 25% y 45%, respectivamente.</w:t>
      </w:r>
    </w:p>
    <w:p w:rsidR="002C4AF7" w:rsidRDefault="002C4AF7">
      <w:pPr>
        <w:ind w:left="0" w:hanging="2"/>
        <w:jc w:val="both"/>
        <w:rPr>
          <w:rFonts w:ascii="Arial" w:eastAsia="Arial" w:hAnsi="Arial" w:cs="Arial"/>
          <w:sz w:val="20"/>
          <w:szCs w:val="20"/>
        </w:rPr>
      </w:pPr>
    </w:p>
    <w:p w:rsidR="002C4AF7" w:rsidRDefault="007C2686">
      <w:pPr>
        <w:keepNext/>
        <w:pBdr>
          <w:top w:val="single" w:sz="4" w:space="1" w:color="000000"/>
          <w:left w:val="single" w:sz="4" w:space="4" w:color="000000"/>
          <w:bottom w:val="single" w:sz="4" w:space="1" w:color="000000"/>
          <w:right w:val="single" w:sz="4" w:space="0" w:color="000000"/>
        </w:pBdr>
        <w:shd w:val="clear" w:color="auto" w:fill="D9D9D9"/>
        <w:spacing w:line="240" w:lineRule="auto"/>
        <w:ind w:left="0" w:hanging="2"/>
        <w:jc w:val="both"/>
        <w:rPr>
          <w:rFonts w:ascii="Cambria" w:eastAsia="Cambria" w:hAnsi="Cambria" w:cs="Cambria"/>
          <w:color w:val="000000"/>
          <w:sz w:val="20"/>
          <w:szCs w:val="20"/>
        </w:rPr>
      </w:pPr>
      <w:r>
        <w:rPr>
          <w:rFonts w:ascii="Cambria" w:eastAsia="Cambria" w:hAnsi="Cambria" w:cs="Cambria"/>
          <w:b/>
          <w:i/>
          <w:color w:val="000000"/>
          <w:sz w:val="20"/>
          <w:szCs w:val="20"/>
        </w:rPr>
        <w:t xml:space="preserve">7.2 Evaluaciones económicas publicadas  </w:t>
      </w:r>
    </w:p>
    <w:p w:rsidR="002C4AF7" w:rsidRDefault="002C4AF7">
      <w:pPr>
        <w:ind w:left="0" w:hanging="2"/>
        <w:jc w:val="both"/>
        <w:rPr>
          <w:rFonts w:ascii="Arial" w:eastAsia="Arial" w:hAnsi="Arial" w:cs="Arial"/>
          <w:sz w:val="20"/>
          <w:szCs w:val="20"/>
        </w:rPr>
      </w:pPr>
    </w:p>
    <w:p w:rsidR="002C4AF7" w:rsidRDefault="002C4AF7">
      <w:pPr>
        <w:ind w:left="0" w:hanging="2"/>
        <w:jc w:val="both"/>
        <w:rPr>
          <w:rFonts w:ascii="Arial" w:eastAsia="Arial" w:hAnsi="Arial" w:cs="Arial"/>
          <w:sz w:val="20"/>
          <w:szCs w:val="20"/>
        </w:rPr>
      </w:pPr>
    </w:p>
    <w:p w:rsidR="002C4AF7" w:rsidRDefault="007C2686">
      <w:pPr>
        <w:pBdr>
          <w:top w:val="single" w:sz="4" w:space="1" w:color="000000"/>
          <w:left w:val="single" w:sz="4" w:space="4" w:color="000000"/>
          <w:bottom w:val="single" w:sz="4" w:space="1" w:color="000000"/>
          <w:right w:val="single" w:sz="4" w:space="4" w:color="000000"/>
          <w:between w:val="single" w:sz="4" w:space="1" w:color="000000"/>
        </w:pBdr>
        <w:shd w:val="clear" w:color="auto" w:fill="D9D9D9"/>
        <w:ind w:left="0" w:hanging="2"/>
        <w:rPr>
          <w:rFonts w:ascii="Arial" w:eastAsia="Arial" w:hAnsi="Arial" w:cs="Arial"/>
          <w:sz w:val="20"/>
          <w:szCs w:val="20"/>
        </w:rPr>
      </w:pPr>
      <w:r>
        <w:rPr>
          <w:rFonts w:ascii="Arial" w:eastAsia="Arial" w:hAnsi="Arial" w:cs="Arial"/>
          <w:b/>
          <w:sz w:val="20"/>
          <w:szCs w:val="20"/>
        </w:rPr>
        <w:t>7.2.a Búsqueda de evaluaciones económicas publicadas</w:t>
      </w:r>
    </w:p>
    <w:p w:rsidR="002C4AF7" w:rsidRDefault="002C4AF7">
      <w:pPr>
        <w:ind w:left="0" w:hanging="2"/>
        <w:rPr>
          <w:rFonts w:ascii="Arial" w:eastAsia="Arial" w:hAnsi="Arial" w:cs="Arial"/>
          <w:sz w:val="20"/>
          <w:szCs w:val="20"/>
        </w:rPr>
      </w:pPr>
    </w:p>
    <w:p w:rsidR="002C4AF7" w:rsidRDefault="007C2686">
      <w:pPr>
        <w:ind w:left="0" w:hanging="2"/>
        <w:rPr>
          <w:rFonts w:ascii="Arial" w:eastAsia="Arial" w:hAnsi="Arial" w:cs="Arial"/>
          <w:sz w:val="20"/>
          <w:szCs w:val="20"/>
        </w:rPr>
      </w:pPr>
      <w:r>
        <w:rPr>
          <w:rFonts w:ascii="Arial" w:eastAsia="Arial" w:hAnsi="Arial" w:cs="Arial"/>
          <w:sz w:val="20"/>
          <w:szCs w:val="20"/>
        </w:rPr>
        <w:t>Se realizó una búsqueda en Pubmed y Cochrane Library en julio 2021. También se realizó una búsqueda en las páginas webs de las principales agencias de evaluación internacionales.</w:t>
      </w:r>
    </w:p>
    <w:p w:rsidR="002C4AF7" w:rsidRDefault="002C4AF7">
      <w:pPr>
        <w:ind w:left="0" w:hanging="2"/>
        <w:jc w:val="both"/>
        <w:rPr>
          <w:rFonts w:ascii="Arial" w:eastAsia="Arial" w:hAnsi="Arial" w:cs="Arial"/>
          <w:sz w:val="20"/>
          <w:szCs w:val="20"/>
        </w:rPr>
      </w:pPr>
    </w:p>
    <w:p w:rsidR="002C4AF7" w:rsidRPr="001475C9" w:rsidRDefault="007C2686">
      <w:pPr>
        <w:ind w:left="0" w:hanging="2"/>
        <w:jc w:val="both"/>
        <w:rPr>
          <w:rFonts w:ascii="Arial" w:eastAsia="Arial" w:hAnsi="Arial" w:cs="Arial"/>
          <w:sz w:val="20"/>
          <w:szCs w:val="20"/>
          <w:lang w:val="en-GB"/>
        </w:rPr>
      </w:pPr>
      <w:r w:rsidRPr="001475C9">
        <w:rPr>
          <w:rFonts w:ascii="Arial" w:eastAsia="Arial" w:hAnsi="Arial" w:cs="Arial"/>
          <w:b/>
          <w:sz w:val="20"/>
          <w:szCs w:val="20"/>
          <w:lang w:val="en-GB"/>
        </w:rPr>
        <w:t>CADTH DRUG REIMBURSEMENT REVIEW</w:t>
      </w:r>
    </w:p>
    <w:p w:rsidR="002C4AF7" w:rsidRPr="001475C9" w:rsidRDefault="007C2686">
      <w:pPr>
        <w:ind w:left="0" w:hanging="2"/>
        <w:jc w:val="both"/>
        <w:rPr>
          <w:rFonts w:ascii="Arial" w:eastAsia="Arial" w:hAnsi="Arial" w:cs="Arial"/>
          <w:sz w:val="20"/>
          <w:szCs w:val="20"/>
          <w:lang w:val="en-GB"/>
        </w:rPr>
      </w:pPr>
      <w:r w:rsidRPr="001475C9">
        <w:rPr>
          <w:rFonts w:ascii="Arial" w:eastAsia="Arial" w:hAnsi="Arial" w:cs="Arial"/>
          <w:b/>
          <w:sz w:val="20"/>
          <w:szCs w:val="20"/>
          <w:lang w:val="en-GB"/>
        </w:rPr>
        <w:t>Pharmacoeconomic Report for ENZALUTAMIDE (XTANDI).(Astellas Pharma Canada, Inc.)</w:t>
      </w:r>
    </w:p>
    <w:p w:rsidR="002C4AF7" w:rsidRPr="001475C9" w:rsidRDefault="007C2686">
      <w:pPr>
        <w:ind w:left="0" w:hanging="2"/>
        <w:jc w:val="both"/>
        <w:rPr>
          <w:rFonts w:ascii="Arial" w:eastAsia="Arial" w:hAnsi="Arial" w:cs="Arial"/>
          <w:sz w:val="20"/>
          <w:szCs w:val="20"/>
          <w:lang w:val="en-GB"/>
        </w:rPr>
      </w:pPr>
      <w:r w:rsidRPr="001475C9">
        <w:rPr>
          <w:rFonts w:ascii="Arial" w:eastAsia="Arial" w:hAnsi="Arial" w:cs="Arial"/>
          <w:b/>
          <w:sz w:val="20"/>
          <w:szCs w:val="20"/>
          <w:lang w:val="en-GB"/>
        </w:rPr>
        <w:t>Indication: In combination with androgen-deprivation therapy for the treatment of patients with metastatic castration sensitive prostate cancer (31).</w:t>
      </w:r>
    </w:p>
    <w:p w:rsidR="002C4AF7" w:rsidRPr="001475C9" w:rsidRDefault="002C4AF7">
      <w:pPr>
        <w:ind w:left="0" w:hanging="2"/>
        <w:jc w:val="both"/>
        <w:rPr>
          <w:rFonts w:ascii="Arial" w:eastAsia="Arial" w:hAnsi="Arial" w:cs="Arial"/>
          <w:sz w:val="20"/>
          <w:szCs w:val="20"/>
          <w:lang w:val="en-GB"/>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Se realiza un análisis coste utilidad, empleando un modelo de Markov.</w:t>
      </w:r>
    </w:p>
    <w:p w:rsidR="002C4AF7" w:rsidRDefault="007C2686">
      <w:pPr>
        <w:ind w:left="0" w:hanging="2"/>
        <w:jc w:val="both"/>
        <w:rPr>
          <w:rFonts w:ascii="Arial" w:eastAsia="Arial" w:hAnsi="Arial" w:cs="Arial"/>
          <w:sz w:val="20"/>
          <w:szCs w:val="20"/>
        </w:rPr>
      </w:pPr>
      <w:r>
        <w:rPr>
          <w:rFonts w:ascii="Arial" w:eastAsia="Arial" w:hAnsi="Arial" w:cs="Arial"/>
          <w:sz w:val="20"/>
          <w:szCs w:val="20"/>
        </w:rPr>
        <w:t>La población diana son pacientes hombres con cáncer de próstata metástasico sensible a castración. El tratamiento evaluado es enzalutamida en combinación con terapia de deprivación de andrógenos. Los comparadores son: terapia de deprivación de andrógenos, docetaxel en combinación con terapia de deprivación de andrógenos, apalutamida en combinación con TDA, abiraterona más prednisona en combinación con TPA. Las variables evaluadas son AVAC y AVG.</w:t>
      </w:r>
    </w:p>
    <w:p w:rsidR="002C4AF7" w:rsidRDefault="007C2686">
      <w:pPr>
        <w:ind w:left="0" w:hanging="2"/>
        <w:jc w:val="both"/>
        <w:rPr>
          <w:rFonts w:ascii="Arial" w:eastAsia="Arial" w:hAnsi="Arial" w:cs="Arial"/>
          <w:sz w:val="20"/>
          <w:szCs w:val="20"/>
        </w:rPr>
      </w:pPr>
      <w:r>
        <w:rPr>
          <w:rFonts w:ascii="Arial" w:eastAsia="Arial" w:hAnsi="Arial" w:cs="Arial"/>
          <w:sz w:val="20"/>
          <w:szCs w:val="20"/>
        </w:rPr>
        <w:t>El horizonte temporal son 15 años. Las fuentes de datos empleados: ensayos ARCHES, ENZAMET y un metanálisis en red de la compañía con resultados de supervivencia global y supervivencia libre de progresión radiográfica. Resultados del caso base: RCEI de enzalutamida más TDA vs. docetaxel más TDA:132.000$ (95.040€</w:t>
      </w:r>
      <w:r>
        <w:rPr>
          <w:rFonts w:ascii="Arial" w:eastAsia="Arial" w:hAnsi="Arial" w:cs="Arial"/>
          <w:sz w:val="16"/>
          <w:szCs w:val="16"/>
        </w:rPr>
        <w:t>)</w:t>
      </w:r>
      <w:r>
        <w:rPr>
          <w:rFonts w:ascii="Arial" w:eastAsia="Arial" w:hAnsi="Arial" w:cs="Arial"/>
          <w:sz w:val="20"/>
          <w:szCs w:val="20"/>
        </w:rPr>
        <w:t xml:space="preserve"> /AVAC (178.694$ incremental (128.659</w:t>
      </w:r>
      <w:r>
        <w:rPr>
          <w:rFonts w:ascii="Arial" w:eastAsia="Arial" w:hAnsi="Arial" w:cs="Arial"/>
        </w:rPr>
        <w:t xml:space="preserve"> </w:t>
      </w:r>
      <w:r>
        <w:rPr>
          <w:rFonts w:ascii="Arial" w:eastAsia="Arial" w:hAnsi="Arial" w:cs="Arial"/>
          <w:sz w:val="20"/>
          <w:szCs w:val="20"/>
        </w:rPr>
        <w:t>€</w:t>
      </w:r>
      <w:r>
        <w:rPr>
          <w:rFonts w:ascii="Arial" w:eastAsia="Arial" w:hAnsi="Arial" w:cs="Arial"/>
          <w:sz w:val="16"/>
          <w:szCs w:val="16"/>
        </w:rPr>
        <w:t xml:space="preserve">) </w:t>
      </w:r>
      <w:r>
        <w:rPr>
          <w:rFonts w:ascii="Arial" w:eastAsia="Arial" w:hAnsi="Arial" w:cs="Arial"/>
          <w:sz w:val="20"/>
          <w:szCs w:val="20"/>
        </w:rPr>
        <w:t>y 1,35 AVAC incremental).</w:t>
      </w:r>
    </w:p>
    <w:p w:rsidR="002C4AF7" w:rsidRDefault="007C2686">
      <w:pPr>
        <w:ind w:left="0" w:hanging="2"/>
        <w:jc w:val="both"/>
        <w:rPr>
          <w:rFonts w:ascii="Arial" w:eastAsia="Arial" w:hAnsi="Arial" w:cs="Arial"/>
          <w:sz w:val="20"/>
          <w:szCs w:val="20"/>
        </w:rPr>
      </w:pPr>
      <w:r>
        <w:rPr>
          <w:rFonts w:ascii="Arial" w:eastAsia="Arial" w:hAnsi="Arial" w:cs="Arial"/>
          <w:sz w:val="20"/>
          <w:szCs w:val="20"/>
        </w:rPr>
        <w:t>Limitaciones del estudio: hay bastante incertidumbre en relación a la duración del efecto del tratamiento y de la extrapolación a largo plazo de la supervivencia global para enzalutamida ( se disponía de los datos inmaduros de supervivencia global). Se consideró que las extrapolaciones de SLP radiográfica seleccionadas por la compañía no eran clínicamente factibles ya que en algunas medidas específicas los valores de SLP radiográfica eran superiores a los de SG. La compañía empleó resultados directos del ensayo más que resultados del metanálisis en red para valorar la eficacia de enzalutamida asociada a TDA. Lo que sesgó los resultados de coste efectividad a favor del grupo enzalutamida. Se excluyó del análisis la evidencia obtenida del metanálisis en red. La compañía empleó un horizonte temporal de 15 años y se consideraba que hubiese sido más adecuado emplear un horizonte de 20 años. Se consideró intensidad de dosis similar para todos los tratamientos. Esta asunción se consideró muy optimista para docetaxel con TDA debido a que es más tóxico y de menor cumplimiento que los tratamientos orales. La mortalidad no debida al cáncer no se incluyó y la compañía asumió que la mortalidad general de la población es representativa de los pacientes con cáncer de próstata metastásico hormonosensible. Aunque los pacientes con la patología tienen elevado riesgo de mortalidad debido a comorbilidades en relación a la población general.</w:t>
      </w: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La CADTH hizo un reanálisis que incluyó: intensidad de dosis revisada para docetaxel, extensión del horizonte temporal, empleo de los resultados del metanálisis en red de enzalutamida, inclusión de la mortalidad no debida al cáncer, modificaciones en las extrapolaciones de SLP radiográfica. RCEI de enzalutamida más TDA vs. docetaxel más TDA:294.805 $/AVAC (72.381$ incremental y 0,24 AVAC incremental). La probabilidad de que enzalutamida sea coste efectiva para un límite de </w:t>
      </w:r>
      <w:r>
        <w:rPr>
          <w:rFonts w:ascii="Arial" w:eastAsia="Arial" w:hAnsi="Arial" w:cs="Arial"/>
          <w:sz w:val="20"/>
          <w:szCs w:val="20"/>
        </w:rPr>
        <w:lastRenderedPageBreak/>
        <w:t>disponibilidad a pagar de 50.000 $/AVAC es del 0%. Se requeriría una reducción del 75% del precio de enzalutamida.</w:t>
      </w:r>
    </w:p>
    <w:p w:rsidR="002C4AF7" w:rsidRDefault="007C2686">
      <w:pPr>
        <w:ind w:left="0" w:hanging="2"/>
        <w:jc w:val="both"/>
        <w:rPr>
          <w:rFonts w:ascii="Arial" w:eastAsia="Arial" w:hAnsi="Arial" w:cs="Arial"/>
          <w:sz w:val="20"/>
          <w:szCs w:val="20"/>
        </w:rPr>
      </w:pPr>
      <w:r>
        <w:rPr>
          <w:rFonts w:ascii="Arial" w:eastAsia="Arial" w:hAnsi="Arial" w:cs="Arial"/>
          <w:sz w:val="20"/>
          <w:szCs w:val="20"/>
        </w:rPr>
        <w:t>Conclusiones:</w:t>
      </w:r>
    </w:p>
    <w:p w:rsidR="002C4AF7" w:rsidRDefault="007C2686">
      <w:pPr>
        <w:ind w:left="0" w:hanging="2"/>
        <w:jc w:val="both"/>
        <w:rPr>
          <w:rFonts w:ascii="Arial" w:eastAsia="Arial" w:hAnsi="Arial" w:cs="Arial"/>
          <w:sz w:val="20"/>
          <w:szCs w:val="20"/>
        </w:rPr>
      </w:pPr>
      <w:r>
        <w:rPr>
          <w:rFonts w:ascii="Arial" w:eastAsia="Arial" w:hAnsi="Arial" w:cs="Arial"/>
          <w:sz w:val="20"/>
          <w:szCs w:val="20"/>
        </w:rPr>
        <w:t>Los resultados de la CADTH se mantenían alineados con los resultados de la compañía. Concluían que la combinación de apalutamida más TDA continuaba siendo dominada, y la combinación de abiraterona con TDA extensamente dominada. Las estimaciones de SG y SLP radiográfica para enzalutamida más TDA no mostraban diferencias estadísticamente significativas comparadas con apalutamida. Y el metanálisis proporcionado por el laboratorio se asoció a múltiples limitaciones. Por lo que no puede concluirse que existan diferencias sustancialmente significativas en relación a la eficacia al comparar enzalutamida vs. apalutamida. Según el reanálisis del caso base realizado por la CADTH, el tratamiento con enzalutamida no es coste efectivo para un límite de la disponibilidad a pagar de 100.000$ (72.000</w:t>
      </w:r>
      <w:r>
        <w:rPr>
          <w:rFonts w:ascii="Arial" w:eastAsia="Arial" w:hAnsi="Arial" w:cs="Arial"/>
          <w:sz w:val="18"/>
          <w:szCs w:val="18"/>
        </w:rPr>
        <w:t xml:space="preserve">€) </w:t>
      </w:r>
      <w:r>
        <w:rPr>
          <w:rFonts w:ascii="Arial" w:eastAsia="Arial" w:hAnsi="Arial" w:cs="Arial"/>
          <w:sz w:val="20"/>
          <w:szCs w:val="20"/>
        </w:rPr>
        <w:t xml:space="preserve"> y 50.000$ (36.000</w:t>
      </w:r>
      <w:r>
        <w:rPr>
          <w:rFonts w:ascii="Arial" w:eastAsia="Arial" w:hAnsi="Arial" w:cs="Arial"/>
          <w:sz w:val="18"/>
          <w:szCs w:val="18"/>
        </w:rPr>
        <w:t xml:space="preserve">€) </w:t>
      </w:r>
      <w:r>
        <w:rPr>
          <w:rFonts w:ascii="Arial" w:eastAsia="Arial" w:hAnsi="Arial" w:cs="Arial"/>
          <w:sz w:val="20"/>
          <w:szCs w:val="20"/>
        </w:rPr>
        <w:t>con un RCEI de 294,805 $ (212.259</w:t>
      </w:r>
      <w:r>
        <w:rPr>
          <w:rFonts w:ascii="Arial" w:eastAsia="Arial" w:hAnsi="Arial" w:cs="Arial"/>
          <w:sz w:val="18"/>
          <w:szCs w:val="18"/>
        </w:rPr>
        <w:t>€)</w:t>
      </w:r>
      <w:r>
        <w:rPr>
          <w:rFonts w:ascii="Arial" w:eastAsia="Arial" w:hAnsi="Arial" w:cs="Arial"/>
          <w:sz w:val="20"/>
          <w:szCs w:val="20"/>
        </w:rPr>
        <w:t xml:space="preserve"> /AVAC. Para esos umbrales, los precios tendrían que reducirse al menos un 60% y 75%, respectivamente.</w:t>
      </w: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No existe evidencia suficiente que muestre diferencias en eficacia entre los fármacos. La CADTH considera que la decisión entre ellos debe incluir otros criterios, como son las comorbilidades y preferencias de los pacientes, toxicidad y costes. </w:t>
      </w:r>
    </w:p>
    <w:p w:rsidR="002C4AF7" w:rsidRDefault="002C4AF7">
      <w:pPr>
        <w:ind w:left="0" w:hanging="2"/>
        <w:jc w:val="both"/>
        <w:rPr>
          <w:rFonts w:ascii="Arial" w:eastAsia="Arial" w:hAnsi="Arial" w:cs="Arial"/>
          <w:sz w:val="20"/>
          <w:szCs w:val="20"/>
        </w:rPr>
      </w:pPr>
    </w:p>
    <w:p w:rsidR="002C4AF7" w:rsidRDefault="002C4AF7">
      <w:pPr>
        <w:ind w:left="0" w:hanging="2"/>
        <w:jc w:val="both"/>
        <w:rPr>
          <w:rFonts w:ascii="Arial" w:eastAsia="Arial" w:hAnsi="Arial" w:cs="Arial"/>
          <w:sz w:val="20"/>
          <w:szCs w:val="20"/>
        </w:rPr>
      </w:pPr>
    </w:p>
    <w:p w:rsidR="002C4AF7" w:rsidRPr="001475C9" w:rsidRDefault="007C2686">
      <w:pPr>
        <w:ind w:left="0" w:hanging="2"/>
        <w:jc w:val="both"/>
        <w:rPr>
          <w:rFonts w:ascii="Arial" w:eastAsia="Arial" w:hAnsi="Arial" w:cs="Arial"/>
          <w:sz w:val="20"/>
          <w:szCs w:val="20"/>
          <w:lang w:val="en-GB"/>
        </w:rPr>
      </w:pPr>
      <w:r w:rsidRPr="001475C9">
        <w:rPr>
          <w:rFonts w:ascii="Arial" w:eastAsia="Arial" w:hAnsi="Arial" w:cs="Arial"/>
          <w:b/>
          <w:sz w:val="20"/>
          <w:szCs w:val="20"/>
          <w:lang w:val="en-GB"/>
        </w:rPr>
        <w:t xml:space="preserve">Enzalutamide for treating hormone-sensitive metastatic prostate cancer. Technology appraisal guidance Published: 7 July 2021 </w:t>
      </w:r>
      <w:hyperlink r:id="rId61">
        <w:r w:rsidRPr="001475C9">
          <w:rPr>
            <w:rFonts w:ascii="Arial" w:eastAsia="Arial" w:hAnsi="Arial" w:cs="Arial"/>
            <w:b/>
            <w:color w:val="1155CC"/>
            <w:sz w:val="20"/>
            <w:szCs w:val="20"/>
            <w:u w:val="single"/>
            <w:lang w:val="en-GB"/>
          </w:rPr>
          <w:t>www.nice.org.uk/guidance/ta712</w:t>
        </w:r>
      </w:hyperlink>
      <w:r w:rsidRPr="001475C9">
        <w:rPr>
          <w:rFonts w:ascii="Arial" w:eastAsia="Arial" w:hAnsi="Arial" w:cs="Arial"/>
          <w:b/>
          <w:sz w:val="20"/>
          <w:szCs w:val="20"/>
          <w:lang w:val="en-GB"/>
        </w:rPr>
        <w:t xml:space="preserve"> (26)</w:t>
      </w:r>
    </w:p>
    <w:p w:rsidR="002C4AF7" w:rsidRPr="001475C9" w:rsidRDefault="002C4AF7">
      <w:pPr>
        <w:ind w:left="0" w:hanging="2"/>
        <w:jc w:val="both"/>
        <w:rPr>
          <w:rFonts w:ascii="Arial" w:eastAsia="Arial" w:hAnsi="Arial" w:cs="Arial"/>
          <w:sz w:val="20"/>
          <w:szCs w:val="20"/>
          <w:highlight w:val="yellow"/>
          <w:lang w:val="en-GB"/>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La compañía proporcionó un modelo de supervivencia que incluía tres estados: enfermedad hormonosensible, enfermedad en recaída y muerte. El comité consideró razonable emplear los resultados del estudio ARCHES para modelar SLP. </w:t>
      </w: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En relación a la extrapolación de los resultados durante el horizonte temporal definido en el modelo, el comité consideró que la mediana del seguimiento de ARCHES era solo 14,4 meses y que el cáncer no había progresado en la mayoría de los pacientes al final del análisis de SLP. Por lo que aumenta la incertidumbre en la estimación de SLP del modelo. En relación al modelo de distribución elegido por la compañía, el comité concluyó que para TDA se prefería una distribución exponencial para extrapolar los resultados de ARCHES. Para enzalutamida más TDA se consideró que emplear los HR del metanálisis en red conducía a estimaciones más plausibles. </w:t>
      </w: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Sobre la SG, el comité concluyó que era preferible emplear los HR del metanálisis en red a la propuesta de la compañía. Ya que se incluían los comparadores de ARCHES y ENZAMET de un modo más apropiado que en la aproximación de la compañía. </w:t>
      </w:r>
    </w:p>
    <w:p w:rsidR="002C4AF7" w:rsidRDefault="007C2686">
      <w:pPr>
        <w:ind w:left="0" w:hanging="2"/>
        <w:jc w:val="both"/>
        <w:rPr>
          <w:rFonts w:ascii="Arial" w:eastAsia="Arial" w:hAnsi="Arial" w:cs="Arial"/>
          <w:sz w:val="20"/>
          <w:szCs w:val="20"/>
        </w:rPr>
      </w:pPr>
      <w:r>
        <w:rPr>
          <w:rFonts w:ascii="Arial" w:eastAsia="Arial" w:hAnsi="Arial" w:cs="Arial"/>
          <w:sz w:val="20"/>
          <w:szCs w:val="20"/>
        </w:rPr>
        <w:t>Sobre los tratamientos tras recaída, se indicó a la compañía que habría sido preferible ajustar según los costes y los efectos de los tratamientos para el cáncer en recaída para ajustarse a la práctica clínica.</w:t>
      </w: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El modelo de la compañía predecía que el beneficio de enzalutamida más TDA vs. TDA o docetaxel más TDA para SG permanecía durante el horizonte de 30 años. </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18"/>
          <w:szCs w:val="18"/>
        </w:rPr>
      </w:pPr>
      <w:r>
        <w:rPr>
          <w:rFonts w:ascii="Arial" w:eastAsia="Arial" w:hAnsi="Arial" w:cs="Arial"/>
          <w:sz w:val="20"/>
          <w:szCs w:val="20"/>
        </w:rPr>
        <w:t>Dado que los descuentos de los tratamientos empleados durante esta etapa de la enfermedad eran confidenciales, el ratio de coste-eficacia incremental no puede ser presentado en el informe. Considerando los posibles escenarios de extrapolación de los datos de SLP y SG, consideran que el ratio coste eficacia incremental para enzalutamida+TDA comparado con TDA se encuentra dentro del rango considerado coste-efectivo para el sistema nacional de salud (20.000 a 30.000 libras/AVAC) (23.600</w:t>
      </w:r>
      <w:r>
        <w:rPr>
          <w:rFonts w:ascii="Arial" w:eastAsia="Arial" w:hAnsi="Arial" w:cs="Arial"/>
          <w:sz w:val="18"/>
          <w:szCs w:val="18"/>
        </w:rPr>
        <w:t>€</w:t>
      </w:r>
      <w:r>
        <w:rPr>
          <w:rFonts w:ascii="Arial" w:eastAsia="Arial" w:hAnsi="Arial" w:cs="Arial"/>
          <w:sz w:val="20"/>
          <w:szCs w:val="20"/>
        </w:rPr>
        <w:t xml:space="preserve"> a 35.400</w:t>
      </w:r>
      <w:r>
        <w:rPr>
          <w:rFonts w:ascii="Arial" w:eastAsia="Arial" w:hAnsi="Arial" w:cs="Arial"/>
          <w:sz w:val="18"/>
          <w:szCs w:val="18"/>
        </w:rPr>
        <w:t>€/AVAC).</w:t>
      </w:r>
    </w:p>
    <w:p w:rsidR="002C4AF7" w:rsidRDefault="002C4AF7">
      <w:pPr>
        <w:ind w:left="0" w:hanging="2"/>
        <w:jc w:val="both"/>
        <w:rPr>
          <w:rFonts w:ascii="Arial" w:eastAsia="Arial" w:hAnsi="Arial" w:cs="Arial"/>
          <w:sz w:val="18"/>
          <w:szCs w:val="18"/>
        </w:rPr>
      </w:pPr>
    </w:p>
    <w:p w:rsidR="002C4AF7" w:rsidRDefault="002C4AF7">
      <w:pPr>
        <w:ind w:left="0" w:hanging="2"/>
        <w:jc w:val="both"/>
        <w:rPr>
          <w:rFonts w:ascii="Arial" w:eastAsia="Arial" w:hAnsi="Arial" w:cs="Arial"/>
          <w:sz w:val="18"/>
          <w:szCs w:val="18"/>
        </w:rPr>
      </w:pPr>
    </w:p>
    <w:p w:rsidR="002C4AF7" w:rsidRDefault="007C2686">
      <w:pPr>
        <w:ind w:left="0" w:hanging="2"/>
        <w:jc w:val="both"/>
        <w:rPr>
          <w:rFonts w:ascii="Arial" w:eastAsia="Arial" w:hAnsi="Arial" w:cs="Arial"/>
          <w:sz w:val="20"/>
          <w:szCs w:val="20"/>
        </w:rPr>
      </w:pPr>
      <w:r>
        <w:rPr>
          <w:rFonts w:ascii="Arial" w:eastAsia="Arial" w:hAnsi="Arial" w:cs="Arial"/>
          <w:b/>
          <w:sz w:val="20"/>
          <w:szCs w:val="20"/>
        </w:rPr>
        <w:t>Coste de los efectos adversos asociados a enzalutamida o apalutamida en el tratamiento del cáncer de próstata hormonosensible metastásico en España (32)</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Este estudio estimó el coste de los efectos adversos (EA) asociados a enzalutamida o apalutamida en el tratamiento del cáncer de próstata hormonosensible metastásico (CPHSm) en España, a partir de los EA observados en los ensayos ARCHES y TITAN, mediante un análisis probabilístico de simulaciones de Monte Carlo. Según esto, en un paciente tratado con enzalutamida se produciría un ahorro de 922,65 € (IC95% 263,57-1641,78). Los autores concluyen que el mejor perfil de </w:t>
      </w:r>
      <w:r>
        <w:rPr>
          <w:rFonts w:ascii="Arial" w:eastAsia="Arial" w:hAnsi="Arial" w:cs="Arial"/>
          <w:sz w:val="20"/>
          <w:szCs w:val="20"/>
        </w:rPr>
        <w:lastRenderedPageBreak/>
        <w:t>seguridad del tratamiento con enzalutamida tendría un impacto económico favorable para el Sistema Nacional de Salud, con un ahorro medio por paciente en torno a los mil euros.</w:t>
      </w:r>
    </w:p>
    <w:p w:rsidR="002C4AF7" w:rsidRDefault="002C4AF7">
      <w:pPr>
        <w:ind w:left="0" w:hanging="2"/>
        <w:jc w:val="both"/>
        <w:rPr>
          <w:rFonts w:ascii="Arial" w:eastAsia="Arial" w:hAnsi="Arial" w:cs="Arial"/>
          <w:sz w:val="20"/>
          <w:szCs w:val="20"/>
          <w:highlight w:val="yellow"/>
        </w:rPr>
      </w:pPr>
    </w:p>
    <w:p w:rsidR="002C4AF7" w:rsidRDefault="007C2686">
      <w:pPr>
        <w:pBdr>
          <w:top w:val="single" w:sz="4" w:space="1" w:color="000000"/>
          <w:left w:val="single" w:sz="4" w:space="4" w:color="000000"/>
          <w:bottom w:val="single" w:sz="4" w:space="1" w:color="000000"/>
          <w:right w:val="single" w:sz="4" w:space="4" w:color="000000"/>
          <w:between w:val="single" w:sz="4" w:space="1" w:color="000000"/>
        </w:pBdr>
        <w:shd w:val="clear" w:color="auto" w:fill="D9D9D9"/>
        <w:ind w:left="0" w:hanging="2"/>
        <w:rPr>
          <w:rFonts w:ascii="Arial" w:eastAsia="Arial" w:hAnsi="Arial" w:cs="Arial"/>
          <w:sz w:val="20"/>
          <w:szCs w:val="20"/>
        </w:rPr>
      </w:pPr>
      <w:r>
        <w:rPr>
          <w:rFonts w:ascii="Arial" w:eastAsia="Arial" w:hAnsi="Arial" w:cs="Arial"/>
          <w:b/>
          <w:sz w:val="20"/>
          <w:szCs w:val="20"/>
        </w:rPr>
        <w:t>7.2.b Extracción de datos de las evaluaciones económicas publicadas</w:t>
      </w:r>
    </w:p>
    <w:p w:rsidR="002C4AF7" w:rsidRDefault="002C4AF7">
      <w:pPr>
        <w:ind w:left="0" w:hanging="2"/>
        <w:jc w:val="both"/>
        <w:rPr>
          <w:rFonts w:ascii="Arial" w:eastAsia="Arial" w:hAnsi="Arial" w:cs="Arial"/>
          <w:sz w:val="20"/>
          <w:szCs w:val="20"/>
        </w:rPr>
      </w:pP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sidRPr="001475C9">
        <w:rPr>
          <w:rFonts w:ascii="Arial" w:eastAsia="Arial" w:hAnsi="Arial" w:cs="Arial"/>
          <w:sz w:val="20"/>
          <w:szCs w:val="20"/>
          <w:lang w:val="en-GB"/>
        </w:rPr>
        <w:t xml:space="preserve">Adding enzalutamide to first line treatment for metastatic hormone sensitive prostate cancer: a cost effectiveness analysis. </w:t>
      </w:r>
      <w:r>
        <w:rPr>
          <w:rFonts w:ascii="Arial" w:eastAsia="Arial" w:hAnsi="Arial" w:cs="Arial"/>
          <w:sz w:val="20"/>
          <w:szCs w:val="20"/>
        </w:rPr>
        <w:t>Front. Public Health 2021 (33)</w:t>
      </w:r>
    </w:p>
    <w:p w:rsidR="002C4AF7" w:rsidRDefault="002C4AF7">
      <w:pPr>
        <w:ind w:left="0" w:hanging="2"/>
        <w:jc w:val="both"/>
        <w:rPr>
          <w:rFonts w:ascii="Arial" w:eastAsia="Arial" w:hAnsi="Arial" w:cs="Arial"/>
          <w:sz w:val="20"/>
          <w:szCs w:val="20"/>
        </w:rPr>
      </w:pPr>
    </w:p>
    <w:tbl>
      <w:tblPr>
        <w:tblStyle w:val="affff6"/>
        <w:tblW w:w="893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2"/>
        <w:gridCol w:w="1170"/>
        <w:gridCol w:w="1350"/>
        <w:gridCol w:w="4109"/>
      </w:tblGrid>
      <w:tr w:rsidR="002C4AF7" w:rsidRPr="00C14BFD">
        <w:tc>
          <w:tcPr>
            <w:tcW w:w="8931" w:type="dxa"/>
            <w:gridSpan w:val="4"/>
            <w:shd w:val="clear" w:color="auto" w:fill="CCFFCC"/>
          </w:tcPr>
          <w:p w:rsidR="002C4AF7" w:rsidRPr="001475C9" w:rsidRDefault="007C2686">
            <w:pPr>
              <w:ind w:left="0" w:hanging="2"/>
              <w:rPr>
                <w:rFonts w:ascii="Arial" w:eastAsia="Arial" w:hAnsi="Arial" w:cs="Arial"/>
                <w:sz w:val="16"/>
                <w:szCs w:val="16"/>
                <w:lang w:val="en-GB"/>
              </w:rPr>
            </w:pPr>
            <w:r w:rsidRPr="001475C9">
              <w:rPr>
                <w:rFonts w:ascii="Arial" w:eastAsia="Arial" w:hAnsi="Arial" w:cs="Arial"/>
                <w:b/>
                <w:sz w:val="18"/>
                <w:szCs w:val="18"/>
                <w:lang w:val="en-GB"/>
              </w:rPr>
              <w:t>Tabla 7.2.b.1. Adding enzalutamide to first line treatment for metastatic hormone sensitive prostate cancer: a cost effectiveness analysis (33)</w:t>
            </w:r>
          </w:p>
        </w:tc>
      </w:tr>
      <w:tr w:rsidR="002C4AF7">
        <w:tc>
          <w:tcPr>
            <w:tcW w:w="8931" w:type="dxa"/>
            <w:gridSpan w:val="4"/>
            <w:shd w:val="clear" w:color="auto" w:fill="D9D9D9"/>
          </w:tcPr>
          <w:p w:rsidR="002C4AF7" w:rsidRDefault="007C2686">
            <w:pPr>
              <w:ind w:left="0" w:hanging="2"/>
              <w:rPr>
                <w:rFonts w:ascii="Arial" w:eastAsia="Arial" w:hAnsi="Arial" w:cs="Arial"/>
                <w:sz w:val="16"/>
                <w:szCs w:val="16"/>
              </w:rPr>
            </w:pPr>
            <w:r>
              <w:rPr>
                <w:rFonts w:ascii="Arial" w:eastAsia="Arial" w:hAnsi="Arial" w:cs="Arial"/>
                <w:b/>
                <w:sz w:val="16"/>
                <w:szCs w:val="16"/>
              </w:rPr>
              <w:t xml:space="preserve">Referencia: </w:t>
            </w:r>
          </w:p>
        </w:tc>
      </w:tr>
      <w:tr w:rsidR="002C4AF7">
        <w:tc>
          <w:tcPr>
            <w:tcW w:w="8931" w:type="dxa"/>
            <w:gridSpan w:val="4"/>
          </w:tcPr>
          <w:p w:rsidR="002C4AF7" w:rsidRDefault="007C2686">
            <w:pPr>
              <w:ind w:left="0" w:hanging="2"/>
              <w:rPr>
                <w:rFonts w:ascii="Arial" w:eastAsia="Arial" w:hAnsi="Arial" w:cs="Arial"/>
                <w:sz w:val="16"/>
                <w:szCs w:val="16"/>
              </w:rPr>
            </w:pPr>
            <w:r>
              <w:rPr>
                <w:rFonts w:ascii="Arial" w:eastAsia="Arial" w:hAnsi="Arial" w:cs="Arial"/>
                <w:b/>
                <w:sz w:val="16"/>
                <w:szCs w:val="16"/>
              </w:rPr>
              <w:t>- Tipo de estudio: Coste utilidad</w:t>
            </w:r>
          </w:p>
          <w:p w:rsidR="002C4AF7" w:rsidRDefault="007C2686">
            <w:pPr>
              <w:ind w:left="0" w:hanging="2"/>
              <w:rPr>
                <w:rFonts w:ascii="Arial" w:eastAsia="Arial" w:hAnsi="Arial" w:cs="Arial"/>
                <w:sz w:val="16"/>
                <w:szCs w:val="16"/>
              </w:rPr>
            </w:pPr>
            <w:r>
              <w:rPr>
                <w:rFonts w:ascii="Arial" w:eastAsia="Arial" w:hAnsi="Arial" w:cs="Arial"/>
                <w:b/>
                <w:sz w:val="16"/>
                <w:szCs w:val="16"/>
              </w:rPr>
              <w:t>- Fuente de datos: ensayo clínico.</w:t>
            </w:r>
          </w:p>
          <w:p w:rsidR="002C4AF7" w:rsidRDefault="007C2686">
            <w:pPr>
              <w:ind w:left="0" w:hanging="2"/>
              <w:rPr>
                <w:rFonts w:ascii="Arial" w:eastAsia="Arial" w:hAnsi="Arial" w:cs="Arial"/>
                <w:sz w:val="16"/>
                <w:szCs w:val="16"/>
              </w:rPr>
            </w:pPr>
            <w:r>
              <w:rPr>
                <w:rFonts w:ascii="Arial" w:eastAsia="Arial" w:hAnsi="Arial" w:cs="Arial"/>
                <w:b/>
                <w:sz w:val="16"/>
                <w:szCs w:val="16"/>
              </w:rPr>
              <w:t>- Modelización: modelo de Markov que incluyó tres estados de salud (SLP, progresión de la enfermedad y muerte).</w:t>
            </w:r>
          </w:p>
          <w:p w:rsidR="002C4AF7" w:rsidRDefault="007C2686">
            <w:pPr>
              <w:ind w:left="0" w:hanging="2"/>
              <w:rPr>
                <w:rFonts w:ascii="Arial" w:eastAsia="Arial" w:hAnsi="Arial" w:cs="Arial"/>
                <w:sz w:val="16"/>
                <w:szCs w:val="16"/>
              </w:rPr>
            </w:pPr>
            <w:r>
              <w:rPr>
                <w:rFonts w:ascii="Arial" w:eastAsia="Arial" w:hAnsi="Arial" w:cs="Arial"/>
                <w:b/>
                <w:sz w:val="16"/>
                <w:szCs w:val="16"/>
              </w:rPr>
              <w:t>- Perspectiva: pagador China y pagador EEUU.</w:t>
            </w:r>
          </w:p>
          <w:p w:rsidR="002C4AF7" w:rsidRDefault="007C2686">
            <w:pPr>
              <w:ind w:left="0" w:hanging="2"/>
              <w:rPr>
                <w:rFonts w:ascii="Arial" w:eastAsia="Arial" w:hAnsi="Arial" w:cs="Arial"/>
                <w:sz w:val="16"/>
                <w:szCs w:val="16"/>
              </w:rPr>
            </w:pPr>
            <w:r>
              <w:rPr>
                <w:rFonts w:ascii="Arial" w:eastAsia="Arial" w:hAnsi="Arial" w:cs="Arial"/>
                <w:b/>
                <w:sz w:val="16"/>
                <w:szCs w:val="16"/>
              </w:rPr>
              <w:t>- Población del escenario base: se modelizó la población del estudio ENZAMET.</w:t>
            </w:r>
          </w:p>
          <w:p w:rsidR="002C4AF7" w:rsidRDefault="007C2686">
            <w:pPr>
              <w:ind w:left="0" w:hanging="2"/>
              <w:rPr>
                <w:rFonts w:ascii="Arial" w:eastAsia="Arial" w:hAnsi="Arial" w:cs="Arial"/>
                <w:sz w:val="16"/>
                <w:szCs w:val="16"/>
              </w:rPr>
            </w:pPr>
            <w:r>
              <w:rPr>
                <w:rFonts w:ascii="Arial" w:eastAsia="Arial" w:hAnsi="Arial" w:cs="Arial"/>
                <w:b/>
                <w:sz w:val="16"/>
                <w:szCs w:val="16"/>
              </w:rPr>
              <w:t>- Variables principales de resultado: RCEI de eficacia.</w:t>
            </w:r>
          </w:p>
          <w:p w:rsidR="002C4AF7" w:rsidRDefault="007C2686">
            <w:pPr>
              <w:ind w:left="0" w:hanging="2"/>
              <w:rPr>
                <w:rFonts w:ascii="Arial" w:eastAsia="Arial" w:hAnsi="Arial" w:cs="Arial"/>
                <w:sz w:val="16"/>
                <w:szCs w:val="16"/>
              </w:rPr>
            </w:pPr>
            <w:r>
              <w:rPr>
                <w:rFonts w:ascii="Arial" w:eastAsia="Arial" w:hAnsi="Arial" w:cs="Arial"/>
                <w:b/>
                <w:sz w:val="16"/>
                <w:szCs w:val="16"/>
              </w:rPr>
              <w:t>- Horizonte temporal: 20 años.</w:t>
            </w:r>
          </w:p>
          <w:p w:rsidR="002C4AF7" w:rsidRDefault="007C2686">
            <w:pPr>
              <w:ind w:left="0" w:hanging="2"/>
              <w:rPr>
                <w:rFonts w:ascii="Arial" w:eastAsia="Arial" w:hAnsi="Arial" w:cs="Arial"/>
                <w:sz w:val="16"/>
                <w:szCs w:val="16"/>
              </w:rPr>
            </w:pPr>
            <w:r>
              <w:rPr>
                <w:rFonts w:ascii="Arial" w:eastAsia="Arial" w:hAnsi="Arial" w:cs="Arial"/>
                <w:b/>
                <w:sz w:val="16"/>
                <w:szCs w:val="16"/>
              </w:rPr>
              <w:t>- Costes incluidos en el estudio: costes de los fármacos, de la mejor terapia de soportes, del seguimiento, test y tratamientos relacionados con los eventos adversos.</w:t>
            </w:r>
          </w:p>
          <w:p w:rsidR="002C4AF7" w:rsidRDefault="007C2686">
            <w:pPr>
              <w:ind w:left="0" w:hanging="2"/>
              <w:rPr>
                <w:rFonts w:ascii="Arial" w:eastAsia="Arial" w:hAnsi="Arial" w:cs="Arial"/>
                <w:sz w:val="16"/>
                <w:szCs w:val="16"/>
              </w:rPr>
            </w:pPr>
            <w:r>
              <w:rPr>
                <w:rFonts w:ascii="Arial" w:eastAsia="Arial" w:hAnsi="Arial" w:cs="Arial"/>
                <w:b/>
                <w:sz w:val="16"/>
                <w:szCs w:val="16"/>
              </w:rPr>
              <w:t>- Fuente de costes unitarios: En China se obtuvieron de los precios nacionales de fármacos del Hospital de China occidental de la Universidad de Sichuan. Para la perspectiva del pagador de EEUU se obtuvieron de RED BOOK para los fármacos y para el resto de costes de datos publicados de la literatura.</w:t>
            </w:r>
          </w:p>
          <w:p w:rsidR="002C4AF7" w:rsidRDefault="007C2686">
            <w:pPr>
              <w:ind w:left="0" w:hanging="2"/>
              <w:rPr>
                <w:rFonts w:ascii="Arial" w:eastAsia="Arial" w:hAnsi="Arial" w:cs="Arial"/>
                <w:sz w:val="16"/>
                <w:szCs w:val="16"/>
              </w:rPr>
            </w:pPr>
            <w:r>
              <w:rPr>
                <w:rFonts w:ascii="Arial" w:eastAsia="Arial" w:hAnsi="Arial" w:cs="Arial"/>
                <w:b/>
                <w:sz w:val="16"/>
                <w:szCs w:val="16"/>
              </w:rPr>
              <w:t>- Tasa de descuento aplicada en costes y en resultados de salud: costes descontados con una tasa anual del 3% para China y del 3,5% para EEUU</w:t>
            </w:r>
          </w:p>
          <w:p w:rsidR="002C4AF7" w:rsidRDefault="007C2686">
            <w:pPr>
              <w:ind w:left="0" w:hanging="2"/>
              <w:rPr>
                <w:rFonts w:ascii="Arial" w:eastAsia="Arial" w:hAnsi="Arial" w:cs="Arial"/>
                <w:sz w:val="16"/>
                <w:szCs w:val="16"/>
              </w:rPr>
            </w:pPr>
            <w:r>
              <w:rPr>
                <w:rFonts w:ascii="Arial" w:eastAsia="Arial" w:hAnsi="Arial" w:cs="Arial"/>
                <w:b/>
                <w:sz w:val="16"/>
                <w:szCs w:val="16"/>
              </w:rPr>
              <w:t>- Valores de utilidad considerados: valores para el estado de SLP y para progresión de la enfermedad</w:t>
            </w:r>
          </w:p>
          <w:p w:rsidR="002C4AF7" w:rsidRDefault="007C2686">
            <w:pPr>
              <w:ind w:left="0" w:hanging="2"/>
              <w:rPr>
                <w:rFonts w:ascii="Arial" w:eastAsia="Arial" w:hAnsi="Arial" w:cs="Arial"/>
                <w:sz w:val="16"/>
                <w:szCs w:val="16"/>
              </w:rPr>
            </w:pPr>
            <w:r>
              <w:rPr>
                <w:rFonts w:ascii="Arial" w:eastAsia="Arial" w:hAnsi="Arial" w:cs="Arial"/>
                <w:b/>
                <w:sz w:val="16"/>
                <w:szCs w:val="16"/>
              </w:rPr>
              <w:t>- Análisis de sensibilidad: sobre parámetros como duración de la SLP, de la SG, coste de enzalutamida.</w:t>
            </w:r>
          </w:p>
        </w:tc>
      </w:tr>
      <w:tr w:rsidR="002C4AF7">
        <w:tc>
          <w:tcPr>
            <w:tcW w:w="2302" w:type="dxa"/>
            <w:shd w:val="clear" w:color="auto" w:fill="D9D9D9"/>
          </w:tcPr>
          <w:p w:rsidR="002C4AF7" w:rsidRDefault="007C2686">
            <w:pPr>
              <w:ind w:left="0" w:hanging="2"/>
              <w:rPr>
                <w:rFonts w:ascii="Arial" w:eastAsia="Arial" w:hAnsi="Arial" w:cs="Arial"/>
                <w:sz w:val="16"/>
                <w:szCs w:val="16"/>
              </w:rPr>
            </w:pPr>
            <w:r>
              <w:rPr>
                <w:rFonts w:ascii="Arial" w:eastAsia="Arial" w:hAnsi="Arial" w:cs="Arial"/>
                <w:b/>
                <w:sz w:val="16"/>
                <w:szCs w:val="16"/>
              </w:rPr>
              <w:t>COSTES (1)</w:t>
            </w:r>
          </w:p>
        </w:tc>
        <w:tc>
          <w:tcPr>
            <w:tcW w:w="1170" w:type="dxa"/>
            <w:shd w:val="clear" w:color="auto" w:fill="D9D9D9"/>
          </w:tcPr>
          <w:p w:rsidR="002C4AF7" w:rsidRDefault="007C2686">
            <w:pPr>
              <w:ind w:left="0" w:hanging="2"/>
              <w:jc w:val="center"/>
              <w:rPr>
                <w:rFonts w:ascii="Arial" w:eastAsia="Arial" w:hAnsi="Arial" w:cs="Arial"/>
                <w:sz w:val="16"/>
                <w:szCs w:val="16"/>
              </w:rPr>
            </w:pPr>
            <w:r>
              <w:rPr>
                <w:rFonts w:ascii="Arial" w:eastAsia="Arial" w:hAnsi="Arial" w:cs="Arial"/>
                <w:b/>
                <w:sz w:val="16"/>
                <w:szCs w:val="16"/>
              </w:rPr>
              <w:t>Fármaco enzalutamida</w:t>
            </w:r>
          </w:p>
        </w:tc>
        <w:tc>
          <w:tcPr>
            <w:tcW w:w="1350" w:type="dxa"/>
            <w:shd w:val="clear" w:color="auto" w:fill="D9D9D9"/>
          </w:tcPr>
          <w:p w:rsidR="002C4AF7" w:rsidRDefault="007C2686">
            <w:pPr>
              <w:ind w:left="0" w:hanging="2"/>
              <w:jc w:val="center"/>
              <w:rPr>
                <w:rFonts w:ascii="Arial" w:eastAsia="Arial" w:hAnsi="Arial" w:cs="Arial"/>
                <w:sz w:val="16"/>
                <w:szCs w:val="16"/>
              </w:rPr>
            </w:pPr>
            <w:r>
              <w:rPr>
                <w:rFonts w:ascii="Arial" w:eastAsia="Arial" w:hAnsi="Arial" w:cs="Arial"/>
                <w:b/>
                <w:sz w:val="16"/>
                <w:szCs w:val="16"/>
              </w:rPr>
              <w:t>terapia estándar</w:t>
            </w:r>
          </w:p>
        </w:tc>
        <w:tc>
          <w:tcPr>
            <w:tcW w:w="4109" w:type="dxa"/>
            <w:shd w:val="clear" w:color="auto" w:fill="D9D9D9"/>
          </w:tcPr>
          <w:p w:rsidR="002C4AF7" w:rsidRDefault="007C2686">
            <w:pPr>
              <w:ind w:left="0" w:hanging="2"/>
              <w:rPr>
                <w:rFonts w:ascii="Arial" w:eastAsia="Arial" w:hAnsi="Arial" w:cs="Arial"/>
                <w:sz w:val="16"/>
                <w:szCs w:val="16"/>
              </w:rPr>
            </w:pPr>
            <w:r>
              <w:rPr>
                <w:rFonts w:ascii="Arial" w:eastAsia="Arial" w:hAnsi="Arial" w:cs="Arial"/>
                <w:b/>
                <w:sz w:val="16"/>
                <w:szCs w:val="16"/>
              </w:rPr>
              <w:t>Incrementos (2)</w:t>
            </w:r>
          </w:p>
        </w:tc>
      </w:tr>
      <w:tr w:rsidR="002C4AF7">
        <w:tc>
          <w:tcPr>
            <w:tcW w:w="2302" w:type="dxa"/>
          </w:tcPr>
          <w:p w:rsidR="002C4AF7" w:rsidRDefault="007C2686">
            <w:pPr>
              <w:ind w:left="0" w:hanging="2"/>
              <w:rPr>
                <w:rFonts w:ascii="Arial" w:eastAsia="Arial" w:hAnsi="Arial" w:cs="Arial"/>
                <w:sz w:val="16"/>
                <w:szCs w:val="16"/>
              </w:rPr>
            </w:pPr>
            <w:r>
              <w:rPr>
                <w:rFonts w:ascii="Arial" w:eastAsia="Arial" w:hAnsi="Arial" w:cs="Arial"/>
                <w:sz w:val="16"/>
                <w:szCs w:val="16"/>
              </w:rPr>
              <w:t xml:space="preserve">Coste del tratamiento con el fármaco EEUU </w:t>
            </w:r>
          </w:p>
        </w:tc>
        <w:tc>
          <w:tcPr>
            <w:tcW w:w="1170" w:type="dxa"/>
          </w:tcPr>
          <w:p w:rsidR="002C4AF7" w:rsidRDefault="007C2686">
            <w:pPr>
              <w:ind w:left="0" w:hanging="2"/>
              <w:rPr>
                <w:rFonts w:ascii="Arial" w:eastAsia="Arial" w:hAnsi="Arial" w:cs="Arial"/>
                <w:sz w:val="16"/>
                <w:szCs w:val="16"/>
              </w:rPr>
            </w:pPr>
            <w:r>
              <w:rPr>
                <w:rFonts w:ascii="Arial" w:eastAsia="Arial" w:hAnsi="Arial" w:cs="Arial"/>
                <w:sz w:val="16"/>
                <w:szCs w:val="16"/>
              </w:rPr>
              <w:t>1.257.144 €</w:t>
            </w:r>
          </w:p>
          <w:p w:rsidR="002C4AF7" w:rsidRDefault="007C2686">
            <w:pPr>
              <w:ind w:left="0" w:hanging="2"/>
              <w:rPr>
                <w:rFonts w:ascii="Arial" w:eastAsia="Arial" w:hAnsi="Arial" w:cs="Arial"/>
                <w:sz w:val="16"/>
                <w:szCs w:val="16"/>
              </w:rPr>
            </w:pPr>
            <w:r>
              <w:rPr>
                <w:rFonts w:ascii="Arial" w:eastAsia="Arial" w:hAnsi="Arial" w:cs="Arial"/>
                <w:sz w:val="16"/>
                <w:szCs w:val="16"/>
              </w:rPr>
              <w:t>1.396.827</w:t>
            </w:r>
            <w:r>
              <w:rPr>
                <w:rFonts w:ascii="Arial" w:eastAsia="Arial" w:hAnsi="Arial" w:cs="Arial"/>
                <w:sz w:val="20"/>
                <w:szCs w:val="20"/>
              </w:rPr>
              <w:t>$</w:t>
            </w:r>
          </w:p>
          <w:p w:rsidR="002C4AF7" w:rsidRDefault="002C4AF7">
            <w:pPr>
              <w:ind w:left="0" w:hanging="2"/>
              <w:rPr>
                <w:rFonts w:ascii="Arial" w:eastAsia="Arial" w:hAnsi="Arial" w:cs="Arial"/>
                <w:sz w:val="16"/>
                <w:szCs w:val="16"/>
              </w:rPr>
            </w:pPr>
          </w:p>
        </w:tc>
        <w:tc>
          <w:tcPr>
            <w:tcW w:w="1350" w:type="dxa"/>
          </w:tcPr>
          <w:p w:rsidR="002C4AF7" w:rsidRDefault="007C2686">
            <w:pPr>
              <w:ind w:left="0" w:hanging="2"/>
              <w:rPr>
                <w:rFonts w:ascii="Arial" w:eastAsia="Arial" w:hAnsi="Arial" w:cs="Arial"/>
                <w:sz w:val="16"/>
                <w:szCs w:val="16"/>
              </w:rPr>
            </w:pPr>
            <w:r>
              <w:rPr>
                <w:rFonts w:ascii="Arial" w:eastAsia="Arial" w:hAnsi="Arial" w:cs="Arial"/>
                <w:sz w:val="16"/>
                <w:szCs w:val="16"/>
              </w:rPr>
              <w:t>434.922 €</w:t>
            </w:r>
          </w:p>
          <w:p w:rsidR="002C4AF7" w:rsidRDefault="007C2686">
            <w:pPr>
              <w:ind w:left="0" w:hanging="2"/>
              <w:rPr>
                <w:rFonts w:ascii="Arial" w:eastAsia="Arial" w:hAnsi="Arial" w:cs="Arial"/>
                <w:sz w:val="16"/>
                <w:szCs w:val="16"/>
              </w:rPr>
            </w:pPr>
            <w:r>
              <w:rPr>
                <w:rFonts w:ascii="Arial" w:eastAsia="Arial" w:hAnsi="Arial" w:cs="Arial"/>
                <w:sz w:val="16"/>
                <w:szCs w:val="16"/>
              </w:rPr>
              <w:t>483.247</w:t>
            </w:r>
            <w:r>
              <w:rPr>
                <w:rFonts w:ascii="Arial" w:eastAsia="Arial" w:hAnsi="Arial" w:cs="Arial"/>
                <w:sz w:val="20"/>
                <w:szCs w:val="20"/>
              </w:rPr>
              <w:t>$</w:t>
            </w:r>
          </w:p>
        </w:tc>
        <w:tc>
          <w:tcPr>
            <w:tcW w:w="4109" w:type="dxa"/>
          </w:tcPr>
          <w:p w:rsidR="002C4AF7" w:rsidRDefault="007C2686">
            <w:pPr>
              <w:ind w:left="0" w:hanging="2"/>
              <w:rPr>
                <w:rFonts w:ascii="Arial" w:eastAsia="Arial" w:hAnsi="Arial" w:cs="Arial"/>
                <w:sz w:val="16"/>
                <w:szCs w:val="16"/>
              </w:rPr>
            </w:pPr>
            <w:r>
              <w:rPr>
                <w:rFonts w:ascii="Arial" w:eastAsia="Arial" w:hAnsi="Arial" w:cs="Arial"/>
                <w:sz w:val="16"/>
                <w:szCs w:val="16"/>
              </w:rPr>
              <w:t>Coste incremental del fármaco:822.221 €</w:t>
            </w:r>
          </w:p>
          <w:p w:rsidR="002C4AF7" w:rsidRDefault="007C2686">
            <w:pPr>
              <w:ind w:left="0" w:hanging="2"/>
              <w:rPr>
                <w:rFonts w:ascii="Arial" w:eastAsia="Arial" w:hAnsi="Arial" w:cs="Arial"/>
                <w:sz w:val="16"/>
                <w:szCs w:val="16"/>
              </w:rPr>
            </w:pPr>
            <w:r>
              <w:rPr>
                <w:rFonts w:ascii="Arial" w:eastAsia="Arial" w:hAnsi="Arial" w:cs="Arial"/>
                <w:sz w:val="16"/>
                <w:szCs w:val="16"/>
              </w:rPr>
              <w:t>913.579</w:t>
            </w:r>
            <w:r>
              <w:rPr>
                <w:rFonts w:ascii="Arial" w:eastAsia="Arial" w:hAnsi="Arial" w:cs="Arial"/>
                <w:sz w:val="20"/>
                <w:szCs w:val="20"/>
              </w:rPr>
              <w:t>$</w:t>
            </w:r>
          </w:p>
        </w:tc>
      </w:tr>
      <w:tr w:rsidR="002C4AF7">
        <w:tc>
          <w:tcPr>
            <w:tcW w:w="2302" w:type="dxa"/>
          </w:tcPr>
          <w:p w:rsidR="002C4AF7" w:rsidRDefault="007C2686">
            <w:pPr>
              <w:ind w:left="0" w:hanging="2"/>
              <w:rPr>
                <w:rFonts w:ascii="Arial" w:eastAsia="Arial" w:hAnsi="Arial" w:cs="Arial"/>
                <w:sz w:val="16"/>
                <w:szCs w:val="16"/>
              </w:rPr>
            </w:pPr>
            <w:r>
              <w:rPr>
                <w:rFonts w:ascii="Arial" w:eastAsia="Arial" w:hAnsi="Arial" w:cs="Arial"/>
                <w:sz w:val="16"/>
                <w:szCs w:val="16"/>
              </w:rPr>
              <w:t>Coste del tratamiento con el fármaco CHINA</w:t>
            </w:r>
          </w:p>
        </w:tc>
        <w:tc>
          <w:tcPr>
            <w:tcW w:w="1170" w:type="dxa"/>
          </w:tcPr>
          <w:p w:rsidR="002C4AF7" w:rsidRDefault="007C2686">
            <w:pPr>
              <w:ind w:left="0" w:hanging="2"/>
              <w:rPr>
                <w:rFonts w:ascii="Arial" w:eastAsia="Arial" w:hAnsi="Arial" w:cs="Arial"/>
                <w:sz w:val="16"/>
                <w:szCs w:val="16"/>
              </w:rPr>
            </w:pPr>
            <w:r>
              <w:rPr>
                <w:rFonts w:ascii="Arial" w:eastAsia="Arial" w:hAnsi="Arial" w:cs="Arial"/>
                <w:sz w:val="16"/>
                <w:szCs w:val="16"/>
              </w:rPr>
              <w:t>464.859 €</w:t>
            </w:r>
          </w:p>
          <w:p w:rsidR="002C4AF7" w:rsidRDefault="007C2686">
            <w:pPr>
              <w:ind w:left="0" w:hanging="2"/>
              <w:rPr>
                <w:rFonts w:ascii="Arial" w:eastAsia="Arial" w:hAnsi="Arial" w:cs="Arial"/>
                <w:sz w:val="16"/>
                <w:szCs w:val="16"/>
              </w:rPr>
            </w:pPr>
            <w:r>
              <w:rPr>
                <w:rFonts w:ascii="Arial" w:eastAsia="Arial" w:hAnsi="Arial" w:cs="Arial"/>
                <w:sz w:val="16"/>
                <w:szCs w:val="16"/>
              </w:rPr>
              <w:t>516.510</w:t>
            </w:r>
            <w:r>
              <w:rPr>
                <w:rFonts w:ascii="Arial" w:eastAsia="Arial" w:hAnsi="Arial" w:cs="Arial"/>
                <w:sz w:val="20"/>
                <w:szCs w:val="20"/>
              </w:rPr>
              <w:t>$</w:t>
            </w:r>
          </w:p>
        </w:tc>
        <w:tc>
          <w:tcPr>
            <w:tcW w:w="1350" w:type="dxa"/>
          </w:tcPr>
          <w:p w:rsidR="002C4AF7" w:rsidRDefault="007C2686">
            <w:pPr>
              <w:ind w:left="0" w:hanging="2"/>
              <w:rPr>
                <w:rFonts w:ascii="Arial" w:eastAsia="Arial" w:hAnsi="Arial" w:cs="Arial"/>
                <w:sz w:val="16"/>
                <w:szCs w:val="16"/>
              </w:rPr>
            </w:pPr>
            <w:r>
              <w:rPr>
                <w:rFonts w:ascii="Arial" w:eastAsia="Arial" w:hAnsi="Arial" w:cs="Arial"/>
                <w:sz w:val="16"/>
                <w:szCs w:val="16"/>
              </w:rPr>
              <w:t>75.290 €</w:t>
            </w:r>
          </w:p>
          <w:p w:rsidR="002C4AF7" w:rsidRDefault="007C2686">
            <w:pPr>
              <w:ind w:left="0" w:hanging="2"/>
              <w:rPr>
                <w:rFonts w:ascii="Arial" w:eastAsia="Arial" w:hAnsi="Arial" w:cs="Arial"/>
                <w:sz w:val="16"/>
                <w:szCs w:val="16"/>
              </w:rPr>
            </w:pPr>
            <w:r>
              <w:rPr>
                <w:rFonts w:ascii="Arial" w:eastAsia="Arial" w:hAnsi="Arial" w:cs="Arial"/>
                <w:sz w:val="16"/>
                <w:szCs w:val="16"/>
              </w:rPr>
              <w:t>83.656</w:t>
            </w:r>
            <w:r>
              <w:rPr>
                <w:rFonts w:ascii="Arial" w:eastAsia="Arial" w:hAnsi="Arial" w:cs="Arial"/>
                <w:sz w:val="20"/>
                <w:szCs w:val="20"/>
              </w:rPr>
              <w:t>$</w:t>
            </w:r>
          </w:p>
        </w:tc>
        <w:tc>
          <w:tcPr>
            <w:tcW w:w="4109" w:type="dxa"/>
          </w:tcPr>
          <w:p w:rsidR="002C4AF7" w:rsidRDefault="007C2686">
            <w:pPr>
              <w:ind w:left="0" w:hanging="2"/>
              <w:rPr>
                <w:rFonts w:ascii="Arial" w:eastAsia="Arial" w:hAnsi="Arial" w:cs="Arial"/>
                <w:sz w:val="16"/>
                <w:szCs w:val="16"/>
              </w:rPr>
            </w:pPr>
            <w:r>
              <w:rPr>
                <w:rFonts w:ascii="Arial" w:eastAsia="Arial" w:hAnsi="Arial" w:cs="Arial"/>
                <w:sz w:val="16"/>
                <w:szCs w:val="16"/>
              </w:rPr>
              <w:t>Coste incremental del fármaco  389.569 €</w:t>
            </w:r>
          </w:p>
          <w:p w:rsidR="002C4AF7" w:rsidRDefault="007C2686">
            <w:pPr>
              <w:ind w:left="0" w:hanging="2"/>
              <w:rPr>
                <w:rFonts w:ascii="Arial" w:eastAsia="Arial" w:hAnsi="Arial" w:cs="Arial"/>
                <w:sz w:val="16"/>
                <w:szCs w:val="16"/>
              </w:rPr>
            </w:pPr>
            <w:r>
              <w:rPr>
                <w:rFonts w:ascii="Arial" w:eastAsia="Arial" w:hAnsi="Arial" w:cs="Arial"/>
                <w:sz w:val="16"/>
                <w:szCs w:val="16"/>
              </w:rPr>
              <w:t>432.853</w:t>
            </w:r>
            <w:r>
              <w:rPr>
                <w:rFonts w:ascii="Arial" w:eastAsia="Arial" w:hAnsi="Arial" w:cs="Arial"/>
                <w:sz w:val="20"/>
                <w:szCs w:val="20"/>
              </w:rPr>
              <w:t>$</w:t>
            </w:r>
          </w:p>
        </w:tc>
      </w:tr>
      <w:tr w:rsidR="002C4AF7">
        <w:tc>
          <w:tcPr>
            <w:tcW w:w="2302" w:type="dxa"/>
            <w:shd w:val="clear" w:color="auto" w:fill="D9D9D9"/>
          </w:tcPr>
          <w:p w:rsidR="002C4AF7" w:rsidRDefault="007C2686">
            <w:pPr>
              <w:ind w:left="0" w:hanging="2"/>
              <w:rPr>
                <w:rFonts w:ascii="Arial" w:eastAsia="Arial" w:hAnsi="Arial" w:cs="Arial"/>
                <w:sz w:val="16"/>
                <w:szCs w:val="16"/>
              </w:rPr>
            </w:pPr>
            <w:r>
              <w:rPr>
                <w:rFonts w:ascii="Arial" w:eastAsia="Arial" w:hAnsi="Arial" w:cs="Arial"/>
                <w:b/>
                <w:sz w:val="16"/>
                <w:szCs w:val="16"/>
              </w:rPr>
              <w:t xml:space="preserve">EFECTOS (1) </w:t>
            </w:r>
          </w:p>
        </w:tc>
        <w:tc>
          <w:tcPr>
            <w:tcW w:w="1170" w:type="dxa"/>
            <w:shd w:val="clear" w:color="auto" w:fill="D9D9D9"/>
          </w:tcPr>
          <w:p w:rsidR="002C4AF7" w:rsidRDefault="007C2686">
            <w:pPr>
              <w:ind w:left="0" w:hanging="2"/>
              <w:rPr>
                <w:rFonts w:ascii="Arial" w:eastAsia="Arial" w:hAnsi="Arial" w:cs="Arial"/>
                <w:sz w:val="16"/>
                <w:szCs w:val="16"/>
              </w:rPr>
            </w:pPr>
            <w:r>
              <w:rPr>
                <w:rFonts w:ascii="Arial" w:eastAsia="Arial" w:hAnsi="Arial" w:cs="Arial"/>
                <w:b/>
                <w:sz w:val="16"/>
                <w:szCs w:val="16"/>
              </w:rPr>
              <w:t>Fármaco A</w:t>
            </w:r>
          </w:p>
        </w:tc>
        <w:tc>
          <w:tcPr>
            <w:tcW w:w="1350" w:type="dxa"/>
            <w:shd w:val="clear" w:color="auto" w:fill="D9D9D9"/>
          </w:tcPr>
          <w:p w:rsidR="002C4AF7" w:rsidRDefault="007C2686">
            <w:pPr>
              <w:ind w:left="0" w:hanging="2"/>
              <w:rPr>
                <w:rFonts w:ascii="Arial" w:eastAsia="Arial" w:hAnsi="Arial" w:cs="Arial"/>
                <w:sz w:val="16"/>
                <w:szCs w:val="16"/>
              </w:rPr>
            </w:pPr>
            <w:r>
              <w:rPr>
                <w:rFonts w:ascii="Arial" w:eastAsia="Arial" w:hAnsi="Arial" w:cs="Arial"/>
                <w:b/>
                <w:sz w:val="16"/>
                <w:szCs w:val="16"/>
              </w:rPr>
              <w:t>Fármaco B</w:t>
            </w:r>
          </w:p>
        </w:tc>
        <w:tc>
          <w:tcPr>
            <w:tcW w:w="4109" w:type="dxa"/>
            <w:shd w:val="clear" w:color="auto" w:fill="D9D9D9"/>
          </w:tcPr>
          <w:p w:rsidR="002C4AF7" w:rsidRDefault="007C2686">
            <w:pPr>
              <w:ind w:left="0" w:hanging="2"/>
              <w:rPr>
                <w:rFonts w:ascii="Arial" w:eastAsia="Arial" w:hAnsi="Arial" w:cs="Arial"/>
                <w:sz w:val="16"/>
                <w:szCs w:val="16"/>
              </w:rPr>
            </w:pPr>
            <w:r>
              <w:rPr>
                <w:rFonts w:ascii="Arial" w:eastAsia="Arial" w:hAnsi="Arial" w:cs="Arial"/>
                <w:b/>
                <w:sz w:val="16"/>
                <w:szCs w:val="16"/>
              </w:rPr>
              <w:t>Incrementos (2)</w:t>
            </w:r>
          </w:p>
        </w:tc>
      </w:tr>
      <w:tr w:rsidR="002C4AF7">
        <w:tc>
          <w:tcPr>
            <w:tcW w:w="2302" w:type="dxa"/>
          </w:tcPr>
          <w:p w:rsidR="002C4AF7" w:rsidRDefault="007C2686">
            <w:pPr>
              <w:ind w:left="0" w:hanging="2"/>
              <w:rPr>
                <w:rFonts w:ascii="Arial" w:eastAsia="Arial" w:hAnsi="Arial" w:cs="Arial"/>
                <w:sz w:val="16"/>
                <w:szCs w:val="16"/>
              </w:rPr>
            </w:pPr>
            <w:r>
              <w:rPr>
                <w:rFonts w:ascii="Arial" w:eastAsia="Arial" w:hAnsi="Arial" w:cs="Arial"/>
                <w:sz w:val="16"/>
                <w:szCs w:val="16"/>
              </w:rPr>
              <w:t>AVAC EEUU</w:t>
            </w:r>
          </w:p>
        </w:tc>
        <w:tc>
          <w:tcPr>
            <w:tcW w:w="1170" w:type="dxa"/>
          </w:tcPr>
          <w:p w:rsidR="002C4AF7" w:rsidRDefault="007C2686">
            <w:pPr>
              <w:ind w:left="0" w:hanging="2"/>
              <w:rPr>
                <w:rFonts w:ascii="Arial" w:eastAsia="Arial" w:hAnsi="Arial" w:cs="Arial"/>
                <w:sz w:val="16"/>
                <w:szCs w:val="16"/>
              </w:rPr>
            </w:pPr>
            <w:r>
              <w:rPr>
                <w:rFonts w:ascii="Arial" w:eastAsia="Arial" w:hAnsi="Arial" w:cs="Arial"/>
                <w:sz w:val="16"/>
                <w:szCs w:val="16"/>
              </w:rPr>
              <w:t xml:space="preserve"> 6,21 AVAC</w:t>
            </w:r>
          </w:p>
        </w:tc>
        <w:tc>
          <w:tcPr>
            <w:tcW w:w="1350" w:type="dxa"/>
          </w:tcPr>
          <w:p w:rsidR="002C4AF7" w:rsidRDefault="007C2686">
            <w:pPr>
              <w:ind w:left="0" w:hanging="2"/>
              <w:rPr>
                <w:rFonts w:ascii="Arial" w:eastAsia="Arial" w:hAnsi="Arial" w:cs="Arial"/>
                <w:sz w:val="16"/>
                <w:szCs w:val="16"/>
              </w:rPr>
            </w:pPr>
            <w:r>
              <w:rPr>
                <w:rFonts w:ascii="Arial" w:eastAsia="Arial" w:hAnsi="Arial" w:cs="Arial"/>
                <w:sz w:val="16"/>
                <w:szCs w:val="16"/>
              </w:rPr>
              <w:t>4,09 AVAC</w:t>
            </w:r>
          </w:p>
        </w:tc>
        <w:tc>
          <w:tcPr>
            <w:tcW w:w="4109" w:type="dxa"/>
          </w:tcPr>
          <w:p w:rsidR="002C4AF7" w:rsidRDefault="007C2686">
            <w:pPr>
              <w:ind w:left="0" w:hanging="2"/>
              <w:rPr>
                <w:rFonts w:ascii="Arial" w:eastAsia="Arial" w:hAnsi="Arial" w:cs="Arial"/>
                <w:sz w:val="16"/>
                <w:szCs w:val="16"/>
              </w:rPr>
            </w:pPr>
            <w:r>
              <w:rPr>
                <w:rFonts w:ascii="Arial" w:eastAsia="Arial" w:hAnsi="Arial" w:cs="Arial"/>
                <w:sz w:val="16"/>
                <w:szCs w:val="16"/>
              </w:rPr>
              <w:t xml:space="preserve"> 2,12 AVAC</w:t>
            </w:r>
          </w:p>
        </w:tc>
      </w:tr>
      <w:tr w:rsidR="002C4AF7">
        <w:tc>
          <w:tcPr>
            <w:tcW w:w="2302" w:type="dxa"/>
          </w:tcPr>
          <w:p w:rsidR="002C4AF7" w:rsidRDefault="007C2686">
            <w:pPr>
              <w:ind w:left="0" w:hanging="2"/>
              <w:rPr>
                <w:rFonts w:ascii="Arial" w:eastAsia="Arial" w:hAnsi="Arial" w:cs="Arial"/>
                <w:sz w:val="16"/>
                <w:szCs w:val="16"/>
              </w:rPr>
            </w:pPr>
            <w:r>
              <w:rPr>
                <w:rFonts w:ascii="Arial" w:eastAsia="Arial" w:hAnsi="Arial" w:cs="Arial"/>
                <w:sz w:val="16"/>
                <w:szCs w:val="16"/>
              </w:rPr>
              <w:t>AVAC CHINA</w:t>
            </w:r>
          </w:p>
        </w:tc>
        <w:tc>
          <w:tcPr>
            <w:tcW w:w="1170" w:type="dxa"/>
          </w:tcPr>
          <w:p w:rsidR="002C4AF7" w:rsidRDefault="007C2686">
            <w:pPr>
              <w:ind w:left="0" w:hanging="2"/>
              <w:rPr>
                <w:rFonts w:ascii="Arial" w:eastAsia="Arial" w:hAnsi="Arial" w:cs="Arial"/>
                <w:sz w:val="16"/>
                <w:szCs w:val="16"/>
              </w:rPr>
            </w:pPr>
            <w:r>
              <w:rPr>
                <w:rFonts w:ascii="Arial" w:eastAsia="Arial" w:hAnsi="Arial" w:cs="Arial"/>
                <w:sz w:val="16"/>
                <w:szCs w:val="16"/>
              </w:rPr>
              <w:t>5,7 AVAC</w:t>
            </w:r>
          </w:p>
        </w:tc>
        <w:tc>
          <w:tcPr>
            <w:tcW w:w="1350" w:type="dxa"/>
          </w:tcPr>
          <w:p w:rsidR="002C4AF7" w:rsidRDefault="007C2686">
            <w:pPr>
              <w:ind w:left="0" w:hanging="2"/>
              <w:rPr>
                <w:rFonts w:ascii="Arial" w:eastAsia="Arial" w:hAnsi="Arial" w:cs="Arial"/>
                <w:sz w:val="16"/>
                <w:szCs w:val="16"/>
              </w:rPr>
            </w:pPr>
            <w:r>
              <w:rPr>
                <w:rFonts w:ascii="Arial" w:eastAsia="Arial" w:hAnsi="Arial" w:cs="Arial"/>
                <w:sz w:val="16"/>
                <w:szCs w:val="16"/>
              </w:rPr>
              <w:t>3,78 AVAC</w:t>
            </w:r>
          </w:p>
        </w:tc>
        <w:tc>
          <w:tcPr>
            <w:tcW w:w="4109" w:type="dxa"/>
          </w:tcPr>
          <w:p w:rsidR="002C4AF7" w:rsidRDefault="007C2686">
            <w:pPr>
              <w:ind w:left="0" w:hanging="2"/>
              <w:rPr>
                <w:rFonts w:ascii="Arial" w:eastAsia="Arial" w:hAnsi="Arial" w:cs="Arial"/>
                <w:sz w:val="16"/>
                <w:szCs w:val="16"/>
              </w:rPr>
            </w:pPr>
            <w:r>
              <w:rPr>
                <w:rFonts w:ascii="Arial" w:eastAsia="Arial" w:hAnsi="Arial" w:cs="Arial"/>
                <w:sz w:val="16"/>
                <w:szCs w:val="16"/>
              </w:rPr>
              <w:t xml:space="preserve">1,92 AVAC    </w:t>
            </w:r>
          </w:p>
        </w:tc>
      </w:tr>
      <w:tr w:rsidR="002C4AF7">
        <w:tc>
          <w:tcPr>
            <w:tcW w:w="2302" w:type="dxa"/>
          </w:tcPr>
          <w:p w:rsidR="002C4AF7" w:rsidRDefault="007C2686">
            <w:pPr>
              <w:ind w:left="0" w:hanging="2"/>
              <w:rPr>
                <w:rFonts w:ascii="Arial" w:eastAsia="Arial" w:hAnsi="Arial" w:cs="Arial"/>
                <w:sz w:val="16"/>
                <w:szCs w:val="16"/>
              </w:rPr>
            </w:pPr>
            <w:r>
              <w:rPr>
                <w:rFonts w:ascii="Arial" w:eastAsia="Arial" w:hAnsi="Arial" w:cs="Arial"/>
                <w:sz w:val="16"/>
                <w:szCs w:val="16"/>
              </w:rPr>
              <w:t>Utilidad calculada EEUU SLP</w:t>
            </w:r>
          </w:p>
        </w:tc>
        <w:tc>
          <w:tcPr>
            <w:tcW w:w="1170" w:type="dxa"/>
          </w:tcPr>
          <w:p w:rsidR="002C4AF7" w:rsidRDefault="002C4AF7">
            <w:pPr>
              <w:ind w:left="0" w:hanging="2"/>
              <w:rPr>
                <w:rFonts w:ascii="Arial" w:eastAsia="Arial" w:hAnsi="Arial" w:cs="Arial"/>
                <w:sz w:val="16"/>
                <w:szCs w:val="16"/>
              </w:rPr>
            </w:pPr>
          </w:p>
        </w:tc>
        <w:tc>
          <w:tcPr>
            <w:tcW w:w="1350" w:type="dxa"/>
          </w:tcPr>
          <w:p w:rsidR="002C4AF7" w:rsidRDefault="002C4AF7">
            <w:pPr>
              <w:ind w:left="0" w:hanging="2"/>
              <w:rPr>
                <w:rFonts w:ascii="Arial" w:eastAsia="Arial" w:hAnsi="Arial" w:cs="Arial"/>
                <w:sz w:val="16"/>
                <w:szCs w:val="16"/>
              </w:rPr>
            </w:pPr>
          </w:p>
        </w:tc>
        <w:tc>
          <w:tcPr>
            <w:tcW w:w="4109" w:type="dxa"/>
          </w:tcPr>
          <w:p w:rsidR="002C4AF7" w:rsidRDefault="007C2686">
            <w:pPr>
              <w:ind w:left="0" w:hanging="2"/>
              <w:rPr>
                <w:rFonts w:ascii="Arial" w:eastAsia="Arial" w:hAnsi="Arial" w:cs="Arial"/>
                <w:sz w:val="16"/>
                <w:szCs w:val="16"/>
              </w:rPr>
            </w:pPr>
            <w:r>
              <w:rPr>
                <w:rFonts w:ascii="Arial" w:eastAsia="Arial" w:hAnsi="Arial" w:cs="Arial"/>
                <w:sz w:val="16"/>
                <w:szCs w:val="16"/>
              </w:rPr>
              <w:t>0,76</w:t>
            </w:r>
          </w:p>
        </w:tc>
      </w:tr>
      <w:tr w:rsidR="002C4AF7">
        <w:tc>
          <w:tcPr>
            <w:tcW w:w="2302" w:type="dxa"/>
          </w:tcPr>
          <w:p w:rsidR="002C4AF7" w:rsidRDefault="007C2686">
            <w:pPr>
              <w:ind w:left="0" w:hanging="2"/>
              <w:rPr>
                <w:rFonts w:ascii="Arial" w:eastAsia="Arial" w:hAnsi="Arial" w:cs="Arial"/>
                <w:sz w:val="16"/>
                <w:szCs w:val="16"/>
              </w:rPr>
            </w:pPr>
            <w:r>
              <w:rPr>
                <w:rFonts w:ascii="Arial" w:eastAsia="Arial" w:hAnsi="Arial" w:cs="Arial"/>
                <w:sz w:val="16"/>
                <w:szCs w:val="16"/>
              </w:rPr>
              <w:t>Utilidad calculada CHINA SLP</w:t>
            </w:r>
          </w:p>
        </w:tc>
        <w:tc>
          <w:tcPr>
            <w:tcW w:w="1170" w:type="dxa"/>
          </w:tcPr>
          <w:p w:rsidR="002C4AF7" w:rsidRDefault="002C4AF7">
            <w:pPr>
              <w:ind w:left="0" w:hanging="2"/>
              <w:rPr>
                <w:rFonts w:ascii="Arial" w:eastAsia="Arial" w:hAnsi="Arial" w:cs="Arial"/>
                <w:sz w:val="16"/>
                <w:szCs w:val="16"/>
              </w:rPr>
            </w:pPr>
          </w:p>
        </w:tc>
        <w:tc>
          <w:tcPr>
            <w:tcW w:w="1350" w:type="dxa"/>
          </w:tcPr>
          <w:p w:rsidR="002C4AF7" w:rsidRDefault="002C4AF7">
            <w:pPr>
              <w:ind w:left="0" w:hanging="2"/>
              <w:rPr>
                <w:rFonts w:ascii="Arial" w:eastAsia="Arial" w:hAnsi="Arial" w:cs="Arial"/>
                <w:sz w:val="16"/>
                <w:szCs w:val="16"/>
              </w:rPr>
            </w:pPr>
          </w:p>
        </w:tc>
        <w:tc>
          <w:tcPr>
            <w:tcW w:w="4109" w:type="dxa"/>
          </w:tcPr>
          <w:p w:rsidR="002C4AF7" w:rsidRDefault="007C2686">
            <w:pPr>
              <w:ind w:left="0" w:hanging="2"/>
              <w:rPr>
                <w:rFonts w:ascii="Arial" w:eastAsia="Arial" w:hAnsi="Arial" w:cs="Arial"/>
                <w:sz w:val="16"/>
                <w:szCs w:val="16"/>
              </w:rPr>
            </w:pPr>
            <w:r>
              <w:rPr>
                <w:rFonts w:ascii="Arial" w:eastAsia="Arial" w:hAnsi="Arial" w:cs="Arial"/>
                <w:sz w:val="16"/>
                <w:szCs w:val="16"/>
              </w:rPr>
              <w:t>0,83</w:t>
            </w:r>
          </w:p>
        </w:tc>
      </w:tr>
      <w:tr w:rsidR="002C4AF7">
        <w:tc>
          <w:tcPr>
            <w:tcW w:w="4822" w:type="dxa"/>
            <w:gridSpan w:val="3"/>
            <w:shd w:val="clear" w:color="auto" w:fill="D9D9D9"/>
          </w:tcPr>
          <w:p w:rsidR="002C4AF7" w:rsidRDefault="007C2686">
            <w:pPr>
              <w:ind w:left="0" w:hanging="2"/>
              <w:rPr>
                <w:rFonts w:ascii="Arial" w:eastAsia="Arial" w:hAnsi="Arial" w:cs="Arial"/>
                <w:sz w:val="16"/>
                <w:szCs w:val="16"/>
              </w:rPr>
            </w:pPr>
            <w:r>
              <w:rPr>
                <w:rFonts w:ascii="Arial" w:eastAsia="Arial" w:hAnsi="Arial" w:cs="Arial"/>
                <w:b/>
                <w:sz w:val="16"/>
                <w:szCs w:val="16"/>
              </w:rPr>
              <w:t xml:space="preserve">RATIO  DE COSTE EFECTIVIDAD INCREMENTAL (1) </w:t>
            </w:r>
          </w:p>
        </w:tc>
        <w:tc>
          <w:tcPr>
            <w:tcW w:w="4109" w:type="dxa"/>
            <w:shd w:val="clear" w:color="auto" w:fill="D9D9D9"/>
          </w:tcPr>
          <w:p w:rsidR="002C4AF7" w:rsidRDefault="007C2686">
            <w:pPr>
              <w:ind w:left="0" w:hanging="2"/>
              <w:rPr>
                <w:rFonts w:ascii="Arial" w:eastAsia="Arial" w:hAnsi="Arial" w:cs="Arial"/>
                <w:sz w:val="16"/>
                <w:szCs w:val="16"/>
              </w:rPr>
            </w:pPr>
            <w:r>
              <w:rPr>
                <w:rFonts w:ascii="Arial" w:eastAsia="Arial" w:hAnsi="Arial" w:cs="Arial"/>
                <w:b/>
                <w:sz w:val="16"/>
                <w:szCs w:val="16"/>
              </w:rPr>
              <w:t xml:space="preserve">RCEI </w:t>
            </w:r>
          </w:p>
        </w:tc>
      </w:tr>
      <w:tr w:rsidR="002C4AF7">
        <w:tc>
          <w:tcPr>
            <w:tcW w:w="4822" w:type="dxa"/>
            <w:gridSpan w:val="3"/>
          </w:tcPr>
          <w:p w:rsidR="002C4AF7" w:rsidRDefault="007C2686">
            <w:pPr>
              <w:ind w:left="0" w:hanging="2"/>
              <w:rPr>
                <w:rFonts w:ascii="Arial" w:eastAsia="Arial" w:hAnsi="Arial" w:cs="Arial"/>
                <w:sz w:val="16"/>
                <w:szCs w:val="16"/>
              </w:rPr>
            </w:pPr>
            <w:r>
              <w:rPr>
                <w:rFonts w:ascii="Arial" w:eastAsia="Arial" w:hAnsi="Arial" w:cs="Arial"/>
                <w:sz w:val="16"/>
                <w:szCs w:val="16"/>
              </w:rPr>
              <w:t>Caso base EEUU</w:t>
            </w:r>
          </w:p>
        </w:tc>
        <w:tc>
          <w:tcPr>
            <w:tcW w:w="4109" w:type="dxa"/>
          </w:tcPr>
          <w:p w:rsidR="002C4AF7" w:rsidRDefault="007C2686">
            <w:pPr>
              <w:ind w:left="0" w:hanging="2"/>
              <w:rPr>
                <w:rFonts w:ascii="Arial" w:eastAsia="Arial" w:hAnsi="Arial" w:cs="Arial"/>
                <w:sz w:val="16"/>
                <w:szCs w:val="16"/>
              </w:rPr>
            </w:pPr>
            <w:r>
              <w:rPr>
                <w:rFonts w:ascii="Arial" w:eastAsia="Arial" w:hAnsi="Arial" w:cs="Arial"/>
                <w:sz w:val="16"/>
                <w:szCs w:val="16"/>
              </w:rPr>
              <w:t>430.933</w:t>
            </w:r>
            <w:r>
              <w:rPr>
                <w:rFonts w:ascii="Arial" w:eastAsia="Arial" w:hAnsi="Arial" w:cs="Arial"/>
                <w:sz w:val="20"/>
                <w:szCs w:val="20"/>
              </w:rPr>
              <w:t>$-</w:t>
            </w:r>
            <w:r>
              <w:rPr>
                <w:rFonts w:ascii="Arial" w:eastAsia="Arial" w:hAnsi="Arial" w:cs="Arial"/>
                <w:sz w:val="16"/>
                <w:szCs w:val="16"/>
              </w:rPr>
              <w:t xml:space="preserve">  387.839€ / AVAC ganado</w:t>
            </w:r>
          </w:p>
        </w:tc>
      </w:tr>
      <w:tr w:rsidR="002C4AF7">
        <w:tc>
          <w:tcPr>
            <w:tcW w:w="4822" w:type="dxa"/>
            <w:gridSpan w:val="3"/>
          </w:tcPr>
          <w:p w:rsidR="002C4AF7" w:rsidRDefault="007C2686">
            <w:pPr>
              <w:ind w:left="0" w:hanging="2"/>
              <w:rPr>
                <w:rFonts w:ascii="Arial" w:eastAsia="Arial" w:hAnsi="Arial" w:cs="Arial"/>
                <w:sz w:val="16"/>
                <w:szCs w:val="16"/>
              </w:rPr>
            </w:pPr>
            <w:r>
              <w:rPr>
                <w:rFonts w:ascii="Arial" w:eastAsia="Arial" w:hAnsi="Arial" w:cs="Arial"/>
                <w:sz w:val="16"/>
                <w:szCs w:val="16"/>
              </w:rPr>
              <w:t>Caso base CHINA</w:t>
            </w:r>
          </w:p>
        </w:tc>
        <w:tc>
          <w:tcPr>
            <w:tcW w:w="4109" w:type="dxa"/>
          </w:tcPr>
          <w:p w:rsidR="002C4AF7" w:rsidRDefault="007C2686">
            <w:pPr>
              <w:ind w:left="0" w:hanging="2"/>
              <w:rPr>
                <w:rFonts w:ascii="Arial" w:eastAsia="Arial" w:hAnsi="Arial" w:cs="Arial"/>
                <w:sz w:val="16"/>
                <w:szCs w:val="16"/>
              </w:rPr>
            </w:pPr>
            <w:r>
              <w:rPr>
                <w:rFonts w:ascii="Arial" w:eastAsia="Arial" w:hAnsi="Arial" w:cs="Arial"/>
                <w:sz w:val="16"/>
                <w:szCs w:val="16"/>
              </w:rPr>
              <w:t>225.444</w:t>
            </w:r>
            <w:r>
              <w:rPr>
                <w:rFonts w:ascii="Arial" w:eastAsia="Arial" w:hAnsi="Arial" w:cs="Arial"/>
                <w:sz w:val="20"/>
                <w:szCs w:val="20"/>
              </w:rPr>
              <w:t>$-</w:t>
            </w:r>
            <w:r>
              <w:rPr>
                <w:rFonts w:ascii="Arial" w:eastAsia="Arial" w:hAnsi="Arial" w:cs="Arial"/>
                <w:sz w:val="16"/>
                <w:szCs w:val="16"/>
              </w:rPr>
              <w:t xml:space="preserve">   202.899 €/ AVAC ganado</w:t>
            </w:r>
          </w:p>
        </w:tc>
      </w:tr>
      <w:tr w:rsidR="002C4AF7">
        <w:tc>
          <w:tcPr>
            <w:tcW w:w="8931" w:type="dxa"/>
            <w:gridSpan w:val="4"/>
            <w:shd w:val="clear" w:color="auto" w:fill="DDDDDD"/>
          </w:tcPr>
          <w:p w:rsidR="002C4AF7" w:rsidRDefault="002C4AF7">
            <w:pPr>
              <w:ind w:left="0" w:hanging="2"/>
              <w:jc w:val="both"/>
              <w:rPr>
                <w:rFonts w:ascii="Arial" w:eastAsia="Arial" w:hAnsi="Arial" w:cs="Arial"/>
                <w:sz w:val="16"/>
                <w:szCs w:val="16"/>
              </w:rPr>
            </w:pPr>
          </w:p>
        </w:tc>
      </w:tr>
    </w:tbl>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Se realizaron análisis de sensibilidad para evaluar el impacto de las variables clave sobre la robustez de los resultados. La utilidad de SLP y el coste de enzalutamida fueron los factores más influyentes sobre ambos casos base (pagador EEUU y pagador CHINA). También se realizó un análisis de sensibilidad probabilístico para valorar la incertidumbre de los resultados de RCEI basados en las simulaciones de Monte Carlo con 1000 iteraciones. Las probabilidades de añadir enzalutamida a la primera línea de tratamiento o terapia estandar como la opción efectiva eran del 0% para la perspectiva del pagador chino y de EEUU con la disponibilidad a pagar establecida en el modelo (28.988$ (26.089</w:t>
      </w:r>
      <w:r>
        <w:rPr>
          <w:rFonts w:ascii="Arial" w:eastAsia="Arial" w:hAnsi="Arial" w:cs="Arial"/>
          <w:sz w:val="16"/>
          <w:szCs w:val="16"/>
        </w:rPr>
        <w:t xml:space="preserve"> €</w:t>
      </w:r>
      <w:r>
        <w:rPr>
          <w:rFonts w:ascii="Arial" w:eastAsia="Arial" w:hAnsi="Arial" w:cs="Arial"/>
          <w:sz w:val="20"/>
          <w:szCs w:val="20"/>
        </w:rPr>
        <w:t>)/AVAC en China y 100.000$ (90.000</w:t>
      </w:r>
      <w:r>
        <w:rPr>
          <w:rFonts w:ascii="Arial" w:eastAsia="Arial" w:hAnsi="Arial" w:cs="Arial"/>
          <w:sz w:val="16"/>
          <w:szCs w:val="16"/>
        </w:rPr>
        <w:t xml:space="preserve"> €</w:t>
      </w:r>
      <w:r>
        <w:rPr>
          <w:rFonts w:ascii="Arial" w:eastAsia="Arial" w:hAnsi="Arial" w:cs="Arial"/>
          <w:sz w:val="20"/>
          <w:szCs w:val="20"/>
        </w:rPr>
        <w:t>)/AVAC en EEUU).</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b/>
          <w:sz w:val="20"/>
          <w:szCs w:val="20"/>
        </w:rPr>
        <w:t>Revisión crítica y aplicabilidad de los estudios farmacoeconómicos publicados</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El grado de aplicabilidad a nuestro contexto es limitado, ya que los costes de los tratamientos difieren mucho de los de nuestro país. Únicamente se han empleado los resultados del ensayo ENZAMET (el cual emplea como comparador antiandrógenos no esteroideos de primera generación) y basado en un seguimiento de tres años, y no se ha empleado el ensayo ARCHES.</w:t>
      </w:r>
    </w:p>
    <w:p w:rsidR="002C4AF7" w:rsidRDefault="007C2686">
      <w:pPr>
        <w:ind w:left="0" w:hanging="2"/>
        <w:jc w:val="both"/>
        <w:rPr>
          <w:rFonts w:ascii="Arial" w:eastAsia="Arial" w:hAnsi="Arial" w:cs="Arial"/>
          <w:sz w:val="20"/>
          <w:szCs w:val="20"/>
        </w:rPr>
      </w:pPr>
      <w:r>
        <w:rPr>
          <w:rFonts w:ascii="Arial" w:eastAsia="Arial" w:hAnsi="Arial" w:cs="Arial"/>
          <w:sz w:val="20"/>
          <w:szCs w:val="20"/>
        </w:rPr>
        <w:t>No se han comparado otros tratamientos que son las alternativas orales disponibles como abiraterona y apalutamida, alegando que no hay ensayos clínicos comparativos.</w:t>
      </w:r>
    </w:p>
    <w:p w:rsidR="002C4AF7" w:rsidRDefault="007C2686">
      <w:pPr>
        <w:ind w:left="0" w:hanging="2"/>
        <w:jc w:val="both"/>
        <w:rPr>
          <w:rFonts w:ascii="Arial" w:eastAsia="Arial" w:hAnsi="Arial" w:cs="Arial"/>
          <w:sz w:val="20"/>
          <w:szCs w:val="20"/>
        </w:rPr>
      </w:pPr>
      <w:r>
        <w:rPr>
          <w:rFonts w:ascii="Arial" w:eastAsia="Arial" w:hAnsi="Arial" w:cs="Arial"/>
          <w:sz w:val="20"/>
          <w:szCs w:val="20"/>
        </w:rPr>
        <w:t>No se han incluido los costes del tratamiento de los eventos adversos de grado uno y dos.</w:t>
      </w:r>
    </w:p>
    <w:p w:rsidR="002C4AF7" w:rsidRDefault="007C2686">
      <w:pPr>
        <w:ind w:left="0" w:hanging="2"/>
        <w:jc w:val="both"/>
        <w:rPr>
          <w:rFonts w:ascii="Arial" w:eastAsia="Arial" w:hAnsi="Arial" w:cs="Arial"/>
          <w:sz w:val="20"/>
          <w:szCs w:val="20"/>
        </w:rPr>
      </w:pPr>
      <w:bookmarkStart w:id="52" w:name="_heading=h.3tbugp1" w:colFirst="0" w:colLast="0"/>
      <w:bookmarkEnd w:id="52"/>
      <w:r>
        <w:rPr>
          <w:rFonts w:ascii="Arial" w:eastAsia="Arial" w:hAnsi="Arial" w:cs="Arial"/>
          <w:sz w:val="20"/>
          <w:szCs w:val="20"/>
        </w:rPr>
        <w:lastRenderedPageBreak/>
        <w:t>Los datos de utilidad y costes se obtuvieron de otros estudios publicados.</w:t>
      </w:r>
    </w:p>
    <w:p w:rsidR="002C4AF7" w:rsidRDefault="002C4AF7">
      <w:pPr>
        <w:ind w:left="0" w:hanging="2"/>
        <w:rPr>
          <w:rFonts w:ascii="Arial" w:eastAsia="Arial" w:hAnsi="Arial" w:cs="Arial"/>
          <w:color w:val="0000FF"/>
          <w:sz w:val="20"/>
          <w:szCs w:val="20"/>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r>
        <w:rPr>
          <w:rFonts w:ascii="Cambria" w:eastAsia="Cambria" w:hAnsi="Cambria" w:cs="Cambria"/>
          <w:b/>
          <w:i/>
          <w:color w:val="000000"/>
          <w:sz w:val="20"/>
          <w:szCs w:val="20"/>
        </w:rPr>
        <w:t>7.3 Evaluación económica de elaboración propia</w:t>
      </w:r>
    </w:p>
    <w:p w:rsidR="002C4AF7" w:rsidRDefault="002C4AF7">
      <w:pPr>
        <w:ind w:left="0" w:hanging="2"/>
        <w:jc w:val="both"/>
        <w:rPr>
          <w:rFonts w:ascii="Arial" w:eastAsia="Arial" w:hAnsi="Arial" w:cs="Arial"/>
          <w:sz w:val="20"/>
          <w:szCs w:val="20"/>
        </w:rPr>
      </w:pPr>
    </w:p>
    <w:p w:rsidR="002C4AF7" w:rsidRDefault="002C4AF7">
      <w:pPr>
        <w:ind w:left="0" w:hanging="2"/>
        <w:rPr>
          <w:rFonts w:ascii="Arial" w:eastAsia="Arial" w:hAnsi="Arial" w:cs="Arial"/>
          <w:sz w:val="20"/>
          <w:szCs w:val="20"/>
        </w:rPr>
      </w:pPr>
    </w:p>
    <w:p w:rsidR="002C4AF7" w:rsidRDefault="007C2686">
      <w:pPr>
        <w:pBdr>
          <w:top w:val="single" w:sz="4" w:space="1" w:color="000000"/>
          <w:left w:val="single" w:sz="4" w:space="4" w:color="000000"/>
          <w:bottom w:val="single" w:sz="4" w:space="1" w:color="000000"/>
          <w:right w:val="single" w:sz="4" w:space="4" w:color="000000"/>
          <w:between w:val="single" w:sz="4" w:space="1" w:color="000000"/>
        </w:pBdr>
        <w:shd w:val="clear" w:color="auto" w:fill="D9D9D9"/>
        <w:ind w:left="0" w:hanging="2"/>
        <w:rPr>
          <w:rFonts w:ascii="Arial" w:eastAsia="Arial" w:hAnsi="Arial" w:cs="Arial"/>
          <w:sz w:val="20"/>
          <w:szCs w:val="20"/>
        </w:rPr>
      </w:pPr>
      <w:r>
        <w:rPr>
          <w:rFonts w:ascii="Arial" w:eastAsia="Arial" w:hAnsi="Arial" w:cs="Arial"/>
          <w:b/>
          <w:sz w:val="20"/>
          <w:szCs w:val="20"/>
        </w:rPr>
        <w:t>7.3.2. Coste-efectividad. Estudios propios</w:t>
      </w:r>
    </w:p>
    <w:p w:rsidR="002C4AF7" w:rsidRDefault="002C4AF7">
      <w:pPr>
        <w:ind w:left="0" w:hanging="2"/>
        <w:jc w:val="both"/>
        <w:rPr>
          <w:rFonts w:ascii="Arial" w:eastAsia="Arial" w:hAnsi="Arial" w:cs="Arial"/>
          <w:color w:val="FF0000"/>
          <w:sz w:val="20"/>
          <w:szCs w:val="20"/>
        </w:rPr>
      </w:pPr>
    </w:p>
    <w:p w:rsidR="002C4AF7" w:rsidRDefault="002C4AF7">
      <w:pPr>
        <w:tabs>
          <w:tab w:val="center" w:pos="4252"/>
          <w:tab w:val="right" w:pos="8504"/>
        </w:tabs>
        <w:spacing w:line="240" w:lineRule="auto"/>
        <w:ind w:left="0" w:hanging="2"/>
        <w:jc w:val="both"/>
        <w:rPr>
          <w:rFonts w:ascii="Arial" w:eastAsia="Arial" w:hAnsi="Arial" w:cs="Arial"/>
          <w:color w:val="000000"/>
        </w:rPr>
      </w:pPr>
    </w:p>
    <w:p w:rsidR="002C4AF7" w:rsidRDefault="002C4AF7">
      <w:pPr>
        <w:tabs>
          <w:tab w:val="center" w:pos="4252"/>
          <w:tab w:val="right" w:pos="8504"/>
        </w:tabs>
        <w:spacing w:line="240" w:lineRule="auto"/>
        <w:ind w:left="0" w:hanging="2"/>
        <w:rPr>
          <w:rFonts w:ascii="Arial" w:eastAsia="Arial" w:hAnsi="Arial" w:cs="Arial"/>
          <w:color w:val="000000"/>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r>
        <w:rPr>
          <w:rFonts w:ascii="Cambria" w:eastAsia="Cambria" w:hAnsi="Cambria" w:cs="Cambria"/>
          <w:b/>
          <w:i/>
          <w:color w:val="000000"/>
          <w:sz w:val="20"/>
          <w:szCs w:val="20"/>
        </w:rPr>
        <w:t>7.3.3 Coste-utilidad. Estudios propios</w:t>
      </w:r>
    </w:p>
    <w:p w:rsidR="002C4AF7" w:rsidRDefault="002C4AF7">
      <w:pPr>
        <w:tabs>
          <w:tab w:val="center" w:pos="4252"/>
          <w:tab w:val="right" w:pos="8504"/>
        </w:tabs>
        <w:spacing w:line="240" w:lineRule="auto"/>
        <w:ind w:left="0" w:hanging="2"/>
        <w:rPr>
          <w:rFonts w:ascii="Arial" w:eastAsia="Arial" w:hAnsi="Arial" w:cs="Arial"/>
          <w:color w:val="000000"/>
        </w:rPr>
      </w:pPr>
    </w:p>
    <w:p w:rsidR="002C4AF7" w:rsidRDefault="007C2686">
      <w:pPr>
        <w:tabs>
          <w:tab w:val="center" w:pos="4252"/>
          <w:tab w:val="right" w:pos="8504"/>
        </w:tabs>
        <w:spacing w:line="240" w:lineRule="auto"/>
        <w:ind w:left="0" w:hanging="2"/>
        <w:jc w:val="both"/>
        <w:rPr>
          <w:rFonts w:ascii="Arial" w:eastAsia="Arial" w:hAnsi="Arial" w:cs="Arial"/>
          <w:sz w:val="20"/>
          <w:szCs w:val="20"/>
          <w:highlight w:val="white"/>
        </w:rPr>
      </w:pPr>
      <w:r>
        <w:rPr>
          <w:rFonts w:ascii="Arial" w:eastAsia="Arial" w:hAnsi="Arial" w:cs="Arial"/>
          <w:sz w:val="20"/>
          <w:szCs w:val="20"/>
        </w:rPr>
        <w:t xml:space="preserve">Se emplean </w:t>
      </w:r>
      <w:r>
        <w:rPr>
          <w:rFonts w:ascii="Arial" w:eastAsia="Arial" w:hAnsi="Arial" w:cs="Arial"/>
          <w:color w:val="000000"/>
          <w:sz w:val="20"/>
          <w:szCs w:val="20"/>
        </w:rPr>
        <w:t>los AVAC procedentes de estudios publicados de calidad (CADTH</w:t>
      </w:r>
      <w:r>
        <w:rPr>
          <w:rFonts w:ascii="Arial" w:eastAsia="Arial" w:hAnsi="Arial" w:cs="Arial"/>
          <w:sz w:val="20"/>
          <w:szCs w:val="20"/>
        </w:rPr>
        <w:t>) (</w:t>
      </w:r>
      <w:r>
        <w:rPr>
          <w:rFonts w:ascii="Arial" w:eastAsia="Arial" w:hAnsi="Arial" w:cs="Arial"/>
          <w:color w:val="000000"/>
          <w:sz w:val="20"/>
          <w:szCs w:val="20"/>
        </w:rPr>
        <w:t xml:space="preserve"> 29). El </w:t>
      </w:r>
      <w:r>
        <w:rPr>
          <w:rFonts w:ascii="Arial" w:eastAsia="Arial" w:hAnsi="Arial" w:cs="Arial"/>
          <w:color w:val="000000"/>
          <w:sz w:val="20"/>
          <w:szCs w:val="20"/>
          <w:highlight w:val="white"/>
        </w:rPr>
        <w:t>primero de ellos proporciona AVA</w:t>
      </w:r>
      <w:r>
        <w:rPr>
          <w:rFonts w:ascii="Arial" w:eastAsia="Arial" w:hAnsi="Arial" w:cs="Arial"/>
          <w:sz w:val="20"/>
          <w:szCs w:val="20"/>
          <w:highlight w:val="white"/>
        </w:rPr>
        <w:t>C para la comparación indirecta enzalutamida+TDA vs. docetaxel+TDA.</w:t>
      </w:r>
    </w:p>
    <w:p w:rsidR="002C4AF7" w:rsidRDefault="002C4AF7">
      <w:pPr>
        <w:tabs>
          <w:tab w:val="center" w:pos="4252"/>
          <w:tab w:val="right" w:pos="8504"/>
        </w:tabs>
        <w:spacing w:line="240" w:lineRule="auto"/>
        <w:ind w:left="0" w:hanging="2"/>
        <w:rPr>
          <w:rFonts w:ascii="Arial" w:eastAsia="Arial" w:hAnsi="Arial" w:cs="Arial"/>
          <w:color w:val="000000"/>
          <w:highlight w:val="white"/>
        </w:rPr>
      </w:pPr>
    </w:p>
    <w:tbl>
      <w:tblPr>
        <w:tblStyle w:val="affff7"/>
        <w:tblW w:w="7530" w:type="dxa"/>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990"/>
        <w:gridCol w:w="1560"/>
        <w:gridCol w:w="1695"/>
        <w:gridCol w:w="1140"/>
        <w:gridCol w:w="1410"/>
      </w:tblGrid>
      <w:tr w:rsidR="002C4AF7">
        <w:tc>
          <w:tcPr>
            <w:tcW w:w="7530" w:type="dxa"/>
            <w:gridSpan w:val="6"/>
            <w:shd w:val="clear" w:color="auto" w:fill="CCFFCC"/>
          </w:tcPr>
          <w:p w:rsidR="002C4AF7" w:rsidRDefault="007C2686">
            <w:pPr>
              <w:ind w:left="0" w:hanging="2"/>
              <w:rPr>
                <w:rFonts w:ascii="Arial" w:eastAsia="Arial" w:hAnsi="Arial" w:cs="Arial"/>
                <w:sz w:val="16"/>
                <w:szCs w:val="16"/>
                <w:highlight w:val="white"/>
              </w:rPr>
            </w:pPr>
            <w:r>
              <w:rPr>
                <w:rFonts w:ascii="Arial" w:eastAsia="Arial" w:hAnsi="Arial" w:cs="Arial"/>
                <w:b/>
                <w:sz w:val="18"/>
                <w:szCs w:val="18"/>
                <w:highlight w:val="white"/>
              </w:rPr>
              <w:t xml:space="preserve">Tabla 7.3.3.1. Análisis de coste-utilidad </w:t>
            </w:r>
          </w:p>
        </w:tc>
      </w:tr>
      <w:tr w:rsidR="002C4AF7">
        <w:tc>
          <w:tcPr>
            <w:tcW w:w="735" w:type="dxa"/>
            <w:shd w:val="clear" w:color="auto" w:fill="E0E0E0"/>
          </w:tcPr>
          <w:p w:rsidR="002C4AF7" w:rsidRDefault="002C4AF7">
            <w:pPr>
              <w:ind w:left="0" w:hanging="2"/>
              <w:jc w:val="center"/>
              <w:rPr>
                <w:rFonts w:ascii="Arial" w:eastAsia="Arial" w:hAnsi="Arial" w:cs="Arial"/>
                <w:sz w:val="16"/>
                <w:szCs w:val="16"/>
                <w:highlight w:val="white"/>
              </w:rPr>
            </w:pPr>
          </w:p>
        </w:tc>
        <w:tc>
          <w:tcPr>
            <w:tcW w:w="990" w:type="dxa"/>
            <w:shd w:val="clear" w:color="auto" w:fill="E0E0E0"/>
          </w:tcPr>
          <w:p w:rsidR="002C4AF7" w:rsidRDefault="007C2686">
            <w:pPr>
              <w:ind w:left="0" w:hanging="2"/>
              <w:jc w:val="center"/>
              <w:rPr>
                <w:rFonts w:ascii="Arial" w:eastAsia="Arial" w:hAnsi="Arial" w:cs="Arial"/>
                <w:sz w:val="16"/>
                <w:szCs w:val="16"/>
                <w:highlight w:val="white"/>
              </w:rPr>
            </w:pPr>
            <w:r>
              <w:rPr>
                <w:rFonts w:ascii="Arial" w:eastAsia="Arial" w:hAnsi="Arial" w:cs="Arial"/>
                <w:b/>
                <w:sz w:val="16"/>
                <w:szCs w:val="16"/>
                <w:highlight w:val="white"/>
              </w:rPr>
              <w:t>Diferencia de AVAC</w:t>
            </w:r>
          </w:p>
        </w:tc>
        <w:tc>
          <w:tcPr>
            <w:tcW w:w="1560" w:type="dxa"/>
            <w:shd w:val="clear" w:color="auto" w:fill="E0E0E0"/>
          </w:tcPr>
          <w:p w:rsidR="002C4AF7" w:rsidRDefault="007C2686">
            <w:pPr>
              <w:ind w:left="0" w:hanging="2"/>
              <w:jc w:val="center"/>
              <w:rPr>
                <w:rFonts w:ascii="Arial" w:eastAsia="Arial" w:hAnsi="Arial" w:cs="Arial"/>
                <w:sz w:val="16"/>
                <w:szCs w:val="16"/>
                <w:highlight w:val="white"/>
              </w:rPr>
            </w:pPr>
            <w:r>
              <w:rPr>
                <w:rFonts w:ascii="Arial" w:eastAsia="Arial" w:hAnsi="Arial" w:cs="Arial"/>
                <w:b/>
                <w:sz w:val="16"/>
                <w:szCs w:val="16"/>
                <w:highlight w:val="white"/>
              </w:rPr>
              <w:t>Coste por paciente con enzalutamida 40,2 meses*</w:t>
            </w:r>
          </w:p>
        </w:tc>
        <w:tc>
          <w:tcPr>
            <w:tcW w:w="1695" w:type="dxa"/>
            <w:shd w:val="clear" w:color="auto" w:fill="E0E0E0"/>
          </w:tcPr>
          <w:p w:rsidR="002C4AF7" w:rsidRDefault="007C2686">
            <w:pPr>
              <w:ind w:left="0" w:hanging="2"/>
              <w:jc w:val="center"/>
              <w:rPr>
                <w:rFonts w:ascii="Arial" w:eastAsia="Arial" w:hAnsi="Arial" w:cs="Arial"/>
                <w:sz w:val="16"/>
                <w:szCs w:val="16"/>
                <w:highlight w:val="white"/>
              </w:rPr>
            </w:pPr>
            <w:r>
              <w:rPr>
                <w:rFonts w:ascii="Arial" w:eastAsia="Arial" w:hAnsi="Arial" w:cs="Arial"/>
                <w:b/>
                <w:sz w:val="16"/>
                <w:szCs w:val="16"/>
                <w:highlight w:val="white"/>
              </w:rPr>
              <w:t>Coste por paciente docetaxel (6 ciclos)</w:t>
            </w:r>
          </w:p>
        </w:tc>
        <w:tc>
          <w:tcPr>
            <w:tcW w:w="1140" w:type="dxa"/>
            <w:shd w:val="clear" w:color="auto" w:fill="E0E0E0"/>
          </w:tcPr>
          <w:p w:rsidR="002C4AF7" w:rsidRDefault="007C2686">
            <w:pPr>
              <w:ind w:left="0" w:hanging="2"/>
              <w:jc w:val="center"/>
              <w:rPr>
                <w:rFonts w:ascii="Arial" w:eastAsia="Arial" w:hAnsi="Arial" w:cs="Arial"/>
                <w:sz w:val="16"/>
                <w:szCs w:val="16"/>
                <w:highlight w:val="white"/>
              </w:rPr>
            </w:pPr>
            <w:r>
              <w:rPr>
                <w:rFonts w:ascii="Arial" w:eastAsia="Arial" w:hAnsi="Arial" w:cs="Arial"/>
                <w:b/>
                <w:sz w:val="16"/>
                <w:szCs w:val="16"/>
                <w:highlight w:val="white"/>
              </w:rPr>
              <w:t>Coste incremental</w:t>
            </w:r>
          </w:p>
        </w:tc>
        <w:tc>
          <w:tcPr>
            <w:tcW w:w="1410" w:type="dxa"/>
            <w:shd w:val="clear" w:color="auto" w:fill="E0E0E0"/>
          </w:tcPr>
          <w:p w:rsidR="002C4AF7" w:rsidRDefault="007C2686">
            <w:pPr>
              <w:ind w:left="0" w:hanging="2"/>
              <w:jc w:val="center"/>
              <w:rPr>
                <w:rFonts w:ascii="Arial" w:eastAsia="Arial" w:hAnsi="Arial" w:cs="Arial"/>
                <w:sz w:val="16"/>
                <w:szCs w:val="16"/>
                <w:highlight w:val="white"/>
              </w:rPr>
            </w:pPr>
            <w:r>
              <w:rPr>
                <w:rFonts w:ascii="Arial" w:eastAsia="Arial" w:hAnsi="Arial" w:cs="Arial"/>
                <w:b/>
                <w:sz w:val="16"/>
                <w:szCs w:val="16"/>
                <w:highlight w:val="white"/>
              </w:rPr>
              <w:t>Razón Coste-eficacia incremental (RCEI)</w:t>
            </w:r>
          </w:p>
        </w:tc>
      </w:tr>
      <w:tr w:rsidR="002C4AF7">
        <w:tc>
          <w:tcPr>
            <w:tcW w:w="735" w:type="dxa"/>
          </w:tcPr>
          <w:p w:rsidR="002C4AF7" w:rsidRDefault="007C2686">
            <w:pPr>
              <w:ind w:left="0" w:hanging="2"/>
              <w:jc w:val="center"/>
              <w:rPr>
                <w:rFonts w:ascii="Arial" w:eastAsia="Arial" w:hAnsi="Arial" w:cs="Arial"/>
                <w:sz w:val="16"/>
                <w:szCs w:val="16"/>
                <w:highlight w:val="white"/>
              </w:rPr>
            </w:pPr>
            <w:r>
              <w:rPr>
                <w:rFonts w:ascii="Arial" w:eastAsia="Arial" w:hAnsi="Arial" w:cs="Arial"/>
                <w:sz w:val="16"/>
                <w:szCs w:val="16"/>
                <w:highlight w:val="white"/>
              </w:rPr>
              <w:t>CADTH</w:t>
            </w:r>
          </w:p>
        </w:tc>
        <w:tc>
          <w:tcPr>
            <w:tcW w:w="990" w:type="dxa"/>
          </w:tcPr>
          <w:p w:rsidR="002C4AF7" w:rsidRDefault="007C2686">
            <w:pPr>
              <w:ind w:left="0" w:hanging="2"/>
              <w:jc w:val="center"/>
              <w:rPr>
                <w:rFonts w:ascii="Arial" w:eastAsia="Arial" w:hAnsi="Arial" w:cs="Arial"/>
                <w:sz w:val="16"/>
                <w:szCs w:val="16"/>
                <w:highlight w:val="white"/>
              </w:rPr>
            </w:pPr>
            <w:r>
              <w:rPr>
                <w:rFonts w:ascii="Arial" w:eastAsia="Arial" w:hAnsi="Arial" w:cs="Arial"/>
                <w:sz w:val="16"/>
                <w:szCs w:val="16"/>
                <w:highlight w:val="white"/>
              </w:rPr>
              <w:t>0,24</w:t>
            </w:r>
          </w:p>
        </w:tc>
        <w:tc>
          <w:tcPr>
            <w:tcW w:w="1560" w:type="dxa"/>
          </w:tcPr>
          <w:p w:rsidR="002C4AF7" w:rsidRDefault="007C2686">
            <w:pPr>
              <w:ind w:left="0" w:hanging="2"/>
              <w:jc w:val="center"/>
              <w:rPr>
                <w:rFonts w:ascii="Arial" w:eastAsia="Arial" w:hAnsi="Arial" w:cs="Arial"/>
                <w:sz w:val="16"/>
                <w:szCs w:val="16"/>
                <w:highlight w:val="white"/>
              </w:rPr>
            </w:pPr>
            <w:r>
              <w:rPr>
                <w:rFonts w:ascii="Arial" w:eastAsia="Arial" w:hAnsi="Arial" w:cs="Arial"/>
                <w:sz w:val="16"/>
                <w:szCs w:val="16"/>
                <w:highlight w:val="white"/>
              </w:rPr>
              <w:t>137.510 (€)</w:t>
            </w:r>
          </w:p>
        </w:tc>
        <w:tc>
          <w:tcPr>
            <w:tcW w:w="1695" w:type="dxa"/>
          </w:tcPr>
          <w:p w:rsidR="002C4AF7" w:rsidRDefault="007C2686">
            <w:pPr>
              <w:ind w:left="0" w:hanging="2"/>
              <w:jc w:val="center"/>
              <w:rPr>
                <w:rFonts w:ascii="Arial" w:eastAsia="Arial" w:hAnsi="Arial" w:cs="Arial"/>
                <w:sz w:val="16"/>
                <w:szCs w:val="16"/>
                <w:highlight w:val="white"/>
              </w:rPr>
            </w:pPr>
            <w:r>
              <w:rPr>
                <w:rFonts w:ascii="Arial" w:eastAsia="Arial" w:hAnsi="Arial" w:cs="Arial"/>
                <w:sz w:val="16"/>
                <w:szCs w:val="16"/>
                <w:highlight w:val="white"/>
              </w:rPr>
              <w:t>2.682(€)</w:t>
            </w:r>
          </w:p>
        </w:tc>
        <w:tc>
          <w:tcPr>
            <w:tcW w:w="1140" w:type="dxa"/>
          </w:tcPr>
          <w:p w:rsidR="002C4AF7" w:rsidRDefault="007C2686">
            <w:pPr>
              <w:ind w:left="0" w:hanging="2"/>
              <w:jc w:val="center"/>
              <w:rPr>
                <w:rFonts w:ascii="Arial" w:eastAsia="Arial" w:hAnsi="Arial" w:cs="Arial"/>
                <w:sz w:val="16"/>
                <w:szCs w:val="16"/>
                <w:highlight w:val="white"/>
              </w:rPr>
            </w:pPr>
            <w:r>
              <w:rPr>
                <w:rFonts w:ascii="Arial" w:eastAsia="Arial" w:hAnsi="Arial" w:cs="Arial"/>
                <w:sz w:val="16"/>
                <w:szCs w:val="16"/>
                <w:highlight w:val="white"/>
              </w:rPr>
              <w:t>134.828 (€)</w:t>
            </w:r>
          </w:p>
        </w:tc>
        <w:tc>
          <w:tcPr>
            <w:tcW w:w="1410" w:type="dxa"/>
          </w:tcPr>
          <w:p w:rsidR="002C4AF7" w:rsidRDefault="007C2686">
            <w:pPr>
              <w:ind w:left="0" w:hanging="2"/>
              <w:jc w:val="center"/>
              <w:rPr>
                <w:rFonts w:ascii="Arial" w:eastAsia="Arial" w:hAnsi="Arial" w:cs="Arial"/>
                <w:sz w:val="16"/>
                <w:szCs w:val="16"/>
                <w:highlight w:val="white"/>
              </w:rPr>
            </w:pPr>
            <w:r>
              <w:rPr>
                <w:rFonts w:ascii="Arial" w:eastAsia="Arial" w:hAnsi="Arial" w:cs="Arial"/>
                <w:sz w:val="16"/>
                <w:szCs w:val="16"/>
                <w:highlight w:val="white"/>
              </w:rPr>
              <w:t>561.783</w:t>
            </w:r>
          </w:p>
        </w:tc>
      </w:tr>
    </w:tbl>
    <w:p w:rsidR="002C4AF7" w:rsidRDefault="007C2686">
      <w:pPr>
        <w:ind w:left="0" w:hanging="2"/>
        <w:jc w:val="both"/>
        <w:rPr>
          <w:rFonts w:ascii="Arial" w:eastAsia="Arial" w:hAnsi="Arial" w:cs="Arial"/>
          <w:color w:val="212121"/>
          <w:sz w:val="18"/>
          <w:szCs w:val="18"/>
          <w:highlight w:val="white"/>
        </w:rPr>
      </w:pPr>
      <w:r>
        <w:rPr>
          <w:rFonts w:ascii="Arial" w:eastAsia="Arial" w:hAnsi="Arial" w:cs="Arial"/>
          <w:color w:val="212121"/>
          <w:sz w:val="18"/>
          <w:szCs w:val="18"/>
          <w:highlight w:val="white"/>
        </w:rPr>
        <w:t xml:space="preserve">*En los datos publicados de SG finales se indica que la duración mediana de tratamiento fue 40,2 meses para el grupo enzalutamida más TDA. </w:t>
      </w:r>
    </w:p>
    <w:p w:rsidR="002C4AF7" w:rsidRDefault="002C4AF7">
      <w:pPr>
        <w:ind w:left="0" w:hanging="2"/>
        <w:jc w:val="both"/>
        <w:rPr>
          <w:rFonts w:ascii="Arial" w:eastAsia="Arial" w:hAnsi="Arial" w:cs="Arial"/>
          <w:color w:val="212121"/>
          <w:sz w:val="18"/>
          <w:szCs w:val="18"/>
          <w:highlight w:val="white"/>
        </w:rPr>
      </w:pPr>
    </w:p>
    <w:p w:rsidR="002C4AF7" w:rsidRDefault="007C2686">
      <w:pPr>
        <w:ind w:left="0" w:hanging="2"/>
        <w:jc w:val="both"/>
        <w:rPr>
          <w:rFonts w:ascii="Arial" w:eastAsia="Arial" w:hAnsi="Arial" w:cs="Arial"/>
          <w:color w:val="000000"/>
          <w:sz w:val="20"/>
          <w:szCs w:val="20"/>
        </w:rPr>
      </w:pPr>
      <w:r>
        <w:rPr>
          <w:rFonts w:ascii="Arial" w:eastAsia="Arial" w:hAnsi="Arial" w:cs="Arial"/>
          <w:color w:val="000000"/>
          <w:sz w:val="20"/>
          <w:szCs w:val="20"/>
          <w:highlight w:val="white"/>
        </w:rPr>
        <w:t xml:space="preserve">Según los datos del informe </w:t>
      </w:r>
      <w:r>
        <w:rPr>
          <w:rFonts w:ascii="Arial" w:eastAsia="Arial" w:hAnsi="Arial" w:cs="Arial"/>
          <w:sz w:val="20"/>
          <w:szCs w:val="20"/>
          <w:highlight w:val="white"/>
        </w:rPr>
        <w:t>de la CADTH</w:t>
      </w:r>
      <w:r>
        <w:rPr>
          <w:rFonts w:ascii="Arial" w:eastAsia="Arial" w:hAnsi="Arial" w:cs="Arial"/>
          <w:color w:val="000000"/>
          <w:sz w:val="20"/>
          <w:szCs w:val="20"/>
          <w:highlight w:val="white"/>
        </w:rPr>
        <w:t xml:space="preserve"> sobre los AVAC obtenidos con los tratamientos</w:t>
      </w:r>
      <w:r>
        <w:rPr>
          <w:rFonts w:ascii="Arial" w:eastAsia="Arial" w:hAnsi="Arial" w:cs="Arial"/>
          <w:sz w:val="20"/>
          <w:szCs w:val="20"/>
          <w:highlight w:val="white"/>
        </w:rPr>
        <w:t xml:space="preserve"> enzalutamida + TDA</w:t>
      </w:r>
      <w:r>
        <w:rPr>
          <w:rFonts w:ascii="Arial" w:eastAsia="Arial" w:hAnsi="Arial" w:cs="Arial"/>
          <w:color w:val="000000"/>
          <w:sz w:val="20"/>
          <w:szCs w:val="20"/>
          <w:highlight w:val="white"/>
        </w:rPr>
        <w:t xml:space="preserve"> y</w:t>
      </w:r>
      <w:r>
        <w:rPr>
          <w:rFonts w:ascii="Arial" w:eastAsia="Arial" w:hAnsi="Arial" w:cs="Arial"/>
          <w:sz w:val="20"/>
          <w:szCs w:val="20"/>
          <w:highlight w:val="white"/>
        </w:rPr>
        <w:t xml:space="preserve"> docetaxel+TDA</w:t>
      </w:r>
      <w:r>
        <w:rPr>
          <w:rFonts w:ascii="Arial" w:eastAsia="Arial" w:hAnsi="Arial" w:cs="Arial"/>
          <w:color w:val="000000"/>
          <w:sz w:val="20"/>
          <w:szCs w:val="20"/>
          <w:highlight w:val="white"/>
        </w:rPr>
        <w:t xml:space="preserve"> y la diferencia de costes entre ellos, si se trata a los pacientes con </w:t>
      </w:r>
      <w:r>
        <w:rPr>
          <w:rFonts w:ascii="Arial" w:eastAsia="Arial" w:hAnsi="Arial" w:cs="Arial"/>
          <w:sz w:val="20"/>
          <w:szCs w:val="20"/>
          <w:highlight w:val="white"/>
        </w:rPr>
        <w:t>enzalutamida</w:t>
      </w:r>
      <w:r>
        <w:rPr>
          <w:rFonts w:ascii="Arial" w:eastAsia="Arial" w:hAnsi="Arial" w:cs="Arial"/>
          <w:color w:val="000000"/>
          <w:sz w:val="20"/>
          <w:szCs w:val="20"/>
          <w:highlight w:val="white"/>
        </w:rPr>
        <w:t xml:space="preserve"> en lugar de con </w:t>
      </w:r>
      <w:r>
        <w:rPr>
          <w:rFonts w:ascii="Arial" w:eastAsia="Arial" w:hAnsi="Arial" w:cs="Arial"/>
          <w:sz w:val="20"/>
          <w:szCs w:val="20"/>
          <w:highlight w:val="white"/>
        </w:rPr>
        <w:t>docetaxel</w:t>
      </w:r>
      <w:r>
        <w:rPr>
          <w:rFonts w:ascii="Arial" w:eastAsia="Arial" w:hAnsi="Arial" w:cs="Arial"/>
          <w:color w:val="000000"/>
          <w:sz w:val="20"/>
          <w:szCs w:val="20"/>
          <w:highlight w:val="white"/>
        </w:rPr>
        <w:t xml:space="preserve"> cada </w:t>
      </w:r>
      <w:r>
        <w:rPr>
          <w:rFonts w:ascii="Arial" w:eastAsia="Arial" w:hAnsi="Arial" w:cs="Arial"/>
          <w:color w:val="000000"/>
          <w:sz w:val="20"/>
          <w:szCs w:val="20"/>
        </w:rPr>
        <w:t xml:space="preserve">AVAC adicional que ganan los pacientes costará </w:t>
      </w:r>
      <w:r>
        <w:rPr>
          <w:rFonts w:ascii="Arial" w:eastAsia="Arial" w:hAnsi="Arial" w:cs="Arial"/>
          <w:sz w:val="20"/>
          <w:szCs w:val="20"/>
        </w:rPr>
        <w:t>561.783</w:t>
      </w:r>
      <w:r>
        <w:rPr>
          <w:rFonts w:ascii="Arial" w:eastAsia="Arial" w:hAnsi="Arial" w:cs="Arial"/>
          <w:color w:val="000000"/>
          <w:sz w:val="20"/>
          <w:szCs w:val="20"/>
        </w:rPr>
        <w:t xml:space="preserve"> €.</w:t>
      </w:r>
    </w:p>
    <w:p w:rsidR="002C4AF7" w:rsidRDefault="002C4AF7">
      <w:pPr>
        <w:ind w:left="0" w:hanging="2"/>
        <w:jc w:val="both"/>
        <w:rPr>
          <w:rFonts w:ascii="Arial" w:eastAsia="Arial" w:hAnsi="Arial" w:cs="Arial"/>
          <w:color w:val="000000"/>
          <w:sz w:val="20"/>
          <w:szCs w:val="20"/>
        </w:rPr>
      </w:pPr>
    </w:p>
    <w:p w:rsidR="002C4AF7" w:rsidRDefault="007C2686">
      <w:pPr>
        <w:ind w:left="0" w:hanging="2"/>
        <w:jc w:val="both"/>
        <w:rPr>
          <w:rFonts w:ascii="Arial" w:eastAsia="Arial" w:hAnsi="Arial" w:cs="Arial"/>
          <w:color w:val="000000"/>
          <w:sz w:val="20"/>
          <w:szCs w:val="20"/>
        </w:rPr>
      </w:pPr>
      <w:r>
        <w:rPr>
          <w:rFonts w:ascii="Arial" w:eastAsia="Arial" w:hAnsi="Arial" w:cs="Arial"/>
          <w:color w:val="000000"/>
          <w:sz w:val="20"/>
          <w:szCs w:val="20"/>
        </w:rPr>
        <w:t>La publicación de datos más maduros de supervivencia de los estudios ARCHES y ENZAMET podrían reducir la incertidumbre del análisis coste-efectividad del CADTH. En el análisis final de ARCHES el beneficio en SG, ya más maduro, alcanza la significación estadística, hecho que podría modificar la asunción del modelo inicial.</w:t>
      </w:r>
    </w:p>
    <w:p w:rsidR="002C4AF7" w:rsidRDefault="002C4AF7">
      <w:pPr>
        <w:ind w:left="0" w:hanging="2"/>
        <w:jc w:val="both"/>
        <w:rPr>
          <w:rFonts w:ascii="Arial" w:eastAsia="Arial" w:hAnsi="Arial" w:cs="Arial"/>
          <w:sz w:val="20"/>
          <w:szCs w:val="20"/>
        </w:rPr>
      </w:pPr>
    </w:p>
    <w:p w:rsidR="002C4AF7" w:rsidRDefault="007C2686">
      <w:pPr>
        <w:pBdr>
          <w:top w:val="single" w:sz="4" w:space="1" w:color="000000"/>
          <w:left w:val="single" w:sz="4" w:space="4" w:color="000000"/>
          <w:bottom w:val="single" w:sz="4" w:space="1" w:color="000000"/>
          <w:right w:val="single" w:sz="4" w:space="4" w:color="000000"/>
        </w:pBdr>
        <w:shd w:val="clear" w:color="auto" w:fill="D9D9D9"/>
        <w:ind w:left="0" w:hanging="2"/>
        <w:rPr>
          <w:rFonts w:ascii="Arial" w:eastAsia="Arial" w:hAnsi="Arial" w:cs="Arial"/>
        </w:rPr>
      </w:pPr>
      <w:r>
        <w:rPr>
          <w:rFonts w:ascii="Arial" w:eastAsia="Arial" w:hAnsi="Arial" w:cs="Arial"/>
          <w:b/>
          <w:sz w:val="20"/>
          <w:szCs w:val="20"/>
        </w:rPr>
        <w:t>7.4. Estimación del impacto presupuestario y de los beneficios esperados en salud</w:t>
      </w:r>
    </w:p>
    <w:p w:rsidR="002C4AF7" w:rsidRDefault="002C4AF7">
      <w:pPr>
        <w:ind w:left="0" w:hanging="2"/>
        <w:jc w:val="both"/>
        <w:rPr>
          <w:rFonts w:ascii="Arial" w:eastAsia="Arial" w:hAnsi="Arial" w:cs="Arial"/>
          <w:sz w:val="20"/>
          <w:szCs w:val="20"/>
        </w:rPr>
      </w:pPr>
    </w:p>
    <w:p w:rsidR="002C4AF7" w:rsidRDefault="002C4AF7">
      <w:pPr>
        <w:ind w:left="0" w:hanging="2"/>
        <w:jc w:val="both"/>
        <w:rPr>
          <w:rFonts w:ascii="Arial" w:eastAsia="Arial" w:hAnsi="Arial" w:cs="Arial"/>
          <w:sz w:val="20"/>
          <w:szCs w:val="20"/>
        </w:rPr>
      </w:pPr>
    </w:p>
    <w:p w:rsidR="002C4AF7" w:rsidRDefault="007C2686">
      <w:pPr>
        <w:pBdr>
          <w:top w:val="single" w:sz="4" w:space="1" w:color="000000"/>
          <w:left w:val="single" w:sz="4" w:space="4" w:color="000000"/>
          <w:bottom w:val="single" w:sz="4" w:space="1" w:color="000000"/>
          <w:right w:val="single" w:sz="4" w:space="4" w:color="000000"/>
        </w:pBdr>
        <w:shd w:val="clear" w:color="auto" w:fill="D9D9D9"/>
        <w:ind w:left="0" w:hanging="2"/>
        <w:rPr>
          <w:rFonts w:ascii="Arial" w:eastAsia="Arial" w:hAnsi="Arial" w:cs="Arial"/>
          <w:sz w:val="20"/>
          <w:szCs w:val="20"/>
        </w:rPr>
      </w:pPr>
      <w:r>
        <w:rPr>
          <w:rFonts w:ascii="Arial" w:eastAsia="Arial" w:hAnsi="Arial" w:cs="Arial"/>
          <w:b/>
          <w:sz w:val="20"/>
          <w:szCs w:val="20"/>
        </w:rPr>
        <w:t>7.4.1. Estimación de la población diana</w:t>
      </w:r>
    </w:p>
    <w:p w:rsidR="002C4AF7" w:rsidRDefault="002C4AF7">
      <w:pPr>
        <w:ind w:left="0" w:hanging="2"/>
        <w:jc w:val="both"/>
        <w:rPr>
          <w:rFonts w:ascii="Arial" w:eastAsia="Arial" w:hAnsi="Arial" w:cs="Arial"/>
          <w:color w:val="000000"/>
          <w:sz w:val="20"/>
          <w:szCs w:val="20"/>
          <w:highlight w:val="white"/>
        </w:rPr>
      </w:pPr>
    </w:p>
    <w:p w:rsidR="002C4AF7" w:rsidRDefault="007C2686">
      <w:pPr>
        <w:ind w:left="0" w:hanging="2"/>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Para la estimación se tuvo en cuenta que la incidencia de cáncer de próstata anual es de 96,8 casos/100.000 h</w:t>
      </w:r>
      <w:r>
        <w:rPr>
          <w:rFonts w:ascii="Arial" w:eastAsia="Arial" w:hAnsi="Arial" w:cs="Arial"/>
          <w:color w:val="000000"/>
          <w:sz w:val="20"/>
          <w:szCs w:val="20"/>
        </w:rPr>
        <w:t>abitantes en España (</w:t>
      </w:r>
      <w:r>
        <w:rPr>
          <w:rFonts w:ascii="Arial" w:eastAsia="Arial" w:hAnsi="Arial" w:cs="Arial"/>
          <w:sz w:val="20"/>
          <w:szCs w:val="20"/>
        </w:rPr>
        <w:t>34</w:t>
      </w:r>
      <w:r>
        <w:rPr>
          <w:rFonts w:ascii="Arial" w:eastAsia="Arial" w:hAnsi="Arial" w:cs="Arial"/>
          <w:color w:val="000000"/>
          <w:sz w:val="20"/>
          <w:szCs w:val="20"/>
        </w:rPr>
        <w:t>), de los cuales aproximadamente un 5% debutan con un diagnóstico de cáncer de próstata metastásico (</w:t>
      </w:r>
      <w:r>
        <w:rPr>
          <w:rFonts w:ascii="Arial" w:eastAsia="Arial" w:hAnsi="Arial" w:cs="Arial"/>
          <w:sz w:val="20"/>
          <w:szCs w:val="20"/>
        </w:rPr>
        <w:t>35</w:t>
      </w:r>
      <w:r>
        <w:rPr>
          <w:rFonts w:ascii="Arial" w:eastAsia="Arial" w:hAnsi="Arial" w:cs="Arial"/>
          <w:color w:val="000000"/>
          <w:sz w:val="20"/>
          <w:szCs w:val="20"/>
        </w:rPr>
        <w:t>). Se c</w:t>
      </w:r>
      <w:r>
        <w:rPr>
          <w:rFonts w:ascii="Arial" w:eastAsia="Arial" w:hAnsi="Arial" w:cs="Arial"/>
          <w:color w:val="000000"/>
          <w:sz w:val="20"/>
          <w:szCs w:val="20"/>
          <w:highlight w:val="white"/>
        </w:rPr>
        <w:t>onsideraron población diana y por tanto susceptible de tratamiento todos los pacientes con alto y bajo volumen, siguiendo los criterios de inclusión del ensayo clínico.</w:t>
      </w:r>
    </w:p>
    <w:p w:rsidR="002C4AF7" w:rsidRDefault="002C4AF7">
      <w:pPr>
        <w:ind w:left="0" w:hanging="2"/>
        <w:jc w:val="both"/>
        <w:rPr>
          <w:rFonts w:ascii="Arial" w:eastAsia="Arial" w:hAnsi="Arial" w:cs="Arial"/>
          <w:color w:val="000000"/>
          <w:sz w:val="20"/>
          <w:szCs w:val="20"/>
          <w:highlight w:val="white"/>
        </w:rPr>
      </w:pPr>
    </w:p>
    <w:tbl>
      <w:tblPr>
        <w:tblStyle w:val="affff8"/>
        <w:tblW w:w="4735" w:type="dxa"/>
        <w:tblInd w:w="-98" w:type="dxa"/>
        <w:tblLayout w:type="fixed"/>
        <w:tblLook w:val="0000" w:firstRow="0" w:lastRow="0" w:firstColumn="0" w:lastColumn="0" w:noHBand="0" w:noVBand="0"/>
      </w:tblPr>
      <w:tblGrid>
        <w:gridCol w:w="2855"/>
        <w:gridCol w:w="1880"/>
      </w:tblGrid>
      <w:tr w:rsidR="002C4AF7">
        <w:trPr>
          <w:trHeight w:val="470"/>
        </w:trPr>
        <w:tc>
          <w:tcPr>
            <w:tcW w:w="4735" w:type="dxa"/>
            <w:gridSpan w:val="2"/>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tcPr>
          <w:p w:rsidR="002C4AF7" w:rsidRDefault="007C2686">
            <w:pPr>
              <w:spacing w:before="240" w:after="240" w:line="219" w:lineRule="auto"/>
              <w:ind w:left="0" w:hanging="2"/>
              <w:rPr>
                <w:rFonts w:ascii="Arial" w:eastAsia="Arial" w:hAnsi="Arial" w:cs="Arial"/>
                <w:sz w:val="18"/>
                <w:szCs w:val="18"/>
              </w:rPr>
            </w:pPr>
            <w:r>
              <w:rPr>
                <w:rFonts w:ascii="Arial" w:eastAsia="Arial" w:hAnsi="Arial" w:cs="Arial"/>
                <w:b/>
                <w:sz w:val="18"/>
                <w:szCs w:val="18"/>
              </w:rPr>
              <w:t>Tabla 7.4.a.1 Estimación de la población diana.</w:t>
            </w:r>
          </w:p>
        </w:tc>
      </w:tr>
      <w:tr w:rsidR="002C4AF7">
        <w:trPr>
          <w:trHeight w:val="620"/>
        </w:trPr>
        <w:tc>
          <w:tcPr>
            <w:tcW w:w="285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2C4AF7" w:rsidRDefault="007C2686">
            <w:pPr>
              <w:spacing w:before="240" w:after="240" w:line="219" w:lineRule="auto"/>
              <w:ind w:left="0" w:hanging="2"/>
              <w:rPr>
                <w:rFonts w:ascii="Arial" w:eastAsia="Arial" w:hAnsi="Arial" w:cs="Arial"/>
                <w:sz w:val="18"/>
                <w:szCs w:val="18"/>
              </w:rPr>
            </w:pPr>
            <w:r>
              <w:rPr>
                <w:rFonts w:ascii="Arial" w:eastAsia="Arial" w:hAnsi="Arial" w:cs="Arial"/>
                <w:b/>
                <w:sz w:val="18"/>
                <w:szCs w:val="18"/>
              </w:rPr>
              <w:t>Ámbito</w:t>
            </w:r>
          </w:p>
        </w:tc>
        <w:tc>
          <w:tcPr>
            <w:tcW w:w="1880" w:type="dxa"/>
            <w:tcBorders>
              <w:top w:val="nil"/>
              <w:left w:val="nil"/>
              <w:bottom w:val="single" w:sz="8" w:space="0" w:color="000000"/>
              <w:right w:val="single" w:sz="8" w:space="0" w:color="000000"/>
            </w:tcBorders>
            <w:shd w:val="clear" w:color="auto" w:fill="D9D9D9"/>
          </w:tcPr>
          <w:p w:rsidR="002C4AF7" w:rsidRDefault="007C2686">
            <w:pPr>
              <w:spacing w:line="219" w:lineRule="auto"/>
              <w:ind w:left="0" w:right="380" w:hanging="2"/>
              <w:rPr>
                <w:rFonts w:ascii="Arial" w:eastAsia="Arial" w:hAnsi="Arial" w:cs="Arial"/>
                <w:sz w:val="18"/>
                <w:szCs w:val="18"/>
              </w:rPr>
            </w:pPr>
            <w:r>
              <w:rPr>
                <w:rFonts w:ascii="Arial" w:eastAsia="Arial" w:hAnsi="Arial" w:cs="Arial"/>
                <w:b/>
                <w:sz w:val="18"/>
                <w:szCs w:val="18"/>
              </w:rPr>
              <w:t>España</w:t>
            </w:r>
          </w:p>
        </w:tc>
      </w:tr>
      <w:tr w:rsidR="002C4AF7">
        <w:trPr>
          <w:trHeight w:val="845"/>
        </w:trPr>
        <w:tc>
          <w:tcPr>
            <w:tcW w:w="28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C4AF7" w:rsidRDefault="007C2686">
            <w:pPr>
              <w:spacing w:before="240" w:after="240" w:line="219" w:lineRule="auto"/>
              <w:ind w:left="0" w:hanging="2"/>
              <w:rPr>
                <w:rFonts w:ascii="Arial" w:eastAsia="Arial" w:hAnsi="Arial" w:cs="Arial"/>
                <w:sz w:val="18"/>
                <w:szCs w:val="18"/>
              </w:rPr>
            </w:pPr>
            <w:r>
              <w:rPr>
                <w:rFonts w:ascii="Arial" w:eastAsia="Arial" w:hAnsi="Arial" w:cs="Arial"/>
                <w:b/>
                <w:sz w:val="18"/>
                <w:szCs w:val="18"/>
              </w:rPr>
              <w:t>Población de referencia</w:t>
            </w:r>
          </w:p>
        </w:tc>
        <w:tc>
          <w:tcPr>
            <w:tcW w:w="1880" w:type="dxa"/>
            <w:tcBorders>
              <w:top w:val="nil"/>
              <w:left w:val="nil"/>
              <w:bottom w:val="single" w:sz="8" w:space="0" w:color="000000"/>
              <w:right w:val="single" w:sz="8" w:space="0" w:color="000000"/>
            </w:tcBorders>
          </w:tcPr>
          <w:p w:rsidR="002C4AF7" w:rsidRDefault="007C2686">
            <w:pPr>
              <w:spacing w:before="100"/>
              <w:ind w:left="0" w:right="380" w:hanging="2"/>
              <w:rPr>
                <w:rFonts w:ascii="Arial" w:eastAsia="Arial" w:hAnsi="Arial" w:cs="Arial"/>
                <w:sz w:val="18"/>
                <w:szCs w:val="18"/>
              </w:rPr>
            </w:pPr>
            <w:r>
              <w:rPr>
                <w:rFonts w:ascii="Arial" w:eastAsia="Arial" w:hAnsi="Arial" w:cs="Arial"/>
                <w:sz w:val="18"/>
                <w:szCs w:val="18"/>
              </w:rPr>
              <w:t>47.329.981</w:t>
            </w:r>
          </w:p>
        </w:tc>
      </w:tr>
      <w:tr w:rsidR="002C4AF7">
        <w:trPr>
          <w:trHeight w:val="1325"/>
        </w:trPr>
        <w:tc>
          <w:tcPr>
            <w:tcW w:w="28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C4AF7" w:rsidRDefault="007C2686">
            <w:pPr>
              <w:ind w:left="0" w:right="560" w:hanging="2"/>
              <w:rPr>
                <w:rFonts w:ascii="Arial" w:eastAsia="Arial" w:hAnsi="Arial" w:cs="Arial"/>
                <w:sz w:val="18"/>
                <w:szCs w:val="18"/>
              </w:rPr>
            </w:pPr>
            <w:r>
              <w:rPr>
                <w:rFonts w:ascii="Arial" w:eastAsia="Arial" w:hAnsi="Arial" w:cs="Arial"/>
                <w:b/>
                <w:sz w:val="18"/>
                <w:szCs w:val="18"/>
              </w:rPr>
              <w:lastRenderedPageBreak/>
              <w:t>Población diana (pacientes diagnosticados de cáncer de próstata metastásico/año)</w:t>
            </w:r>
          </w:p>
        </w:tc>
        <w:tc>
          <w:tcPr>
            <w:tcW w:w="1880" w:type="dxa"/>
            <w:tcBorders>
              <w:top w:val="nil"/>
              <w:left w:val="nil"/>
              <w:bottom w:val="single" w:sz="8" w:space="0" w:color="000000"/>
              <w:right w:val="single" w:sz="8" w:space="0" w:color="000000"/>
            </w:tcBorders>
          </w:tcPr>
          <w:p w:rsidR="002C4AF7" w:rsidRDefault="007C2686">
            <w:pPr>
              <w:ind w:left="0" w:right="380" w:hanging="2"/>
              <w:rPr>
                <w:rFonts w:ascii="Arial" w:eastAsia="Arial" w:hAnsi="Arial" w:cs="Arial"/>
                <w:sz w:val="18"/>
                <w:szCs w:val="18"/>
              </w:rPr>
            </w:pPr>
            <w:r>
              <w:rPr>
                <w:rFonts w:ascii="Arial" w:eastAsia="Arial" w:hAnsi="Arial" w:cs="Arial"/>
                <w:sz w:val="18"/>
                <w:szCs w:val="18"/>
              </w:rPr>
              <w:t>2.290</w:t>
            </w:r>
          </w:p>
        </w:tc>
      </w:tr>
    </w:tbl>
    <w:p w:rsidR="002C4AF7" w:rsidRDefault="007C2686">
      <w:pPr>
        <w:pBdr>
          <w:top w:val="single" w:sz="4" w:space="1" w:color="000000"/>
          <w:left w:val="single" w:sz="4" w:space="4" w:color="000000"/>
          <w:bottom w:val="single" w:sz="4" w:space="1" w:color="000000"/>
          <w:right w:val="single" w:sz="4" w:space="4" w:color="000000"/>
        </w:pBdr>
        <w:shd w:val="clear" w:color="auto" w:fill="D9D9D9"/>
        <w:ind w:left="0" w:hanging="2"/>
        <w:rPr>
          <w:rFonts w:ascii="Arial" w:eastAsia="Arial" w:hAnsi="Arial" w:cs="Arial"/>
          <w:sz w:val="18"/>
          <w:szCs w:val="18"/>
        </w:rPr>
      </w:pPr>
      <w:r>
        <w:rPr>
          <w:rFonts w:ascii="Arial" w:eastAsia="Arial" w:hAnsi="Arial" w:cs="Arial"/>
          <w:b/>
          <w:sz w:val="20"/>
          <w:szCs w:val="20"/>
        </w:rPr>
        <w:t>7.4.2 Estimación del impacto presupuestario</w:t>
      </w:r>
    </w:p>
    <w:p w:rsidR="002C4AF7" w:rsidRDefault="002C4AF7">
      <w:pPr>
        <w:tabs>
          <w:tab w:val="center" w:pos="4252"/>
          <w:tab w:val="right" w:pos="8504"/>
        </w:tabs>
        <w:spacing w:line="240" w:lineRule="auto"/>
        <w:jc w:val="both"/>
        <w:rPr>
          <w:rFonts w:ascii="Arial" w:eastAsia="Arial" w:hAnsi="Arial" w:cs="Arial"/>
          <w:sz w:val="11"/>
          <w:szCs w:val="11"/>
        </w:rPr>
      </w:pPr>
    </w:p>
    <w:p w:rsidR="002C4AF7" w:rsidRDefault="007C2686">
      <w:pPr>
        <w:tabs>
          <w:tab w:val="center" w:pos="4252"/>
          <w:tab w:val="right" w:pos="8504"/>
        </w:tabs>
        <w:spacing w:line="240" w:lineRule="auto"/>
        <w:ind w:left="0" w:hanging="2"/>
        <w:jc w:val="both"/>
        <w:rPr>
          <w:rFonts w:ascii="Arial" w:eastAsia="Arial" w:hAnsi="Arial" w:cs="Arial"/>
        </w:rPr>
      </w:pPr>
      <w:r>
        <w:rPr>
          <w:rFonts w:ascii="Arial" w:eastAsia="Arial" w:hAnsi="Arial" w:cs="Arial"/>
          <w:sz w:val="20"/>
          <w:szCs w:val="20"/>
        </w:rPr>
        <w:t>E</w:t>
      </w:r>
      <w:r>
        <w:rPr>
          <w:rFonts w:ascii="Arial" w:eastAsia="Arial" w:hAnsi="Arial" w:cs="Arial"/>
          <w:color w:val="000000"/>
          <w:sz w:val="20"/>
          <w:szCs w:val="20"/>
        </w:rPr>
        <w:t>l número de candidatos al año para iniciar tratamiento con enzalutamida + TDA en España es de 2.290 personas</w:t>
      </w:r>
      <w:r>
        <w:rPr>
          <w:rFonts w:ascii="Arial" w:eastAsia="Arial" w:hAnsi="Arial" w:cs="Arial"/>
          <w:sz w:val="20"/>
          <w:szCs w:val="20"/>
        </w:rPr>
        <w:t>.</w:t>
      </w:r>
      <w:r>
        <w:rPr>
          <w:rFonts w:ascii="Arial" w:eastAsia="Arial" w:hAnsi="Arial" w:cs="Arial"/>
        </w:rPr>
        <w:t xml:space="preserve"> </w:t>
      </w:r>
    </w:p>
    <w:p w:rsidR="002C4AF7" w:rsidRDefault="002C4AF7">
      <w:pPr>
        <w:tabs>
          <w:tab w:val="center" w:pos="4252"/>
          <w:tab w:val="right" w:pos="8504"/>
        </w:tabs>
        <w:spacing w:line="240" w:lineRule="auto"/>
        <w:ind w:left="0" w:hanging="2"/>
        <w:jc w:val="both"/>
        <w:rPr>
          <w:rFonts w:ascii="Arial" w:eastAsia="Arial" w:hAnsi="Arial" w:cs="Arial"/>
          <w:sz w:val="20"/>
          <w:szCs w:val="20"/>
        </w:rPr>
      </w:pPr>
    </w:p>
    <w:p w:rsidR="002C4AF7" w:rsidRDefault="007C2686">
      <w:pPr>
        <w:tabs>
          <w:tab w:val="center" w:pos="4252"/>
          <w:tab w:val="right" w:pos="8504"/>
        </w:tabs>
        <w:spacing w:line="240" w:lineRule="auto"/>
        <w:ind w:left="0" w:hanging="2"/>
        <w:jc w:val="both"/>
        <w:rPr>
          <w:rFonts w:ascii="Arial" w:eastAsia="Arial" w:hAnsi="Arial" w:cs="Arial"/>
          <w:sz w:val="20"/>
          <w:szCs w:val="20"/>
          <w:highlight w:val="white"/>
        </w:rPr>
      </w:pPr>
      <w:r>
        <w:rPr>
          <w:rFonts w:ascii="Arial" w:eastAsia="Arial" w:hAnsi="Arial" w:cs="Arial"/>
          <w:sz w:val="20"/>
          <w:szCs w:val="20"/>
        </w:rPr>
        <w:t xml:space="preserve">Se pueden asumir distintos escenarios de tratamiento. </w:t>
      </w:r>
      <w:r>
        <w:rPr>
          <w:rFonts w:ascii="Arial" w:eastAsia="Arial" w:hAnsi="Arial" w:cs="Arial"/>
          <w:sz w:val="20"/>
          <w:szCs w:val="20"/>
          <w:highlight w:val="white"/>
        </w:rPr>
        <w:t>En cada escenario, se divide la población diana en los fármacos disponibles, asumiendo una distribución similar:</w:t>
      </w:r>
    </w:p>
    <w:p w:rsidR="002C4AF7" w:rsidRDefault="002C4AF7">
      <w:pPr>
        <w:tabs>
          <w:tab w:val="center" w:pos="4252"/>
          <w:tab w:val="right" w:pos="8504"/>
        </w:tabs>
        <w:spacing w:line="240" w:lineRule="auto"/>
        <w:ind w:left="0" w:hanging="2"/>
        <w:jc w:val="both"/>
        <w:rPr>
          <w:rFonts w:ascii="Arial" w:eastAsia="Arial" w:hAnsi="Arial" w:cs="Arial"/>
          <w:sz w:val="20"/>
          <w:szCs w:val="20"/>
          <w:highlight w:val="white"/>
        </w:rPr>
      </w:pPr>
    </w:p>
    <w:p w:rsidR="002C4AF7" w:rsidRDefault="007C2686">
      <w:pPr>
        <w:tabs>
          <w:tab w:val="center" w:pos="4252"/>
          <w:tab w:val="right" w:pos="8504"/>
        </w:tabs>
        <w:spacing w:line="240" w:lineRule="auto"/>
        <w:ind w:left="0" w:hanging="2"/>
        <w:rPr>
          <w:rFonts w:ascii="Arial" w:eastAsia="Arial" w:hAnsi="Arial" w:cs="Arial"/>
          <w:sz w:val="20"/>
          <w:szCs w:val="20"/>
          <w:highlight w:val="white"/>
        </w:rPr>
      </w:pPr>
      <w:r>
        <w:rPr>
          <w:rFonts w:ascii="Arial" w:eastAsia="Arial" w:hAnsi="Arial" w:cs="Arial"/>
          <w:sz w:val="20"/>
          <w:szCs w:val="20"/>
          <w:highlight w:val="white"/>
        </w:rPr>
        <w:t>• CPHSm de novo (sincrónico) y alto volumen: docetaxel, abiraterona, apalutamida y enzalutamida.</w:t>
      </w:r>
    </w:p>
    <w:p w:rsidR="002C4AF7" w:rsidRDefault="007C2686">
      <w:pPr>
        <w:tabs>
          <w:tab w:val="center" w:pos="4252"/>
          <w:tab w:val="right" w:pos="8504"/>
        </w:tabs>
        <w:spacing w:line="240" w:lineRule="auto"/>
        <w:ind w:left="0" w:hanging="2"/>
        <w:rPr>
          <w:rFonts w:ascii="Arial" w:eastAsia="Arial" w:hAnsi="Arial" w:cs="Arial"/>
          <w:sz w:val="20"/>
          <w:szCs w:val="20"/>
          <w:highlight w:val="white"/>
        </w:rPr>
      </w:pPr>
      <w:r>
        <w:rPr>
          <w:rFonts w:ascii="Arial" w:eastAsia="Arial" w:hAnsi="Arial" w:cs="Arial"/>
          <w:sz w:val="20"/>
          <w:szCs w:val="20"/>
          <w:highlight w:val="white"/>
        </w:rPr>
        <w:t>• CPHSm de novo (sincrónico) y bajo volumen: docetaxel, apalutamida y enzalutamida.</w:t>
      </w:r>
    </w:p>
    <w:p w:rsidR="002C4AF7" w:rsidRDefault="002C4AF7">
      <w:pPr>
        <w:tabs>
          <w:tab w:val="center" w:pos="4252"/>
          <w:tab w:val="right" w:pos="8504"/>
        </w:tabs>
        <w:spacing w:line="240" w:lineRule="auto"/>
        <w:ind w:left="0" w:hanging="2"/>
        <w:rPr>
          <w:rFonts w:ascii="Arial" w:eastAsia="Arial" w:hAnsi="Arial" w:cs="Arial"/>
          <w:sz w:val="20"/>
          <w:szCs w:val="20"/>
          <w:highlight w:val="white"/>
        </w:rPr>
      </w:pPr>
    </w:p>
    <w:p w:rsidR="002C4AF7" w:rsidRDefault="007C2686">
      <w:pPr>
        <w:tabs>
          <w:tab w:val="center" w:pos="4252"/>
          <w:tab w:val="right" w:pos="8504"/>
        </w:tabs>
        <w:spacing w:line="240" w:lineRule="auto"/>
        <w:ind w:left="0" w:hanging="2"/>
        <w:rPr>
          <w:rFonts w:ascii="Arial" w:eastAsia="Arial" w:hAnsi="Arial" w:cs="Arial"/>
          <w:sz w:val="20"/>
          <w:szCs w:val="20"/>
          <w:highlight w:val="white"/>
        </w:rPr>
      </w:pPr>
      <w:r>
        <w:rPr>
          <w:rFonts w:ascii="Arial" w:eastAsia="Arial" w:hAnsi="Arial" w:cs="Arial"/>
          <w:sz w:val="20"/>
          <w:szCs w:val="20"/>
          <w:highlight w:val="white"/>
        </w:rPr>
        <w:t xml:space="preserve">Si bien no hay evidencia de falta de eficacia de docetaxel en bajo volumen tumoral, en la práctica cada vez se usa menos. </w:t>
      </w:r>
    </w:p>
    <w:p w:rsidR="002C4AF7" w:rsidRDefault="002C4AF7">
      <w:pPr>
        <w:tabs>
          <w:tab w:val="center" w:pos="4252"/>
          <w:tab w:val="right" w:pos="8504"/>
        </w:tabs>
        <w:spacing w:line="240" w:lineRule="auto"/>
        <w:ind w:left="0" w:hanging="2"/>
        <w:rPr>
          <w:rFonts w:ascii="Arial" w:eastAsia="Arial" w:hAnsi="Arial" w:cs="Arial"/>
          <w:sz w:val="20"/>
          <w:szCs w:val="20"/>
          <w:highlight w:val="white"/>
        </w:rPr>
      </w:pPr>
    </w:p>
    <w:p w:rsidR="002C4AF7" w:rsidRDefault="007C2686">
      <w:pPr>
        <w:tabs>
          <w:tab w:val="center" w:pos="4252"/>
          <w:tab w:val="right" w:pos="8504"/>
        </w:tabs>
        <w:spacing w:line="240" w:lineRule="auto"/>
        <w:ind w:left="0" w:hanging="2"/>
        <w:rPr>
          <w:rFonts w:ascii="Arial" w:eastAsia="Arial" w:hAnsi="Arial" w:cs="Arial"/>
          <w:sz w:val="20"/>
          <w:szCs w:val="20"/>
          <w:highlight w:val="white"/>
        </w:rPr>
      </w:pPr>
      <w:r>
        <w:rPr>
          <w:rFonts w:ascii="Arial" w:eastAsia="Arial" w:hAnsi="Arial" w:cs="Arial"/>
          <w:sz w:val="20"/>
          <w:szCs w:val="20"/>
          <w:highlight w:val="white"/>
        </w:rPr>
        <w:t>• CPHSm metacrónico y alto volumen: apalutamida y enzalutamida.</w:t>
      </w:r>
    </w:p>
    <w:p w:rsidR="002C4AF7" w:rsidRDefault="007C2686">
      <w:pPr>
        <w:tabs>
          <w:tab w:val="center" w:pos="4252"/>
          <w:tab w:val="right" w:pos="8504"/>
        </w:tabs>
        <w:spacing w:line="240" w:lineRule="auto"/>
        <w:ind w:left="0" w:hanging="2"/>
        <w:rPr>
          <w:rFonts w:ascii="Arial" w:eastAsia="Arial" w:hAnsi="Arial" w:cs="Arial"/>
          <w:sz w:val="20"/>
          <w:szCs w:val="20"/>
          <w:highlight w:val="white"/>
        </w:rPr>
      </w:pPr>
      <w:r>
        <w:rPr>
          <w:rFonts w:ascii="Arial" w:eastAsia="Arial" w:hAnsi="Arial" w:cs="Arial"/>
          <w:sz w:val="20"/>
          <w:szCs w:val="20"/>
          <w:highlight w:val="white"/>
        </w:rPr>
        <w:t>• CPHSm metacrónico</w:t>
      </w:r>
      <w:r w:rsidR="00B7245A">
        <w:rPr>
          <w:rFonts w:ascii="Arial" w:eastAsia="Arial" w:hAnsi="Arial" w:cs="Arial"/>
          <w:sz w:val="20"/>
          <w:szCs w:val="20"/>
          <w:highlight w:val="white"/>
        </w:rPr>
        <w:t xml:space="preserve"> y bajo volumen: apalutamida y </w:t>
      </w:r>
      <w:r>
        <w:rPr>
          <w:rFonts w:ascii="Arial" w:eastAsia="Arial" w:hAnsi="Arial" w:cs="Arial"/>
          <w:sz w:val="20"/>
          <w:szCs w:val="20"/>
          <w:highlight w:val="white"/>
        </w:rPr>
        <w:t>enzalutamida.</w:t>
      </w:r>
    </w:p>
    <w:p w:rsidR="002C4AF7" w:rsidRDefault="002C4AF7">
      <w:pPr>
        <w:tabs>
          <w:tab w:val="center" w:pos="4252"/>
          <w:tab w:val="right" w:pos="8504"/>
        </w:tabs>
        <w:spacing w:line="240" w:lineRule="auto"/>
        <w:ind w:left="0" w:hanging="2"/>
        <w:rPr>
          <w:rFonts w:ascii="Arial" w:eastAsia="Arial" w:hAnsi="Arial" w:cs="Arial"/>
          <w:sz w:val="20"/>
          <w:szCs w:val="20"/>
        </w:rPr>
      </w:pPr>
    </w:p>
    <w:p w:rsidR="002C4AF7" w:rsidRDefault="007C2686">
      <w:pPr>
        <w:tabs>
          <w:tab w:val="center" w:pos="4252"/>
          <w:tab w:val="right" w:pos="8504"/>
        </w:tabs>
        <w:spacing w:line="240" w:lineRule="auto"/>
        <w:ind w:left="0" w:hanging="2"/>
        <w:rPr>
          <w:rFonts w:ascii="Arial" w:eastAsia="Arial" w:hAnsi="Arial" w:cs="Arial"/>
          <w:sz w:val="20"/>
          <w:szCs w:val="20"/>
          <w:highlight w:val="white"/>
        </w:rPr>
      </w:pPr>
      <w:r>
        <w:rPr>
          <w:rFonts w:ascii="Arial" w:eastAsia="Arial" w:hAnsi="Arial" w:cs="Arial"/>
          <w:sz w:val="20"/>
          <w:szCs w:val="20"/>
          <w:highlight w:val="white"/>
        </w:rPr>
        <w:t>El porcentaje de pacientes de bajo volumen incluidos en el ensayo ENZAMET fue del 48% vs. un 52% de alto volumen. El 60% de los pacientes eran de nuevo diagnóstico, y un 40% eran metastásicos metacrónicos.</w:t>
      </w:r>
    </w:p>
    <w:p w:rsidR="002C4AF7" w:rsidRDefault="002C4AF7">
      <w:pPr>
        <w:tabs>
          <w:tab w:val="center" w:pos="4252"/>
          <w:tab w:val="right" w:pos="8504"/>
        </w:tabs>
        <w:spacing w:line="240" w:lineRule="auto"/>
        <w:ind w:left="0" w:hanging="2"/>
        <w:rPr>
          <w:rFonts w:ascii="Arial" w:eastAsia="Arial" w:hAnsi="Arial" w:cs="Arial"/>
          <w:sz w:val="20"/>
          <w:szCs w:val="20"/>
          <w:highlight w:val="white"/>
        </w:rPr>
      </w:pPr>
    </w:p>
    <w:p w:rsidR="002C4AF7" w:rsidRDefault="007C2686">
      <w:pPr>
        <w:tabs>
          <w:tab w:val="center" w:pos="4252"/>
          <w:tab w:val="right" w:pos="8504"/>
        </w:tabs>
        <w:spacing w:line="240" w:lineRule="auto"/>
        <w:ind w:left="0" w:hanging="2"/>
        <w:rPr>
          <w:rFonts w:ascii="Arial" w:eastAsia="Arial" w:hAnsi="Arial" w:cs="Arial"/>
          <w:sz w:val="20"/>
          <w:szCs w:val="20"/>
        </w:rPr>
      </w:pPr>
      <w:r>
        <w:rPr>
          <w:rFonts w:ascii="Arial" w:eastAsia="Arial" w:hAnsi="Arial" w:cs="Arial"/>
          <w:sz w:val="20"/>
          <w:szCs w:val="20"/>
        </w:rPr>
        <w:t xml:space="preserve">Por lo que, extrapolando estas asunciones a la población española, de los 2290 pacientes diagnosticados de </w:t>
      </w:r>
      <w:r>
        <w:rPr>
          <w:rFonts w:ascii="Arial" w:eastAsia="Arial" w:hAnsi="Arial" w:cs="Arial"/>
          <w:sz w:val="20"/>
          <w:szCs w:val="20"/>
          <w:highlight w:val="white"/>
        </w:rPr>
        <w:t>CPHSm al año, el 48% (1100 pacientes) serían pacientes de bajo volumen candidatos a recibir apalutamida o enzalutamida</w:t>
      </w:r>
      <w:r w:rsidR="00527548">
        <w:rPr>
          <w:rFonts w:ascii="Arial" w:eastAsia="Arial" w:hAnsi="Arial" w:cs="Arial"/>
          <w:sz w:val="20"/>
          <w:szCs w:val="20"/>
          <w:highlight w:val="white"/>
        </w:rPr>
        <w:t xml:space="preserve">. Los 1190 pacientes restantes </w:t>
      </w:r>
      <w:r>
        <w:rPr>
          <w:rFonts w:ascii="Arial" w:eastAsia="Arial" w:hAnsi="Arial" w:cs="Arial"/>
          <w:sz w:val="20"/>
          <w:szCs w:val="20"/>
          <w:highlight w:val="white"/>
        </w:rPr>
        <w:t>(alto volumen tumoral) serían candidatos a recibir cualquiera de los tres fármacos (docetaxel, abiraterona, apalutamida o enzalutamida).</w:t>
      </w:r>
    </w:p>
    <w:p w:rsidR="002C4AF7" w:rsidRDefault="002C4AF7">
      <w:pPr>
        <w:tabs>
          <w:tab w:val="center" w:pos="4252"/>
          <w:tab w:val="right" w:pos="8504"/>
        </w:tabs>
        <w:spacing w:line="240" w:lineRule="auto"/>
        <w:ind w:left="0" w:hanging="2"/>
        <w:rPr>
          <w:rFonts w:ascii="Arial" w:eastAsia="Arial" w:hAnsi="Arial" w:cs="Arial"/>
          <w:color w:val="FF0000"/>
          <w:sz w:val="20"/>
          <w:szCs w:val="20"/>
        </w:rPr>
      </w:pPr>
    </w:p>
    <w:p w:rsidR="002C4AF7" w:rsidRDefault="007C2686">
      <w:pPr>
        <w:tabs>
          <w:tab w:val="center" w:pos="4252"/>
          <w:tab w:val="right" w:pos="8504"/>
        </w:tabs>
        <w:spacing w:line="240" w:lineRule="auto"/>
        <w:ind w:left="0" w:hanging="2"/>
        <w:rPr>
          <w:rFonts w:ascii="Arial" w:eastAsia="Arial" w:hAnsi="Arial" w:cs="Arial"/>
          <w:sz w:val="20"/>
          <w:szCs w:val="20"/>
        </w:rPr>
      </w:pPr>
      <w:r>
        <w:rPr>
          <w:rFonts w:ascii="Arial" w:eastAsia="Arial" w:hAnsi="Arial" w:cs="Arial"/>
          <w:sz w:val="20"/>
          <w:szCs w:val="20"/>
        </w:rPr>
        <w:t xml:space="preserve">Se puede asumir que el 50% de los pacientes con bajo volumen tumoral serán candidatos a recibir apalutamida, y el otro 50%, enzalutamida. Por lo tanto, la estimación de la población diana para enzalutamida sería aproximadamente de 550 pacientes al año. </w:t>
      </w:r>
    </w:p>
    <w:p w:rsidR="002C4AF7" w:rsidRDefault="002C4AF7">
      <w:pPr>
        <w:spacing w:after="240"/>
        <w:ind w:left="0" w:hanging="2"/>
        <w:rPr>
          <w:rFonts w:ascii="Arial" w:eastAsia="Arial" w:hAnsi="Arial" w:cs="Arial"/>
          <w:sz w:val="17"/>
          <w:szCs w:val="17"/>
        </w:rPr>
      </w:pPr>
    </w:p>
    <w:tbl>
      <w:tblPr>
        <w:tblStyle w:val="affff9"/>
        <w:tblW w:w="6660" w:type="dxa"/>
        <w:tblInd w:w="-98" w:type="dxa"/>
        <w:tblLayout w:type="fixed"/>
        <w:tblLook w:val="0000" w:firstRow="0" w:lastRow="0" w:firstColumn="0" w:lastColumn="0" w:noHBand="0" w:noVBand="0"/>
      </w:tblPr>
      <w:tblGrid>
        <w:gridCol w:w="1706"/>
        <w:gridCol w:w="1408"/>
        <w:gridCol w:w="1870"/>
        <w:gridCol w:w="1676"/>
      </w:tblGrid>
      <w:tr w:rsidR="002C4AF7">
        <w:trPr>
          <w:trHeight w:val="470"/>
        </w:trPr>
        <w:tc>
          <w:tcPr>
            <w:tcW w:w="6660" w:type="dxa"/>
            <w:gridSpan w:val="4"/>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tcPr>
          <w:p w:rsidR="002C4AF7" w:rsidRDefault="007C2686">
            <w:pPr>
              <w:spacing w:before="240" w:after="240" w:line="219" w:lineRule="auto"/>
              <w:ind w:left="0" w:hanging="2"/>
              <w:rPr>
                <w:rFonts w:ascii="Arial" w:eastAsia="Arial" w:hAnsi="Arial" w:cs="Arial"/>
                <w:sz w:val="18"/>
                <w:szCs w:val="18"/>
              </w:rPr>
            </w:pPr>
            <w:r>
              <w:rPr>
                <w:rFonts w:ascii="Arial" w:eastAsia="Arial" w:hAnsi="Arial" w:cs="Arial"/>
                <w:b/>
                <w:sz w:val="18"/>
                <w:szCs w:val="18"/>
              </w:rPr>
              <w:t>Tabla 7.4.d.1 Estimación del impacto presupuestario a nivel  estatal.</w:t>
            </w:r>
          </w:p>
        </w:tc>
      </w:tr>
      <w:tr w:rsidR="002C4AF7">
        <w:trPr>
          <w:trHeight w:val="1535"/>
        </w:trPr>
        <w:tc>
          <w:tcPr>
            <w:tcW w:w="1706"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2C4AF7" w:rsidRDefault="002C4AF7">
            <w:pPr>
              <w:spacing w:before="240" w:after="240"/>
              <w:ind w:left="0" w:hanging="2"/>
              <w:rPr>
                <w:rFonts w:ascii="Arial" w:eastAsia="Arial" w:hAnsi="Arial" w:cs="Arial"/>
                <w:sz w:val="20"/>
                <w:szCs w:val="20"/>
              </w:rPr>
            </w:pPr>
          </w:p>
          <w:p w:rsidR="002C4AF7" w:rsidRDefault="007C2686">
            <w:pPr>
              <w:spacing w:before="180"/>
              <w:ind w:left="0" w:right="340" w:hanging="2"/>
              <w:rPr>
                <w:rFonts w:ascii="Arial" w:eastAsia="Arial" w:hAnsi="Arial" w:cs="Arial"/>
                <w:sz w:val="18"/>
                <w:szCs w:val="18"/>
              </w:rPr>
            </w:pPr>
            <w:r>
              <w:rPr>
                <w:rFonts w:ascii="Arial" w:eastAsia="Arial" w:hAnsi="Arial" w:cs="Arial"/>
                <w:b/>
                <w:sz w:val="18"/>
                <w:szCs w:val="18"/>
              </w:rPr>
              <w:t>Ámbito</w:t>
            </w:r>
          </w:p>
        </w:tc>
        <w:tc>
          <w:tcPr>
            <w:tcW w:w="1408" w:type="dxa"/>
            <w:tcBorders>
              <w:top w:val="nil"/>
              <w:left w:val="nil"/>
              <w:bottom w:val="single" w:sz="8" w:space="0" w:color="000000"/>
              <w:right w:val="single" w:sz="8" w:space="0" w:color="000000"/>
            </w:tcBorders>
            <w:shd w:val="clear" w:color="auto" w:fill="D9D9D9"/>
          </w:tcPr>
          <w:p w:rsidR="002C4AF7" w:rsidRDefault="007C2686">
            <w:pPr>
              <w:spacing w:before="100"/>
              <w:ind w:left="0" w:right="80" w:hanging="2"/>
              <w:rPr>
                <w:rFonts w:ascii="Arial" w:eastAsia="Arial" w:hAnsi="Arial" w:cs="Arial"/>
                <w:sz w:val="18"/>
                <w:szCs w:val="18"/>
              </w:rPr>
            </w:pPr>
            <w:r>
              <w:rPr>
                <w:rFonts w:ascii="Arial" w:eastAsia="Arial" w:hAnsi="Arial" w:cs="Arial"/>
                <w:b/>
                <w:sz w:val="18"/>
                <w:szCs w:val="18"/>
              </w:rPr>
              <w:t>Población diana (número de pacientes)</w:t>
            </w:r>
          </w:p>
        </w:tc>
        <w:tc>
          <w:tcPr>
            <w:tcW w:w="1870" w:type="dxa"/>
            <w:tcBorders>
              <w:top w:val="nil"/>
              <w:left w:val="nil"/>
              <w:bottom w:val="single" w:sz="8" w:space="0" w:color="000000"/>
              <w:right w:val="single" w:sz="8" w:space="0" w:color="000000"/>
            </w:tcBorders>
            <w:shd w:val="clear" w:color="auto" w:fill="D9D9D9"/>
          </w:tcPr>
          <w:p w:rsidR="002C4AF7" w:rsidRDefault="007C2686">
            <w:pPr>
              <w:ind w:left="0" w:right="200" w:hanging="2"/>
              <w:rPr>
                <w:rFonts w:ascii="Arial" w:eastAsia="Arial" w:hAnsi="Arial" w:cs="Arial"/>
                <w:sz w:val="18"/>
                <w:szCs w:val="18"/>
              </w:rPr>
            </w:pPr>
            <w:r>
              <w:rPr>
                <w:rFonts w:ascii="Arial" w:eastAsia="Arial" w:hAnsi="Arial" w:cs="Arial"/>
                <w:b/>
                <w:sz w:val="18"/>
                <w:szCs w:val="18"/>
              </w:rPr>
              <w:t>Coste tratamiento anual</w:t>
            </w:r>
          </w:p>
        </w:tc>
        <w:tc>
          <w:tcPr>
            <w:tcW w:w="1676" w:type="dxa"/>
            <w:tcBorders>
              <w:top w:val="nil"/>
              <w:left w:val="nil"/>
              <w:bottom w:val="single" w:sz="8" w:space="0" w:color="000000"/>
              <w:right w:val="single" w:sz="8" w:space="0" w:color="000000"/>
            </w:tcBorders>
            <w:shd w:val="clear" w:color="auto" w:fill="D9D9D9"/>
          </w:tcPr>
          <w:p w:rsidR="002C4AF7" w:rsidRDefault="007C2686">
            <w:pPr>
              <w:ind w:left="0" w:right="280" w:hanging="2"/>
              <w:rPr>
                <w:rFonts w:ascii="Arial" w:eastAsia="Arial" w:hAnsi="Arial" w:cs="Arial"/>
                <w:sz w:val="18"/>
                <w:szCs w:val="18"/>
              </w:rPr>
            </w:pPr>
            <w:r>
              <w:rPr>
                <w:rFonts w:ascii="Arial" w:eastAsia="Arial" w:hAnsi="Arial" w:cs="Arial"/>
                <w:b/>
                <w:sz w:val="18"/>
                <w:szCs w:val="18"/>
              </w:rPr>
              <w:t>Impacto económico</w:t>
            </w:r>
          </w:p>
        </w:tc>
      </w:tr>
      <w:tr w:rsidR="002C4AF7">
        <w:trPr>
          <w:trHeight w:val="950"/>
        </w:trPr>
        <w:tc>
          <w:tcPr>
            <w:tcW w:w="170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C4AF7" w:rsidRDefault="007C2686">
            <w:pPr>
              <w:spacing w:before="160"/>
              <w:ind w:left="0" w:right="340" w:hanging="2"/>
              <w:rPr>
                <w:rFonts w:ascii="Arial" w:eastAsia="Arial" w:hAnsi="Arial" w:cs="Arial"/>
                <w:sz w:val="18"/>
                <w:szCs w:val="18"/>
              </w:rPr>
            </w:pPr>
            <w:r>
              <w:rPr>
                <w:rFonts w:ascii="Arial" w:eastAsia="Arial" w:hAnsi="Arial" w:cs="Arial"/>
                <w:sz w:val="18"/>
                <w:szCs w:val="18"/>
              </w:rPr>
              <w:t>España</w:t>
            </w:r>
          </w:p>
        </w:tc>
        <w:tc>
          <w:tcPr>
            <w:tcW w:w="1408" w:type="dxa"/>
            <w:tcBorders>
              <w:top w:val="nil"/>
              <w:left w:val="nil"/>
              <w:bottom w:val="single" w:sz="8" w:space="0" w:color="000000"/>
              <w:right w:val="single" w:sz="8" w:space="0" w:color="000000"/>
            </w:tcBorders>
          </w:tcPr>
          <w:p w:rsidR="002C4AF7" w:rsidRDefault="007C2686">
            <w:pPr>
              <w:spacing w:before="160"/>
              <w:ind w:left="0" w:right="80" w:hanging="2"/>
              <w:rPr>
                <w:rFonts w:ascii="Arial" w:eastAsia="Arial" w:hAnsi="Arial" w:cs="Arial"/>
                <w:sz w:val="18"/>
                <w:szCs w:val="18"/>
              </w:rPr>
            </w:pPr>
            <w:r>
              <w:rPr>
                <w:rFonts w:ascii="Arial" w:eastAsia="Arial" w:hAnsi="Arial" w:cs="Arial"/>
                <w:sz w:val="18"/>
                <w:szCs w:val="18"/>
              </w:rPr>
              <w:t>550</w:t>
            </w:r>
          </w:p>
        </w:tc>
        <w:tc>
          <w:tcPr>
            <w:tcW w:w="1870" w:type="dxa"/>
            <w:tcBorders>
              <w:top w:val="nil"/>
              <w:left w:val="nil"/>
              <w:bottom w:val="single" w:sz="8" w:space="0" w:color="000000"/>
              <w:right w:val="single" w:sz="8" w:space="0" w:color="000000"/>
            </w:tcBorders>
          </w:tcPr>
          <w:p w:rsidR="002C4AF7" w:rsidRDefault="007C2686">
            <w:pPr>
              <w:spacing w:before="160"/>
              <w:ind w:left="0" w:right="240" w:hanging="2"/>
              <w:rPr>
                <w:rFonts w:ascii="Arial" w:eastAsia="Arial" w:hAnsi="Arial" w:cs="Arial"/>
                <w:sz w:val="18"/>
                <w:szCs w:val="18"/>
              </w:rPr>
            </w:pPr>
            <w:r>
              <w:rPr>
                <w:rFonts w:ascii="Arial" w:eastAsia="Arial" w:hAnsi="Arial" w:cs="Arial"/>
                <w:sz w:val="16"/>
                <w:szCs w:val="16"/>
                <w:highlight w:val="white"/>
              </w:rPr>
              <w:t xml:space="preserve">41.253,29 </w:t>
            </w:r>
            <w:r>
              <w:rPr>
                <w:rFonts w:ascii="Arial" w:eastAsia="Arial" w:hAnsi="Arial" w:cs="Arial"/>
                <w:sz w:val="18"/>
                <w:szCs w:val="18"/>
              </w:rPr>
              <w:t>€</w:t>
            </w:r>
          </w:p>
        </w:tc>
        <w:tc>
          <w:tcPr>
            <w:tcW w:w="1676" w:type="dxa"/>
            <w:tcBorders>
              <w:top w:val="nil"/>
              <w:left w:val="nil"/>
              <w:bottom w:val="single" w:sz="8" w:space="0" w:color="000000"/>
              <w:right w:val="single" w:sz="8" w:space="0" w:color="000000"/>
            </w:tcBorders>
          </w:tcPr>
          <w:p w:rsidR="002C4AF7" w:rsidRDefault="007C2686">
            <w:pPr>
              <w:spacing w:before="160"/>
              <w:ind w:left="0" w:right="80" w:hanging="2"/>
              <w:rPr>
                <w:rFonts w:ascii="Arial" w:eastAsia="Arial" w:hAnsi="Arial" w:cs="Arial"/>
                <w:sz w:val="18"/>
                <w:szCs w:val="18"/>
              </w:rPr>
            </w:pPr>
            <w:r>
              <w:rPr>
                <w:rFonts w:ascii="Arial" w:eastAsia="Arial" w:hAnsi="Arial" w:cs="Arial"/>
                <w:sz w:val="18"/>
                <w:szCs w:val="18"/>
              </w:rPr>
              <w:t>22.689.150€</w:t>
            </w:r>
          </w:p>
        </w:tc>
      </w:tr>
    </w:tbl>
    <w:p w:rsidR="002C4AF7" w:rsidRDefault="002C4AF7">
      <w:pPr>
        <w:tabs>
          <w:tab w:val="center" w:pos="4252"/>
          <w:tab w:val="right" w:pos="8504"/>
        </w:tabs>
        <w:spacing w:line="240" w:lineRule="auto"/>
        <w:ind w:left="0" w:hanging="2"/>
        <w:rPr>
          <w:rFonts w:ascii="Arial" w:eastAsia="Arial" w:hAnsi="Arial" w:cs="Arial"/>
        </w:rPr>
      </w:pPr>
    </w:p>
    <w:p w:rsidR="002C4AF7" w:rsidRDefault="007C2686">
      <w:pPr>
        <w:pBdr>
          <w:top w:val="single" w:sz="4" w:space="1" w:color="000000"/>
          <w:left w:val="single" w:sz="4" w:space="4" w:color="000000"/>
          <w:bottom w:val="single" w:sz="4" w:space="1" w:color="000000"/>
          <w:right w:val="single" w:sz="4" w:space="4" w:color="000000"/>
        </w:pBdr>
        <w:shd w:val="clear" w:color="auto" w:fill="D9D9D9"/>
        <w:ind w:left="0" w:hanging="2"/>
        <w:rPr>
          <w:rFonts w:ascii="Arial" w:eastAsia="Arial" w:hAnsi="Arial" w:cs="Arial"/>
        </w:rPr>
      </w:pPr>
      <w:r>
        <w:rPr>
          <w:rFonts w:ascii="Arial" w:eastAsia="Arial" w:hAnsi="Arial" w:cs="Arial"/>
          <w:b/>
          <w:sz w:val="20"/>
          <w:szCs w:val="20"/>
        </w:rPr>
        <w:t>7.5. Propuesta de posicionamiento</w:t>
      </w:r>
    </w:p>
    <w:p w:rsidR="002C4AF7" w:rsidRDefault="002C4AF7">
      <w:pPr>
        <w:ind w:left="0" w:hanging="2"/>
        <w:jc w:val="both"/>
        <w:rPr>
          <w:rFonts w:ascii="Arial" w:eastAsia="Arial" w:hAnsi="Arial" w:cs="Arial"/>
          <w:sz w:val="20"/>
          <w:szCs w:val="20"/>
        </w:rPr>
      </w:pPr>
    </w:p>
    <w:p w:rsidR="002C4AF7" w:rsidRDefault="007C2686">
      <w:pPr>
        <w:tabs>
          <w:tab w:val="center" w:pos="4252"/>
          <w:tab w:val="right" w:pos="8504"/>
        </w:tabs>
        <w:spacing w:line="240" w:lineRule="auto"/>
        <w:ind w:left="0" w:hanging="2"/>
        <w:jc w:val="both"/>
        <w:rPr>
          <w:rFonts w:ascii="Arial" w:eastAsia="Arial" w:hAnsi="Arial" w:cs="Arial"/>
          <w:sz w:val="20"/>
          <w:szCs w:val="20"/>
        </w:rPr>
      </w:pPr>
      <w:r>
        <w:rPr>
          <w:rFonts w:ascii="Arial" w:eastAsia="Arial" w:hAnsi="Arial" w:cs="Arial"/>
          <w:sz w:val="20"/>
          <w:szCs w:val="20"/>
        </w:rPr>
        <w:t xml:space="preserve">La falta de estudios comparativos entre las diferentes alternativas terapéuticas para el paciente con CPHSm, no permite posicionar a ninguno de ellos como preferente, desde el punto de vista clínico. </w:t>
      </w:r>
    </w:p>
    <w:p w:rsidR="002C4AF7" w:rsidRDefault="007C2686">
      <w:pPr>
        <w:tabs>
          <w:tab w:val="center" w:pos="4252"/>
          <w:tab w:val="right" w:pos="8504"/>
        </w:tabs>
        <w:spacing w:line="240" w:lineRule="auto"/>
        <w:ind w:left="0" w:hanging="2"/>
        <w:jc w:val="both"/>
        <w:rPr>
          <w:rFonts w:ascii="Arial" w:eastAsia="Arial" w:hAnsi="Arial" w:cs="Arial"/>
          <w:color w:val="000000"/>
          <w:sz w:val="20"/>
          <w:szCs w:val="20"/>
        </w:rPr>
      </w:pPr>
      <w:r>
        <w:rPr>
          <w:rFonts w:ascii="Arial" w:eastAsia="Arial" w:hAnsi="Arial" w:cs="Arial"/>
          <w:sz w:val="20"/>
          <w:szCs w:val="20"/>
        </w:rPr>
        <w:t xml:space="preserve">Existe controversia sobre el uso de docetaxel o nuevos agentes hormonales en pacientes con bajo volumen, por el momento, la inconsistencia de los análisis por subgrupos disponibles y la baja fiabilidad, no permite su aplicabilidad en el posicionamiento de estos fármacos. La elección terapéutica deberá considerar las características propias de cada paciente, el perfil de seguridad y tolerabilidad de cada alternativa, así como las diferencias en regímenes posológicos, interacciones farmacológicas y posibles dificultades de adherencia y la estrategia global de tratamiento, incluyendo las opciones terapéuticas para la situación de CPRC. </w:t>
      </w:r>
      <w:r>
        <w:rPr>
          <w:rFonts w:ascii="Arial" w:eastAsia="Arial" w:hAnsi="Arial" w:cs="Arial"/>
          <w:color w:val="000000"/>
        </w:rPr>
        <w:tab/>
      </w:r>
    </w:p>
    <w:p w:rsidR="002C4AF7" w:rsidRDefault="002C4AF7">
      <w:pPr>
        <w:tabs>
          <w:tab w:val="center" w:pos="4252"/>
          <w:tab w:val="right" w:pos="8504"/>
        </w:tabs>
        <w:spacing w:line="240" w:lineRule="auto"/>
        <w:ind w:left="0" w:hanging="2"/>
        <w:jc w:val="both"/>
        <w:rPr>
          <w:rFonts w:ascii="Arial" w:eastAsia="Arial" w:hAnsi="Arial" w:cs="Arial"/>
          <w:sz w:val="20"/>
          <w:szCs w:val="20"/>
        </w:rPr>
      </w:pPr>
    </w:p>
    <w:p w:rsidR="002C4AF7" w:rsidRDefault="007C2686">
      <w:pPr>
        <w:tabs>
          <w:tab w:val="center" w:pos="4252"/>
          <w:tab w:val="right" w:pos="8504"/>
        </w:tabs>
        <w:spacing w:line="240" w:lineRule="auto"/>
        <w:ind w:left="0" w:hanging="2"/>
        <w:jc w:val="both"/>
        <w:rPr>
          <w:rFonts w:ascii="Arial" w:eastAsia="Arial" w:hAnsi="Arial" w:cs="Arial"/>
          <w:sz w:val="20"/>
          <w:szCs w:val="20"/>
        </w:rPr>
      </w:pPr>
      <w:r>
        <w:rPr>
          <w:rFonts w:ascii="Arial" w:eastAsia="Arial" w:hAnsi="Arial" w:cs="Arial"/>
          <w:sz w:val="20"/>
          <w:szCs w:val="20"/>
        </w:rPr>
        <w:t>Se sugiere su empleo en hombres adultos que no toleren o no sean susceptibles de recibir quimioterapia con Docetaxel.</w:t>
      </w:r>
    </w:p>
    <w:p w:rsidR="002C4AF7" w:rsidRDefault="002C4AF7">
      <w:pPr>
        <w:tabs>
          <w:tab w:val="center" w:pos="4252"/>
          <w:tab w:val="right" w:pos="8504"/>
        </w:tabs>
        <w:spacing w:line="240" w:lineRule="auto"/>
        <w:ind w:left="0" w:hanging="2"/>
        <w:rPr>
          <w:rFonts w:ascii="Arial" w:eastAsia="Arial" w:hAnsi="Arial" w:cs="Arial"/>
          <w:color w:val="000000"/>
          <w:sz w:val="20"/>
          <w:szCs w:val="20"/>
        </w:rPr>
      </w:pPr>
    </w:p>
    <w:p w:rsidR="002C4AF7" w:rsidRDefault="002C4AF7">
      <w:pPr>
        <w:tabs>
          <w:tab w:val="center" w:pos="4252"/>
          <w:tab w:val="right" w:pos="8504"/>
        </w:tabs>
        <w:spacing w:line="240" w:lineRule="auto"/>
        <w:ind w:left="0" w:hanging="2"/>
        <w:rPr>
          <w:rFonts w:ascii="Arial" w:eastAsia="Arial" w:hAnsi="Arial" w:cs="Arial"/>
          <w:color w:val="000000"/>
          <w:sz w:val="20"/>
          <w:szCs w:val="20"/>
        </w:rPr>
      </w:pPr>
    </w:p>
    <w:p w:rsidR="002C4AF7" w:rsidRDefault="007C2686">
      <w:pPr>
        <w:pBdr>
          <w:top w:val="single" w:sz="4" w:space="1" w:color="000000"/>
          <w:left w:val="single" w:sz="4" w:space="4" w:color="000000"/>
          <w:bottom w:val="single" w:sz="4" w:space="1" w:color="000000"/>
          <w:right w:val="single" w:sz="4" w:space="4" w:color="000000"/>
        </w:pBdr>
        <w:shd w:val="clear" w:color="auto" w:fill="D9D9D9"/>
        <w:ind w:left="0" w:hanging="2"/>
        <w:jc w:val="both"/>
        <w:rPr>
          <w:rFonts w:ascii="Arial" w:eastAsia="Arial" w:hAnsi="Arial" w:cs="Arial"/>
          <w:sz w:val="20"/>
          <w:szCs w:val="20"/>
        </w:rPr>
      </w:pPr>
      <w:r>
        <w:rPr>
          <w:rFonts w:ascii="Arial" w:eastAsia="Arial" w:hAnsi="Arial" w:cs="Arial"/>
          <w:b/>
          <w:sz w:val="20"/>
          <w:szCs w:val="20"/>
        </w:rPr>
        <w:t>7.5.1 Criterios de precio y financiación: Medicamento que presta un valor terapéutico añadido respecto a la terapia de referencia.</w:t>
      </w:r>
    </w:p>
    <w:p w:rsidR="002C4AF7" w:rsidRDefault="002C4AF7">
      <w:pPr>
        <w:ind w:left="0" w:hanging="2"/>
        <w:rPr>
          <w:rFonts w:ascii="Arial" w:eastAsia="Arial" w:hAnsi="Arial" w:cs="Arial"/>
        </w:rPr>
      </w:pPr>
    </w:p>
    <w:p w:rsidR="002C4AF7" w:rsidRDefault="002C4AF7">
      <w:pPr>
        <w:keepNext/>
        <w:ind w:left="0" w:hanging="2"/>
        <w:rPr>
          <w:rFonts w:ascii="Arial" w:eastAsia="Arial" w:hAnsi="Arial" w:cs="Arial"/>
          <w:sz w:val="20"/>
          <w:szCs w:val="20"/>
        </w:rPr>
      </w:pPr>
    </w:p>
    <w:tbl>
      <w:tblPr>
        <w:tblStyle w:val="affffa"/>
        <w:tblW w:w="9285"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5"/>
        <w:gridCol w:w="1560"/>
        <w:gridCol w:w="1275"/>
        <w:gridCol w:w="2835"/>
        <w:gridCol w:w="2340"/>
      </w:tblGrid>
      <w:tr w:rsidR="002C4AF7">
        <w:tc>
          <w:tcPr>
            <w:tcW w:w="9285" w:type="dxa"/>
            <w:gridSpan w:val="5"/>
            <w:shd w:val="clear" w:color="auto" w:fill="CCFFCC"/>
          </w:tcPr>
          <w:p w:rsidR="002C4AF7" w:rsidRDefault="007C2686">
            <w:pPr>
              <w:ind w:left="0" w:hanging="2"/>
              <w:rPr>
                <w:rFonts w:ascii="Arial" w:eastAsia="Arial" w:hAnsi="Arial" w:cs="Arial"/>
                <w:sz w:val="16"/>
                <w:szCs w:val="16"/>
              </w:rPr>
            </w:pPr>
            <w:r>
              <w:rPr>
                <w:rFonts w:ascii="Arial" w:eastAsia="Arial" w:hAnsi="Arial" w:cs="Arial"/>
                <w:b/>
                <w:sz w:val="18"/>
                <w:szCs w:val="18"/>
              </w:rPr>
              <w:t>Tabla 7.5.1.2. Estimación del coste de adquisición máximo de medicamentos para no superar el umbral de coste-efectividad</w:t>
            </w:r>
            <w:r>
              <w:rPr>
                <w:rFonts w:ascii="Arial" w:eastAsia="Arial" w:hAnsi="Arial" w:cs="Arial"/>
                <w:b/>
                <w:sz w:val="16"/>
                <w:szCs w:val="16"/>
              </w:rPr>
              <w:t>. Enzalutamida en CPHSm</w:t>
            </w:r>
          </w:p>
        </w:tc>
      </w:tr>
      <w:tr w:rsidR="002C4AF7">
        <w:trPr>
          <w:trHeight w:val="485"/>
        </w:trPr>
        <w:tc>
          <w:tcPr>
            <w:tcW w:w="1275" w:type="dxa"/>
            <w:shd w:val="clear" w:color="auto" w:fill="D9D9D9"/>
            <w:vAlign w:val="center"/>
          </w:tcPr>
          <w:p w:rsidR="002C4AF7" w:rsidRDefault="007C2686">
            <w:pPr>
              <w:ind w:left="0" w:hanging="2"/>
              <w:jc w:val="center"/>
              <w:rPr>
                <w:rFonts w:ascii="Arial" w:eastAsia="Arial" w:hAnsi="Arial" w:cs="Arial"/>
                <w:sz w:val="16"/>
                <w:szCs w:val="16"/>
              </w:rPr>
            </w:pPr>
            <w:r>
              <w:rPr>
                <w:rFonts w:ascii="Arial" w:eastAsia="Arial" w:hAnsi="Arial" w:cs="Arial"/>
                <w:sz w:val="16"/>
                <w:szCs w:val="16"/>
              </w:rPr>
              <w:t>Caso base</w:t>
            </w:r>
          </w:p>
        </w:tc>
        <w:tc>
          <w:tcPr>
            <w:tcW w:w="1560" w:type="dxa"/>
            <w:shd w:val="clear" w:color="auto" w:fill="D9D9D9"/>
            <w:vAlign w:val="center"/>
          </w:tcPr>
          <w:p w:rsidR="002C4AF7" w:rsidRDefault="007C2686">
            <w:pPr>
              <w:ind w:left="0" w:hanging="2"/>
              <w:jc w:val="center"/>
              <w:rPr>
                <w:rFonts w:ascii="Arial" w:eastAsia="Arial" w:hAnsi="Arial" w:cs="Arial"/>
                <w:sz w:val="16"/>
                <w:szCs w:val="16"/>
              </w:rPr>
            </w:pPr>
            <w:r>
              <w:rPr>
                <w:rFonts w:ascii="Arial" w:eastAsia="Arial" w:hAnsi="Arial" w:cs="Arial"/>
                <w:sz w:val="16"/>
                <w:szCs w:val="16"/>
              </w:rPr>
              <w:t>Coste de adquisición de una unidad empleado en los cálculos (1)</w:t>
            </w:r>
          </w:p>
        </w:tc>
        <w:tc>
          <w:tcPr>
            <w:tcW w:w="1275" w:type="dxa"/>
            <w:shd w:val="clear" w:color="auto" w:fill="D9D9D9"/>
          </w:tcPr>
          <w:p w:rsidR="002C4AF7" w:rsidRDefault="007C2686">
            <w:pPr>
              <w:ind w:left="0" w:hanging="2"/>
              <w:jc w:val="center"/>
              <w:rPr>
                <w:rFonts w:ascii="Arial" w:eastAsia="Arial" w:hAnsi="Arial" w:cs="Arial"/>
                <w:sz w:val="16"/>
                <w:szCs w:val="16"/>
              </w:rPr>
            </w:pPr>
            <w:r>
              <w:rPr>
                <w:rFonts w:ascii="Arial" w:eastAsia="Arial" w:hAnsi="Arial" w:cs="Arial"/>
                <w:sz w:val="16"/>
                <w:szCs w:val="16"/>
              </w:rPr>
              <w:t>Coste total del tratamiento empleado en los cálculos* (2)</w:t>
            </w:r>
          </w:p>
        </w:tc>
        <w:tc>
          <w:tcPr>
            <w:tcW w:w="2835" w:type="dxa"/>
            <w:shd w:val="clear" w:color="auto" w:fill="D9D9D9"/>
            <w:vAlign w:val="center"/>
          </w:tcPr>
          <w:p w:rsidR="002C4AF7" w:rsidRDefault="007C2686">
            <w:pPr>
              <w:ind w:left="0" w:hanging="2"/>
              <w:jc w:val="center"/>
              <w:rPr>
                <w:rFonts w:ascii="Arial" w:eastAsia="Arial" w:hAnsi="Arial" w:cs="Arial"/>
                <w:sz w:val="16"/>
                <w:szCs w:val="16"/>
              </w:rPr>
            </w:pPr>
            <w:r>
              <w:rPr>
                <w:rFonts w:ascii="Arial" w:eastAsia="Arial" w:hAnsi="Arial" w:cs="Arial"/>
                <w:sz w:val="16"/>
                <w:szCs w:val="16"/>
              </w:rPr>
              <w:t>Coste máximo del tratamiento según umbral de referencia en nuestro ámbito</w:t>
            </w:r>
          </w:p>
          <w:p w:rsidR="002C4AF7" w:rsidRDefault="007C2686">
            <w:pPr>
              <w:ind w:left="0" w:hanging="2"/>
              <w:jc w:val="center"/>
              <w:rPr>
                <w:rFonts w:ascii="Arial" w:eastAsia="Arial" w:hAnsi="Arial" w:cs="Arial"/>
                <w:sz w:val="16"/>
                <w:szCs w:val="16"/>
              </w:rPr>
            </w:pPr>
            <w:r>
              <w:rPr>
                <w:rFonts w:ascii="Arial" w:eastAsia="Arial" w:hAnsi="Arial" w:cs="Arial"/>
                <w:sz w:val="16"/>
                <w:szCs w:val="16"/>
              </w:rPr>
              <w:t>(21.000 €/AVAC(4)</w:t>
            </w:r>
          </w:p>
        </w:tc>
        <w:tc>
          <w:tcPr>
            <w:tcW w:w="2340" w:type="dxa"/>
            <w:shd w:val="clear" w:color="auto" w:fill="D9D9D9"/>
            <w:vAlign w:val="center"/>
          </w:tcPr>
          <w:p w:rsidR="002C4AF7" w:rsidRDefault="007C2686">
            <w:pPr>
              <w:ind w:left="0" w:hanging="2"/>
              <w:jc w:val="center"/>
              <w:rPr>
                <w:rFonts w:ascii="Arial" w:eastAsia="Arial" w:hAnsi="Arial" w:cs="Arial"/>
                <w:sz w:val="16"/>
                <w:szCs w:val="16"/>
              </w:rPr>
            </w:pPr>
            <w:r>
              <w:rPr>
                <w:rFonts w:ascii="Arial" w:eastAsia="Arial" w:hAnsi="Arial" w:cs="Arial"/>
                <w:sz w:val="16"/>
                <w:szCs w:val="16"/>
              </w:rPr>
              <w:t>Coste máximo de una unidad (5)</w:t>
            </w:r>
          </w:p>
        </w:tc>
      </w:tr>
      <w:tr w:rsidR="002C4AF7">
        <w:trPr>
          <w:trHeight w:val="470"/>
        </w:trPr>
        <w:tc>
          <w:tcPr>
            <w:tcW w:w="1275" w:type="dxa"/>
            <w:vAlign w:val="center"/>
          </w:tcPr>
          <w:p w:rsidR="002C4AF7" w:rsidRDefault="007C2686">
            <w:pPr>
              <w:ind w:left="0" w:hanging="2"/>
              <w:jc w:val="center"/>
              <w:rPr>
                <w:rFonts w:ascii="Arial" w:eastAsia="Arial" w:hAnsi="Arial" w:cs="Arial"/>
                <w:sz w:val="16"/>
                <w:szCs w:val="16"/>
              </w:rPr>
            </w:pPr>
            <w:r>
              <w:rPr>
                <w:rFonts w:ascii="Arial" w:eastAsia="Arial" w:hAnsi="Arial" w:cs="Arial"/>
                <w:sz w:val="16"/>
                <w:szCs w:val="16"/>
              </w:rPr>
              <w:t>Enzalutamida comprimidos 40 mg (dosis diaria 160 mg)</w:t>
            </w:r>
          </w:p>
        </w:tc>
        <w:tc>
          <w:tcPr>
            <w:tcW w:w="1560" w:type="dxa"/>
            <w:vAlign w:val="center"/>
          </w:tcPr>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sz w:val="16"/>
                <w:szCs w:val="16"/>
              </w:rPr>
              <w:t>3.173 € envase (112 comprimidos)</w:t>
            </w:r>
          </w:p>
          <w:p w:rsidR="002C4AF7" w:rsidRDefault="002C4AF7">
            <w:pPr>
              <w:ind w:left="0" w:hanging="2"/>
              <w:jc w:val="center"/>
              <w:rPr>
                <w:rFonts w:ascii="Arial" w:eastAsia="Arial" w:hAnsi="Arial" w:cs="Arial"/>
                <w:sz w:val="16"/>
                <w:szCs w:val="16"/>
              </w:rPr>
            </w:pPr>
          </w:p>
        </w:tc>
        <w:tc>
          <w:tcPr>
            <w:tcW w:w="1275" w:type="dxa"/>
          </w:tcPr>
          <w:p w:rsidR="002C4AF7" w:rsidRDefault="002C4AF7">
            <w:pPr>
              <w:ind w:left="0" w:hanging="2"/>
              <w:jc w:val="center"/>
              <w:rPr>
                <w:rFonts w:ascii="Arial" w:eastAsia="Arial" w:hAnsi="Arial" w:cs="Arial"/>
                <w:sz w:val="16"/>
                <w:szCs w:val="16"/>
              </w:rPr>
            </w:pP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sz w:val="16"/>
                <w:szCs w:val="16"/>
              </w:rPr>
              <w:t>137.510 €</w:t>
            </w:r>
          </w:p>
          <w:p w:rsidR="002C4AF7" w:rsidRDefault="002C4AF7">
            <w:pPr>
              <w:ind w:left="0" w:hanging="2"/>
              <w:jc w:val="center"/>
              <w:rPr>
                <w:rFonts w:ascii="Arial" w:eastAsia="Arial" w:hAnsi="Arial" w:cs="Arial"/>
                <w:sz w:val="16"/>
                <w:szCs w:val="16"/>
              </w:rPr>
            </w:pPr>
          </w:p>
        </w:tc>
        <w:tc>
          <w:tcPr>
            <w:tcW w:w="2835" w:type="dxa"/>
            <w:vAlign w:val="center"/>
          </w:tcPr>
          <w:p w:rsidR="002C4AF7" w:rsidRDefault="007C2686">
            <w:pPr>
              <w:ind w:left="0" w:hanging="2"/>
              <w:jc w:val="center"/>
              <w:rPr>
                <w:rFonts w:ascii="Arial" w:eastAsia="Arial" w:hAnsi="Arial" w:cs="Arial"/>
                <w:sz w:val="16"/>
                <w:szCs w:val="16"/>
              </w:rPr>
            </w:pPr>
            <w:r>
              <w:rPr>
                <w:rFonts w:ascii="Arial" w:eastAsia="Arial" w:hAnsi="Arial" w:cs="Arial"/>
                <w:sz w:val="16"/>
                <w:szCs w:val="16"/>
              </w:rPr>
              <w:t>CAmax = (21.000 x (1.13**)) + 0=23.730 (3)</w:t>
            </w:r>
          </w:p>
          <w:p w:rsidR="002C4AF7" w:rsidRDefault="002C4AF7">
            <w:pPr>
              <w:ind w:left="0" w:hanging="2"/>
              <w:jc w:val="center"/>
              <w:rPr>
                <w:rFonts w:ascii="Arial" w:eastAsia="Arial" w:hAnsi="Arial" w:cs="Arial"/>
                <w:sz w:val="16"/>
                <w:szCs w:val="16"/>
              </w:rPr>
            </w:pPr>
          </w:p>
        </w:tc>
        <w:tc>
          <w:tcPr>
            <w:tcW w:w="2340" w:type="dxa"/>
            <w:vAlign w:val="center"/>
          </w:tcPr>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sz w:val="16"/>
                <w:szCs w:val="16"/>
              </w:rPr>
              <w:t>Xmax = (X x CAmax) / CA</w:t>
            </w:r>
          </w:p>
          <w:p w:rsidR="002C4AF7" w:rsidRDefault="007C2686">
            <w:pPr>
              <w:ind w:left="0" w:hanging="2"/>
              <w:jc w:val="center"/>
              <w:rPr>
                <w:rFonts w:ascii="Arial" w:eastAsia="Arial" w:hAnsi="Arial" w:cs="Arial"/>
                <w:sz w:val="16"/>
                <w:szCs w:val="16"/>
              </w:rPr>
            </w:pPr>
            <w:r>
              <w:rPr>
                <w:rFonts w:ascii="Arial" w:eastAsia="Arial" w:hAnsi="Arial" w:cs="Arial"/>
                <w:sz w:val="16"/>
                <w:szCs w:val="16"/>
              </w:rPr>
              <w:t>3173*23.730/137.510=547€ envase</w:t>
            </w:r>
          </w:p>
        </w:tc>
      </w:tr>
      <w:tr w:rsidR="002C4AF7">
        <w:trPr>
          <w:trHeight w:val="747"/>
        </w:trPr>
        <w:tc>
          <w:tcPr>
            <w:tcW w:w="9285" w:type="dxa"/>
            <w:gridSpan w:val="5"/>
            <w:shd w:val="clear" w:color="auto" w:fill="D9D9D9"/>
          </w:tcPr>
          <w:p w:rsidR="002C4AF7" w:rsidRDefault="007C2686">
            <w:pPr>
              <w:jc w:val="both"/>
              <w:rPr>
                <w:rFonts w:ascii="Arial" w:eastAsia="Arial" w:hAnsi="Arial" w:cs="Arial"/>
                <w:sz w:val="15"/>
                <w:szCs w:val="15"/>
              </w:rPr>
            </w:pPr>
            <w:r>
              <w:rPr>
                <w:rFonts w:ascii="Arial" w:eastAsia="Arial" w:hAnsi="Arial" w:cs="Arial"/>
                <w:sz w:val="15"/>
                <w:szCs w:val="15"/>
              </w:rPr>
              <w:t>(1) X: Coste de adquisición del apartado 7.1, empleado como referencia para la estimación del CEI basal del apartado 7.3.</w:t>
            </w:r>
          </w:p>
          <w:p w:rsidR="002C4AF7" w:rsidRDefault="007C2686">
            <w:pPr>
              <w:jc w:val="both"/>
              <w:rPr>
                <w:rFonts w:ascii="Arial" w:eastAsia="Arial" w:hAnsi="Arial" w:cs="Arial"/>
                <w:sz w:val="15"/>
                <w:szCs w:val="15"/>
              </w:rPr>
            </w:pPr>
            <w:r>
              <w:rPr>
                <w:rFonts w:ascii="Arial" w:eastAsia="Arial" w:hAnsi="Arial" w:cs="Arial"/>
                <w:sz w:val="15"/>
                <w:szCs w:val="15"/>
              </w:rPr>
              <w:t>(2) CA: Coste total del tratamiento global con el fármaco del apartado 7.1, empleado como referencia para la estimación del CEI basal del apartado 7.3. En este caso, CA y el coste del tratamiento comparador no incluirá los costes diferentes a los fármacos, ya que estarán recogidos en D.</w:t>
            </w:r>
          </w:p>
          <w:p w:rsidR="002C4AF7" w:rsidRDefault="007C2686">
            <w:pPr>
              <w:jc w:val="both"/>
              <w:rPr>
                <w:rFonts w:ascii="Arial" w:eastAsia="Arial" w:hAnsi="Arial" w:cs="Arial"/>
                <w:sz w:val="15"/>
                <w:szCs w:val="15"/>
              </w:rPr>
            </w:pPr>
            <w:r>
              <w:rPr>
                <w:rFonts w:ascii="Arial" w:eastAsia="Arial" w:hAnsi="Arial" w:cs="Arial"/>
                <w:sz w:val="15"/>
                <w:szCs w:val="15"/>
              </w:rPr>
              <w:t>(3) D: coste incremental por conceptos diferentes a los fármacos por paciente. Este coste se mantendrá constante independientemente de un cambio en el coste de adquisición del medicamento evaluado.</w:t>
            </w:r>
          </w:p>
          <w:p w:rsidR="002C4AF7" w:rsidRDefault="007C2686">
            <w:pPr>
              <w:jc w:val="both"/>
              <w:rPr>
                <w:rFonts w:ascii="Arial" w:eastAsia="Arial" w:hAnsi="Arial" w:cs="Arial"/>
                <w:sz w:val="15"/>
                <w:szCs w:val="15"/>
              </w:rPr>
            </w:pPr>
            <w:r>
              <w:rPr>
                <w:rFonts w:ascii="Arial" w:eastAsia="Arial" w:hAnsi="Arial" w:cs="Arial"/>
                <w:sz w:val="15"/>
                <w:szCs w:val="15"/>
              </w:rPr>
              <w:t>(4) CAmax: Coste de adquisición máximo del tratamiento global para que no supere el umbral de referencia en nuestro ámbito.</w:t>
            </w:r>
          </w:p>
          <w:p w:rsidR="002C4AF7" w:rsidRDefault="007C2686">
            <w:pPr>
              <w:jc w:val="both"/>
              <w:rPr>
                <w:rFonts w:ascii="Arial" w:eastAsia="Arial" w:hAnsi="Arial" w:cs="Arial"/>
                <w:sz w:val="15"/>
                <w:szCs w:val="15"/>
              </w:rPr>
            </w:pPr>
            <w:r>
              <w:rPr>
                <w:rFonts w:ascii="Arial" w:eastAsia="Arial" w:hAnsi="Arial" w:cs="Arial"/>
                <w:sz w:val="15"/>
                <w:szCs w:val="15"/>
              </w:rPr>
              <w:t xml:space="preserve">(5) Xmax:Precio máximo estimado a pagar por una unidad según umbral en España (21.000 €/AVAC de aplicación general propuesto en esta Guía). Al cociente entre CA y CAmax (o lo que es lo mismo entre X y Xmax), al que se le puede llamar </w:t>
            </w:r>
            <w:r>
              <w:rPr>
                <w:rFonts w:ascii="Arial" w:eastAsia="Arial" w:hAnsi="Arial" w:cs="Arial"/>
                <w:b/>
                <w:sz w:val="15"/>
                <w:szCs w:val="15"/>
              </w:rPr>
              <w:t>peso relativo</w:t>
            </w:r>
            <w:r>
              <w:rPr>
                <w:rFonts w:ascii="Arial" w:eastAsia="Arial" w:hAnsi="Arial" w:cs="Arial"/>
                <w:sz w:val="15"/>
                <w:szCs w:val="15"/>
              </w:rPr>
              <w:t>, indica el nº de veces que el coste actual excede del coste máximo para ser coste-efectivos según los umbrales de referencia.</w:t>
            </w:r>
          </w:p>
        </w:tc>
      </w:tr>
    </w:tbl>
    <w:p w:rsidR="002C4AF7" w:rsidRDefault="002C4AF7">
      <w:pPr>
        <w:keepNext/>
        <w:ind w:left="0" w:hanging="2"/>
        <w:rPr>
          <w:rFonts w:ascii="Arial" w:eastAsia="Arial" w:hAnsi="Arial" w:cs="Arial"/>
          <w:sz w:val="20"/>
          <w:szCs w:val="20"/>
        </w:rPr>
      </w:pPr>
    </w:p>
    <w:p w:rsidR="002C4AF7" w:rsidRDefault="007C2686">
      <w:pPr>
        <w:ind w:left="0" w:hanging="2"/>
        <w:jc w:val="both"/>
        <w:rPr>
          <w:rFonts w:ascii="Arial" w:eastAsia="Arial" w:hAnsi="Arial" w:cs="Arial"/>
          <w:color w:val="212121"/>
          <w:sz w:val="18"/>
          <w:szCs w:val="18"/>
        </w:rPr>
      </w:pPr>
      <w:r>
        <w:rPr>
          <w:rFonts w:ascii="Arial" w:eastAsia="Arial" w:hAnsi="Arial" w:cs="Arial"/>
          <w:color w:val="212121"/>
          <w:sz w:val="18"/>
          <w:szCs w:val="18"/>
        </w:rPr>
        <w:t xml:space="preserve">*En los datos publicados de SG finales (12) se indica que la duración mediana de tratamiento fue 40,2 meses para el grupo enzalutamida más TDA </w:t>
      </w:r>
    </w:p>
    <w:p w:rsidR="002C4AF7" w:rsidRDefault="002C4AF7">
      <w:pPr>
        <w:ind w:left="0" w:hanging="2"/>
        <w:jc w:val="both"/>
        <w:rPr>
          <w:rFonts w:ascii="Arial" w:eastAsia="Arial" w:hAnsi="Arial" w:cs="Arial"/>
          <w:color w:val="212121"/>
          <w:sz w:val="18"/>
          <w:szCs w:val="18"/>
          <w:highlight w:val="white"/>
        </w:rPr>
      </w:pPr>
    </w:p>
    <w:p w:rsidR="002C4AF7" w:rsidRDefault="007C2686">
      <w:pPr>
        <w:keepNext/>
        <w:ind w:left="0" w:hanging="2"/>
        <w:rPr>
          <w:rFonts w:ascii="Arial" w:eastAsia="Arial" w:hAnsi="Arial" w:cs="Arial"/>
          <w:sz w:val="20"/>
          <w:szCs w:val="20"/>
        </w:rPr>
      </w:pPr>
      <w:r>
        <w:rPr>
          <w:rFonts w:ascii="Arial" w:eastAsia="Arial" w:hAnsi="Arial" w:cs="Arial"/>
          <w:sz w:val="20"/>
          <w:szCs w:val="20"/>
        </w:rPr>
        <w:t xml:space="preserve">**no se han alcanzado las medianas de SG en ninguno de los análisis, ni en el ensayo pivotal de apalutamida (TITAN) ni en el de abiraterona (LATITUDE). Por lo que otro posible comparador es docetaxel. Si se asume que el beneficio en cuanto a supervivencia es similar al de enzalutamida, podemos tomar como referencia la diferencia de medianas de SG del ensayo </w:t>
      </w:r>
      <w:r>
        <w:rPr>
          <w:rFonts w:ascii="Arial" w:eastAsia="Arial" w:hAnsi="Arial" w:cs="Arial"/>
          <w:sz w:val="20"/>
          <w:szCs w:val="20"/>
          <w:highlight w:val="white"/>
        </w:rPr>
        <w:t>CHAARTED (13,6</w:t>
      </w:r>
      <w:r>
        <w:rPr>
          <w:rFonts w:ascii="Arial" w:eastAsia="Arial" w:hAnsi="Arial" w:cs="Arial"/>
          <w:sz w:val="20"/>
          <w:szCs w:val="20"/>
        </w:rPr>
        <w:t xml:space="preserve"> meses: 1,13 años) y se asume que la ganancia en supervivencia mantiene una calidad de vida del 100%.</w:t>
      </w:r>
    </w:p>
    <w:p w:rsidR="002C4AF7" w:rsidRDefault="002C4AF7">
      <w:pPr>
        <w:keepNext/>
        <w:ind w:left="0" w:hanging="2"/>
        <w:rPr>
          <w:rFonts w:ascii="Arial" w:eastAsia="Arial" w:hAnsi="Arial" w:cs="Arial"/>
          <w:sz w:val="20"/>
          <w:szCs w:val="20"/>
        </w:rPr>
      </w:pPr>
    </w:p>
    <w:p w:rsidR="002C4AF7" w:rsidRDefault="007C2686">
      <w:pPr>
        <w:keepNext/>
        <w:ind w:left="0" w:hanging="2"/>
        <w:rPr>
          <w:rFonts w:ascii="Arial" w:eastAsia="Arial" w:hAnsi="Arial" w:cs="Arial"/>
          <w:sz w:val="20"/>
          <w:szCs w:val="20"/>
        </w:rPr>
      </w:pPr>
      <w:r>
        <w:rPr>
          <w:rFonts w:ascii="Arial" w:eastAsia="Arial" w:hAnsi="Arial" w:cs="Arial"/>
          <w:b/>
          <w:sz w:val="20"/>
          <w:szCs w:val="20"/>
        </w:rPr>
        <w:t>Análisis de sensibilidad para el umbral de referencia (21.000 €/AVAC) y otra duración de tratamiento con enzalutamida</w:t>
      </w:r>
    </w:p>
    <w:p w:rsidR="002C4AF7" w:rsidRDefault="002C4AF7">
      <w:pPr>
        <w:keepNext/>
        <w:ind w:left="0" w:hanging="2"/>
        <w:rPr>
          <w:rFonts w:ascii="Arial" w:eastAsia="Arial" w:hAnsi="Arial" w:cs="Arial"/>
          <w:sz w:val="20"/>
          <w:szCs w:val="20"/>
        </w:rPr>
      </w:pPr>
    </w:p>
    <w:tbl>
      <w:tblPr>
        <w:tblStyle w:val="affffb"/>
        <w:tblW w:w="9285"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5"/>
        <w:gridCol w:w="1560"/>
        <w:gridCol w:w="1275"/>
        <w:gridCol w:w="2835"/>
        <w:gridCol w:w="2340"/>
      </w:tblGrid>
      <w:tr w:rsidR="002C4AF7">
        <w:tc>
          <w:tcPr>
            <w:tcW w:w="9285" w:type="dxa"/>
            <w:gridSpan w:val="5"/>
            <w:shd w:val="clear" w:color="auto" w:fill="CCFFCC"/>
          </w:tcPr>
          <w:p w:rsidR="002C4AF7" w:rsidRDefault="007C2686">
            <w:pPr>
              <w:ind w:left="0" w:hanging="2"/>
              <w:rPr>
                <w:rFonts w:ascii="Arial" w:eastAsia="Arial" w:hAnsi="Arial" w:cs="Arial"/>
                <w:sz w:val="16"/>
                <w:szCs w:val="16"/>
              </w:rPr>
            </w:pPr>
            <w:r>
              <w:rPr>
                <w:rFonts w:ascii="Arial" w:eastAsia="Arial" w:hAnsi="Arial" w:cs="Arial"/>
                <w:b/>
                <w:sz w:val="18"/>
                <w:szCs w:val="18"/>
              </w:rPr>
              <w:t>Tabla 7.5.1.2. Estimación del coste de adquisición máximo de medicamentos para no superar el umbral de coste-efectividad</w:t>
            </w:r>
            <w:r>
              <w:rPr>
                <w:rFonts w:ascii="Arial" w:eastAsia="Arial" w:hAnsi="Arial" w:cs="Arial"/>
                <w:b/>
                <w:sz w:val="16"/>
                <w:szCs w:val="16"/>
              </w:rPr>
              <w:t>Medicamento e indicación:</w:t>
            </w:r>
          </w:p>
        </w:tc>
      </w:tr>
      <w:tr w:rsidR="002C4AF7">
        <w:trPr>
          <w:trHeight w:val="485"/>
        </w:trPr>
        <w:tc>
          <w:tcPr>
            <w:tcW w:w="1275" w:type="dxa"/>
            <w:shd w:val="clear" w:color="auto" w:fill="D9D9D9"/>
            <w:vAlign w:val="center"/>
          </w:tcPr>
          <w:p w:rsidR="002C4AF7" w:rsidRDefault="007C2686">
            <w:pPr>
              <w:ind w:left="0" w:hanging="2"/>
              <w:jc w:val="center"/>
              <w:rPr>
                <w:rFonts w:ascii="Arial" w:eastAsia="Arial" w:hAnsi="Arial" w:cs="Arial"/>
                <w:sz w:val="16"/>
                <w:szCs w:val="16"/>
              </w:rPr>
            </w:pPr>
            <w:r>
              <w:rPr>
                <w:rFonts w:ascii="Arial" w:eastAsia="Arial" w:hAnsi="Arial" w:cs="Arial"/>
                <w:sz w:val="16"/>
                <w:szCs w:val="16"/>
              </w:rPr>
              <w:t>Caso base</w:t>
            </w:r>
          </w:p>
        </w:tc>
        <w:tc>
          <w:tcPr>
            <w:tcW w:w="1560" w:type="dxa"/>
            <w:shd w:val="clear" w:color="auto" w:fill="D9D9D9"/>
            <w:vAlign w:val="center"/>
          </w:tcPr>
          <w:p w:rsidR="002C4AF7" w:rsidRDefault="007C2686">
            <w:pPr>
              <w:ind w:left="0" w:hanging="2"/>
              <w:jc w:val="center"/>
              <w:rPr>
                <w:rFonts w:ascii="Arial" w:eastAsia="Arial" w:hAnsi="Arial" w:cs="Arial"/>
                <w:sz w:val="16"/>
                <w:szCs w:val="16"/>
              </w:rPr>
            </w:pPr>
            <w:r>
              <w:rPr>
                <w:rFonts w:ascii="Arial" w:eastAsia="Arial" w:hAnsi="Arial" w:cs="Arial"/>
                <w:sz w:val="16"/>
                <w:szCs w:val="16"/>
              </w:rPr>
              <w:t>Coste de adquisición de una unidad empleado en los cálculos (1)</w:t>
            </w:r>
          </w:p>
        </w:tc>
        <w:tc>
          <w:tcPr>
            <w:tcW w:w="1275" w:type="dxa"/>
            <w:shd w:val="clear" w:color="auto" w:fill="D9D9D9"/>
          </w:tcPr>
          <w:p w:rsidR="002C4AF7" w:rsidRDefault="007C2686">
            <w:pPr>
              <w:ind w:left="0" w:hanging="2"/>
              <w:jc w:val="center"/>
              <w:rPr>
                <w:rFonts w:ascii="Arial" w:eastAsia="Arial" w:hAnsi="Arial" w:cs="Arial"/>
                <w:sz w:val="16"/>
                <w:szCs w:val="16"/>
              </w:rPr>
            </w:pPr>
            <w:r>
              <w:rPr>
                <w:rFonts w:ascii="Arial" w:eastAsia="Arial" w:hAnsi="Arial" w:cs="Arial"/>
                <w:sz w:val="16"/>
                <w:szCs w:val="16"/>
              </w:rPr>
              <w:t>Coste total del tratamiento empleado en los cálculos* (2)</w:t>
            </w:r>
          </w:p>
        </w:tc>
        <w:tc>
          <w:tcPr>
            <w:tcW w:w="2835" w:type="dxa"/>
            <w:shd w:val="clear" w:color="auto" w:fill="D9D9D9"/>
            <w:vAlign w:val="center"/>
          </w:tcPr>
          <w:p w:rsidR="002C4AF7" w:rsidRDefault="007C2686">
            <w:pPr>
              <w:ind w:left="0" w:hanging="2"/>
              <w:jc w:val="center"/>
              <w:rPr>
                <w:rFonts w:ascii="Arial" w:eastAsia="Arial" w:hAnsi="Arial" w:cs="Arial"/>
                <w:sz w:val="16"/>
                <w:szCs w:val="16"/>
              </w:rPr>
            </w:pPr>
            <w:r>
              <w:rPr>
                <w:rFonts w:ascii="Arial" w:eastAsia="Arial" w:hAnsi="Arial" w:cs="Arial"/>
                <w:sz w:val="16"/>
                <w:szCs w:val="16"/>
              </w:rPr>
              <w:t>Coste máximo del tratami</w:t>
            </w:r>
            <w:r w:rsidR="00CD3970">
              <w:rPr>
                <w:rFonts w:ascii="Arial" w:eastAsia="Arial" w:hAnsi="Arial" w:cs="Arial"/>
                <w:sz w:val="16"/>
                <w:szCs w:val="16"/>
              </w:rPr>
              <w:t xml:space="preserve">ento según umbral de referencia </w:t>
            </w:r>
            <w:r>
              <w:rPr>
                <w:rFonts w:ascii="Arial" w:eastAsia="Arial" w:hAnsi="Arial" w:cs="Arial"/>
                <w:sz w:val="16"/>
                <w:szCs w:val="16"/>
              </w:rPr>
              <w:t>en nuestro ámbito</w:t>
            </w:r>
          </w:p>
          <w:p w:rsidR="002C4AF7" w:rsidRDefault="007C2686">
            <w:pPr>
              <w:ind w:left="0" w:hanging="2"/>
              <w:jc w:val="center"/>
              <w:rPr>
                <w:rFonts w:ascii="Arial" w:eastAsia="Arial" w:hAnsi="Arial" w:cs="Arial"/>
                <w:sz w:val="16"/>
                <w:szCs w:val="16"/>
              </w:rPr>
            </w:pPr>
            <w:r>
              <w:rPr>
                <w:rFonts w:ascii="Arial" w:eastAsia="Arial" w:hAnsi="Arial" w:cs="Arial"/>
                <w:sz w:val="16"/>
                <w:szCs w:val="16"/>
              </w:rPr>
              <w:t>(21.000 €/AVAC(4)</w:t>
            </w:r>
          </w:p>
        </w:tc>
        <w:tc>
          <w:tcPr>
            <w:tcW w:w="2340" w:type="dxa"/>
            <w:shd w:val="clear" w:color="auto" w:fill="D9D9D9"/>
            <w:vAlign w:val="center"/>
          </w:tcPr>
          <w:p w:rsidR="002C4AF7" w:rsidRDefault="007C2686">
            <w:pPr>
              <w:ind w:left="0" w:hanging="2"/>
              <w:jc w:val="center"/>
              <w:rPr>
                <w:rFonts w:ascii="Arial" w:eastAsia="Arial" w:hAnsi="Arial" w:cs="Arial"/>
                <w:sz w:val="16"/>
                <w:szCs w:val="16"/>
              </w:rPr>
            </w:pPr>
            <w:r>
              <w:rPr>
                <w:rFonts w:ascii="Arial" w:eastAsia="Arial" w:hAnsi="Arial" w:cs="Arial"/>
                <w:sz w:val="16"/>
                <w:szCs w:val="16"/>
              </w:rPr>
              <w:t>Coste máximo de una unidad (5)</w:t>
            </w:r>
          </w:p>
        </w:tc>
      </w:tr>
      <w:tr w:rsidR="002C4AF7">
        <w:trPr>
          <w:trHeight w:val="470"/>
        </w:trPr>
        <w:tc>
          <w:tcPr>
            <w:tcW w:w="1275" w:type="dxa"/>
            <w:vAlign w:val="center"/>
          </w:tcPr>
          <w:p w:rsidR="002C4AF7" w:rsidRDefault="007C2686">
            <w:pPr>
              <w:ind w:left="0" w:hanging="2"/>
              <w:jc w:val="center"/>
              <w:rPr>
                <w:rFonts w:ascii="Arial" w:eastAsia="Arial" w:hAnsi="Arial" w:cs="Arial"/>
                <w:sz w:val="16"/>
                <w:szCs w:val="16"/>
              </w:rPr>
            </w:pPr>
            <w:r>
              <w:rPr>
                <w:rFonts w:ascii="Arial" w:eastAsia="Arial" w:hAnsi="Arial" w:cs="Arial"/>
                <w:sz w:val="16"/>
                <w:szCs w:val="16"/>
              </w:rPr>
              <w:t>Enzalutamida comprimidos 40 mg (dosis diaria 160 mg)</w:t>
            </w:r>
          </w:p>
        </w:tc>
        <w:tc>
          <w:tcPr>
            <w:tcW w:w="1560" w:type="dxa"/>
            <w:vAlign w:val="center"/>
          </w:tcPr>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sz w:val="16"/>
                <w:szCs w:val="16"/>
              </w:rPr>
              <w:t>3.173 € envase (112 comprimidos)</w:t>
            </w:r>
          </w:p>
          <w:p w:rsidR="002C4AF7" w:rsidRDefault="002C4AF7">
            <w:pPr>
              <w:ind w:left="0" w:hanging="2"/>
              <w:jc w:val="center"/>
              <w:rPr>
                <w:rFonts w:ascii="Arial" w:eastAsia="Arial" w:hAnsi="Arial" w:cs="Arial"/>
                <w:sz w:val="16"/>
                <w:szCs w:val="16"/>
              </w:rPr>
            </w:pPr>
          </w:p>
        </w:tc>
        <w:tc>
          <w:tcPr>
            <w:tcW w:w="1275" w:type="dxa"/>
          </w:tcPr>
          <w:p w:rsidR="002C4AF7" w:rsidRDefault="002C4AF7">
            <w:pPr>
              <w:ind w:left="0" w:hanging="2"/>
              <w:jc w:val="center"/>
              <w:rPr>
                <w:rFonts w:ascii="Arial" w:eastAsia="Arial" w:hAnsi="Arial" w:cs="Arial"/>
                <w:sz w:val="16"/>
                <w:szCs w:val="16"/>
              </w:rPr>
            </w:pPr>
          </w:p>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sz w:val="16"/>
                <w:szCs w:val="16"/>
              </w:rPr>
              <w:t>74.451 €</w:t>
            </w:r>
          </w:p>
          <w:p w:rsidR="002C4AF7" w:rsidRDefault="002C4AF7">
            <w:pPr>
              <w:ind w:left="0" w:hanging="2"/>
              <w:jc w:val="center"/>
              <w:rPr>
                <w:rFonts w:ascii="Arial" w:eastAsia="Arial" w:hAnsi="Arial" w:cs="Arial"/>
                <w:sz w:val="16"/>
                <w:szCs w:val="16"/>
              </w:rPr>
            </w:pPr>
          </w:p>
        </w:tc>
        <w:tc>
          <w:tcPr>
            <w:tcW w:w="2835" w:type="dxa"/>
            <w:vAlign w:val="center"/>
          </w:tcPr>
          <w:p w:rsidR="002C4AF7" w:rsidRDefault="007C2686">
            <w:pPr>
              <w:ind w:left="0" w:hanging="2"/>
              <w:jc w:val="center"/>
              <w:rPr>
                <w:rFonts w:ascii="Arial" w:eastAsia="Arial" w:hAnsi="Arial" w:cs="Arial"/>
                <w:sz w:val="16"/>
                <w:szCs w:val="16"/>
              </w:rPr>
            </w:pPr>
            <w:r>
              <w:rPr>
                <w:rFonts w:ascii="Arial" w:eastAsia="Arial" w:hAnsi="Arial" w:cs="Arial"/>
                <w:sz w:val="16"/>
                <w:szCs w:val="16"/>
              </w:rPr>
              <w:t>CAmax = (21.000 x (1.13**)) + 0=23.730 (3)</w:t>
            </w:r>
          </w:p>
          <w:p w:rsidR="002C4AF7" w:rsidRDefault="002C4AF7">
            <w:pPr>
              <w:ind w:left="0" w:hanging="2"/>
              <w:jc w:val="center"/>
              <w:rPr>
                <w:rFonts w:ascii="Arial" w:eastAsia="Arial" w:hAnsi="Arial" w:cs="Arial"/>
                <w:sz w:val="16"/>
                <w:szCs w:val="16"/>
              </w:rPr>
            </w:pPr>
          </w:p>
        </w:tc>
        <w:tc>
          <w:tcPr>
            <w:tcW w:w="2340" w:type="dxa"/>
            <w:vAlign w:val="center"/>
          </w:tcPr>
          <w:p w:rsidR="002C4AF7" w:rsidRDefault="002C4AF7">
            <w:pPr>
              <w:ind w:left="0" w:hanging="2"/>
              <w:jc w:val="center"/>
              <w:rPr>
                <w:rFonts w:ascii="Arial" w:eastAsia="Arial" w:hAnsi="Arial" w:cs="Arial"/>
                <w:sz w:val="16"/>
                <w:szCs w:val="16"/>
              </w:rPr>
            </w:pPr>
          </w:p>
          <w:p w:rsidR="002C4AF7" w:rsidRDefault="007C2686">
            <w:pPr>
              <w:ind w:left="0" w:hanging="2"/>
              <w:jc w:val="center"/>
              <w:rPr>
                <w:rFonts w:ascii="Arial" w:eastAsia="Arial" w:hAnsi="Arial" w:cs="Arial"/>
                <w:sz w:val="16"/>
                <w:szCs w:val="16"/>
              </w:rPr>
            </w:pPr>
            <w:r>
              <w:rPr>
                <w:rFonts w:ascii="Arial" w:eastAsia="Arial" w:hAnsi="Arial" w:cs="Arial"/>
                <w:sz w:val="16"/>
                <w:szCs w:val="16"/>
              </w:rPr>
              <w:t>Xmax = (X x CAmax) / CA</w:t>
            </w:r>
          </w:p>
          <w:p w:rsidR="002C4AF7" w:rsidRDefault="007C2686">
            <w:pPr>
              <w:ind w:left="0" w:hanging="2"/>
              <w:jc w:val="center"/>
              <w:rPr>
                <w:rFonts w:ascii="Arial" w:eastAsia="Arial" w:hAnsi="Arial" w:cs="Arial"/>
                <w:sz w:val="16"/>
                <w:szCs w:val="16"/>
              </w:rPr>
            </w:pPr>
            <w:r>
              <w:rPr>
                <w:rFonts w:ascii="Arial" w:eastAsia="Arial" w:hAnsi="Arial" w:cs="Arial"/>
                <w:sz w:val="16"/>
                <w:szCs w:val="16"/>
              </w:rPr>
              <w:t>3173*23.730/74.451=1.011€ envase</w:t>
            </w:r>
          </w:p>
        </w:tc>
      </w:tr>
      <w:tr w:rsidR="002C4AF7">
        <w:trPr>
          <w:trHeight w:val="747"/>
        </w:trPr>
        <w:tc>
          <w:tcPr>
            <w:tcW w:w="9285" w:type="dxa"/>
            <w:gridSpan w:val="5"/>
            <w:shd w:val="clear" w:color="auto" w:fill="D9D9D9"/>
          </w:tcPr>
          <w:p w:rsidR="002C4AF7" w:rsidRDefault="00CD3970">
            <w:pPr>
              <w:jc w:val="both"/>
              <w:rPr>
                <w:rFonts w:ascii="Arial" w:eastAsia="Arial" w:hAnsi="Arial" w:cs="Arial"/>
                <w:sz w:val="15"/>
                <w:szCs w:val="15"/>
              </w:rPr>
            </w:pPr>
            <w:r>
              <w:rPr>
                <w:rFonts w:ascii="Arial" w:eastAsia="Arial" w:hAnsi="Arial" w:cs="Arial"/>
                <w:sz w:val="15"/>
                <w:szCs w:val="15"/>
              </w:rPr>
              <w:lastRenderedPageBreak/>
              <w:t xml:space="preserve">(1) X: Coste de adquisición </w:t>
            </w:r>
            <w:r w:rsidR="007C2686">
              <w:rPr>
                <w:rFonts w:ascii="Arial" w:eastAsia="Arial" w:hAnsi="Arial" w:cs="Arial"/>
                <w:sz w:val="15"/>
                <w:szCs w:val="15"/>
              </w:rPr>
              <w:t>del apartado 7.1, empleado como referencia para la estimación del CEI basal del apartado 7.3.</w:t>
            </w:r>
          </w:p>
          <w:p w:rsidR="002C4AF7" w:rsidRDefault="007C2686">
            <w:pPr>
              <w:jc w:val="both"/>
              <w:rPr>
                <w:rFonts w:ascii="Arial" w:eastAsia="Arial" w:hAnsi="Arial" w:cs="Arial"/>
                <w:sz w:val="15"/>
                <w:szCs w:val="15"/>
              </w:rPr>
            </w:pPr>
            <w:r>
              <w:rPr>
                <w:rFonts w:ascii="Arial" w:eastAsia="Arial" w:hAnsi="Arial" w:cs="Arial"/>
                <w:sz w:val="15"/>
                <w:szCs w:val="15"/>
              </w:rPr>
              <w:t>(2) CA: Coste total del tratamiento global con el fármaco del apartado 7.1, empleado como referencia para la estimación del CEI basal del apartado 7.3. En este caso, CA y el coste del tratamiento comparador no incluirá los costes diferentes a los fármacos, ya que estarán recogidos en D.</w:t>
            </w:r>
          </w:p>
          <w:p w:rsidR="002C4AF7" w:rsidRDefault="007C2686">
            <w:pPr>
              <w:jc w:val="both"/>
              <w:rPr>
                <w:rFonts w:ascii="Arial" w:eastAsia="Arial" w:hAnsi="Arial" w:cs="Arial"/>
                <w:sz w:val="15"/>
                <w:szCs w:val="15"/>
              </w:rPr>
            </w:pPr>
            <w:r>
              <w:rPr>
                <w:rFonts w:ascii="Arial" w:eastAsia="Arial" w:hAnsi="Arial" w:cs="Arial"/>
                <w:sz w:val="15"/>
                <w:szCs w:val="15"/>
              </w:rPr>
              <w:t>(3) D: coste incremental por conceptos diferentes a los fármacos por paciente. Este coste se mantendrá constante independientemente de un cambio en el coste de adquisición del medicamento evaluado.</w:t>
            </w:r>
          </w:p>
          <w:p w:rsidR="002C4AF7" w:rsidRDefault="007C2686">
            <w:pPr>
              <w:jc w:val="both"/>
              <w:rPr>
                <w:rFonts w:ascii="Arial" w:eastAsia="Arial" w:hAnsi="Arial" w:cs="Arial"/>
                <w:sz w:val="15"/>
                <w:szCs w:val="15"/>
              </w:rPr>
            </w:pPr>
            <w:r>
              <w:rPr>
                <w:rFonts w:ascii="Arial" w:eastAsia="Arial" w:hAnsi="Arial" w:cs="Arial"/>
                <w:sz w:val="15"/>
                <w:szCs w:val="15"/>
              </w:rPr>
              <w:t>(4) CAmax: Coste de adquisición máximo del tratamiento global para que no supere el umbral de referencia en nuestro ámbito.</w:t>
            </w:r>
          </w:p>
          <w:p w:rsidR="002C4AF7" w:rsidRDefault="007C2686">
            <w:pPr>
              <w:jc w:val="both"/>
              <w:rPr>
                <w:rFonts w:ascii="Arial" w:eastAsia="Arial" w:hAnsi="Arial" w:cs="Arial"/>
                <w:sz w:val="15"/>
                <w:szCs w:val="15"/>
              </w:rPr>
            </w:pPr>
            <w:r>
              <w:rPr>
                <w:rFonts w:ascii="Arial" w:eastAsia="Arial" w:hAnsi="Arial" w:cs="Arial"/>
                <w:sz w:val="15"/>
                <w:szCs w:val="15"/>
              </w:rPr>
              <w:t xml:space="preserve">(5) Xmax:Precio máximo estimado a pagar por una unidad según umbral en España (21.000 €/AVAC de aplicación general propuesto en esta Guía). Al cociente entre CA y CAmax (o lo que es lo mismo entre X y Xmax), al que se le puede llamar </w:t>
            </w:r>
            <w:r>
              <w:rPr>
                <w:rFonts w:ascii="Arial" w:eastAsia="Arial" w:hAnsi="Arial" w:cs="Arial"/>
                <w:b/>
                <w:sz w:val="15"/>
                <w:szCs w:val="15"/>
              </w:rPr>
              <w:t>peso relativo</w:t>
            </w:r>
            <w:r>
              <w:rPr>
                <w:rFonts w:ascii="Arial" w:eastAsia="Arial" w:hAnsi="Arial" w:cs="Arial"/>
                <w:sz w:val="15"/>
                <w:szCs w:val="15"/>
              </w:rPr>
              <w:t>, indica el nº de veces que el coste actual excede del coste máximo para ser coste-efectivos según los umbrales de referencia.</w:t>
            </w:r>
          </w:p>
        </w:tc>
      </w:tr>
    </w:tbl>
    <w:p w:rsidR="002C4AF7" w:rsidRDefault="007C2686">
      <w:pPr>
        <w:keepNext/>
        <w:ind w:left="0" w:hanging="2"/>
        <w:rPr>
          <w:rFonts w:ascii="Arial" w:eastAsia="Arial" w:hAnsi="Arial" w:cs="Arial"/>
          <w:sz w:val="20"/>
          <w:szCs w:val="20"/>
        </w:rPr>
      </w:pPr>
      <w:r>
        <w:rPr>
          <w:rFonts w:ascii="Arial" w:eastAsia="Arial" w:hAnsi="Arial" w:cs="Arial"/>
          <w:sz w:val="20"/>
          <w:szCs w:val="20"/>
        </w:rPr>
        <w:t>*tomado del informe GENESIS de apalutamida en esta misma indicación, se estima una duración media de 22 meses de tratamiento con el fármaco activo.</w:t>
      </w:r>
    </w:p>
    <w:p w:rsidR="002C4AF7" w:rsidRDefault="002C4AF7">
      <w:pPr>
        <w:keepNext/>
        <w:ind w:left="0" w:hanging="2"/>
        <w:rPr>
          <w:rFonts w:ascii="Arial" w:eastAsia="Arial" w:hAnsi="Arial" w:cs="Arial"/>
          <w:sz w:val="20"/>
          <w:szCs w:val="20"/>
        </w:rPr>
      </w:pPr>
    </w:p>
    <w:p w:rsidR="002C4AF7" w:rsidRDefault="007C2686">
      <w:pPr>
        <w:keepNext/>
        <w:ind w:left="0" w:hanging="2"/>
        <w:jc w:val="both"/>
        <w:rPr>
          <w:rFonts w:ascii="Arial" w:eastAsia="Arial" w:hAnsi="Arial" w:cs="Arial"/>
          <w:sz w:val="20"/>
          <w:szCs w:val="20"/>
        </w:rPr>
      </w:pPr>
      <w:r>
        <w:rPr>
          <w:rFonts w:ascii="Arial" w:eastAsia="Arial" w:hAnsi="Arial" w:cs="Arial"/>
          <w:sz w:val="20"/>
          <w:szCs w:val="20"/>
        </w:rPr>
        <w:t xml:space="preserve">El precio de adquisición del medicamento enzalutamida debería ser menor de 1011 </w:t>
      </w:r>
      <w:r w:rsidR="00CD3970">
        <w:rPr>
          <w:rFonts w:ascii="Arial" w:eastAsia="Arial" w:hAnsi="Arial" w:cs="Arial"/>
          <w:sz w:val="20"/>
          <w:szCs w:val="20"/>
        </w:rPr>
        <w:t>€ por envase de 112 comprimidos</w:t>
      </w:r>
      <w:r>
        <w:rPr>
          <w:rFonts w:ascii="Arial" w:eastAsia="Arial" w:hAnsi="Arial" w:cs="Arial"/>
          <w:sz w:val="20"/>
          <w:szCs w:val="20"/>
        </w:rPr>
        <w:t xml:space="preserve"> para que pueda considerarse coste efectivo.</w:t>
      </w:r>
    </w:p>
    <w:p w:rsidR="002C4AF7" w:rsidRDefault="002C4AF7">
      <w:pPr>
        <w:tabs>
          <w:tab w:val="center" w:pos="4252"/>
          <w:tab w:val="right" w:pos="8504"/>
        </w:tabs>
        <w:spacing w:line="240" w:lineRule="auto"/>
        <w:ind w:left="0" w:hanging="2"/>
        <w:rPr>
          <w:rFonts w:ascii="Arial" w:eastAsia="Arial" w:hAnsi="Arial" w:cs="Arial"/>
          <w:color w:val="000000"/>
        </w:rPr>
      </w:pPr>
    </w:p>
    <w:p w:rsidR="002C4AF7" w:rsidRDefault="007C2686">
      <w:pPr>
        <w:pBdr>
          <w:top w:val="single" w:sz="4" w:space="1" w:color="000000"/>
          <w:left w:val="single" w:sz="4" w:space="4" w:color="000000"/>
          <w:bottom w:val="single" w:sz="4" w:space="1" w:color="000000"/>
          <w:right w:val="single" w:sz="4" w:space="4" w:color="000000"/>
        </w:pBdr>
        <w:shd w:val="clear" w:color="auto" w:fill="D9D9D9"/>
        <w:tabs>
          <w:tab w:val="center" w:pos="4252"/>
          <w:tab w:val="right" w:pos="8504"/>
        </w:tabs>
        <w:spacing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Posicionamiento:</w:t>
      </w:r>
    </w:p>
    <w:p w:rsidR="002C4AF7" w:rsidRDefault="002C4AF7">
      <w:pPr>
        <w:tabs>
          <w:tab w:val="center" w:pos="4252"/>
          <w:tab w:val="right" w:pos="8504"/>
        </w:tabs>
        <w:ind w:left="0" w:hanging="2"/>
        <w:jc w:val="both"/>
        <w:rPr>
          <w:rFonts w:ascii="Arial" w:eastAsia="Arial" w:hAnsi="Arial" w:cs="Arial"/>
          <w:sz w:val="20"/>
          <w:szCs w:val="20"/>
        </w:rPr>
      </w:pPr>
    </w:p>
    <w:p w:rsidR="002C4AF7" w:rsidRDefault="007C2686">
      <w:pPr>
        <w:tabs>
          <w:tab w:val="center" w:pos="4252"/>
          <w:tab w:val="right" w:pos="8504"/>
        </w:tabs>
        <w:ind w:left="0" w:hanging="2"/>
        <w:jc w:val="both"/>
        <w:rPr>
          <w:rFonts w:ascii="Arial" w:eastAsia="Arial" w:hAnsi="Arial" w:cs="Arial"/>
          <w:color w:val="000000"/>
        </w:rPr>
      </w:pPr>
      <w:bookmarkStart w:id="53" w:name="_heading=h.ykcrppwnp6kj" w:colFirst="0" w:colLast="0"/>
      <w:bookmarkEnd w:id="53"/>
      <w:r>
        <w:rPr>
          <w:rFonts w:ascii="Arial" w:eastAsia="Arial" w:hAnsi="Arial" w:cs="Arial"/>
          <w:sz w:val="20"/>
          <w:szCs w:val="20"/>
        </w:rPr>
        <w:t>En hombres adultos que no toleren o no sean candidatos a docetaxel, enzalutamida puede ser una alternativa.</w:t>
      </w:r>
    </w:p>
    <w:p w:rsidR="002C4AF7" w:rsidRDefault="002C4AF7">
      <w:pPr>
        <w:ind w:left="0" w:hanging="2"/>
        <w:jc w:val="both"/>
        <w:rPr>
          <w:rFonts w:ascii="Arial" w:eastAsia="Arial" w:hAnsi="Arial" w:cs="Arial"/>
          <w:sz w:val="20"/>
          <w:szCs w:val="20"/>
        </w:rPr>
      </w:pPr>
      <w:bookmarkStart w:id="54" w:name="_heading=h.nmf14n" w:colFirst="0" w:colLast="0"/>
      <w:bookmarkEnd w:id="54"/>
    </w:p>
    <w:p w:rsidR="002C4AF7" w:rsidRDefault="002C4AF7">
      <w:pPr>
        <w:ind w:left="0" w:hanging="2"/>
        <w:rPr>
          <w:rFonts w:ascii="Arial" w:eastAsia="Arial" w:hAnsi="Arial" w:cs="Arial"/>
          <w:color w:val="000080"/>
          <w:sz w:val="20"/>
          <w:szCs w:val="20"/>
        </w:rPr>
      </w:pPr>
    </w:p>
    <w:tbl>
      <w:tblPr>
        <w:tblStyle w:val="affffc"/>
        <w:tblW w:w="885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9"/>
      </w:tblGrid>
      <w:tr w:rsidR="002C4AF7">
        <w:trPr>
          <w:trHeight w:val="228"/>
        </w:trPr>
        <w:tc>
          <w:tcPr>
            <w:tcW w:w="8859" w:type="dxa"/>
            <w:shd w:val="clear" w:color="auto" w:fill="B3B3B3"/>
          </w:tcPr>
          <w:p w:rsidR="002C4AF7" w:rsidRDefault="007C2686">
            <w:pPr>
              <w:keepNext/>
              <w:shd w:val="clear" w:color="auto" w:fill="A6A6A6"/>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8. EVALUACIÓN DE LA CONVENIENCIA. </w:t>
            </w:r>
          </w:p>
        </w:tc>
      </w:tr>
    </w:tbl>
    <w:p w:rsidR="002C4AF7" w:rsidRDefault="002C4AF7">
      <w:pPr>
        <w:ind w:left="0" w:hanging="2"/>
        <w:rPr>
          <w:rFonts w:ascii="Arial" w:eastAsia="Arial" w:hAnsi="Arial" w:cs="Arial"/>
          <w:sz w:val="20"/>
          <w:szCs w:val="20"/>
        </w:rPr>
      </w:pPr>
    </w:p>
    <w:p w:rsidR="002C4AF7" w:rsidRDefault="002C4AF7">
      <w:pPr>
        <w:ind w:left="0" w:hanging="2"/>
        <w:jc w:val="both"/>
        <w:rPr>
          <w:rFonts w:ascii="Arial" w:eastAsia="Arial" w:hAnsi="Arial" w:cs="Arial"/>
          <w:sz w:val="20"/>
          <w:szCs w:val="20"/>
        </w:rPr>
      </w:pPr>
      <w:bookmarkStart w:id="55" w:name="_heading=h.37m2jsg" w:colFirst="0" w:colLast="0"/>
      <w:bookmarkEnd w:id="55"/>
    </w:p>
    <w:p w:rsidR="002C4AF7" w:rsidRDefault="002C4AF7">
      <w:pPr>
        <w:ind w:left="0" w:hanging="2"/>
        <w:rPr>
          <w:rFonts w:ascii="Arial" w:eastAsia="Arial" w:hAnsi="Arial" w:cs="Arial"/>
          <w:color w:val="000080"/>
          <w:sz w:val="20"/>
          <w:szCs w:val="20"/>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r>
        <w:rPr>
          <w:rFonts w:ascii="Cambria" w:eastAsia="Cambria" w:hAnsi="Cambria" w:cs="Cambria"/>
          <w:b/>
          <w:i/>
          <w:color w:val="000000"/>
          <w:sz w:val="20"/>
          <w:szCs w:val="20"/>
        </w:rPr>
        <w:t>8.1 Descripción de la conveniencia</w:t>
      </w:r>
    </w:p>
    <w:p w:rsidR="002C4AF7" w:rsidRDefault="002C4AF7">
      <w:pPr>
        <w:shd w:val="clear" w:color="auto" w:fill="FFFFFF"/>
        <w:ind w:left="0" w:hanging="2"/>
        <w:jc w:val="both"/>
        <w:rPr>
          <w:rFonts w:ascii="Arial" w:eastAsia="Arial" w:hAnsi="Arial" w:cs="Arial"/>
          <w:color w:val="000080"/>
          <w:sz w:val="20"/>
          <w:szCs w:val="20"/>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Enzalutamida es un fármaco que se administra vía oral, 160 mg/día, presentándose en comprimidos de 40 mg, lo que supone la ingesta de 4 comprimidos al día. Puede administrarse con o sin alimentos y no precisa la administración concomitante de corticoides.</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Precisa un seguimiento de la adherencia, más todavía teniendo en cuenta la cantidad de comprimidos al día.</w:t>
      </w:r>
    </w:p>
    <w:p w:rsidR="002C4AF7" w:rsidRDefault="002C4AF7">
      <w:pPr>
        <w:shd w:val="clear" w:color="auto" w:fill="FFFFFF"/>
        <w:ind w:left="0" w:hanging="2"/>
        <w:jc w:val="both"/>
        <w:rPr>
          <w:rFonts w:ascii="Arial" w:eastAsia="Arial" w:hAnsi="Arial" w:cs="Arial"/>
          <w:color w:val="000080"/>
          <w:sz w:val="20"/>
          <w:szCs w:val="20"/>
        </w:rPr>
      </w:pPr>
      <w:bookmarkStart w:id="56" w:name="_heading=h.1mrcu09" w:colFirst="0" w:colLast="0"/>
      <w:bookmarkEnd w:id="56"/>
    </w:p>
    <w:p w:rsidR="002C4AF7" w:rsidRDefault="002C4AF7">
      <w:pPr>
        <w:ind w:left="0" w:hanging="2"/>
        <w:rPr>
          <w:rFonts w:ascii="Arial" w:eastAsia="Arial" w:hAnsi="Arial" w:cs="Arial"/>
          <w:color w:val="000080"/>
          <w:sz w:val="20"/>
          <w:szCs w:val="20"/>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r>
        <w:rPr>
          <w:rFonts w:ascii="Cambria" w:eastAsia="Cambria" w:hAnsi="Cambria" w:cs="Cambria"/>
          <w:b/>
          <w:i/>
          <w:color w:val="000000"/>
          <w:sz w:val="20"/>
          <w:szCs w:val="20"/>
        </w:rPr>
        <w:t>8.2 Influencia de la conveniencia en la efectividad del tratamiento</w:t>
      </w:r>
    </w:p>
    <w:p w:rsidR="002C4AF7" w:rsidRDefault="002C4AF7">
      <w:pPr>
        <w:shd w:val="clear" w:color="auto" w:fill="FFFFFF"/>
        <w:ind w:left="0" w:hanging="2"/>
        <w:jc w:val="both"/>
        <w:rPr>
          <w:rFonts w:ascii="Arial" w:eastAsia="Arial" w:hAnsi="Arial" w:cs="Arial"/>
          <w:color w:val="000080"/>
          <w:sz w:val="20"/>
          <w:szCs w:val="20"/>
        </w:rPr>
      </w:pPr>
      <w:bookmarkStart w:id="57" w:name="_heading=h.46r0co2" w:colFirst="0" w:colLast="0"/>
      <w:bookmarkEnd w:id="57"/>
    </w:p>
    <w:p w:rsidR="002C4AF7" w:rsidRDefault="007C2686">
      <w:pPr>
        <w:ind w:left="0" w:hanging="2"/>
        <w:rPr>
          <w:rFonts w:ascii="Arial" w:eastAsia="Arial" w:hAnsi="Arial" w:cs="Arial"/>
          <w:sz w:val="20"/>
          <w:szCs w:val="20"/>
        </w:rPr>
      </w:pPr>
      <w:r>
        <w:rPr>
          <w:rFonts w:ascii="Arial" w:eastAsia="Arial" w:hAnsi="Arial" w:cs="Arial"/>
          <w:sz w:val="20"/>
          <w:szCs w:val="20"/>
        </w:rPr>
        <w:t xml:space="preserve">Presenta administración oral, al igual que varias de las alternativas en este mismo escenario. </w:t>
      </w:r>
    </w:p>
    <w:p w:rsidR="002C4AF7" w:rsidRDefault="002C4AF7">
      <w:pPr>
        <w:ind w:left="0" w:hanging="2"/>
        <w:rPr>
          <w:rFonts w:ascii="Arial" w:eastAsia="Arial" w:hAnsi="Arial" w:cs="Arial"/>
          <w:color w:val="FF0000"/>
          <w:sz w:val="20"/>
          <w:szCs w:val="20"/>
        </w:rPr>
      </w:pPr>
    </w:p>
    <w:tbl>
      <w:tblPr>
        <w:tblStyle w:val="affffd"/>
        <w:tblW w:w="889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2C4AF7">
        <w:tc>
          <w:tcPr>
            <w:tcW w:w="8890" w:type="dxa"/>
            <w:shd w:val="clear" w:color="auto" w:fill="B3B3B3"/>
          </w:tcPr>
          <w:p w:rsidR="002C4AF7" w:rsidRDefault="007C2686">
            <w:pPr>
              <w:keepNext/>
              <w:shd w:val="clear" w:color="auto" w:fill="A6A6A6"/>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9. AREA DE CONCLUSIONES.</w:t>
            </w:r>
          </w:p>
        </w:tc>
      </w:tr>
    </w:tbl>
    <w:p w:rsidR="002C4AF7" w:rsidRDefault="002C4AF7">
      <w:pPr>
        <w:tabs>
          <w:tab w:val="center" w:pos="4252"/>
          <w:tab w:val="right" w:pos="8504"/>
        </w:tabs>
        <w:spacing w:line="240" w:lineRule="auto"/>
        <w:ind w:left="0" w:hanging="2"/>
        <w:rPr>
          <w:rFonts w:ascii="Arial" w:eastAsia="Arial" w:hAnsi="Arial" w:cs="Arial"/>
          <w:color w:val="000000"/>
        </w:rPr>
      </w:pPr>
      <w:bookmarkStart w:id="58" w:name="_heading=h.2lwamvv" w:colFirst="0" w:colLast="0"/>
      <w:bookmarkEnd w:id="58"/>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r>
        <w:rPr>
          <w:rFonts w:ascii="Cambria" w:eastAsia="Cambria" w:hAnsi="Cambria" w:cs="Cambria"/>
          <w:b/>
          <w:i/>
          <w:color w:val="000000"/>
          <w:sz w:val="20"/>
          <w:szCs w:val="20"/>
        </w:rPr>
        <w:t>9.1 Resumen de los aspectos más significativos respecto a la alternativa y propuestas</w:t>
      </w:r>
    </w:p>
    <w:p w:rsidR="002C4AF7" w:rsidRDefault="002C4AF7">
      <w:pPr>
        <w:ind w:left="0" w:hanging="2"/>
        <w:jc w:val="both"/>
        <w:rPr>
          <w:rFonts w:ascii="Arial" w:eastAsia="Arial" w:hAnsi="Arial" w:cs="Arial"/>
          <w:sz w:val="20"/>
          <w:szCs w:val="20"/>
        </w:rPr>
      </w:pPr>
    </w:p>
    <w:p w:rsidR="002C4AF7" w:rsidRDefault="007C2686">
      <w:pPr>
        <w:ind w:left="0" w:hanging="2"/>
        <w:rPr>
          <w:rFonts w:ascii="Arial" w:eastAsia="Arial" w:hAnsi="Arial" w:cs="Arial"/>
          <w:sz w:val="20"/>
          <w:szCs w:val="20"/>
        </w:rPr>
      </w:pPr>
      <w:r>
        <w:rPr>
          <w:rFonts w:ascii="Arial" w:eastAsia="Arial" w:hAnsi="Arial" w:cs="Arial"/>
          <w:sz w:val="20"/>
          <w:szCs w:val="20"/>
        </w:rPr>
        <w:t>A) Aspectos clínico-terapéuticos</w:t>
      </w:r>
    </w:p>
    <w:p w:rsidR="002C4AF7" w:rsidRDefault="002C4AF7">
      <w:pPr>
        <w:ind w:left="0" w:hanging="2"/>
        <w:jc w:val="both"/>
        <w:rPr>
          <w:rFonts w:ascii="Arial" w:eastAsia="Arial" w:hAnsi="Arial" w:cs="Arial"/>
          <w:sz w:val="20"/>
          <w:szCs w:val="20"/>
        </w:rPr>
      </w:pPr>
    </w:p>
    <w:p w:rsidR="002C4AF7" w:rsidRDefault="007C2686">
      <w:pPr>
        <w:numPr>
          <w:ilvl w:val="0"/>
          <w:numId w:val="5"/>
        </w:numPr>
        <w:ind w:left="0" w:hanging="2"/>
        <w:jc w:val="both"/>
        <w:rPr>
          <w:rFonts w:ascii="Arial" w:eastAsia="Arial" w:hAnsi="Arial" w:cs="Arial"/>
          <w:sz w:val="20"/>
          <w:szCs w:val="20"/>
        </w:rPr>
      </w:pPr>
      <w:r>
        <w:rPr>
          <w:rFonts w:ascii="Arial" w:eastAsia="Arial" w:hAnsi="Arial" w:cs="Arial"/>
          <w:sz w:val="20"/>
          <w:szCs w:val="20"/>
        </w:rPr>
        <w:t>La eficacia de enzalutamida en CPHSm ha sido evaluada en dos ensayos fase III. ARCHES es un ensayo de fase III multinacional, doble ciego, para recibir enzalutamida más TDA o placebo más TDA y la variable principal es SLPr para la que se obtiene HR de 0,39 (IC95% 0,30 a 0,50), diferencias estadísticamente significativas y con mediana no alcanzada para el grupo activo y 19 meses para el grupo control. En el análisis final de la SG con una mediana de seguimiento de 44,6 meses se observó un HR de 0,66 (IC95% 0,53 a 0,81) y un cruce de pacientes del 31,3% al brazo de enzalutamida. No se alcanzó la mediana en ninguno de los dos grupos de tratamiento. En el análisis de subgrupos para la variable principal se observaron resultados consistentes en pacientes con alto o bajo volumen de enfermedad y en pacientes con y sin terapia previa con docetaxel.</w:t>
      </w:r>
    </w:p>
    <w:p w:rsidR="002C4AF7" w:rsidRDefault="002C4AF7">
      <w:pPr>
        <w:ind w:left="0" w:hanging="2"/>
        <w:jc w:val="both"/>
        <w:rPr>
          <w:rFonts w:ascii="Arial" w:eastAsia="Arial" w:hAnsi="Arial" w:cs="Arial"/>
          <w:sz w:val="20"/>
          <w:szCs w:val="20"/>
        </w:rPr>
      </w:pPr>
    </w:p>
    <w:p w:rsidR="002C4AF7" w:rsidRDefault="002C4AF7">
      <w:pPr>
        <w:widowControl w:val="0"/>
        <w:ind w:left="0" w:hanging="2"/>
        <w:jc w:val="center"/>
        <w:rPr>
          <w:rFonts w:ascii="Arial" w:eastAsia="Arial" w:hAnsi="Arial" w:cs="Arial"/>
          <w:sz w:val="20"/>
          <w:szCs w:val="20"/>
        </w:rPr>
      </w:pPr>
    </w:p>
    <w:p w:rsidR="002C4AF7" w:rsidRDefault="007C2686">
      <w:pPr>
        <w:numPr>
          <w:ilvl w:val="0"/>
          <w:numId w:val="5"/>
        </w:numPr>
        <w:ind w:left="0" w:hanging="2"/>
        <w:jc w:val="both"/>
        <w:rPr>
          <w:rFonts w:ascii="Arial" w:eastAsia="Arial" w:hAnsi="Arial" w:cs="Arial"/>
          <w:sz w:val="20"/>
          <w:szCs w:val="20"/>
        </w:rPr>
      </w:pPr>
      <w:r>
        <w:rPr>
          <w:rFonts w:ascii="Arial" w:eastAsia="Arial" w:hAnsi="Arial" w:cs="Arial"/>
          <w:sz w:val="20"/>
          <w:szCs w:val="20"/>
        </w:rPr>
        <w:t xml:space="preserve">ENZAMET es un estudio de soporte fase III, abierto, aleatorizado para recibir enzalutamida o un antiandrógeno no esteroideo, todos ellos con TDA. La variable principal es SG. </w:t>
      </w:r>
    </w:p>
    <w:p w:rsidR="002C4AF7" w:rsidRDefault="007C2686">
      <w:pPr>
        <w:ind w:left="0" w:hanging="2"/>
        <w:jc w:val="both"/>
        <w:rPr>
          <w:rFonts w:ascii="Arial" w:eastAsia="Arial" w:hAnsi="Arial" w:cs="Arial"/>
          <w:sz w:val="20"/>
          <w:szCs w:val="20"/>
        </w:rPr>
      </w:pPr>
      <w:r>
        <w:rPr>
          <w:rFonts w:ascii="Arial" w:eastAsia="Arial" w:hAnsi="Arial" w:cs="Arial"/>
          <w:sz w:val="20"/>
          <w:szCs w:val="20"/>
        </w:rPr>
        <w:lastRenderedPageBreak/>
        <w:t xml:space="preserve">Para el análisis final de los datos pre especificado tras </w:t>
      </w:r>
      <w:r w:rsidR="00E576A6">
        <w:rPr>
          <w:rFonts w:ascii="Arial" w:eastAsia="Arial" w:hAnsi="Arial" w:cs="Arial"/>
          <w:sz w:val="20"/>
          <w:szCs w:val="20"/>
        </w:rPr>
        <w:t>476 muertes</w:t>
      </w:r>
      <w:r>
        <w:rPr>
          <w:rFonts w:ascii="Arial" w:eastAsia="Arial" w:hAnsi="Arial" w:cs="Arial"/>
          <w:sz w:val="20"/>
          <w:szCs w:val="20"/>
        </w:rPr>
        <w:t>, se hizo un corte en enero 2022 con una mediana de seguimiento de 68 meses. Para SG se obtuvo un HR de 0,70 (IC 0,58 a 0,84). Los subgrupos según volumen de enfermedad, uso concomitante temprano o no de docetaxel, empleo de terapia antirresortiva, no mostraban diferencias que pudieran ser consideradas en la práctica clínica de forma fiable.</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color w:val="FF0000"/>
          <w:sz w:val="20"/>
          <w:szCs w:val="20"/>
        </w:rPr>
      </w:pPr>
      <w:bookmarkStart w:id="59" w:name="_heading=h.vqi2bwsg8lob" w:colFirst="0" w:colLast="0"/>
      <w:bookmarkEnd w:id="59"/>
      <w:r>
        <w:rPr>
          <w:rFonts w:ascii="Arial" w:eastAsia="Arial" w:hAnsi="Arial" w:cs="Arial"/>
          <w:sz w:val="20"/>
          <w:szCs w:val="20"/>
        </w:rPr>
        <w:t>En relación a los comparadores docetaxel, apalutamida y abiraterona, para SLPr, mediante metanálisis en red, se observan resultados no del todo homogéneos; en el primero se observa que enzalutamida, apalutamida y abiraterona son superiores a docetaxel y no existe diferencia estadísticamente significativa en las distintas comparaciones entre los tres fármacos orales. En el segundo metaanálisis, se observa que enzalutamida es superior a apalutamida y docetaxel pero no a abiraterona. Estos resultados deben interpretarse con precaución ya que no están exentos de incertidumbre y se ha de valorar los sesgos en los ensayos incluidos en el metaanálisis.</w:t>
      </w:r>
    </w:p>
    <w:p w:rsidR="002C4AF7" w:rsidRDefault="002C4AF7">
      <w:pPr>
        <w:ind w:left="0" w:hanging="2"/>
        <w:jc w:val="both"/>
        <w:rPr>
          <w:rFonts w:ascii="Arial" w:eastAsia="Arial" w:hAnsi="Arial" w:cs="Arial"/>
          <w:color w:val="FF0000"/>
          <w:sz w:val="20"/>
          <w:szCs w:val="20"/>
        </w:rPr>
      </w:pPr>
    </w:p>
    <w:p w:rsidR="002C4AF7" w:rsidRDefault="007C2686">
      <w:pPr>
        <w:ind w:left="0" w:hanging="2"/>
        <w:jc w:val="both"/>
        <w:rPr>
          <w:rFonts w:ascii="Arial" w:eastAsia="Arial" w:hAnsi="Arial" w:cs="Arial"/>
          <w:sz w:val="20"/>
          <w:szCs w:val="20"/>
        </w:rPr>
      </w:pPr>
      <w:bookmarkStart w:id="60" w:name="_heading=h.8alfdmqm9wpd" w:colFirst="0" w:colLast="0"/>
      <w:bookmarkEnd w:id="60"/>
      <w:r>
        <w:rPr>
          <w:rFonts w:ascii="Arial" w:eastAsia="Arial" w:hAnsi="Arial" w:cs="Arial"/>
          <w:sz w:val="20"/>
          <w:szCs w:val="20"/>
        </w:rPr>
        <w:t>Se han realizado comparaciones indirectas para evaluar la SG con datos finales de los distintos ensayos pivotales de los fármacos activos en las que no se observan diferencias estadísticamente significativas entre ellos aunque hay incertidumbre y hay que considerar la posibilidad de diferencias entre los fármacos en relación a la relevancia clínica.</w:t>
      </w:r>
    </w:p>
    <w:p w:rsidR="002C4AF7" w:rsidRDefault="002C4AF7">
      <w:pPr>
        <w:ind w:left="0" w:hanging="2"/>
        <w:jc w:val="both"/>
        <w:rPr>
          <w:rFonts w:ascii="Arial" w:eastAsia="Arial" w:hAnsi="Arial" w:cs="Arial"/>
          <w:sz w:val="20"/>
          <w:szCs w:val="20"/>
        </w:rPr>
      </w:pPr>
    </w:p>
    <w:p w:rsidR="002C4AF7" w:rsidRDefault="007C2686">
      <w:pPr>
        <w:ind w:left="0" w:hanging="2"/>
        <w:jc w:val="both"/>
        <w:rPr>
          <w:rFonts w:ascii="Arial" w:eastAsia="Arial" w:hAnsi="Arial" w:cs="Arial"/>
          <w:sz w:val="20"/>
          <w:szCs w:val="20"/>
        </w:rPr>
      </w:pPr>
      <w:bookmarkStart w:id="61" w:name="_heading=h.boqgvui2mh0g" w:colFirst="0" w:colLast="0"/>
      <w:bookmarkEnd w:id="61"/>
      <w:r>
        <w:rPr>
          <w:rFonts w:ascii="Arial" w:eastAsia="Arial" w:hAnsi="Arial" w:cs="Arial"/>
          <w:sz w:val="20"/>
          <w:szCs w:val="20"/>
        </w:rPr>
        <w:t>En el ensayo ARCHES en el análisis intermedio, los eventos adversos notificados con más frecuencia en el grupo enzalutamida fueron sofocos, fatiga y artralgia. Los de grado 3 o superior notificados con mayor frecuencia en el grupo enzalutamida fueron hipertensión, astenia, progresión de neoplasias malignas y síncope.</w:t>
      </w:r>
    </w:p>
    <w:p w:rsidR="002C4AF7" w:rsidRDefault="002C4AF7">
      <w:pPr>
        <w:ind w:left="0" w:hanging="2"/>
        <w:rPr>
          <w:rFonts w:ascii="Arial" w:eastAsia="Arial" w:hAnsi="Arial" w:cs="Arial"/>
          <w:sz w:val="20"/>
          <w:szCs w:val="20"/>
        </w:rPr>
      </w:pPr>
    </w:p>
    <w:p w:rsidR="002C4AF7" w:rsidRDefault="007C2686">
      <w:pPr>
        <w:ind w:left="0" w:hanging="2"/>
        <w:jc w:val="both"/>
        <w:rPr>
          <w:rFonts w:ascii="Arial" w:eastAsia="Arial" w:hAnsi="Arial" w:cs="Arial"/>
          <w:sz w:val="20"/>
          <w:szCs w:val="20"/>
        </w:rPr>
      </w:pPr>
      <w:r>
        <w:rPr>
          <w:rFonts w:ascii="Arial" w:eastAsia="Arial" w:hAnsi="Arial" w:cs="Arial"/>
          <w:sz w:val="20"/>
          <w:szCs w:val="20"/>
        </w:rPr>
        <w:t xml:space="preserve">En el ensayo ENZAMET en el análisis intermedio los eventos adversos de grado 3 a cinco notificados con más frecuencia en el grupo enzalutamida fueron hipertensión, neutropenia </w:t>
      </w:r>
      <w:r w:rsidR="00E576A6">
        <w:rPr>
          <w:rFonts w:ascii="Arial" w:eastAsia="Arial" w:hAnsi="Arial" w:cs="Arial"/>
          <w:sz w:val="20"/>
          <w:szCs w:val="20"/>
        </w:rPr>
        <w:t>febril,</w:t>
      </w:r>
      <w:r>
        <w:rPr>
          <w:rFonts w:ascii="Arial" w:eastAsia="Arial" w:hAnsi="Arial" w:cs="Arial"/>
          <w:sz w:val="20"/>
          <w:szCs w:val="20"/>
        </w:rPr>
        <w:t xml:space="preserve"> neutropenia, fatiga y síncope.</w:t>
      </w:r>
    </w:p>
    <w:p w:rsidR="002C4AF7" w:rsidRDefault="002C4AF7">
      <w:pPr>
        <w:ind w:left="0" w:hanging="2"/>
        <w:rPr>
          <w:rFonts w:ascii="Arial" w:eastAsia="Arial" w:hAnsi="Arial" w:cs="Arial"/>
          <w:sz w:val="20"/>
          <w:szCs w:val="20"/>
        </w:rPr>
      </w:pPr>
    </w:p>
    <w:p w:rsidR="002C4AF7" w:rsidRDefault="002C4AF7">
      <w:pPr>
        <w:ind w:left="0" w:hanging="2"/>
        <w:rPr>
          <w:rFonts w:ascii="Arial" w:eastAsia="Arial" w:hAnsi="Arial" w:cs="Arial"/>
          <w:sz w:val="20"/>
          <w:szCs w:val="20"/>
        </w:rPr>
      </w:pPr>
    </w:p>
    <w:p w:rsidR="002C4AF7" w:rsidRDefault="007C2686">
      <w:pP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B) Coste, Coste eficacia incremental e Impacto presupuestario</w:t>
      </w:r>
    </w:p>
    <w:p w:rsidR="002C4AF7" w:rsidRDefault="002C4AF7">
      <w:pPr>
        <w:spacing w:line="240" w:lineRule="auto"/>
        <w:ind w:left="0" w:hanging="2"/>
        <w:jc w:val="both"/>
        <w:rPr>
          <w:rFonts w:ascii="Arial" w:eastAsia="Arial" w:hAnsi="Arial" w:cs="Arial"/>
          <w:sz w:val="20"/>
          <w:szCs w:val="20"/>
        </w:rPr>
      </w:pPr>
    </w:p>
    <w:p w:rsidR="002C4AF7" w:rsidRDefault="007C2686">
      <w:pPr>
        <w:spacing w:line="240" w:lineRule="auto"/>
        <w:ind w:left="0" w:hanging="2"/>
        <w:jc w:val="both"/>
        <w:rPr>
          <w:rFonts w:ascii="Arial" w:eastAsia="Arial" w:hAnsi="Arial" w:cs="Arial"/>
          <w:sz w:val="20"/>
          <w:szCs w:val="20"/>
        </w:rPr>
      </w:pPr>
      <w:r>
        <w:rPr>
          <w:rFonts w:ascii="Arial" w:eastAsia="Arial" w:hAnsi="Arial" w:cs="Arial"/>
          <w:sz w:val="20"/>
          <w:szCs w:val="20"/>
        </w:rPr>
        <w:t xml:space="preserve">El coste del tratamiento de un año es de 41.253 euros, siendo similar al de apalutamida. El coste incremental  respecto a la abiraterona es de </w:t>
      </w:r>
      <w:r>
        <w:rPr>
          <w:rFonts w:ascii="Arial" w:eastAsia="Arial" w:hAnsi="Arial" w:cs="Arial"/>
          <w:sz w:val="20"/>
          <w:szCs w:val="20"/>
          <w:highlight w:val="white"/>
        </w:rPr>
        <w:t>25.475</w:t>
      </w:r>
      <w:r>
        <w:rPr>
          <w:rFonts w:ascii="Arial" w:eastAsia="Arial" w:hAnsi="Arial" w:cs="Arial"/>
          <w:sz w:val="20"/>
          <w:szCs w:val="20"/>
        </w:rPr>
        <w:t xml:space="preserve"> euros/año. Y con respecto a docetaxel es de 38.570 euros /año.</w:t>
      </w:r>
    </w:p>
    <w:p w:rsidR="002C4AF7" w:rsidRDefault="007C2686">
      <w:pPr>
        <w:spacing w:line="240" w:lineRule="auto"/>
        <w:ind w:left="0" w:hanging="2"/>
        <w:jc w:val="both"/>
        <w:rPr>
          <w:rFonts w:ascii="Arial" w:eastAsia="Arial" w:hAnsi="Arial" w:cs="Arial"/>
          <w:sz w:val="20"/>
          <w:szCs w:val="20"/>
        </w:rPr>
      </w:pPr>
      <w:bookmarkStart w:id="62" w:name="_heading=h.111kx3o" w:colFirst="0" w:colLast="0"/>
      <w:bookmarkEnd w:id="62"/>
      <w:r>
        <w:rPr>
          <w:rFonts w:ascii="Arial" w:eastAsia="Arial" w:hAnsi="Arial" w:cs="Arial"/>
          <w:sz w:val="20"/>
          <w:szCs w:val="20"/>
        </w:rPr>
        <w:t>En el estudio propio de coste utilidad se ha considerado la diferencia en AVAC para enzalutamida +TDA vs. docetaxel+TDA proporcionada en el estudio de la CADTH. Si se considera la duración mediana de tratamiento de 40,2 meses proporcionada en el análisis final de SG del ensayo ARCHES, si se trata a los pacientes con enzalutamida en lugar de con docetaxel cada AVAC adicional que ganan los pacientes costará 561.783 €.</w:t>
      </w:r>
    </w:p>
    <w:p w:rsidR="002C4AF7" w:rsidRDefault="002C4AF7">
      <w:pPr>
        <w:ind w:left="0" w:hanging="2"/>
        <w:jc w:val="right"/>
        <w:rPr>
          <w:rFonts w:ascii="Arial" w:eastAsia="Arial" w:hAnsi="Arial" w:cs="Arial"/>
          <w:color w:val="0000FF"/>
          <w:sz w:val="20"/>
          <w:szCs w:val="20"/>
          <w:u w:val="single"/>
        </w:rPr>
      </w:pPr>
    </w:p>
    <w:p w:rsidR="002C4AF7" w:rsidRDefault="002C4AF7">
      <w:pPr>
        <w:spacing w:line="240" w:lineRule="auto"/>
        <w:ind w:left="0" w:hanging="2"/>
        <w:jc w:val="both"/>
        <w:rPr>
          <w:color w:val="000080"/>
          <w:sz w:val="16"/>
          <w:szCs w:val="16"/>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r>
        <w:rPr>
          <w:rFonts w:ascii="Cambria" w:eastAsia="Cambria" w:hAnsi="Cambria" w:cs="Cambria"/>
          <w:b/>
          <w:i/>
          <w:color w:val="000000"/>
          <w:sz w:val="20"/>
          <w:szCs w:val="20"/>
        </w:rPr>
        <w:t>9.2 Decisión</w:t>
      </w:r>
    </w:p>
    <w:p w:rsidR="002C4AF7" w:rsidRDefault="002C4AF7">
      <w:pPr>
        <w:spacing w:line="240" w:lineRule="auto"/>
        <w:ind w:left="0" w:hanging="2"/>
        <w:rPr>
          <w:color w:val="000000"/>
          <w:sz w:val="20"/>
          <w:szCs w:val="20"/>
        </w:rPr>
      </w:pPr>
    </w:p>
    <w:p w:rsidR="002C4AF7" w:rsidRDefault="007C2686">
      <w:pPr>
        <w:spacing w:line="240" w:lineRule="auto"/>
        <w:ind w:left="0" w:hanging="2"/>
        <w:jc w:val="both"/>
        <w:rPr>
          <w:rFonts w:ascii="Arial" w:eastAsia="Arial" w:hAnsi="Arial" w:cs="Arial"/>
          <w:color w:val="000000"/>
          <w:sz w:val="20"/>
          <w:szCs w:val="20"/>
        </w:rPr>
      </w:pPr>
      <w:bookmarkStart w:id="63" w:name="_heading=h.3l18frh" w:colFirst="0" w:colLast="0"/>
      <w:bookmarkEnd w:id="63"/>
      <w:r>
        <w:rPr>
          <w:rFonts w:ascii="Arial" w:eastAsia="Arial" w:hAnsi="Arial" w:cs="Arial"/>
          <w:sz w:val="20"/>
          <w:szCs w:val="20"/>
        </w:rPr>
        <w:t>D2. Se propone la inclusión con recomendaciones específicas y con el compromiso de reevaluación.</w:t>
      </w:r>
    </w:p>
    <w:p w:rsidR="002C4AF7" w:rsidRDefault="002C4AF7">
      <w:pPr>
        <w:spacing w:line="240" w:lineRule="auto"/>
        <w:ind w:left="0" w:hanging="2"/>
        <w:rPr>
          <w:color w:val="000000"/>
          <w:sz w:val="20"/>
          <w:szCs w:val="20"/>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r>
        <w:rPr>
          <w:rFonts w:ascii="Cambria" w:eastAsia="Cambria" w:hAnsi="Cambria" w:cs="Cambria"/>
          <w:b/>
          <w:i/>
          <w:color w:val="000000"/>
          <w:sz w:val="20"/>
          <w:szCs w:val="20"/>
        </w:rPr>
        <w:t>9.3 Condiciones de uso (Solo en caso de clasificación D-E de la guía GINF)</w:t>
      </w:r>
    </w:p>
    <w:p w:rsidR="002C4AF7" w:rsidRDefault="002C4AF7">
      <w:pPr>
        <w:tabs>
          <w:tab w:val="center" w:pos="4252"/>
          <w:tab w:val="right" w:pos="8504"/>
        </w:tabs>
        <w:spacing w:line="240" w:lineRule="auto"/>
        <w:ind w:left="0" w:hanging="2"/>
        <w:rPr>
          <w:rFonts w:ascii="Arial" w:eastAsia="Arial" w:hAnsi="Arial" w:cs="Arial"/>
          <w:color w:val="FF0000"/>
        </w:rPr>
      </w:pPr>
    </w:p>
    <w:p w:rsidR="002C4AF7" w:rsidRDefault="007C2686">
      <w:pPr>
        <w:tabs>
          <w:tab w:val="center" w:pos="4252"/>
          <w:tab w:val="right" w:pos="8504"/>
        </w:tabs>
        <w:spacing w:line="240" w:lineRule="auto"/>
        <w:ind w:left="0" w:hanging="2"/>
        <w:jc w:val="both"/>
        <w:rPr>
          <w:rFonts w:ascii="Arial" w:eastAsia="Arial" w:hAnsi="Arial" w:cs="Arial"/>
          <w:sz w:val="20"/>
          <w:szCs w:val="20"/>
        </w:rPr>
      </w:pPr>
      <w:bookmarkStart w:id="64" w:name="_heading=h.206ipza" w:colFirst="0" w:colLast="0"/>
      <w:bookmarkEnd w:id="64"/>
      <w:r>
        <w:rPr>
          <w:rFonts w:ascii="Arial" w:eastAsia="Arial" w:hAnsi="Arial" w:cs="Arial"/>
          <w:sz w:val="20"/>
          <w:szCs w:val="20"/>
        </w:rPr>
        <w:t xml:space="preserve">En hombres adultos que no toleren o no sean candidatos a docetaxel, enzalutamida puede ser una alternativa. La valoración de la susceptibilidad o no para recibir docetaxel exige una evaluación clínica del paciente que debe ser realizada por el oncólogo médico, o contar con su participación en un entorno multidisciplinar. </w:t>
      </w:r>
    </w:p>
    <w:p w:rsidR="002C4AF7" w:rsidRDefault="002C4AF7">
      <w:pPr>
        <w:tabs>
          <w:tab w:val="center" w:pos="4252"/>
          <w:tab w:val="right" w:pos="8504"/>
        </w:tabs>
        <w:spacing w:line="240" w:lineRule="auto"/>
        <w:ind w:left="0" w:hanging="2"/>
        <w:jc w:val="both"/>
        <w:rPr>
          <w:rFonts w:ascii="Arial" w:eastAsia="Arial" w:hAnsi="Arial" w:cs="Arial"/>
          <w:sz w:val="20"/>
          <w:szCs w:val="20"/>
        </w:rPr>
      </w:pPr>
      <w:bookmarkStart w:id="65" w:name="_heading=h.7waa0aivhj0" w:colFirst="0" w:colLast="0"/>
      <w:bookmarkEnd w:id="65"/>
    </w:p>
    <w:p w:rsidR="002C4AF7" w:rsidRDefault="002C4AF7">
      <w:pPr>
        <w:tabs>
          <w:tab w:val="center" w:pos="4252"/>
          <w:tab w:val="right" w:pos="8504"/>
        </w:tabs>
        <w:spacing w:line="240" w:lineRule="auto"/>
        <w:ind w:left="0" w:hanging="2"/>
        <w:rPr>
          <w:rFonts w:ascii="Arial" w:eastAsia="Arial" w:hAnsi="Arial" w:cs="Arial"/>
          <w:color w:val="FF0000"/>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r>
        <w:rPr>
          <w:rFonts w:ascii="Cambria" w:eastAsia="Cambria" w:hAnsi="Cambria" w:cs="Cambria"/>
          <w:b/>
          <w:i/>
          <w:color w:val="000000"/>
          <w:sz w:val="20"/>
          <w:szCs w:val="20"/>
        </w:rPr>
        <w:t>9.4 Plan de seguimiento</w:t>
      </w:r>
    </w:p>
    <w:p w:rsidR="002C4AF7" w:rsidRDefault="002C4AF7">
      <w:pPr>
        <w:tabs>
          <w:tab w:val="center" w:pos="4252"/>
          <w:tab w:val="right" w:pos="8504"/>
        </w:tabs>
        <w:spacing w:line="240" w:lineRule="auto"/>
        <w:ind w:left="0" w:hanging="2"/>
        <w:rPr>
          <w:rFonts w:ascii="Arial" w:eastAsia="Arial" w:hAnsi="Arial" w:cs="Arial"/>
          <w:color w:val="000000"/>
        </w:rPr>
      </w:pPr>
    </w:p>
    <w:p w:rsidR="002C4AF7" w:rsidRDefault="007C2686">
      <w:pPr>
        <w:ind w:left="0" w:hanging="2"/>
        <w:jc w:val="both"/>
        <w:rPr>
          <w:rFonts w:ascii="Arial" w:eastAsia="Arial" w:hAnsi="Arial" w:cs="Arial"/>
          <w:color w:val="000080"/>
          <w:sz w:val="20"/>
          <w:szCs w:val="20"/>
        </w:rPr>
      </w:pPr>
      <w:r>
        <w:rPr>
          <w:rFonts w:ascii="Arial" w:eastAsia="Arial" w:hAnsi="Arial" w:cs="Arial"/>
          <w:sz w:val="20"/>
          <w:szCs w:val="20"/>
        </w:rPr>
        <w:lastRenderedPageBreak/>
        <w:t>Identificar sistemas de definición del uso restringido a través de sistemas de prescripción, validación y dispensación</w:t>
      </w:r>
      <w:r>
        <w:rPr>
          <w:rFonts w:ascii="Arial" w:eastAsia="Arial" w:hAnsi="Arial" w:cs="Arial"/>
          <w:color w:val="000080"/>
          <w:sz w:val="20"/>
          <w:szCs w:val="20"/>
        </w:rPr>
        <w:t xml:space="preserve">. </w:t>
      </w:r>
    </w:p>
    <w:p w:rsidR="002C4AF7" w:rsidRDefault="002C4AF7">
      <w:pPr>
        <w:tabs>
          <w:tab w:val="center" w:pos="4252"/>
          <w:tab w:val="right" w:pos="8504"/>
        </w:tabs>
        <w:spacing w:line="240" w:lineRule="auto"/>
        <w:ind w:left="0" w:hanging="2"/>
        <w:rPr>
          <w:rFonts w:ascii="Arial" w:eastAsia="Arial" w:hAnsi="Arial" w:cs="Arial"/>
          <w:sz w:val="20"/>
          <w:szCs w:val="20"/>
        </w:rPr>
      </w:pPr>
    </w:p>
    <w:p w:rsidR="002C4AF7" w:rsidRDefault="002C4AF7">
      <w:pPr>
        <w:tabs>
          <w:tab w:val="center" w:pos="4252"/>
          <w:tab w:val="right" w:pos="8504"/>
        </w:tabs>
        <w:spacing w:line="240" w:lineRule="auto"/>
        <w:ind w:left="0" w:hanging="2"/>
        <w:rPr>
          <w:rFonts w:ascii="Arial" w:eastAsia="Arial" w:hAnsi="Arial" w:cs="Arial"/>
          <w:color w:val="FF0000"/>
        </w:rPr>
      </w:pPr>
    </w:p>
    <w:p w:rsidR="002C4AF7" w:rsidRDefault="007C2686">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Cambria" w:eastAsia="Cambria" w:hAnsi="Cambria" w:cs="Cambria"/>
          <w:color w:val="000000"/>
          <w:sz w:val="20"/>
          <w:szCs w:val="20"/>
        </w:rPr>
      </w:pPr>
      <w:r>
        <w:rPr>
          <w:rFonts w:ascii="Cambria" w:eastAsia="Cambria" w:hAnsi="Cambria" w:cs="Cambria"/>
          <w:b/>
          <w:color w:val="000000"/>
          <w:sz w:val="20"/>
          <w:szCs w:val="20"/>
        </w:rPr>
        <w:t>10. BIBLIOGRAFíA</w:t>
      </w:r>
    </w:p>
    <w:p w:rsidR="002C4AF7" w:rsidRDefault="002C4AF7">
      <w:pPr>
        <w:tabs>
          <w:tab w:val="center" w:pos="4252"/>
          <w:tab w:val="right" w:pos="8504"/>
        </w:tabs>
        <w:spacing w:line="240" w:lineRule="auto"/>
        <w:ind w:left="0" w:hanging="2"/>
        <w:rPr>
          <w:rFonts w:ascii="Arial" w:eastAsia="Arial" w:hAnsi="Arial" w:cs="Arial"/>
          <w:color w:val="000000"/>
        </w:rPr>
      </w:pPr>
    </w:p>
    <w:p w:rsidR="002C4AF7" w:rsidRDefault="007C2686">
      <w:pPr>
        <w:tabs>
          <w:tab w:val="left" w:pos="1633"/>
        </w:tabs>
        <w:ind w:left="0" w:hanging="2"/>
        <w:jc w:val="both"/>
        <w:rPr>
          <w:rFonts w:ascii="Arial" w:eastAsia="Arial" w:hAnsi="Arial" w:cs="Arial"/>
          <w:sz w:val="20"/>
          <w:szCs w:val="20"/>
          <w:highlight w:val="white"/>
        </w:rPr>
      </w:pPr>
      <w:r>
        <w:rPr>
          <w:rFonts w:ascii="Arial" w:eastAsia="Arial" w:hAnsi="Arial" w:cs="Arial"/>
          <w:sz w:val="20"/>
          <w:szCs w:val="20"/>
          <w:highlight w:val="white"/>
        </w:rPr>
        <w:t>1.Libro Blanco de la Carga Socioeconómica del Cáncer de Próstata en España. Disponible en:https://weber.org.es/publicacion/libro-blanco-de-la-carga-socioeconomica-del-cancer-de-prostata-en-espana/</w:t>
      </w:r>
    </w:p>
    <w:p w:rsidR="002C4AF7" w:rsidRDefault="007C2686">
      <w:pPr>
        <w:tabs>
          <w:tab w:val="left" w:pos="1633"/>
        </w:tabs>
        <w:ind w:left="0" w:hanging="2"/>
        <w:jc w:val="both"/>
        <w:rPr>
          <w:rFonts w:ascii="Arial" w:eastAsia="Arial" w:hAnsi="Arial" w:cs="Arial"/>
          <w:sz w:val="20"/>
          <w:szCs w:val="20"/>
          <w:highlight w:val="white"/>
        </w:rPr>
      </w:pPr>
      <w:r w:rsidRPr="00926C32">
        <w:rPr>
          <w:rFonts w:ascii="Arial" w:eastAsia="Arial" w:hAnsi="Arial" w:cs="Arial"/>
          <w:sz w:val="20"/>
          <w:szCs w:val="20"/>
          <w:highlight w:val="white"/>
          <w:lang w:val="en-GB"/>
        </w:rPr>
        <w:t>2. W</w:t>
      </w:r>
      <w:r w:rsidR="00B52762">
        <w:rPr>
          <w:rFonts w:ascii="Arial" w:eastAsia="Arial" w:hAnsi="Arial" w:cs="Arial"/>
          <w:sz w:val="20"/>
          <w:szCs w:val="20"/>
          <w:highlight w:val="white"/>
          <w:lang w:val="en-GB"/>
        </w:rPr>
        <w:t xml:space="preserve">hite paper on prostate cancer. </w:t>
      </w:r>
      <w:r w:rsidRPr="009D49F2">
        <w:rPr>
          <w:rFonts w:ascii="Arial" w:eastAsia="Arial" w:hAnsi="Arial" w:cs="Arial"/>
          <w:sz w:val="20"/>
          <w:szCs w:val="20"/>
          <w:highlight w:val="white"/>
          <w:lang w:val="en-GB"/>
        </w:rPr>
        <w:t xml:space="preserve">Recommendations for the EU Cancer Plan to tackle Prostate Cancer. </w:t>
      </w:r>
      <w:r>
        <w:rPr>
          <w:rFonts w:ascii="Arial" w:eastAsia="Arial" w:hAnsi="Arial" w:cs="Arial"/>
          <w:sz w:val="20"/>
          <w:szCs w:val="20"/>
          <w:highlight w:val="white"/>
        </w:rPr>
        <w:t>Disponible en:https://sbu.be/media/pages/documents/eau-white-paper-prostate-cancer/f7c96990d9-1607584796/eau_pca-whitepaper-final-version_may2020.pdf</w:t>
      </w:r>
    </w:p>
    <w:p w:rsidR="002C4AF7" w:rsidRDefault="007C2686">
      <w:pPr>
        <w:tabs>
          <w:tab w:val="left" w:pos="1633"/>
        </w:tabs>
        <w:ind w:left="0" w:hanging="2"/>
        <w:jc w:val="both"/>
        <w:rPr>
          <w:rFonts w:ascii="Arial" w:eastAsia="Arial" w:hAnsi="Arial" w:cs="Arial"/>
          <w:sz w:val="20"/>
          <w:szCs w:val="20"/>
          <w:highlight w:val="white"/>
        </w:rPr>
      </w:pPr>
      <w:r>
        <w:rPr>
          <w:rFonts w:ascii="Arial" w:eastAsia="Arial" w:hAnsi="Arial" w:cs="Arial"/>
          <w:sz w:val="20"/>
          <w:szCs w:val="20"/>
          <w:highlight w:val="white"/>
        </w:rPr>
        <w:t xml:space="preserve">3. Informe de Posicionamiento Terapéutico de apalutamida (Erleada®) en combinación con tratamiento de privación de andrógenos en cáncer de próstata hormonosensible metastásico. AEMPS. [Consulta 12/06/2021]. Disponible en: </w:t>
      </w:r>
      <w:hyperlink r:id="rId62">
        <w:r>
          <w:rPr>
            <w:rFonts w:ascii="Arial" w:eastAsia="Arial" w:hAnsi="Arial" w:cs="Arial"/>
            <w:sz w:val="20"/>
            <w:szCs w:val="20"/>
            <w:highlight w:val="white"/>
          </w:rPr>
          <w:t>https://www.aemps.gob.es/medicamentosUsoHumano/informesPublicos/docs/2021/IPT_4-2021-Erleada.pdf?x69995</w:t>
        </w:r>
      </w:hyperlink>
    </w:p>
    <w:p w:rsidR="002C4AF7" w:rsidRDefault="002C4AF7">
      <w:pPr>
        <w:tabs>
          <w:tab w:val="left" w:pos="1633"/>
        </w:tabs>
        <w:ind w:left="0" w:hanging="2"/>
        <w:jc w:val="both"/>
        <w:rPr>
          <w:rFonts w:ascii="Arial" w:eastAsia="Arial" w:hAnsi="Arial" w:cs="Arial"/>
          <w:sz w:val="20"/>
          <w:szCs w:val="20"/>
          <w:highlight w:val="white"/>
        </w:rPr>
      </w:pPr>
    </w:p>
    <w:p w:rsidR="002C4AF7" w:rsidRPr="00926C32" w:rsidRDefault="007C2686">
      <w:pPr>
        <w:tabs>
          <w:tab w:val="left" w:pos="1633"/>
        </w:tabs>
        <w:ind w:left="0" w:hanging="2"/>
        <w:jc w:val="both"/>
        <w:rPr>
          <w:rFonts w:ascii="Arial" w:eastAsia="Arial" w:hAnsi="Arial" w:cs="Arial"/>
          <w:sz w:val="20"/>
          <w:szCs w:val="20"/>
          <w:highlight w:val="white"/>
          <w:lang w:val="en-GB"/>
        </w:rPr>
      </w:pPr>
      <w:r w:rsidRPr="00926C32">
        <w:rPr>
          <w:rFonts w:ascii="Arial" w:eastAsia="Arial" w:hAnsi="Arial" w:cs="Arial"/>
          <w:sz w:val="20"/>
          <w:szCs w:val="20"/>
          <w:highlight w:val="white"/>
          <w:lang w:val="en-GB"/>
        </w:rPr>
        <w:t xml:space="preserve">4. Scher HI, Halabi S, Tannock I et al. </w:t>
      </w:r>
      <w:r w:rsidRPr="009D49F2">
        <w:rPr>
          <w:rFonts w:ascii="Arial" w:eastAsia="Arial" w:hAnsi="Arial" w:cs="Arial"/>
          <w:sz w:val="20"/>
          <w:szCs w:val="20"/>
          <w:highlight w:val="white"/>
          <w:lang w:val="en-GB"/>
        </w:rPr>
        <w:t xml:space="preserve">Prostate Cancer Clinical Trials Working Group. </w:t>
      </w:r>
      <w:r w:rsidRPr="00926C32">
        <w:rPr>
          <w:rFonts w:ascii="Arial" w:eastAsia="Arial" w:hAnsi="Arial" w:cs="Arial"/>
          <w:sz w:val="20"/>
          <w:szCs w:val="20"/>
          <w:highlight w:val="white"/>
          <w:lang w:val="en-GB"/>
        </w:rPr>
        <w:t>Design and end points of clinical trials for patients with progressive prostate cancer and castrate levels of testosterone: recommendations of the Prostate Cancer Clinical Trials Working Group. J Clin Oncol. 2008 Mar 1;26(7):1148-59. doi: 10.1200/JCO.2007.12.4487. PMID: 18309951; PMCID: PMC4010133.</w:t>
      </w:r>
    </w:p>
    <w:p w:rsidR="002C4AF7" w:rsidRPr="00926C32" w:rsidRDefault="002C4AF7">
      <w:pPr>
        <w:tabs>
          <w:tab w:val="left" w:pos="1633"/>
        </w:tabs>
        <w:ind w:left="0" w:hanging="2"/>
        <w:jc w:val="both"/>
        <w:rPr>
          <w:rFonts w:ascii="Arial" w:eastAsia="Arial" w:hAnsi="Arial" w:cs="Arial"/>
          <w:sz w:val="20"/>
          <w:szCs w:val="20"/>
          <w:highlight w:val="white"/>
          <w:lang w:val="en-GB"/>
        </w:rPr>
      </w:pPr>
    </w:p>
    <w:p w:rsidR="002C4AF7" w:rsidRPr="00926C32" w:rsidRDefault="007C2686">
      <w:pPr>
        <w:tabs>
          <w:tab w:val="left" w:pos="1633"/>
        </w:tabs>
        <w:ind w:left="0" w:hanging="2"/>
        <w:jc w:val="both"/>
        <w:rPr>
          <w:rFonts w:ascii="Arial" w:eastAsia="Arial" w:hAnsi="Arial" w:cs="Arial"/>
          <w:sz w:val="20"/>
          <w:szCs w:val="20"/>
          <w:highlight w:val="white"/>
          <w:lang w:val="en-GB"/>
        </w:rPr>
      </w:pPr>
      <w:r w:rsidRPr="00926C32">
        <w:rPr>
          <w:rFonts w:ascii="Arial" w:eastAsia="Arial" w:hAnsi="Arial" w:cs="Arial"/>
          <w:sz w:val="20"/>
          <w:szCs w:val="20"/>
          <w:highlight w:val="white"/>
          <w:lang w:val="en-GB"/>
        </w:rPr>
        <w:t xml:space="preserve">5. Parker CC, James ND, Brawley CD et al. </w:t>
      </w:r>
      <w:r w:rsidRPr="009D49F2">
        <w:rPr>
          <w:rFonts w:ascii="Arial" w:eastAsia="Arial" w:hAnsi="Arial" w:cs="Arial"/>
          <w:sz w:val="20"/>
          <w:szCs w:val="20"/>
          <w:highlight w:val="white"/>
          <w:lang w:val="en-GB"/>
        </w:rPr>
        <w:t xml:space="preserve">Systemic Therapy for Advanced or Metastatic Prostate cancer: Evaluation of Drug Efficacy (STAMPEDE) investigators. </w:t>
      </w:r>
      <w:r w:rsidRPr="00926C32">
        <w:rPr>
          <w:rFonts w:ascii="Arial" w:eastAsia="Arial" w:hAnsi="Arial" w:cs="Arial"/>
          <w:sz w:val="20"/>
          <w:szCs w:val="20"/>
          <w:highlight w:val="white"/>
          <w:lang w:val="en-GB"/>
        </w:rPr>
        <w:t>Radiotherapy to the primary tumour for newly diagnosed, metastatic prostate cancer (STAMPEDE): a randomised controlled phase 3 trial. Lancet. 2018 Dec 1;392(10162):2353-2366. doi: 10.1016/S0140-6736(18)32486-3. Epub 2018 Oct 21. PMID: 30355464; PMCID: PMC6269599.</w:t>
      </w:r>
    </w:p>
    <w:p w:rsidR="002C4AF7" w:rsidRPr="00926C32" w:rsidRDefault="002C4AF7">
      <w:pPr>
        <w:tabs>
          <w:tab w:val="left" w:pos="1633"/>
        </w:tabs>
        <w:ind w:left="0" w:hanging="2"/>
        <w:jc w:val="both"/>
        <w:rPr>
          <w:rFonts w:ascii="Arial" w:eastAsia="Arial" w:hAnsi="Arial" w:cs="Arial"/>
          <w:sz w:val="20"/>
          <w:szCs w:val="20"/>
          <w:highlight w:val="white"/>
          <w:lang w:val="en-GB"/>
        </w:rPr>
      </w:pPr>
    </w:p>
    <w:p w:rsidR="002C4AF7" w:rsidRPr="00926C32" w:rsidRDefault="007C2686">
      <w:pPr>
        <w:tabs>
          <w:tab w:val="left" w:pos="1633"/>
        </w:tabs>
        <w:ind w:left="0" w:hanging="2"/>
        <w:jc w:val="both"/>
        <w:rPr>
          <w:rFonts w:ascii="Arial" w:eastAsia="Arial" w:hAnsi="Arial" w:cs="Arial"/>
          <w:sz w:val="20"/>
          <w:szCs w:val="20"/>
          <w:highlight w:val="white"/>
          <w:lang w:val="en-GB"/>
        </w:rPr>
      </w:pPr>
      <w:r w:rsidRPr="00926C32">
        <w:rPr>
          <w:rFonts w:ascii="Arial" w:eastAsia="Arial" w:hAnsi="Arial" w:cs="Arial"/>
          <w:sz w:val="20"/>
          <w:szCs w:val="20"/>
          <w:highlight w:val="white"/>
          <w:lang w:val="en-GB"/>
        </w:rPr>
        <w:t xml:space="preserve">6. Kyriakopoulos CE, Chen YH, Carducci MA, et al. </w:t>
      </w:r>
      <w:r w:rsidRPr="009D49F2">
        <w:rPr>
          <w:rFonts w:ascii="Arial" w:eastAsia="Arial" w:hAnsi="Arial" w:cs="Arial"/>
          <w:sz w:val="20"/>
          <w:szCs w:val="20"/>
          <w:highlight w:val="white"/>
          <w:lang w:val="en-GB"/>
        </w:rPr>
        <w:t xml:space="preserve">Chemohormonal Therapy in Metastatic Hormone-Sensitive Prostate Cancer: Long-Term Survival Analysis of the Randomized Phase III E3805 CHAARTED Trial. </w:t>
      </w:r>
      <w:r w:rsidRPr="00926C32">
        <w:rPr>
          <w:rFonts w:ascii="Arial" w:eastAsia="Arial" w:hAnsi="Arial" w:cs="Arial"/>
          <w:sz w:val="20"/>
          <w:szCs w:val="20"/>
          <w:highlight w:val="white"/>
          <w:lang w:val="en-GB"/>
        </w:rPr>
        <w:t>J Clin Oncol. 2018 Apr 10;36(11):1080-1087. doi: 10.1200/JCO.2017.75.3657. Epub 2018 Jan 31. PMID: 29384722; PMCID: PMC5891129.</w:t>
      </w:r>
    </w:p>
    <w:p w:rsidR="002C4AF7" w:rsidRPr="00926C32" w:rsidRDefault="002C4AF7">
      <w:pPr>
        <w:tabs>
          <w:tab w:val="left" w:pos="1633"/>
        </w:tabs>
        <w:ind w:left="0" w:hanging="2"/>
        <w:jc w:val="both"/>
        <w:rPr>
          <w:rFonts w:ascii="Arial" w:eastAsia="Arial" w:hAnsi="Arial" w:cs="Arial"/>
          <w:sz w:val="20"/>
          <w:szCs w:val="20"/>
          <w:highlight w:val="white"/>
          <w:lang w:val="en-GB"/>
        </w:rPr>
      </w:pPr>
    </w:p>
    <w:p w:rsidR="002C4AF7" w:rsidRPr="00926C32" w:rsidRDefault="007C2686">
      <w:pPr>
        <w:tabs>
          <w:tab w:val="left" w:pos="1633"/>
        </w:tabs>
        <w:ind w:left="0" w:hanging="2"/>
        <w:jc w:val="both"/>
        <w:rPr>
          <w:rFonts w:ascii="Arial" w:eastAsia="Arial" w:hAnsi="Arial" w:cs="Arial"/>
          <w:sz w:val="20"/>
          <w:szCs w:val="20"/>
          <w:highlight w:val="white"/>
          <w:lang w:val="en-GB"/>
        </w:rPr>
      </w:pPr>
      <w:r>
        <w:rPr>
          <w:rFonts w:ascii="Arial" w:eastAsia="Arial" w:hAnsi="Arial" w:cs="Arial"/>
          <w:sz w:val="20"/>
          <w:szCs w:val="20"/>
          <w:highlight w:val="white"/>
        </w:rPr>
        <w:t xml:space="preserve">7. Fizazi K, Tran N, Fein L, Matsubara N, et al. </w:t>
      </w:r>
      <w:r w:rsidRPr="009D49F2">
        <w:rPr>
          <w:rFonts w:ascii="Arial" w:eastAsia="Arial" w:hAnsi="Arial" w:cs="Arial"/>
          <w:sz w:val="20"/>
          <w:szCs w:val="20"/>
          <w:highlight w:val="white"/>
          <w:lang w:val="en-GB"/>
        </w:rPr>
        <w:t xml:space="preserve">Abiraterone acetate plus prednisone in patients with newly diagnosed high-risk metastatic castration-sensitive prostate cancer (LATITUDE): final overall survival analysis of a randomised, double-blind, phase 3 trial. </w:t>
      </w:r>
      <w:r w:rsidRPr="00926C32">
        <w:rPr>
          <w:rFonts w:ascii="Arial" w:eastAsia="Arial" w:hAnsi="Arial" w:cs="Arial"/>
          <w:sz w:val="20"/>
          <w:szCs w:val="20"/>
          <w:highlight w:val="white"/>
          <w:lang w:val="en-GB"/>
        </w:rPr>
        <w:t xml:space="preserve">Lancet Oncol. 2019 May;20(5):686-700. doi: 10.1016/S1470-2045(19)30082-8. </w:t>
      </w:r>
    </w:p>
    <w:p w:rsidR="002C4AF7" w:rsidRPr="00926C32" w:rsidRDefault="002C4AF7">
      <w:pPr>
        <w:tabs>
          <w:tab w:val="left" w:pos="1633"/>
        </w:tabs>
        <w:ind w:left="0" w:hanging="2"/>
        <w:jc w:val="both"/>
        <w:rPr>
          <w:rFonts w:ascii="Arial" w:eastAsia="Arial" w:hAnsi="Arial" w:cs="Arial"/>
          <w:sz w:val="20"/>
          <w:szCs w:val="20"/>
          <w:highlight w:val="white"/>
          <w:lang w:val="en-GB"/>
        </w:rPr>
      </w:pPr>
    </w:p>
    <w:p w:rsidR="002C4AF7" w:rsidRPr="009D49F2" w:rsidRDefault="007C2686">
      <w:pPr>
        <w:tabs>
          <w:tab w:val="left" w:pos="1633"/>
        </w:tabs>
        <w:ind w:left="0" w:hanging="2"/>
        <w:jc w:val="both"/>
        <w:rPr>
          <w:rFonts w:ascii="Arial" w:eastAsia="Arial" w:hAnsi="Arial" w:cs="Arial"/>
          <w:sz w:val="20"/>
          <w:szCs w:val="20"/>
          <w:highlight w:val="white"/>
          <w:lang w:val="en-GB"/>
        </w:rPr>
      </w:pPr>
      <w:r w:rsidRPr="00926C32">
        <w:rPr>
          <w:rFonts w:ascii="Arial" w:eastAsia="Arial" w:hAnsi="Arial" w:cs="Arial"/>
          <w:sz w:val="20"/>
          <w:szCs w:val="20"/>
          <w:highlight w:val="white"/>
          <w:lang w:val="en-GB"/>
        </w:rPr>
        <w:t xml:space="preserve">8. Chi KN, Chowdhury S, Bjartell A, et al. </w:t>
      </w:r>
      <w:r w:rsidRPr="009D49F2">
        <w:rPr>
          <w:rFonts w:ascii="Arial" w:eastAsia="Arial" w:hAnsi="Arial" w:cs="Arial"/>
          <w:sz w:val="20"/>
          <w:szCs w:val="20"/>
          <w:highlight w:val="white"/>
          <w:lang w:val="en-GB"/>
        </w:rPr>
        <w:t xml:space="preserve">Apalutamide in Patients With Metastatic Castration-Sensitive Prostate Cancer: Final Survival Analysis of the Randomized, Double-Blind, Phase III TITAN Study. J Clin Oncol. 2021 Jul 10;39(20):2294-2303. doi: 10.1200/JCO.20.03488. </w:t>
      </w:r>
    </w:p>
    <w:p w:rsidR="002C4AF7" w:rsidRPr="009D49F2" w:rsidRDefault="002C4AF7">
      <w:pPr>
        <w:tabs>
          <w:tab w:val="left" w:pos="1633"/>
        </w:tabs>
        <w:ind w:left="0" w:hanging="2"/>
        <w:jc w:val="both"/>
        <w:rPr>
          <w:rFonts w:ascii="Arial" w:eastAsia="Arial" w:hAnsi="Arial" w:cs="Arial"/>
          <w:sz w:val="20"/>
          <w:szCs w:val="20"/>
          <w:highlight w:val="white"/>
          <w:lang w:val="en-GB"/>
        </w:rPr>
      </w:pPr>
    </w:p>
    <w:p w:rsidR="002C4AF7" w:rsidRPr="00926C32" w:rsidRDefault="007C2686">
      <w:pPr>
        <w:tabs>
          <w:tab w:val="left" w:pos="1633"/>
        </w:tabs>
        <w:ind w:left="0" w:hanging="2"/>
        <w:jc w:val="both"/>
        <w:rPr>
          <w:rFonts w:ascii="Arial" w:eastAsia="Arial" w:hAnsi="Arial" w:cs="Arial"/>
          <w:sz w:val="20"/>
          <w:szCs w:val="20"/>
          <w:highlight w:val="white"/>
          <w:lang w:val="en-GB"/>
        </w:rPr>
      </w:pPr>
      <w:r w:rsidRPr="009D49F2">
        <w:rPr>
          <w:rFonts w:ascii="Arial" w:eastAsia="Arial" w:hAnsi="Arial" w:cs="Arial"/>
          <w:sz w:val="20"/>
          <w:szCs w:val="20"/>
          <w:highlight w:val="white"/>
          <w:lang w:val="en-GB"/>
        </w:rPr>
        <w:t xml:space="preserve">9. Armstrong AJ, Szmulewitz RZ, Petrylak DP, et al. ARCHES: A Randomized, Phase III Study of Androgen Deprivation Therapy With Enzalutamide or Placebo in Men With Metastatic Hormone-Sensitive Prostate Cancer. </w:t>
      </w:r>
      <w:r w:rsidRPr="00926C32">
        <w:rPr>
          <w:rFonts w:ascii="Arial" w:eastAsia="Arial" w:hAnsi="Arial" w:cs="Arial"/>
          <w:sz w:val="20"/>
          <w:szCs w:val="20"/>
          <w:highlight w:val="white"/>
          <w:lang w:val="en-GB"/>
        </w:rPr>
        <w:t>J Clin Oncol. 2019 Nov 10;37(32):2974-2986. doi: 10.1200/JCO.19.00799. Epub 2019 Jul 22. PMID: 31329516; PMCID: PMC6839905.</w:t>
      </w:r>
    </w:p>
    <w:p w:rsidR="002C4AF7" w:rsidRPr="00926C32" w:rsidRDefault="002C4AF7">
      <w:pPr>
        <w:tabs>
          <w:tab w:val="left" w:pos="1633"/>
        </w:tabs>
        <w:ind w:left="0" w:hanging="2"/>
        <w:jc w:val="both"/>
        <w:rPr>
          <w:rFonts w:ascii="Arial" w:eastAsia="Arial" w:hAnsi="Arial" w:cs="Arial"/>
          <w:sz w:val="20"/>
          <w:szCs w:val="20"/>
          <w:highlight w:val="white"/>
          <w:lang w:val="en-GB"/>
        </w:rPr>
      </w:pPr>
    </w:p>
    <w:p w:rsidR="002C4AF7" w:rsidRPr="00926C32" w:rsidRDefault="007C2686">
      <w:pPr>
        <w:tabs>
          <w:tab w:val="left" w:pos="1633"/>
        </w:tabs>
        <w:ind w:left="0" w:hanging="2"/>
        <w:jc w:val="both"/>
        <w:rPr>
          <w:rFonts w:ascii="Arial" w:eastAsia="Arial" w:hAnsi="Arial" w:cs="Arial"/>
          <w:sz w:val="20"/>
          <w:szCs w:val="20"/>
          <w:highlight w:val="white"/>
          <w:lang w:val="en-GB"/>
        </w:rPr>
      </w:pPr>
      <w:r w:rsidRPr="00926C32">
        <w:rPr>
          <w:rFonts w:ascii="Arial" w:eastAsia="Arial" w:hAnsi="Arial" w:cs="Arial"/>
          <w:sz w:val="20"/>
          <w:szCs w:val="20"/>
          <w:highlight w:val="white"/>
          <w:lang w:val="en-GB"/>
        </w:rPr>
        <w:t xml:space="preserve">10. European Public Assessment Report (EPAR) de Xtandi® (enzalutamida). EMEA/H/C/002639/II/0047/G. Disponible en: </w:t>
      </w:r>
      <w:hyperlink r:id="rId63">
        <w:r w:rsidRPr="00926C32">
          <w:rPr>
            <w:rFonts w:ascii="Arial" w:eastAsia="Arial" w:hAnsi="Arial" w:cs="Arial"/>
            <w:sz w:val="20"/>
            <w:szCs w:val="20"/>
            <w:highlight w:val="white"/>
            <w:lang w:val="en-GB"/>
          </w:rPr>
          <w:t>https://www.ema.europa.eu/en/documents/variation-report/xtandi-</w:t>
        </w:r>
      </w:hyperlink>
      <w:r w:rsidRPr="00926C32">
        <w:rPr>
          <w:rFonts w:ascii="Arial" w:eastAsia="Arial" w:hAnsi="Arial" w:cs="Arial"/>
          <w:sz w:val="20"/>
          <w:szCs w:val="20"/>
          <w:highlight w:val="white"/>
          <w:lang w:val="en-GB"/>
        </w:rPr>
        <w:t xml:space="preserve"> h-c-2639-ii-0047-g-epar-assessment-report-variation_en.pdf</w:t>
      </w:r>
    </w:p>
    <w:p w:rsidR="002C4AF7" w:rsidRPr="00926C32" w:rsidRDefault="002C4AF7">
      <w:pPr>
        <w:tabs>
          <w:tab w:val="left" w:pos="1633"/>
        </w:tabs>
        <w:ind w:left="0" w:hanging="2"/>
        <w:jc w:val="both"/>
        <w:rPr>
          <w:rFonts w:ascii="Arial" w:eastAsia="Arial" w:hAnsi="Arial" w:cs="Arial"/>
          <w:sz w:val="20"/>
          <w:szCs w:val="20"/>
          <w:highlight w:val="white"/>
          <w:lang w:val="en-GB"/>
        </w:rPr>
      </w:pPr>
    </w:p>
    <w:p w:rsidR="002C4AF7" w:rsidRPr="00926C32" w:rsidRDefault="007C2686">
      <w:pPr>
        <w:tabs>
          <w:tab w:val="left" w:pos="1633"/>
        </w:tabs>
        <w:ind w:left="0" w:hanging="2"/>
        <w:jc w:val="both"/>
        <w:rPr>
          <w:rFonts w:ascii="Arial" w:eastAsia="Arial" w:hAnsi="Arial" w:cs="Arial"/>
          <w:sz w:val="20"/>
          <w:szCs w:val="20"/>
          <w:highlight w:val="white"/>
          <w:lang w:val="en-GB"/>
        </w:rPr>
      </w:pPr>
      <w:r w:rsidRPr="00926C32">
        <w:rPr>
          <w:rFonts w:ascii="Arial" w:eastAsia="Arial" w:hAnsi="Arial" w:cs="Arial"/>
          <w:sz w:val="20"/>
          <w:szCs w:val="20"/>
          <w:highlight w:val="white"/>
          <w:lang w:val="en-GB"/>
        </w:rPr>
        <w:t xml:space="preserve">11. Davis ID, Martin AJ, Stockler MR, et al. </w:t>
      </w:r>
      <w:r w:rsidRPr="009D49F2">
        <w:rPr>
          <w:rFonts w:ascii="Arial" w:eastAsia="Arial" w:hAnsi="Arial" w:cs="Arial"/>
          <w:sz w:val="20"/>
          <w:szCs w:val="20"/>
          <w:highlight w:val="white"/>
          <w:lang w:val="en-GB"/>
        </w:rPr>
        <w:t xml:space="preserve">ENZAMET Trial Investigators and the Australian and New Zealand Urogenital and Prostate Cancer Trials Group. </w:t>
      </w:r>
      <w:r w:rsidRPr="00926C32">
        <w:rPr>
          <w:rFonts w:ascii="Arial" w:eastAsia="Arial" w:hAnsi="Arial" w:cs="Arial"/>
          <w:sz w:val="20"/>
          <w:szCs w:val="20"/>
          <w:highlight w:val="white"/>
          <w:lang w:val="en-GB"/>
        </w:rPr>
        <w:t xml:space="preserve">Enzalutamide with Standard First-Line Therapy in Metastatic Prostate Cancer. N Engl J Med. 2019 Jul 11;381(2):121-131. doi: 10.1056/NEJMoa1903835. </w:t>
      </w:r>
    </w:p>
    <w:p w:rsidR="002C4AF7" w:rsidRPr="00926C32" w:rsidRDefault="002C4AF7">
      <w:pPr>
        <w:tabs>
          <w:tab w:val="left" w:pos="1633"/>
        </w:tabs>
        <w:ind w:left="0" w:hanging="2"/>
        <w:jc w:val="both"/>
        <w:rPr>
          <w:rFonts w:ascii="Arial" w:eastAsia="Arial" w:hAnsi="Arial" w:cs="Arial"/>
          <w:sz w:val="20"/>
          <w:szCs w:val="20"/>
          <w:highlight w:val="white"/>
          <w:lang w:val="en-GB"/>
        </w:rPr>
      </w:pPr>
    </w:p>
    <w:p w:rsidR="002C4AF7" w:rsidRPr="00926C32" w:rsidRDefault="007C2686">
      <w:pPr>
        <w:tabs>
          <w:tab w:val="left" w:pos="1633"/>
        </w:tabs>
        <w:ind w:left="0" w:hanging="2"/>
        <w:jc w:val="both"/>
        <w:rPr>
          <w:rFonts w:ascii="Arial" w:eastAsia="Arial" w:hAnsi="Arial" w:cs="Arial"/>
          <w:sz w:val="20"/>
          <w:szCs w:val="20"/>
          <w:highlight w:val="white"/>
          <w:lang w:val="en-GB"/>
        </w:rPr>
      </w:pPr>
      <w:r w:rsidRPr="00926C32">
        <w:rPr>
          <w:rFonts w:ascii="Arial" w:eastAsia="Arial" w:hAnsi="Arial" w:cs="Arial"/>
          <w:sz w:val="20"/>
          <w:szCs w:val="20"/>
          <w:highlight w:val="white"/>
          <w:lang w:val="en-GB"/>
        </w:rPr>
        <w:lastRenderedPageBreak/>
        <w:t xml:space="preserve">12. A.J. Armstrong, T.I., A.A. Azad, et al. </w:t>
      </w:r>
      <w:r w:rsidRPr="009D49F2">
        <w:rPr>
          <w:rFonts w:ascii="Arial" w:eastAsia="Arial" w:hAnsi="Arial" w:cs="Arial"/>
          <w:sz w:val="20"/>
          <w:szCs w:val="20"/>
          <w:highlight w:val="white"/>
          <w:lang w:val="en-GB"/>
        </w:rPr>
        <w:t xml:space="preserve">LBA25 - Final overall survival (OS) analysis from ARCHES: A phase III, randomized, double-blind, placebo (PBO)-controlled study of enzalutamide (ENZA) + androgen deprivation therapy (ADT) in men with metastatic hormone-sensitive prostate cancer (mHSPC). </w:t>
      </w:r>
      <w:r w:rsidRPr="00926C32">
        <w:rPr>
          <w:rFonts w:ascii="Arial" w:eastAsia="Arial" w:hAnsi="Arial" w:cs="Arial"/>
          <w:sz w:val="20"/>
          <w:szCs w:val="20"/>
          <w:highlight w:val="white"/>
          <w:lang w:val="en-GB"/>
        </w:rPr>
        <w:t>Annals of Oncology (2021) 32 (suppl_5): S1283-S1346., 2021</w:t>
      </w:r>
    </w:p>
    <w:p w:rsidR="002C4AF7" w:rsidRPr="00926C32" w:rsidRDefault="002C4AF7">
      <w:pPr>
        <w:tabs>
          <w:tab w:val="left" w:pos="1633"/>
        </w:tabs>
        <w:ind w:left="0" w:hanging="2"/>
        <w:jc w:val="both"/>
        <w:rPr>
          <w:rFonts w:ascii="Arial" w:eastAsia="Arial" w:hAnsi="Arial" w:cs="Arial"/>
          <w:sz w:val="20"/>
          <w:szCs w:val="20"/>
          <w:lang w:val="en-GB"/>
        </w:rPr>
      </w:pPr>
    </w:p>
    <w:p w:rsidR="002C4AF7" w:rsidRPr="00926C32" w:rsidRDefault="007C2686">
      <w:pPr>
        <w:tabs>
          <w:tab w:val="left" w:pos="1633"/>
        </w:tabs>
        <w:ind w:left="0" w:hanging="2"/>
        <w:jc w:val="both"/>
        <w:rPr>
          <w:rFonts w:ascii="Arial" w:eastAsia="Arial" w:hAnsi="Arial" w:cs="Arial"/>
          <w:sz w:val="20"/>
          <w:szCs w:val="20"/>
          <w:lang w:val="en-GB"/>
        </w:rPr>
      </w:pPr>
      <w:r w:rsidRPr="00926C32">
        <w:rPr>
          <w:rFonts w:ascii="Arial" w:eastAsia="Arial" w:hAnsi="Arial" w:cs="Arial"/>
          <w:sz w:val="20"/>
          <w:szCs w:val="20"/>
          <w:lang w:val="en-GB"/>
        </w:rPr>
        <w:t xml:space="preserve">13.Davis ID, et al. </w:t>
      </w:r>
      <w:r w:rsidRPr="009D49F2">
        <w:rPr>
          <w:rFonts w:ascii="Arial" w:eastAsia="Arial" w:hAnsi="Arial" w:cs="Arial"/>
          <w:sz w:val="20"/>
          <w:szCs w:val="20"/>
          <w:lang w:val="en-GB"/>
        </w:rPr>
        <w:t>Updated overall su</w:t>
      </w:r>
      <w:r w:rsidRPr="009D49F2">
        <w:rPr>
          <w:rFonts w:ascii="Arial" w:eastAsia="Arial" w:hAnsi="Arial" w:cs="Arial"/>
          <w:sz w:val="20"/>
          <w:szCs w:val="20"/>
          <w:highlight w:val="white"/>
          <w:lang w:val="en-GB"/>
        </w:rPr>
        <w:t xml:space="preserve">rvival outcomes in ENZAMET (ANZUP 1304), an international, cooperative group trial of enzalutamide in metastatic hormone-sensitive prostate cancer (mHSPC). </w:t>
      </w:r>
      <w:r w:rsidRPr="00926C32">
        <w:rPr>
          <w:rFonts w:ascii="Arial" w:eastAsia="Arial" w:hAnsi="Arial" w:cs="Arial"/>
          <w:sz w:val="20"/>
          <w:szCs w:val="20"/>
          <w:lang w:val="en-GB"/>
        </w:rPr>
        <w:t>Journal of Clinical Oncology 40, no. 17_suppl (June 10, 2022) LBA5004-LBA5004.</w:t>
      </w:r>
    </w:p>
    <w:p w:rsidR="002C4AF7" w:rsidRPr="00926C32" w:rsidRDefault="002C4AF7">
      <w:pPr>
        <w:tabs>
          <w:tab w:val="left" w:pos="1633"/>
        </w:tabs>
        <w:ind w:left="0" w:hanging="2"/>
        <w:jc w:val="both"/>
        <w:rPr>
          <w:rFonts w:ascii="Arial" w:eastAsia="Arial" w:hAnsi="Arial" w:cs="Arial"/>
          <w:sz w:val="20"/>
          <w:szCs w:val="20"/>
          <w:highlight w:val="white"/>
          <w:lang w:val="en-GB"/>
        </w:rPr>
      </w:pPr>
    </w:p>
    <w:p w:rsidR="002C4AF7" w:rsidRPr="00926C32" w:rsidRDefault="002C4AF7">
      <w:pPr>
        <w:tabs>
          <w:tab w:val="left" w:pos="1633"/>
        </w:tabs>
        <w:ind w:left="0" w:hanging="2"/>
        <w:jc w:val="both"/>
        <w:rPr>
          <w:rFonts w:ascii="Arial" w:eastAsia="Arial" w:hAnsi="Arial" w:cs="Arial"/>
          <w:sz w:val="20"/>
          <w:szCs w:val="20"/>
          <w:highlight w:val="white"/>
          <w:lang w:val="en-GB"/>
        </w:rPr>
      </w:pPr>
    </w:p>
    <w:p w:rsidR="002C4AF7" w:rsidRPr="00926C32" w:rsidRDefault="007C2686">
      <w:pPr>
        <w:tabs>
          <w:tab w:val="left" w:pos="1633"/>
        </w:tabs>
        <w:ind w:left="0" w:hanging="2"/>
        <w:jc w:val="both"/>
        <w:rPr>
          <w:rFonts w:ascii="Arial" w:eastAsia="Arial" w:hAnsi="Arial" w:cs="Arial"/>
          <w:sz w:val="20"/>
          <w:szCs w:val="20"/>
          <w:lang w:val="en-GB"/>
        </w:rPr>
      </w:pPr>
      <w:r w:rsidRPr="00926C32">
        <w:rPr>
          <w:rFonts w:ascii="Arial" w:eastAsia="Arial" w:hAnsi="Arial" w:cs="Arial"/>
          <w:sz w:val="20"/>
          <w:szCs w:val="20"/>
          <w:lang w:val="en-GB"/>
        </w:rPr>
        <w:t>14. National Institute for Health and Clinical Excellence (NICE). Prostate cáncer:diagnosis and management. NICE guideline (NG 131). Mayo 2019. Disponible en: https://www.nice.org.uk/guidance/ng131/chapter/Recommendations#metastatic-prostate-cancer.</w:t>
      </w:r>
    </w:p>
    <w:p w:rsidR="002C4AF7" w:rsidRPr="00926C32" w:rsidRDefault="002C4AF7">
      <w:pPr>
        <w:tabs>
          <w:tab w:val="left" w:pos="1633"/>
        </w:tabs>
        <w:ind w:left="0" w:hanging="2"/>
        <w:jc w:val="both"/>
        <w:rPr>
          <w:rFonts w:ascii="Arial" w:eastAsia="Arial" w:hAnsi="Arial" w:cs="Arial"/>
          <w:sz w:val="20"/>
          <w:szCs w:val="20"/>
          <w:highlight w:val="white"/>
          <w:lang w:val="en-GB"/>
        </w:rPr>
      </w:pPr>
    </w:p>
    <w:p w:rsidR="002C4AF7" w:rsidRPr="00926C32" w:rsidRDefault="002C4AF7">
      <w:pPr>
        <w:tabs>
          <w:tab w:val="left" w:pos="1633"/>
        </w:tabs>
        <w:ind w:left="0" w:hanging="2"/>
        <w:jc w:val="both"/>
        <w:rPr>
          <w:rFonts w:ascii="Arial" w:eastAsia="Arial" w:hAnsi="Arial" w:cs="Arial"/>
          <w:sz w:val="20"/>
          <w:szCs w:val="20"/>
          <w:highlight w:val="white"/>
          <w:lang w:val="en-GB"/>
        </w:rPr>
      </w:pPr>
    </w:p>
    <w:p w:rsidR="002C4AF7" w:rsidRPr="00926C32" w:rsidRDefault="007C2686">
      <w:pPr>
        <w:tabs>
          <w:tab w:val="left" w:pos="1633"/>
        </w:tabs>
        <w:ind w:left="0" w:hanging="2"/>
        <w:jc w:val="both"/>
        <w:rPr>
          <w:rFonts w:ascii="Arial" w:eastAsia="Arial" w:hAnsi="Arial" w:cs="Arial"/>
          <w:sz w:val="20"/>
          <w:szCs w:val="20"/>
          <w:highlight w:val="white"/>
          <w:lang w:val="en-GB"/>
        </w:rPr>
      </w:pPr>
      <w:r w:rsidRPr="00926C32">
        <w:rPr>
          <w:rFonts w:ascii="Arial" w:eastAsia="Arial" w:hAnsi="Arial" w:cs="Arial"/>
          <w:sz w:val="20"/>
          <w:szCs w:val="20"/>
          <w:highlight w:val="white"/>
          <w:lang w:val="en-GB"/>
        </w:rPr>
        <w:t xml:space="preserve">15. Marchioni M, Di Nicola M, Primiceri G, Novara G, Castellan P, Paul AK, Veccia A, Autorino R, Cindolo L, Schips L. New Antiandrogen Compounds Compared to Docetaxel for Metastatic Hormone Sensitive Prostate Cancer: Results from a Network Meta-Analysis. J Urol. 2020 Apr;203(4):751-759. doi: 10.1097/JU.0000000000000636. </w:t>
      </w:r>
    </w:p>
    <w:p w:rsidR="002C4AF7" w:rsidRPr="00926C32" w:rsidRDefault="002C4AF7">
      <w:pPr>
        <w:tabs>
          <w:tab w:val="left" w:pos="1633"/>
        </w:tabs>
        <w:ind w:left="0" w:hanging="2"/>
        <w:jc w:val="both"/>
        <w:rPr>
          <w:rFonts w:ascii="Arial" w:eastAsia="Arial" w:hAnsi="Arial" w:cs="Arial"/>
          <w:sz w:val="20"/>
          <w:szCs w:val="20"/>
          <w:highlight w:val="white"/>
          <w:lang w:val="en-GB"/>
        </w:rPr>
      </w:pPr>
    </w:p>
    <w:p w:rsidR="002C4AF7" w:rsidRPr="00926C32" w:rsidRDefault="007C2686">
      <w:pPr>
        <w:tabs>
          <w:tab w:val="left" w:pos="1633"/>
        </w:tabs>
        <w:ind w:left="0" w:hanging="2"/>
        <w:jc w:val="both"/>
        <w:rPr>
          <w:rFonts w:ascii="Arial" w:eastAsia="Arial" w:hAnsi="Arial" w:cs="Arial"/>
          <w:sz w:val="20"/>
          <w:szCs w:val="20"/>
          <w:highlight w:val="white"/>
          <w:lang w:val="en-GB"/>
        </w:rPr>
      </w:pPr>
      <w:r w:rsidRPr="00926C32">
        <w:rPr>
          <w:rFonts w:ascii="Arial" w:eastAsia="Arial" w:hAnsi="Arial" w:cs="Arial"/>
          <w:sz w:val="20"/>
          <w:szCs w:val="20"/>
          <w:highlight w:val="white"/>
          <w:lang w:val="en-GB"/>
        </w:rPr>
        <w:t xml:space="preserve">16. Sathianathen NJ, Koschel S, Thangasamy IA, et al. </w:t>
      </w:r>
      <w:r w:rsidRPr="009D49F2">
        <w:rPr>
          <w:rFonts w:ascii="Arial" w:eastAsia="Arial" w:hAnsi="Arial" w:cs="Arial"/>
          <w:sz w:val="20"/>
          <w:szCs w:val="20"/>
          <w:highlight w:val="white"/>
          <w:lang w:val="en-GB"/>
        </w:rPr>
        <w:t xml:space="preserve">Indirect Comparisons of Efficacy between Combination Approaches in Metastatic Hormone-sensitive Prostate Cancer: A Systematic Review and Network Meta-analysis. </w:t>
      </w:r>
      <w:r w:rsidRPr="00926C32">
        <w:rPr>
          <w:rFonts w:ascii="Arial" w:eastAsia="Arial" w:hAnsi="Arial" w:cs="Arial"/>
          <w:sz w:val="20"/>
          <w:szCs w:val="20"/>
          <w:highlight w:val="white"/>
          <w:lang w:val="en-GB"/>
        </w:rPr>
        <w:t xml:space="preserve">Eur Urol. 2020 Mar;77(3):365-372. doi: 10.1016/j.eururo.2019.09.004. </w:t>
      </w:r>
    </w:p>
    <w:p w:rsidR="002C4AF7" w:rsidRPr="00926C32" w:rsidRDefault="002C4AF7">
      <w:pPr>
        <w:tabs>
          <w:tab w:val="left" w:pos="1633"/>
        </w:tabs>
        <w:ind w:left="0" w:hanging="2"/>
        <w:jc w:val="both"/>
        <w:rPr>
          <w:rFonts w:ascii="Arial" w:eastAsia="Arial" w:hAnsi="Arial" w:cs="Arial"/>
          <w:sz w:val="20"/>
          <w:szCs w:val="20"/>
          <w:highlight w:val="white"/>
          <w:lang w:val="en-GB"/>
        </w:rPr>
      </w:pPr>
    </w:p>
    <w:p w:rsidR="002C4AF7" w:rsidRPr="00926C32" w:rsidRDefault="007C2686">
      <w:pPr>
        <w:tabs>
          <w:tab w:val="left" w:pos="1633"/>
        </w:tabs>
        <w:ind w:left="0" w:hanging="2"/>
        <w:jc w:val="both"/>
        <w:rPr>
          <w:rFonts w:ascii="Arial" w:eastAsia="Arial" w:hAnsi="Arial" w:cs="Arial"/>
          <w:sz w:val="20"/>
          <w:szCs w:val="20"/>
          <w:highlight w:val="white"/>
          <w:lang w:val="en-GB"/>
        </w:rPr>
      </w:pPr>
      <w:r w:rsidRPr="00926C32">
        <w:rPr>
          <w:rFonts w:ascii="Arial" w:eastAsia="Arial" w:hAnsi="Arial" w:cs="Arial"/>
          <w:sz w:val="20"/>
          <w:szCs w:val="20"/>
          <w:highlight w:val="white"/>
          <w:lang w:val="en-GB"/>
        </w:rPr>
        <w:t xml:space="preserve">17. Wang Y, Gui H, Wang J, Tian J, Wang H, Liang C, Hao Z, Rodriguez R, Wang Z. Comparative Efficacy of Combined Radiotherapy, Systemic Therapy, and Androgen Deprivation Therapy for Metastatic Hormone-Sensitive Prostate Cancer: A Network Meta-Analysis and Systematic Review. Front Oncol. 2020 Oct 20;10:567616. doi: 10.3389/fonc.2020.567616. </w:t>
      </w:r>
    </w:p>
    <w:p w:rsidR="002C4AF7" w:rsidRPr="00926C32" w:rsidRDefault="002C4AF7">
      <w:pPr>
        <w:tabs>
          <w:tab w:val="left" w:pos="1633"/>
        </w:tabs>
        <w:ind w:left="0" w:hanging="2"/>
        <w:jc w:val="both"/>
        <w:rPr>
          <w:rFonts w:ascii="Arial" w:eastAsia="Arial" w:hAnsi="Arial" w:cs="Arial"/>
          <w:sz w:val="20"/>
          <w:szCs w:val="20"/>
          <w:highlight w:val="white"/>
          <w:lang w:val="en-GB"/>
        </w:rPr>
      </w:pPr>
    </w:p>
    <w:p w:rsidR="002C4AF7" w:rsidRPr="00926C32" w:rsidRDefault="002C4AF7">
      <w:pPr>
        <w:tabs>
          <w:tab w:val="left" w:pos="1633"/>
        </w:tabs>
        <w:ind w:left="0" w:hanging="2"/>
        <w:jc w:val="both"/>
        <w:rPr>
          <w:rFonts w:ascii="Arial" w:eastAsia="Arial" w:hAnsi="Arial" w:cs="Arial"/>
          <w:sz w:val="20"/>
          <w:szCs w:val="20"/>
          <w:highlight w:val="white"/>
          <w:lang w:val="en-GB"/>
        </w:rPr>
      </w:pPr>
    </w:p>
    <w:p w:rsidR="002C4AF7" w:rsidRPr="00926C32" w:rsidRDefault="002C4AF7">
      <w:pPr>
        <w:tabs>
          <w:tab w:val="left" w:pos="1633"/>
        </w:tabs>
        <w:ind w:left="0" w:hanging="2"/>
        <w:jc w:val="both"/>
        <w:rPr>
          <w:rFonts w:ascii="Arial" w:eastAsia="Arial" w:hAnsi="Arial" w:cs="Arial"/>
          <w:sz w:val="20"/>
          <w:szCs w:val="20"/>
          <w:highlight w:val="white"/>
          <w:lang w:val="en-GB"/>
        </w:rPr>
      </w:pPr>
      <w:bookmarkStart w:id="66" w:name="_heading=h.1jrltoffepq0" w:colFirst="0" w:colLast="0"/>
      <w:bookmarkEnd w:id="66"/>
    </w:p>
    <w:p w:rsidR="002C4AF7" w:rsidRDefault="007C2686">
      <w:pPr>
        <w:tabs>
          <w:tab w:val="left" w:pos="1633"/>
        </w:tabs>
        <w:ind w:left="0" w:hanging="2"/>
        <w:jc w:val="both"/>
        <w:rPr>
          <w:rFonts w:ascii="Arial" w:eastAsia="Arial" w:hAnsi="Arial" w:cs="Arial"/>
          <w:sz w:val="20"/>
          <w:szCs w:val="20"/>
          <w:highlight w:val="white"/>
        </w:rPr>
      </w:pPr>
      <w:r w:rsidRPr="00926C32">
        <w:rPr>
          <w:rFonts w:ascii="Arial" w:eastAsia="Arial" w:hAnsi="Arial" w:cs="Arial"/>
          <w:sz w:val="20"/>
          <w:szCs w:val="20"/>
          <w:highlight w:val="white"/>
          <w:lang w:val="en-GB"/>
        </w:rPr>
        <w:t xml:space="preserve">18. N Chi Kim, Chowdhry S, Bjartell A, Chung BH, Pereira de Santa Gomes AJ, Given R et al. </w:t>
      </w:r>
      <w:r w:rsidRPr="009D49F2">
        <w:rPr>
          <w:rFonts w:ascii="Arial" w:eastAsia="Arial" w:hAnsi="Arial" w:cs="Arial"/>
          <w:sz w:val="20"/>
          <w:szCs w:val="20"/>
          <w:highlight w:val="white"/>
          <w:lang w:val="en-GB"/>
        </w:rPr>
        <w:t xml:space="preserve">Final analysis results from TITAN: A phase III study of apalutamide (APA) versus placebo (PBO) in patients (pts) with metastatic castration-sensitive prostate cancer (mCSPC) receiving androgen deprivation therapy (ADT). </w:t>
      </w:r>
      <w:r w:rsidRPr="00926C32">
        <w:rPr>
          <w:rFonts w:ascii="Arial" w:eastAsia="Arial" w:hAnsi="Arial" w:cs="Arial"/>
          <w:sz w:val="20"/>
          <w:szCs w:val="20"/>
          <w:highlight w:val="white"/>
          <w:lang w:val="en-GB"/>
        </w:rPr>
        <w:t xml:space="preserve">DOI: 10.1200/JCO.2021.39.6_suppl.11 Journal of Clinical Oncology 39, no. 6_suppl (February 20, 2021) 11-11. </w:t>
      </w:r>
      <w:r>
        <w:rPr>
          <w:rFonts w:ascii="Arial" w:eastAsia="Arial" w:hAnsi="Arial" w:cs="Arial"/>
          <w:sz w:val="20"/>
          <w:szCs w:val="20"/>
          <w:highlight w:val="white"/>
        </w:rPr>
        <w:t>(14)</w:t>
      </w:r>
    </w:p>
    <w:p w:rsidR="002C4AF7" w:rsidRDefault="002C4AF7">
      <w:pPr>
        <w:tabs>
          <w:tab w:val="left" w:pos="1633"/>
        </w:tabs>
        <w:ind w:left="0" w:hanging="2"/>
        <w:jc w:val="both"/>
        <w:rPr>
          <w:rFonts w:ascii="Arial" w:eastAsia="Arial" w:hAnsi="Arial" w:cs="Arial"/>
          <w:sz w:val="20"/>
          <w:szCs w:val="20"/>
          <w:highlight w:val="white"/>
        </w:rPr>
      </w:pPr>
    </w:p>
    <w:p w:rsidR="002C4AF7" w:rsidRPr="009D49F2" w:rsidRDefault="007C2686">
      <w:pPr>
        <w:tabs>
          <w:tab w:val="left" w:pos="1633"/>
        </w:tabs>
        <w:ind w:left="0" w:hanging="2"/>
        <w:jc w:val="both"/>
        <w:rPr>
          <w:rFonts w:ascii="Arial" w:eastAsia="Arial" w:hAnsi="Arial" w:cs="Arial"/>
          <w:sz w:val="20"/>
          <w:szCs w:val="20"/>
          <w:highlight w:val="white"/>
          <w:lang w:val="en-GB"/>
        </w:rPr>
      </w:pPr>
      <w:r>
        <w:rPr>
          <w:rFonts w:ascii="Arial" w:eastAsia="Arial" w:hAnsi="Arial" w:cs="Arial"/>
          <w:sz w:val="20"/>
          <w:szCs w:val="20"/>
          <w:highlight w:val="white"/>
        </w:rPr>
        <w:t xml:space="preserve">19. Fizazi K, Tran NP, Fein L, Matsubara N, Rodriguez-Antolin A, Alekseev BY, et al. </w:t>
      </w:r>
      <w:r w:rsidRPr="009D49F2">
        <w:rPr>
          <w:rFonts w:ascii="Arial" w:eastAsia="Arial" w:hAnsi="Arial" w:cs="Arial"/>
          <w:sz w:val="20"/>
          <w:szCs w:val="20"/>
          <w:highlight w:val="white"/>
          <w:lang w:val="en-GB"/>
        </w:rPr>
        <w:t xml:space="preserve">Abiraterone acetate plus prednisone in patients with newly diagnosed high risk metastatic castratio sensitive prostate cancer (latitude): final overall survival analysis of a randomised, double blind, phase 3 trial.Published Online April 12, 2019 </w:t>
      </w:r>
      <w:hyperlink r:id="rId64">
        <w:r w:rsidRPr="009D49F2">
          <w:rPr>
            <w:rFonts w:ascii="Arial" w:eastAsia="Arial" w:hAnsi="Arial" w:cs="Arial"/>
            <w:sz w:val="20"/>
            <w:szCs w:val="20"/>
            <w:highlight w:val="white"/>
            <w:lang w:val="en-GB"/>
          </w:rPr>
          <w:t>http://dx.doi.org/10.1016/</w:t>
        </w:r>
      </w:hyperlink>
      <w:r w:rsidRPr="009D49F2">
        <w:rPr>
          <w:rFonts w:ascii="Arial" w:eastAsia="Arial" w:hAnsi="Arial" w:cs="Arial"/>
          <w:sz w:val="20"/>
          <w:szCs w:val="20"/>
          <w:highlight w:val="white"/>
          <w:lang w:val="en-GB"/>
        </w:rPr>
        <w:t xml:space="preserve"> S1470-2045(19)30082-8</w:t>
      </w:r>
    </w:p>
    <w:p w:rsidR="002C4AF7" w:rsidRPr="009D49F2" w:rsidRDefault="002C4AF7">
      <w:pPr>
        <w:tabs>
          <w:tab w:val="left" w:pos="1633"/>
        </w:tabs>
        <w:ind w:left="0" w:hanging="2"/>
        <w:jc w:val="both"/>
        <w:rPr>
          <w:rFonts w:ascii="Arial" w:eastAsia="Arial" w:hAnsi="Arial" w:cs="Arial"/>
          <w:sz w:val="20"/>
          <w:szCs w:val="20"/>
          <w:highlight w:val="white"/>
          <w:lang w:val="en-GB"/>
        </w:rPr>
      </w:pPr>
    </w:p>
    <w:p w:rsidR="002C4AF7" w:rsidRDefault="007C2686">
      <w:pPr>
        <w:tabs>
          <w:tab w:val="left" w:pos="1633"/>
        </w:tabs>
        <w:ind w:left="0" w:hanging="2"/>
        <w:jc w:val="both"/>
        <w:rPr>
          <w:rFonts w:ascii="Arial" w:eastAsia="Arial" w:hAnsi="Arial" w:cs="Arial"/>
          <w:sz w:val="20"/>
          <w:szCs w:val="20"/>
          <w:highlight w:val="white"/>
        </w:rPr>
      </w:pPr>
      <w:r>
        <w:rPr>
          <w:rFonts w:ascii="Arial" w:eastAsia="Arial" w:hAnsi="Arial" w:cs="Arial"/>
          <w:sz w:val="20"/>
          <w:szCs w:val="20"/>
          <w:highlight w:val="white"/>
        </w:rPr>
        <w:t>20. Rendón de Lope L., Hevia Álvarez E., Fénix Caballero S. Apalutamida en combinación con terapia de deprivación androgénica en Cáncer de Próstata Metastásico hormono sensible. Informe para la Guía Farmacoterapéutica de Hospitales de Andalucía. Septiembre 2020.</w:t>
      </w:r>
    </w:p>
    <w:p w:rsidR="002C4AF7" w:rsidRDefault="002C4AF7">
      <w:pPr>
        <w:tabs>
          <w:tab w:val="left" w:pos="1633"/>
        </w:tabs>
        <w:ind w:left="0" w:hanging="2"/>
        <w:jc w:val="both"/>
        <w:rPr>
          <w:rFonts w:ascii="Arial" w:eastAsia="Arial" w:hAnsi="Arial" w:cs="Arial"/>
          <w:sz w:val="20"/>
          <w:szCs w:val="20"/>
          <w:highlight w:val="white"/>
        </w:rPr>
      </w:pPr>
    </w:p>
    <w:p w:rsidR="002C4AF7" w:rsidRPr="00926C32" w:rsidRDefault="007C2686">
      <w:pPr>
        <w:tabs>
          <w:tab w:val="left" w:pos="1633"/>
        </w:tabs>
        <w:ind w:left="0" w:hanging="2"/>
        <w:jc w:val="both"/>
        <w:rPr>
          <w:rFonts w:ascii="Arial" w:eastAsia="Arial" w:hAnsi="Arial" w:cs="Arial"/>
          <w:sz w:val="20"/>
          <w:szCs w:val="20"/>
          <w:highlight w:val="white"/>
          <w:lang w:val="en-GB"/>
        </w:rPr>
      </w:pPr>
      <w:r>
        <w:rPr>
          <w:rFonts w:ascii="Arial" w:eastAsia="Arial" w:hAnsi="Arial" w:cs="Arial"/>
          <w:sz w:val="20"/>
          <w:szCs w:val="20"/>
          <w:highlight w:val="white"/>
        </w:rPr>
        <w:t xml:space="preserve">21. Alegre Del Rey EJ, Fénix Caballero S, Castaño Lara R, Sierra García F. Evaluación y posicionamiento de medicamentos como alternativas terapéuticas equivalentes [Assessment and positioning of drugs as equivalent therapeutic alternatives]. </w:t>
      </w:r>
      <w:r w:rsidRPr="00926C32">
        <w:rPr>
          <w:rFonts w:ascii="Arial" w:eastAsia="Arial" w:hAnsi="Arial" w:cs="Arial"/>
          <w:sz w:val="20"/>
          <w:szCs w:val="20"/>
          <w:highlight w:val="white"/>
          <w:lang w:val="en-GB"/>
        </w:rPr>
        <w:t xml:space="preserve">Med Clin (Barc). 2014 Jul 22;143(2):85-90. Spanish. doi: 10.1016/j.medcli.2013.11.033. </w:t>
      </w:r>
    </w:p>
    <w:p w:rsidR="002C4AF7" w:rsidRPr="00926C32" w:rsidRDefault="002C4AF7">
      <w:pPr>
        <w:tabs>
          <w:tab w:val="left" w:pos="1633"/>
        </w:tabs>
        <w:ind w:left="0" w:hanging="2"/>
        <w:jc w:val="both"/>
        <w:rPr>
          <w:rFonts w:ascii="Arial" w:eastAsia="Arial" w:hAnsi="Arial" w:cs="Arial"/>
          <w:sz w:val="20"/>
          <w:szCs w:val="20"/>
          <w:highlight w:val="white"/>
          <w:lang w:val="en-GB"/>
        </w:rPr>
      </w:pPr>
    </w:p>
    <w:p w:rsidR="002C4AF7" w:rsidRPr="009D49F2" w:rsidRDefault="007C2686">
      <w:pPr>
        <w:tabs>
          <w:tab w:val="left" w:pos="1633"/>
        </w:tabs>
        <w:ind w:left="0" w:hanging="2"/>
        <w:jc w:val="both"/>
        <w:rPr>
          <w:rFonts w:ascii="Arial" w:eastAsia="Arial" w:hAnsi="Arial" w:cs="Arial"/>
          <w:sz w:val="20"/>
          <w:szCs w:val="20"/>
          <w:highlight w:val="white"/>
          <w:lang w:val="en-GB"/>
        </w:rPr>
      </w:pPr>
      <w:r w:rsidRPr="00926C32">
        <w:rPr>
          <w:rFonts w:ascii="Arial" w:eastAsia="Arial" w:hAnsi="Arial" w:cs="Arial"/>
          <w:sz w:val="20"/>
          <w:szCs w:val="20"/>
          <w:highlight w:val="white"/>
          <w:lang w:val="en-GB"/>
        </w:rPr>
        <w:t xml:space="preserve">22. European Association of Urology. EAU Guidelines. Edn. presented at the EAU Annual Congress Amsterdam 2020. </w:t>
      </w:r>
      <w:r w:rsidRPr="009D49F2">
        <w:rPr>
          <w:rFonts w:ascii="Arial" w:eastAsia="Arial" w:hAnsi="Arial" w:cs="Arial"/>
          <w:sz w:val="20"/>
          <w:szCs w:val="20"/>
          <w:highlight w:val="white"/>
          <w:lang w:val="en-GB"/>
        </w:rPr>
        <w:t xml:space="preserve">ISBN 978-94-92671-07-3. Disponible en: </w:t>
      </w:r>
      <w:hyperlink r:id="rId65">
        <w:r w:rsidRPr="009D49F2">
          <w:rPr>
            <w:rFonts w:ascii="Arial" w:eastAsia="Arial" w:hAnsi="Arial" w:cs="Arial"/>
            <w:sz w:val="20"/>
            <w:szCs w:val="20"/>
            <w:highlight w:val="white"/>
            <w:lang w:val="en-GB"/>
          </w:rPr>
          <w:t>http://uroweb.org/guideline/prostatecancer</w:t>
        </w:r>
      </w:hyperlink>
      <w:r w:rsidRPr="009D49F2">
        <w:rPr>
          <w:rFonts w:ascii="Arial" w:eastAsia="Arial" w:hAnsi="Arial" w:cs="Arial"/>
          <w:sz w:val="20"/>
          <w:szCs w:val="20"/>
          <w:highlight w:val="white"/>
          <w:lang w:val="en-GB"/>
        </w:rPr>
        <w:t xml:space="preserve">., el National Comprehensive Cancer Network (NCCN) National Compehensive Cancer Network (NCCN). </w:t>
      </w:r>
    </w:p>
    <w:p w:rsidR="002C4AF7" w:rsidRPr="009D49F2" w:rsidRDefault="002C4AF7">
      <w:pPr>
        <w:tabs>
          <w:tab w:val="left" w:pos="1633"/>
        </w:tabs>
        <w:ind w:left="0" w:hanging="2"/>
        <w:jc w:val="both"/>
        <w:rPr>
          <w:rFonts w:ascii="Arial" w:eastAsia="Arial" w:hAnsi="Arial" w:cs="Arial"/>
          <w:sz w:val="20"/>
          <w:szCs w:val="20"/>
          <w:highlight w:val="white"/>
          <w:lang w:val="en-GB"/>
        </w:rPr>
      </w:pPr>
    </w:p>
    <w:p w:rsidR="002C4AF7" w:rsidRDefault="007C2686">
      <w:pPr>
        <w:tabs>
          <w:tab w:val="left" w:pos="1633"/>
        </w:tabs>
        <w:ind w:left="0" w:hanging="2"/>
        <w:jc w:val="both"/>
        <w:rPr>
          <w:rFonts w:ascii="Arial" w:eastAsia="Arial" w:hAnsi="Arial" w:cs="Arial"/>
          <w:sz w:val="20"/>
          <w:szCs w:val="20"/>
          <w:highlight w:val="white"/>
        </w:rPr>
      </w:pPr>
      <w:r w:rsidRPr="001475C9">
        <w:rPr>
          <w:rFonts w:ascii="Arial" w:eastAsia="Arial" w:hAnsi="Arial" w:cs="Arial"/>
          <w:sz w:val="20"/>
          <w:szCs w:val="20"/>
          <w:highlight w:val="white"/>
          <w:lang w:val="en-GB"/>
        </w:rPr>
        <w:lastRenderedPageBreak/>
        <w:t xml:space="preserve">23. NCCN Guideline for Prostate Cancer. </w:t>
      </w:r>
      <w:r>
        <w:rPr>
          <w:rFonts w:ascii="Arial" w:eastAsia="Arial" w:hAnsi="Arial" w:cs="Arial"/>
          <w:sz w:val="20"/>
          <w:szCs w:val="20"/>
          <w:highlight w:val="white"/>
        </w:rPr>
        <w:t xml:space="preserve">Version 4.2019. Disponible en: </w:t>
      </w:r>
      <w:hyperlink r:id="rId66">
        <w:r>
          <w:rPr>
            <w:rFonts w:ascii="Arial" w:eastAsia="Arial" w:hAnsi="Arial" w:cs="Arial"/>
            <w:sz w:val="20"/>
            <w:szCs w:val="20"/>
            <w:highlight w:val="white"/>
          </w:rPr>
          <w:t>https://www.nccn.org/store/login/login.aspx?ReturnURL=https://www.nccn.org/professionals/physician_gls/pdf/prostate.pdf</w:t>
        </w:r>
      </w:hyperlink>
    </w:p>
    <w:p w:rsidR="002C4AF7" w:rsidRDefault="002C4AF7">
      <w:pPr>
        <w:tabs>
          <w:tab w:val="left" w:pos="1633"/>
        </w:tabs>
        <w:ind w:left="0" w:hanging="2"/>
        <w:jc w:val="both"/>
        <w:rPr>
          <w:rFonts w:ascii="Arial" w:eastAsia="Arial" w:hAnsi="Arial" w:cs="Arial"/>
          <w:sz w:val="20"/>
          <w:szCs w:val="20"/>
          <w:highlight w:val="white"/>
        </w:rPr>
      </w:pPr>
    </w:p>
    <w:p w:rsidR="002C4AF7" w:rsidRDefault="007C2686">
      <w:pPr>
        <w:tabs>
          <w:tab w:val="left" w:pos="1633"/>
        </w:tabs>
        <w:ind w:left="0" w:hanging="2"/>
        <w:jc w:val="both"/>
        <w:rPr>
          <w:rFonts w:ascii="Arial" w:eastAsia="Arial" w:hAnsi="Arial" w:cs="Arial"/>
          <w:sz w:val="20"/>
          <w:szCs w:val="20"/>
          <w:highlight w:val="white"/>
        </w:rPr>
      </w:pPr>
      <w:bookmarkStart w:id="67" w:name="_heading=h.myrj8v59wrbv" w:colFirst="0" w:colLast="0"/>
      <w:bookmarkEnd w:id="67"/>
      <w:r>
        <w:rPr>
          <w:rFonts w:ascii="Arial" w:eastAsia="Arial" w:hAnsi="Arial" w:cs="Arial"/>
          <w:sz w:val="20"/>
          <w:szCs w:val="20"/>
          <w:highlight w:val="white"/>
        </w:rPr>
        <w:t>24. ESMO Guidelines Committee. Disponible en: https://www.esmo.org/guidelines/genitourinary-cancers/prostate-</w:t>
      </w:r>
    </w:p>
    <w:p w:rsidR="002C4AF7" w:rsidRDefault="007C2686">
      <w:pPr>
        <w:tabs>
          <w:tab w:val="left" w:pos="1633"/>
        </w:tabs>
        <w:ind w:left="0" w:hanging="2"/>
        <w:jc w:val="both"/>
        <w:rPr>
          <w:rFonts w:ascii="Arial" w:eastAsia="Arial" w:hAnsi="Arial" w:cs="Arial"/>
          <w:sz w:val="20"/>
          <w:szCs w:val="20"/>
          <w:highlight w:val="white"/>
        </w:rPr>
      </w:pPr>
      <w:r>
        <w:rPr>
          <w:rFonts w:ascii="Arial" w:eastAsia="Arial" w:hAnsi="Arial" w:cs="Arial"/>
          <w:sz w:val="20"/>
          <w:szCs w:val="20"/>
          <w:highlight w:val="white"/>
        </w:rPr>
        <w:t>cancer/eupdate-cancer-of-the-prostate-treatment-recommendations.</w:t>
      </w:r>
    </w:p>
    <w:p w:rsidR="002C4AF7" w:rsidRDefault="002C4AF7">
      <w:pPr>
        <w:tabs>
          <w:tab w:val="left" w:pos="1633"/>
        </w:tabs>
        <w:ind w:left="0" w:hanging="2"/>
        <w:jc w:val="both"/>
        <w:rPr>
          <w:rFonts w:ascii="Arial" w:eastAsia="Arial" w:hAnsi="Arial" w:cs="Arial"/>
          <w:sz w:val="20"/>
          <w:szCs w:val="20"/>
          <w:highlight w:val="white"/>
        </w:rPr>
      </w:pPr>
    </w:p>
    <w:p w:rsidR="002C4AF7" w:rsidRDefault="002C4AF7">
      <w:pPr>
        <w:tabs>
          <w:tab w:val="left" w:pos="1633"/>
        </w:tabs>
        <w:ind w:left="0" w:hanging="2"/>
        <w:jc w:val="both"/>
        <w:rPr>
          <w:rFonts w:ascii="Arial" w:eastAsia="Arial" w:hAnsi="Arial" w:cs="Arial"/>
          <w:sz w:val="20"/>
          <w:szCs w:val="20"/>
          <w:highlight w:val="white"/>
        </w:rPr>
      </w:pPr>
    </w:p>
    <w:p w:rsidR="002C4AF7" w:rsidRDefault="007C2686">
      <w:pPr>
        <w:tabs>
          <w:tab w:val="left" w:pos="1633"/>
        </w:tabs>
        <w:ind w:left="0" w:hanging="2"/>
        <w:jc w:val="both"/>
        <w:rPr>
          <w:rFonts w:ascii="Arial" w:eastAsia="Arial" w:hAnsi="Arial" w:cs="Arial"/>
          <w:sz w:val="20"/>
          <w:szCs w:val="20"/>
          <w:highlight w:val="white"/>
        </w:rPr>
      </w:pPr>
      <w:r>
        <w:rPr>
          <w:rFonts w:ascii="Arial" w:eastAsia="Arial" w:hAnsi="Arial" w:cs="Arial"/>
          <w:sz w:val="20"/>
          <w:szCs w:val="20"/>
          <w:highlight w:val="white"/>
        </w:rPr>
        <w:t>25. Informe de Posicionamiento Terapéutico de enzalutamida (Xtandi®) en combinación con la terapia de privación androgénica (TPA) en el tratamiento del cáncer de próstata hormonosensible metastásico (CPHSm). Disponible en: https://www.aemps.gob.es/medicamentosUsoHumano/informesPublicos/docs/2022/IPT_19-2022-Xtandi.pdf?x10638</w:t>
      </w:r>
    </w:p>
    <w:p w:rsidR="002C4AF7" w:rsidRDefault="002C4AF7">
      <w:pPr>
        <w:tabs>
          <w:tab w:val="left" w:pos="1633"/>
        </w:tabs>
        <w:ind w:left="0" w:hanging="2"/>
        <w:jc w:val="both"/>
        <w:rPr>
          <w:rFonts w:ascii="Arial" w:eastAsia="Arial" w:hAnsi="Arial" w:cs="Arial"/>
          <w:sz w:val="20"/>
          <w:szCs w:val="20"/>
          <w:highlight w:val="white"/>
        </w:rPr>
      </w:pPr>
    </w:p>
    <w:p w:rsidR="002C4AF7" w:rsidRPr="009D49F2" w:rsidRDefault="007C2686">
      <w:pPr>
        <w:tabs>
          <w:tab w:val="left" w:pos="1633"/>
        </w:tabs>
        <w:ind w:left="0" w:hanging="2"/>
        <w:jc w:val="both"/>
        <w:rPr>
          <w:rFonts w:ascii="Arial" w:eastAsia="Arial" w:hAnsi="Arial" w:cs="Arial"/>
          <w:sz w:val="20"/>
          <w:szCs w:val="20"/>
          <w:highlight w:val="white"/>
          <w:lang w:val="en-GB"/>
        </w:rPr>
      </w:pPr>
      <w:r w:rsidRPr="009D49F2">
        <w:rPr>
          <w:rFonts w:ascii="Arial" w:eastAsia="Arial" w:hAnsi="Arial" w:cs="Arial"/>
          <w:sz w:val="20"/>
          <w:szCs w:val="20"/>
          <w:highlight w:val="white"/>
          <w:lang w:val="en-GB"/>
        </w:rPr>
        <w:t>26.  Enzalutamide for treating hormone-sensitive metastatic prostate cancer, Technology appraisal guidance [TA712]Published: 07 July 2021.</w:t>
      </w:r>
    </w:p>
    <w:p w:rsidR="002C4AF7" w:rsidRPr="009D49F2" w:rsidRDefault="00883B7B">
      <w:pPr>
        <w:tabs>
          <w:tab w:val="left" w:pos="1633"/>
        </w:tabs>
        <w:ind w:left="0" w:hanging="2"/>
        <w:jc w:val="both"/>
        <w:rPr>
          <w:rFonts w:ascii="Arial" w:eastAsia="Arial" w:hAnsi="Arial" w:cs="Arial"/>
          <w:sz w:val="20"/>
          <w:szCs w:val="20"/>
          <w:highlight w:val="white"/>
          <w:lang w:val="en-GB"/>
        </w:rPr>
      </w:pPr>
      <w:hyperlink r:id="rId67">
        <w:r w:rsidR="007C2686" w:rsidRPr="009D49F2">
          <w:rPr>
            <w:rFonts w:ascii="Arial" w:eastAsia="Arial" w:hAnsi="Arial" w:cs="Arial"/>
            <w:sz w:val="20"/>
            <w:szCs w:val="20"/>
            <w:highlight w:val="white"/>
            <w:lang w:val="en-GB"/>
          </w:rPr>
          <w:t>https://www.nice.org.uk/guidance/ta712</w:t>
        </w:r>
      </w:hyperlink>
    </w:p>
    <w:p w:rsidR="002C4AF7" w:rsidRPr="009D49F2" w:rsidRDefault="002C4AF7">
      <w:pPr>
        <w:tabs>
          <w:tab w:val="left" w:pos="1633"/>
        </w:tabs>
        <w:ind w:left="0" w:hanging="2"/>
        <w:jc w:val="both"/>
        <w:rPr>
          <w:rFonts w:ascii="Arial" w:eastAsia="Arial" w:hAnsi="Arial" w:cs="Arial"/>
          <w:sz w:val="20"/>
          <w:szCs w:val="20"/>
          <w:highlight w:val="white"/>
          <w:lang w:val="en-GB"/>
        </w:rPr>
      </w:pPr>
    </w:p>
    <w:p w:rsidR="002C4AF7" w:rsidRDefault="007C2686">
      <w:pPr>
        <w:tabs>
          <w:tab w:val="left" w:pos="1633"/>
        </w:tabs>
        <w:ind w:left="0" w:hanging="2"/>
        <w:jc w:val="both"/>
        <w:rPr>
          <w:rFonts w:ascii="Arial" w:eastAsia="Arial" w:hAnsi="Arial" w:cs="Arial"/>
          <w:sz w:val="20"/>
          <w:szCs w:val="20"/>
          <w:highlight w:val="white"/>
        </w:rPr>
      </w:pPr>
      <w:r w:rsidRPr="001475C9">
        <w:rPr>
          <w:rFonts w:ascii="Arial" w:eastAsia="Arial" w:hAnsi="Arial" w:cs="Arial"/>
          <w:sz w:val="20"/>
          <w:szCs w:val="20"/>
          <w:highlight w:val="white"/>
          <w:lang w:val="en-GB"/>
        </w:rPr>
        <w:t>27. Abiraterone for treating newly diagnosed high-risk hormone-sensitive metastatic prostate cancer.</w:t>
      </w:r>
      <w:hyperlink r:id="rId68">
        <w:r>
          <w:rPr>
            <w:rFonts w:ascii="Arial" w:eastAsia="Arial" w:hAnsi="Arial" w:cs="Arial"/>
            <w:sz w:val="20"/>
            <w:szCs w:val="20"/>
            <w:highlight w:val="white"/>
          </w:rPr>
          <w:t>https://www.nice.org.uk/guidance/ta721/resources/abiraterone-for-treating-newly-diagnosed-highrisk-hormonesensitive-metastatic-prostate-cancer-pdf-82611189000133</w:t>
        </w:r>
      </w:hyperlink>
    </w:p>
    <w:p w:rsidR="002C4AF7" w:rsidRDefault="002C4AF7">
      <w:pPr>
        <w:tabs>
          <w:tab w:val="left" w:pos="1633"/>
        </w:tabs>
        <w:ind w:left="0" w:hanging="2"/>
        <w:jc w:val="both"/>
        <w:rPr>
          <w:rFonts w:ascii="Arial" w:eastAsia="Arial" w:hAnsi="Arial" w:cs="Arial"/>
          <w:sz w:val="20"/>
          <w:szCs w:val="20"/>
          <w:highlight w:val="white"/>
        </w:rPr>
      </w:pPr>
    </w:p>
    <w:p w:rsidR="002C4AF7" w:rsidRPr="001475C9" w:rsidRDefault="007C2686">
      <w:pPr>
        <w:tabs>
          <w:tab w:val="left" w:pos="1633"/>
        </w:tabs>
        <w:ind w:left="0" w:hanging="2"/>
        <w:jc w:val="both"/>
        <w:rPr>
          <w:rFonts w:ascii="Arial" w:eastAsia="Arial" w:hAnsi="Arial" w:cs="Arial"/>
          <w:sz w:val="20"/>
          <w:szCs w:val="20"/>
          <w:highlight w:val="white"/>
          <w:lang w:val="en-GB"/>
        </w:rPr>
      </w:pPr>
      <w:r w:rsidRPr="001475C9">
        <w:rPr>
          <w:rFonts w:ascii="Arial" w:eastAsia="Arial" w:hAnsi="Arial" w:cs="Arial"/>
          <w:sz w:val="20"/>
          <w:szCs w:val="20"/>
          <w:highlight w:val="white"/>
          <w:lang w:val="en-GB"/>
        </w:rPr>
        <w:t xml:space="preserve">28. Apalutamide with androgen deprivation therapy for treating hormone-sensitive metastatic prostate cancer </w:t>
      </w:r>
      <w:hyperlink r:id="rId69">
        <w:r w:rsidRPr="001475C9">
          <w:rPr>
            <w:rFonts w:ascii="Arial" w:eastAsia="Arial" w:hAnsi="Arial" w:cs="Arial"/>
            <w:sz w:val="20"/>
            <w:szCs w:val="20"/>
            <w:highlight w:val="white"/>
            <w:lang w:val="en-GB"/>
          </w:rPr>
          <w:t>https://www.nice.org.uk/guidance/ta741/resources/apalutamide-with-androgen-deprivation-therapy-for-treating-hormonesensitive-metastatic-prostate-cancer-pdf-82611309932485</w:t>
        </w:r>
      </w:hyperlink>
      <w:r w:rsidRPr="001475C9">
        <w:rPr>
          <w:rFonts w:ascii="Arial" w:eastAsia="Arial" w:hAnsi="Arial" w:cs="Arial"/>
          <w:sz w:val="20"/>
          <w:szCs w:val="20"/>
          <w:highlight w:val="white"/>
          <w:lang w:val="en-GB"/>
        </w:rPr>
        <w:t xml:space="preserve"> </w:t>
      </w:r>
    </w:p>
    <w:p w:rsidR="002C4AF7" w:rsidRPr="001475C9" w:rsidRDefault="002C4AF7">
      <w:pPr>
        <w:tabs>
          <w:tab w:val="left" w:pos="1633"/>
        </w:tabs>
        <w:ind w:left="0" w:hanging="2"/>
        <w:jc w:val="both"/>
        <w:rPr>
          <w:rFonts w:ascii="Arial" w:eastAsia="Arial" w:hAnsi="Arial" w:cs="Arial"/>
          <w:sz w:val="20"/>
          <w:szCs w:val="20"/>
          <w:highlight w:val="white"/>
          <w:lang w:val="en-GB"/>
        </w:rPr>
      </w:pPr>
    </w:p>
    <w:p w:rsidR="002C4AF7" w:rsidRPr="001475C9" w:rsidRDefault="002C4AF7">
      <w:pPr>
        <w:tabs>
          <w:tab w:val="left" w:pos="1633"/>
        </w:tabs>
        <w:ind w:left="0" w:hanging="2"/>
        <w:jc w:val="both"/>
        <w:rPr>
          <w:rFonts w:ascii="Arial" w:eastAsia="Arial" w:hAnsi="Arial" w:cs="Arial"/>
          <w:sz w:val="20"/>
          <w:szCs w:val="20"/>
          <w:highlight w:val="white"/>
          <w:lang w:val="en-GB"/>
        </w:rPr>
      </w:pPr>
    </w:p>
    <w:p w:rsidR="002C4AF7" w:rsidRPr="001475C9" w:rsidRDefault="007C2686">
      <w:pPr>
        <w:tabs>
          <w:tab w:val="left" w:pos="1633"/>
        </w:tabs>
        <w:ind w:left="0" w:hanging="2"/>
        <w:jc w:val="both"/>
        <w:rPr>
          <w:rFonts w:ascii="Arial" w:eastAsia="Arial" w:hAnsi="Arial" w:cs="Arial"/>
          <w:sz w:val="20"/>
          <w:szCs w:val="20"/>
          <w:highlight w:val="white"/>
          <w:lang w:val="en-GB"/>
        </w:rPr>
      </w:pPr>
      <w:r w:rsidRPr="001475C9">
        <w:rPr>
          <w:rFonts w:ascii="Arial" w:eastAsia="Arial" w:hAnsi="Arial" w:cs="Arial"/>
          <w:sz w:val="20"/>
          <w:szCs w:val="20"/>
          <w:highlight w:val="white"/>
          <w:lang w:val="en-GB"/>
        </w:rPr>
        <w:t>29. pCODR EXPERT REVIEW COMMITTEE (pERC) FINAL RECOMMENDATION. Drug: Enzalutamide (XTANDI).</w:t>
      </w:r>
      <w:r w:rsidR="00761216">
        <w:rPr>
          <w:rFonts w:ascii="Arial" w:eastAsia="Arial" w:hAnsi="Arial" w:cs="Arial"/>
          <w:sz w:val="20"/>
          <w:szCs w:val="20"/>
          <w:highlight w:val="white"/>
          <w:lang w:val="en-GB"/>
        </w:rPr>
        <w:t xml:space="preserve"> </w:t>
      </w:r>
      <w:r w:rsidRPr="001475C9">
        <w:rPr>
          <w:rFonts w:ascii="Arial" w:eastAsia="Arial" w:hAnsi="Arial" w:cs="Arial"/>
          <w:sz w:val="20"/>
          <w:szCs w:val="20"/>
          <w:highlight w:val="white"/>
          <w:lang w:val="en-GB"/>
        </w:rPr>
        <w:t>Submitted Reimbursement Request: In combination with androgen deprivation therapy, for the treatment of patients with metastatic castration-sensitive prostate cancer. https://www.cadth.ca/sites/default/files/pcodr/Reviews2020/10209EnzalutamidemCSPC_fnRec_EarlyConv_REDACT_ApprovedbyChair_Post23Sep2020_final.pdfSeptiembre 2020.</w:t>
      </w:r>
    </w:p>
    <w:p w:rsidR="002C4AF7" w:rsidRPr="001475C9" w:rsidRDefault="002C4AF7">
      <w:pPr>
        <w:tabs>
          <w:tab w:val="left" w:pos="1633"/>
        </w:tabs>
        <w:ind w:left="0" w:hanging="2"/>
        <w:jc w:val="both"/>
        <w:rPr>
          <w:rFonts w:ascii="Arial" w:eastAsia="Arial" w:hAnsi="Arial" w:cs="Arial"/>
          <w:sz w:val="20"/>
          <w:szCs w:val="20"/>
          <w:highlight w:val="white"/>
          <w:lang w:val="en-GB"/>
        </w:rPr>
      </w:pPr>
    </w:p>
    <w:p w:rsidR="002C4AF7" w:rsidRDefault="007C2686">
      <w:pPr>
        <w:tabs>
          <w:tab w:val="left" w:pos="1633"/>
        </w:tabs>
        <w:ind w:left="0" w:hanging="2"/>
        <w:jc w:val="both"/>
        <w:rPr>
          <w:rFonts w:ascii="Arial" w:eastAsia="Arial" w:hAnsi="Arial" w:cs="Arial"/>
          <w:sz w:val="20"/>
          <w:szCs w:val="20"/>
          <w:highlight w:val="white"/>
        </w:rPr>
      </w:pPr>
      <w:r>
        <w:rPr>
          <w:rFonts w:ascii="Arial" w:eastAsia="Arial" w:hAnsi="Arial" w:cs="Arial"/>
          <w:sz w:val="20"/>
          <w:szCs w:val="20"/>
          <w:highlight w:val="white"/>
        </w:rPr>
        <w:t>30. Ficha técnica Xtandi® (enzalutamida). Disponible en:</w:t>
      </w:r>
      <w:hyperlink r:id="rId70">
        <w:r>
          <w:rPr>
            <w:rFonts w:ascii="Arial" w:eastAsia="Arial" w:hAnsi="Arial" w:cs="Arial"/>
            <w:sz w:val="20"/>
            <w:szCs w:val="20"/>
            <w:highlight w:val="white"/>
          </w:rPr>
          <w:t>https://www.ema.europa.eu/en/documents/product-information/xtandi-epar-product-information_es.pdf</w:t>
        </w:r>
      </w:hyperlink>
    </w:p>
    <w:p w:rsidR="002C4AF7" w:rsidRDefault="002C4AF7">
      <w:pPr>
        <w:tabs>
          <w:tab w:val="left" w:pos="1633"/>
        </w:tabs>
        <w:ind w:left="0" w:hanging="2"/>
        <w:jc w:val="both"/>
        <w:rPr>
          <w:rFonts w:ascii="Arial" w:eastAsia="Arial" w:hAnsi="Arial" w:cs="Arial"/>
          <w:sz w:val="20"/>
          <w:szCs w:val="20"/>
          <w:highlight w:val="white"/>
        </w:rPr>
      </w:pPr>
    </w:p>
    <w:p w:rsidR="002C4AF7" w:rsidRDefault="007C2686">
      <w:pPr>
        <w:tabs>
          <w:tab w:val="left" w:pos="1633"/>
        </w:tabs>
        <w:ind w:left="0" w:hanging="2"/>
        <w:jc w:val="both"/>
        <w:rPr>
          <w:rFonts w:ascii="Arial" w:eastAsia="Arial" w:hAnsi="Arial" w:cs="Arial"/>
          <w:sz w:val="20"/>
          <w:szCs w:val="20"/>
          <w:highlight w:val="white"/>
        </w:rPr>
      </w:pPr>
      <w:r w:rsidRPr="001475C9">
        <w:rPr>
          <w:rFonts w:ascii="Arial" w:eastAsia="Arial" w:hAnsi="Arial" w:cs="Arial"/>
          <w:sz w:val="20"/>
          <w:szCs w:val="20"/>
          <w:highlight w:val="white"/>
          <w:lang w:val="en-GB"/>
        </w:rPr>
        <w:t xml:space="preserve">31. CADTH DRUG REIMBURSEMENT REVIEW Pharmacoeconomic Report for Enzalutamide (XtandI). </w:t>
      </w:r>
      <w:r>
        <w:rPr>
          <w:rFonts w:ascii="Arial" w:eastAsia="Arial" w:hAnsi="Arial" w:cs="Arial"/>
          <w:sz w:val="20"/>
          <w:szCs w:val="20"/>
          <w:highlight w:val="white"/>
        </w:rPr>
        <w:t xml:space="preserve">Disponible en: </w:t>
      </w:r>
      <w:hyperlink r:id="rId71">
        <w:r>
          <w:rPr>
            <w:rFonts w:ascii="Arial" w:eastAsia="Arial" w:hAnsi="Arial" w:cs="Arial"/>
            <w:sz w:val="20"/>
            <w:szCs w:val="20"/>
            <w:highlight w:val="white"/>
          </w:rPr>
          <w:t>https://cadth.ca/sites/default/files/pcodr/Reviews2020/10209EnzalutamidemCSPC_inEGR_REDACT-ABBREV_Post03Sep2020_final.pdf</w:t>
        </w:r>
      </w:hyperlink>
    </w:p>
    <w:p w:rsidR="002C4AF7" w:rsidRDefault="002C4AF7">
      <w:pPr>
        <w:tabs>
          <w:tab w:val="left" w:pos="1633"/>
        </w:tabs>
        <w:ind w:left="0" w:hanging="2"/>
        <w:jc w:val="both"/>
        <w:rPr>
          <w:rFonts w:ascii="Arial" w:eastAsia="Arial" w:hAnsi="Arial" w:cs="Arial"/>
          <w:sz w:val="20"/>
          <w:szCs w:val="20"/>
          <w:highlight w:val="white"/>
        </w:rPr>
      </w:pPr>
    </w:p>
    <w:p w:rsidR="002C4AF7" w:rsidRPr="001475C9" w:rsidRDefault="007C2686">
      <w:pPr>
        <w:tabs>
          <w:tab w:val="left" w:pos="1633"/>
        </w:tabs>
        <w:ind w:left="0" w:hanging="2"/>
        <w:jc w:val="both"/>
        <w:rPr>
          <w:rFonts w:ascii="Arial" w:eastAsia="Arial" w:hAnsi="Arial" w:cs="Arial"/>
          <w:sz w:val="20"/>
          <w:szCs w:val="20"/>
          <w:highlight w:val="white"/>
          <w:lang w:val="en-GB"/>
        </w:rPr>
      </w:pPr>
      <w:r w:rsidRPr="001475C9">
        <w:rPr>
          <w:rFonts w:ascii="Arial" w:eastAsia="Arial" w:hAnsi="Arial" w:cs="Arial"/>
          <w:sz w:val="20"/>
          <w:szCs w:val="20"/>
          <w:highlight w:val="white"/>
          <w:lang w:val="en-GB"/>
        </w:rPr>
        <w:t>32. Zhang PF, Xie D, Li Q. Adding Enzalutamide to First-Line Treatment for Metastatic Hormone-Sensitive Prostate Cancer: A Cost-Effectiveness Analysis. Front Public Health. 2021 Feb 9;9:608375. doi: 10.3389/fpubh.2021.608375. PMID: 33634066; PMCID: PMC7902073.</w:t>
      </w:r>
    </w:p>
    <w:p w:rsidR="002C4AF7" w:rsidRPr="001475C9" w:rsidRDefault="002C4AF7">
      <w:pPr>
        <w:tabs>
          <w:tab w:val="left" w:pos="1633"/>
        </w:tabs>
        <w:ind w:left="0" w:hanging="2"/>
        <w:jc w:val="both"/>
        <w:rPr>
          <w:rFonts w:ascii="Arial" w:eastAsia="Arial" w:hAnsi="Arial" w:cs="Arial"/>
          <w:sz w:val="20"/>
          <w:szCs w:val="20"/>
          <w:highlight w:val="white"/>
          <w:lang w:val="en-GB"/>
        </w:rPr>
      </w:pPr>
    </w:p>
    <w:p w:rsidR="002C4AF7" w:rsidRDefault="007C2686">
      <w:pPr>
        <w:tabs>
          <w:tab w:val="left" w:pos="1633"/>
        </w:tabs>
        <w:ind w:left="0" w:hanging="2"/>
        <w:jc w:val="both"/>
        <w:rPr>
          <w:rFonts w:ascii="Arial" w:eastAsia="Arial" w:hAnsi="Arial" w:cs="Arial"/>
          <w:sz w:val="20"/>
          <w:szCs w:val="20"/>
          <w:highlight w:val="white"/>
        </w:rPr>
      </w:pPr>
      <w:r w:rsidRPr="001475C9">
        <w:rPr>
          <w:rFonts w:ascii="Arial" w:eastAsia="Arial" w:hAnsi="Arial" w:cs="Arial"/>
          <w:sz w:val="20"/>
          <w:szCs w:val="20"/>
          <w:highlight w:val="white"/>
          <w:lang w:val="en-GB"/>
        </w:rPr>
        <w:t xml:space="preserve">33. Ferlay J, Steliarova-Foucher E, Lortet-Tieulent J, Rosso S, Coebergh JW, Comber H, Forman D, Bray F. Cancer incidence and mortality patterns in Europe: estimates for 40 countries in 2012. </w:t>
      </w:r>
      <w:r>
        <w:rPr>
          <w:rFonts w:ascii="Arial" w:eastAsia="Arial" w:hAnsi="Arial" w:cs="Arial"/>
          <w:sz w:val="20"/>
          <w:szCs w:val="20"/>
          <w:highlight w:val="white"/>
        </w:rPr>
        <w:t>Eur J Cancer. 2013 Apr;49(6):1374-403. doi: 10.1016/j.ejca.2012.12.027.</w:t>
      </w:r>
    </w:p>
    <w:p w:rsidR="002C4AF7" w:rsidRDefault="007C2686">
      <w:pPr>
        <w:tabs>
          <w:tab w:val="left" w:pos="1633"/>
        </w:tabs>
        <w:ind w:left="0" w:hanging="2"/>
        <w:jc w:val="both"/>
        <w:rPr>
          <w:rFonts w:ascii="Arial" w:eastAsia="Arial" w:hAnsi="Arial" w:cs="Arial"/>
          <w:sz w:val="20"/>
          <w:szCs w:val="20"/>
          <w:highlight w:val="white"/>
        </w:rPr>
      </w:pPr>
      <w:r>
        <w:rPr>
          <w:rFonts w:ascii="Arial" w:eastAsia="Arial" w:hAnsi="Arial" w:cs="Arial"/>
          <w:sz w:val="20"/>
          <w:szCs w:val="20"/>
          <w:highlight w:val="white"/>
        </w:rPr>
        <w:t>34.               Flores Martín JF, Puche Sanz I, Vázquez Alonso F, Barrabino Martin R, La Iglesia Lozano B, Almonte Fernández H. et al. ¿Cuántos pacientes cumplen criterios chaarted al diagnóstico en la práctica urológica habitual En: Libro de resúmenes: LXXX Congreso Nacional de Urología. Salamanca 2015. P-62.</w:t>
      </w:r>
    </w:p>
    <w:p w:rsidR="002C4AF7" w:rsidRDefault="002C4AF7">
      <w:pPr>
        <w:tabs>
          <w:tab w:val="left" w:pos="1633"/>
        </w:tabs>
        <w:ind w:left="0" w:hanging="2"/>
        <w:jc w:val="both"/>
        <w:rPr>
          <w:rFonts w:ascii="Arial" w:eastAsia="Arial" w:hAnsi="Arial" w:cs="Arial"/>
          <w:sz w:val="20"/>
          <w:szCs w:val="20"/>
        </w:rPr>
      </w:pPr>
    </w:p>
    <w:p w:rsidR="00F00D20" w:rsidRDefault="00F00D20">
      <w:pPr>
        <w:tabs>
          <w:tab w:val="left" w:pos="1633"/>
        </w:tabs>
        <w:ind w:left="0" w:hanging="2"/>
        <w:jc w:val="both"/>
        <w:rPr>
          <w:rFonts w:ascii="Arial" w:eastAsia="Arial" w:hAnsi="Arial" w:cs="Arial"/>
          <w:sz w:val="20"/>
          <w:szCs w:val="20"/>
        </w:rPr>
      </w:pPr>
    </w:p>
    <w:p w:rsidR="00F00D20" w:rsidRDefault="00F00D20">
      <w:pPr>
        <w:tabs>
          <w:tab w:val="left" w:pos="1633"/>
        </w:tabs>
        <w:ind w:left="0" w:hanging="2"/>
        <w:jc w:val="both"/>
        <w:rPr>
          <w:rFonts w:ascii="Arial" w:eastAsia="Arial" w:hAnsi="Arial" w:cs="Arial"/>
          <w:sz w:val="20"/>
          <w:szCs w:val="20"/>
        </w:rPr>
      </w:pPr>
    </w:p>
    <w:p w:rsidR="00F00D20" w:rsidRDefault="00F00D20">
      <w:pPr>
        <w:tabs>
          <w:tab w:val="left" w:pos="1633"/>
        </w:tabs>
        <w:ind w:left="0" w:hanging="2"/>
        <w:jc w:val="both"/>
        <w:rPr>
          <w:rFonts w:ascii="Arial" w:eastAsia="Arial" w:hAnsi="Arial" w:cs="Arial"/>
          <w:sz w:val="20"/>
          <w:szCs w:val="20"/>
        </w:rPr>
      </w:pPr>
    </w:p>
    <w:p w:rsidR="00F00D20" w:rsidRDefault="00F00D20">
      <w:pPr>
        <w:tabs>
          <w:tab w:val="left" w:pos="1633"/>
        </w:tabs>
        <w:ind w:left="0" w:hanging="2"/>
        <w:jc w:val="both"/>
        <w:rPr>
          <w:rFonts w:ascii="Arial" w:eastAsia="Arial" w:hAnsi="Arial" w:cs="Arial"/>
          <w:sz w:val="20"/>
          <w:szCs w:val="20"/>
        </w:rPr>
      </w:pPr>
    </w:p>
    <w:p w:rsidR="00F00D20" w:rsidRDefault="00F00D20">
      <w:pPr>
        <w:tabs>
          <w:tab w:val="left" w:pos="1633"/>
        </w:tabs>
        <w:ind w:left="0" w:hanging="2"/>
        <w:jc w:val="both"/>
        <w:rPr>
          <w:rFonts w:ascii="Arial" w:eastAsia="Arial" w:hAnsi="Arial" w:cs="Arial"/>
          <w:sz w:val="20"/>
          <w:szCs w:val="20"/>
        </w:rPr>
      </w:pPr>
    </w:p>
    <w:p w:rsidR="00F00D20" w:rsidRDefault="00F00D20">
      <w:pPr>
        <w:tabs>
          <w:tab w:val="left" w:pos="1633"/>
        </w:tabs>
        <w:ind w:left="0" w:hanging="2"/>
        <w:jc w:val="both"/>
        <w:rPr>
          <w:rFonts w:ascii="Arial" w:eastAsia="Arial" w:hAnsi="Arial" w:cs="Arial"/>
          <w:sz w:val="20"/>
          <w:szCs w:val="20"/>
        </w:rPr>
      </w:pPr>
    </w:p>
    <w:p w:rsidR="00F00D20" w:rsidRDefault="00F00D20">
      <w:pPr>
        <w:tabs>
          <w:tab w:val="left" w:pos="1633"/>
        </w:tabs>
        <w:ind w:left="0" w:hanging="2"/>
        <w:jc w:val="both"/>
        <w:rPr>
          <w:rFonts w:ascii="Arial" w:eastAsia="Arial" w:hAnsi="Arial" w:cs="Arial"/>
          <w:sz w:val="20"/>
          <w:szCs w:val="20"/>
        </w:rPr>
      </w:pPr>
    </w:p>
    <w:p w:rsidR="00F00D20" w:rsidRDefault="00F00D20">
      <w:pPr>
        <w:tabs>
          <w:tab w:val="left" w:pos="1633"/>
        </w:tabs>
        <w:ind w:left="0" w:hanging="2"/>
        <w:jc w:val="both"/>
        <w:rPr>
          <w:rFonts w:ascii="Arial" w:eastAsia="Arial" w:hAnsi="Arial" w:cs="Arial"/>
          <w:sz w:val="20"/>
          <w:szCs w:val="20"/>
        </w:rPr>
      </w:pPr>
    </w:p>
    <w:p w:rsidR="00F00D20" w:rsidRDefault="00F00D20">
      <w:pPr>
        <w:tabs>
          <w:tab w:val="left" w:pos="1633"/>
        </w:tabs>
        <w:ind w:left="0" w:hanging="2"/>
        <w:jc w:val="both"/>
        <w:rPr>
          <w:rFonts w:ascii="Arial" w:eastAsia="Arial" w:hAnsi="Arial" w:cs="Arial"/>
          <w:sz w:val="20"/>
          <w:szCs w:val="20"/>
        </w:rPr>
      </w:pPr>
    </w:p>
    <w:p w:rsidR="00F00D20" w:rsidRDefault="00F00D20">
      <w:pPr>
        <w:tabs>
          <w:tab w:val="left" w:pos="1633"/>
        </w:tabs>
        <w:ind w:left="0" w:hanging="2"/>
        <w:jc w:val="both"/>
        <w:rPr>
          <w:rFonts w:ascii="Arial" w:eastAsia="Arial" w:hAnsi="Arial" w:cs="Arial"/>
          <w:sz w:val="20"/>
          <w:szCs w:val="20"/>
        </w:rPr>
      </w:pPr>
    </w:p>
    <w:p w:rsidR="00F00D20" w:rsidRDefault="00F00D20">
      <w:pPr>
        <w:tabs>
          <w:tab w:val="left" w:pos="1633"/>
        </w:tabs>
        <w:ind w:left="0" w:hanging="2"/>
        <w:jc w:val="both"/>
        <w:rPr>
          <w:rFonts w:ascii="Arial" w:eastAsia="Arial" w:hAnsi="Arial" w:cs="Arial"/>
          <w:sz w:val="20"/>
          <w:szCs w:val="20"/>
        </w:rPr>
      </w:pPr>
    </w:p>
    <w:p w:rsidR="00F00D20" w:rsidRDefault="00F00D20">
      <w:pPr>
        <w:tabs>
          <w:tab w:val="left" w:pos="1633"/>
        </w:tabs>
        <w:ind w:left="0" w:hanging="2"/>
        <w:jc w:val="both"/>
        <w:rPr>
          <w:rFonts w:ascii="Arial" w:eastAsia="Arial" w:hAnsi="Arial" w:cs="Arial"/>
          <w:sz w:val="20"/>
          <w:szCs w:val="20"/>
        </w:rPr>
      </w:pPr>
    </w:p>
    <w:p w:rsidR="00F00D20" w:rsidRDefault="00F00D20">
      <w:pPr>
        <w:tabs>
          <w:tab w:val="left" w:pos="1633"/>
        </w:tabs>
        <w:ind w:left="0" w:hanging="2"/>
        <w:jc w:val="both"/>
        <w:rPr>
          <w:rFonts w:ascii="Arial" w:eastAsia="Arial" w:hAnsi="Arial" w:cs="Arial"/>
          <w:sz w:val="20"/>
          <w:szCs w:val="20"/>
        </w:rPr>
      </w:pPr>
    </w:p>
    <w:p w:rsidR="00F00D20" w:rsidRDefault="00F00D20">
      <w:pPr>
        <w:tabs>
          <w:tab w:val="left" w:pos="1633"/>
        </w:tabs>
        <w:ind w:left="0" w:hanging="2"/>
        <w:jc w:val="both"/>
        <w:rPr>
          <w:rFonts w:ascii="Arial" w:eastAsia="Arial" w:hAnsi="Arial" w:cs="Arial"/>
          <w:sz w:val="20"/>
          <w:szCs w:val="20"/>
        </w:rPr>
      </w:pPr>
    </w:p>
    <w:p w:rsidR="00F00D20" w:rsidRDefault="00F00D20">
      <w:pPr>
        <w:tabs>
          <w:tab w:val="left" w:pos="1633"/>
        </w:tabs>
        <w:ind w:left="0" w:hanging="2"/>
        <w:jc w:val="both"/>
        <w:rPr>
          <w:rFonts w:ascii="Arial" w:eastAsia="Arial" w:hAnsi="Arial" w:cs="Arial"/>
          <w:sz w:val="20"/>
          <w:szCs w:val="20"/>
        </w:rPr>
      </w:pPr>
    </w:p>
    <w:p w:rsidR="00F00D20" w:rsidRDefault="00F00D20">
      <w:pPr>
        <w:tabs>
          <w:tab w:val="left" w:pos="1633"/>
        </w:tabs>
        <w:ind w:left="0" w:hanging="2"/>
        <w:jc w:val="both"/>
        <w:rPr>
          <w:rFonts w:ascii="Arial" w:eastAsia="Arial" w:hAnsi="Arial" w:cs="Arial"/>
          <w:sz w:val="20"/>
          <w:szCs w:val="20"/>
        </w:rPr>
      </w:pPr>
    </w:p>
    <w:p w:rsidR="00F00D20" w:rsidRDefault="00F00D20">
      <w:pPr>
        <w:tabs>
          <w:tab w:val="left" w:pos="1633"/>
        </w:tabs>
        <w:ind w:left="0" w:hanging="2"/>
        <w:jc w:val="both"/>
        <w:rPr>
          <w:rFonts w:ascii="Arial" w:eastAsia="Arial" w:hAnsi="Arial" w:cs="Arial"/>
          <w:sz w:val="20"/>
          <w:szCs w:val="20"/>
        </w:rPr>
      </w:pPr>
    </w:p>
    <w:p w:rsidR="00F00D20" w:rsidRDefault="00F00D20">
      <w:pPr>
        <w:tabs>
          <w:tab w:val="left" w:pos="1633"/>
        </w:tabs>
        <w:ind w:left="0" w:hanging="2"/>
        <w:jc w:val="both"/>
        <w:rPr>
          <w:rFonts w:ascii="Arial" w:eastAsia="Arial" w:hAnsi="Arial" w:cs="Arial"/>
          <w:sz w:val="20"/>
          <w:szCs w:val="20"/>
        </w:rPr>
      </w:pPr>
    </w:p>
    <w:p w:rsidR="00F00D20" w:rsidRDefault="00F00D20">
      <w:pPr>
        <w:tabs>
          <w:tab w:val="left" w:pos="1633"/>
        </w:tabs>
        <w:ind w:left="0" w:hanging="2"/>
        <w:jc w:val="both"/>
        <w:rPr>
          <w:rFonts w:ascii="Arial" w:eastAsia="Arial" w:hAnsi="Arial" w:cs="Arial"/>
          <w:sz w:val="20"/>
          <w:szCs w:val="20"/>
        </w:rPr>
      </w:pPr>
    </w:p>
    <w:p w:rsidR="002C4AF7" w:rsidRDefault="002C4AF7">
      <w:pPr>
        <w:tabs>
          <w:tab w:val="left" w:pos="1633"/>
        </w:tabs>
        <w:ind w:left="0" w:hanging="2"/>
        <w:jc w:val="both"/>
        <w:rPr>
          <w:rFonts w:ascii="Arial" w:eastAsia="Arial" w:hAnsi="Arial" w:cs="Arial"/>
          <w:color w:val="212121"/>
          <w:sz w:val="20"/>
          <w:szCs w:val="20"/>
          <w:highlight w:val="white"/>
        </w:rPr>
      </w:pPr>
    </w:p>
    <w:p w:rsidR="002C4AF7" w:rsidRDefault="007C2686">
      <w:pPr>
        <w:shd w:val="clear" w:color="auto" w:fill="DBE5F1"/>
        <w:ind w:left="0" w:hanging="2"/>
        <w:jc w:val="center"/>
        <w:rPr>
          <w:rFonts w:ascii="Arial" w:eastAsia="Arial" w:hAnsi="Arial" w:cs="Arial"/>
          <w:color w:val="000000"/>
          <w:sz w:val="20"/>
          <w:szCs w:val="20"/>
        </w:rPr>
      </w:pPr>
      <w:r>
        <w:rPr>
          <w:rFonts w:ascii="Arial" w:eastAsia="Arial" w:hAnsi="Arial" w:cs="Arial"/>
          <w:b/>
          <w:color w:val="000000"/>
          <w:sz w:val="20"/>
          <w:szCs w:val="20"/>
        </w:rPr>
        <w:t>Formulario de declaración de conflictos de intereses</w:t>
      </w:r>
    </w:p>
    <w:p w:rsidR="002C4AF7" w:rsidRDefault="002C4AF7">
      <w:pPr>
        <w:ind w:left="0" w:hanging="2"/>
        <w:rPr>
          <w:rFonts w:ascii="Arial" w:eastAsia="Arial" w:hAnsi="Arial" w:cs="Arial"/>
          <w:color w:val="000000"/>
          <w:sz w:val="20"/>
          <w:szCs w:val="20"/>
        </w:rPr>
      </w:pPr>
    </w:p>
    <w:p w:rsidR="002C4AF7" w:rsidRDefault="007C2686">
      <w:pP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Los potenciales conflictos de intereses en la elaboración de informes de evaluación se consideran siempre que superen la cantidad de 2.000 euros anuales (últimos 3 años). </w:t>
      </w:r>
    </w:p>
    <w:p w:rsidR="002C4AF7" w:rsidRDefault="002C4AF7">
      <w:pPr>
        <w:spacing w:line="240" w:lineRule="auto"/>
        <w:ind w:left="0" w:hanging="2"/>
        <w:rPr>
          <w:rFonts w:ascii="Arial" w:eastAsia="Arial" w:hAnsi="Arial" w:cs="Arial"/>
          <w:color w:val="000080"/>
          <w:sz w:val="20"/>
          <w:szCs w:val="20"/>
        </w:rPr>
      </w:pPr>
    </w:p>
    <w:p w:rsidR="002C4AF7" w:rsidRDefault="007C2686">
      <w:pPr>
        <w:ind w:left="0" w:hanging="2"/>
        <w:rPr>
          <w:rFonts w:ascii="Arial" w:eastAsia="Arial" w:hAnsi="Arial" w:cs="Arial"/>
          <w:b/>
          <w:color w:val="000000"/>
          <w:sz w:val="20"/>
          <w:szCs w:val="20"/>
        </w:rPr>
      </w:pPr>
      <w:r>
        <w:rPr>
          <w:rFonts w:ascii="Arial" w:eastAsia="Arial" w:hAnsi="Arial" w:cs="Arial"/>
          <w:b/>
          <w:color w:val="000000"/>
          <w:sz w:val="20"/>
          <w:szCs w:val="20"/>
        </w:rPr>
        <w:t>– Nombre y apellidos:</w:t>
      </w:r>
      <w:r w:rsidR="00761216">
        <w:rPr>
          <w:rFonts w:ascii="Arial" w:eastAsia="Arial" w:hAnsi="Arial" w:cs="Arial"/>
          <w:b/>
          <w:color w:val="000000"/>
          <w:sz w:val="20"/>
          <w:szCs w:val="20"/>
        </w:rPr>
        <w:t xml:space="preserve"> </w:t>
      </w:r>
      <w:r w:rsidR="00761216" w:rsidRPr="00761216">
        <w:rPr>
          <w:rFonts w:ascii="Arial" w:eastAsia="Arial" w:hAnsi="Arial" w:cs="Arial"/>
          <w:color w:val="000000"/>
          <w:sz w:val="20"/>
          <w:szCs w:val="20"/>
        </w:rPr>
        <w:t>Ruth Ubago Pérez</w:t>
      </w:r>
    </w:p>
    <w:p w:rsidR="002C4AF7" w:rsidRDefault="002C4AF7" w:rsidP="00761216">
      <w:pPr>
        <w:ind w:leftChars="0" w:left="0" w:firstLineChars="0" w:firstLine="0"/>
        <w:rPr>
          <w:rFonts w:ascii="Arial" w:eastAsia="Arial" w:hAnsi="Arial" w:cs="Arial"/>
          <w:color w:val="000000"/>
          <w:sz w:val="20"/>
          <w:szCs w:val="20"/>
        </w:rPr>
      </w:pPr>
    </w:p>
    <w:p w:rsidR="007E0101" w:rsidRDefault="007C2686" w:rsidP="007E0101">
      <w:pPr>
        <w:ind w:left="0" w:hanging="2"/>
        <w:jc w:val="both"/>
        <w:rPr>
          <w:rFonts w:ascii="Arial" w:eastAsia="Arial" w:hAnsi="Arial" w:cs="Arial"/>
          <w:color w:val="000000"/>
          <w:sz w:val="20"/>
          <w:szCs w:val="20"/>
        </w:rPr>
      </w:pPr>
      <w:r>
        <w:rPr>
          <w:rFonts w:ascii="Arial" w:eastAsia="Arial" w:hAnsi="Arial" w:cs="Arial"/>
          <w:b/>
          <w:color w:val="000000"/>
          <w:sz w:val="20"/>
          <w:szCs w:val="20"/>
        </w:rPr>
        <w:t>– Institución en la que trabaja:</w:t>
      </w:r>
      <w:r w:rsidR="00761216" w:rsidRPr="00761216">
        <w:rPr>
          <w:rFonts w:ascii="Arial" w:eastAsia="Arial" w:hAnsi="Arial" w:cs="Arial"/>
          <w:color w:val="000000"/>
          <w:sz w:val="20"/>
          <w:szCs w:val="20"/>
        </w:rPr>
        <w:t xml:space="preserve"> </w:t>
      </w:r>
      <w:r w:rsidR="00761216" w:rsidRPr="007A1FF3">
        <w:rPr>
          <w:rFonts w:ascii="Arial" w:eastAsia="Arial" w:hAnsi="Arial" w:cs="Arial"/>
          <w:color w:val="000000"/>
          <w:sz w:val="20"/>
          <w:szCs w:val="20"/>
        </w:rPr>
        <w:t xml:space="preserve">Servicio de Farmacia. Hospital Universitario </w:t>
      </w:r>
      <w:r w:rsidR="00761216">
        <w:rPr>
          <w:rFonts w:ascii="Arial" w:eastAsia="Arial" w:hAnsi="Arial" w:cs="Arial"/>
          <w:color w:val="000000"/>
          <w:sz w:val="20"/>
          <w:szCs w:val="20"/>
        </w:rPr>
        <w:t>San Cecilio. Granada.</w:t>
      </w:r>
    </w:p>
    <w:p w:rsidR="002C4AF7" w:rsidRDefault="002C4AF7">
      <w:pPr>
        <w:ind w:left="0" w:hanging="2"/>
        <w:rPr>
          <w:rFonts w:ascii="Arial" w:eastAsia="Arial" w:hAnsi="Arial" w:cs="Arial"/>
          <w:color w:val="000000"/>
          <w:sz w:val="20"/>
          <w:szCs w:val="20"/>
        </w:rPr>
      </w:pPr>
    </w:p>
    <w:p w:rsidR="002C4AF7" w:rsidRDefault="007C2686">
      <w:pPr>
        <w:ind w:left="0" w:hanging="2"/>
        <w:rPr>
          <w:rFonts w:ascii="Arial" w:eastAsia="Arial" w:hAnsi="Arial" w:cs="Arial"/>
          <w:color w:val="000000"/>
          <w:sz w:val="20"/>
          <w:szCs w:val="20"/>
        </w:rPr>
      </w:pPr>
      <w:r>
        <w:rPr>
          <w:rFonts w:ascii="Arial" w:eastAsia="Arial" w:hAnsi="Arial" w:cs="Arial"/>
          <w:b/>
          <w:color w:val="000000"/>
          <w:sz w:val="20"/>
          <w:szCs w:val="20"/>
        </w:rPr>
        <w:t xml:space="preserve">– Institución que le vincula al informe. </w:t>
      </w:r>
      <w:r w:rsidR="00761216">
        <w:rPr>
          <w:rFonts w:ascii="Arial" w:eastAsia="Arial" w:hAnsi="Arial" w:cs="Arial"/>
          <w:color w:val="000000"/>
          <w:sz w:val="20"/>
          <w:szCs w:val="20"/>
        </w:rPr>
        <w:t>Grupo GENESIS de la SEFH</w:t>
      </w:r>
    </w:p>
    <w:p w:rsidR="002C4AF7" w:rsidRDefault="002C4AF7">
      <w:pPr>
        <w:spacing w:after="40"/>
        <w:ind w:left="0" w:hanging="2"/>
        <w:rPr>
          <w:rFonts w:ascii="Arial" w:eastAsia="Arial" w:hAnsi="Arial" w:cs="Arial"/>
          <w:color w:val="000000"/>
          <w:sz w:val="20"/>
          <w:szCs w:val="20"/>
        </w:rPr>
      </w:pPr>
    </w:p>
    <w:p w:rsidR="002C4AF7" w:rsidRDefault="007C2686">
      <w:pPr>
        <w:spacing w:after="40"/>
        <w:ind w:left="0" w:hanging="2"/>
        <w:rPr>
          <w:rFonts w:ascii="Arial" w:eastAsia="Arial" w:hAnsi="Arial" w:cs="Arial"/>
          <w:color w:val="000000"/>
          <w:sz w:val="20"/>
          <w:szCs w:val="20"/>
        </w:rPr>
      </w:pPr>
      <w:r>
        <w:rPr>
          <w:rFonts w:ascii="Arial" w:eastAsia="Arial" w:hAnsi="Arial" w:cs="Arial"/>
          <w:color w:val="000000"/>
          <w:sz w:val="20"/>
          <w:szCs w:val="20"/>
        </w:rPr>
        <w:t>Participación en el informe de evaluación como:</w:t>
      </w:r>
    </w:p>
    <w:p w:rsidR="002C4AF7" w:rsidRPr="00761216" w:rsidRDefault="00761216">
      <w:pPr>
        <w:ind w:left="0" w:hanging="2"/>
        <w:rPr>
          <w:rFonts w:ascii="Arial" w:eastAsia="Arial" w:hAnsi="Arial" w:cs="Arial"/>
          <w:b/>
          <w:color w:val="000000"/>
          <w:sz w:val="20"/>
          <w:szCs w:val="20"/>
          <w:u w:val="single"/>
        </w:rPr>
      </w:pPr>
      <w:r>
        <w:rPr>
          <w:rFonts w:ascii="Arial" w:eastAsia="Arial" w:hAnsi="Arial" w:cs="Arial"/>
          <w:b/>
          <w:color w:val="000000"/>
          <w:sz w:val="20"/>
          <w:szCs w:val="20"/>
          <w:u w:val="single"/>
        </w:rPr>
        <w:sym w:font="Wingdings" w:char="F078"/>
      </w:r>
      <w:r>
        <w:rPr>
          <w:rFonts w:ascii="Arial" w:eastAsia="Arial" w:hAnsi="Arial" w:cs="Arial"/>
          <w:b/>
          <w:color w:val="000000"/>
          <w:sz w:val="20"/>
          <w:szCs w:val="20"/>
          <w:u w:val="single"/>
        </w:rPr>
        <w:t xml:space="preserve"> </w:t>
      </w:r>
      <w:r w:rsidR="007C2686" w:rsidRPr="00761216">
        <w:rPr>
          <w:rFonts w:ascii="Arial" w:eastAsia="Arial" w:hAnsi="Arial" w:cs="Arial"/>
          <w:b/>
          <w:color w:val="000000"/>
          <w:sz w:val="20"/>
          <w:szCs w:val="20"/>
          <w:u w:val="single"/>
        </w:rPr>
        <w:t>1-Autor/a</w:t>
      </w:r>
    </w:p>
    <w:p w:rsidR="002C4AF7" w:rsidRDefault="007C2686">
      <w:pPr>
        <w:ind w:left="0" w:hanging="2"/>
        <w:rPr>
          <w:rFonts w:ascii="Arial" w:eastAsia="Arial" w:hAnsi="Arial" w:cs="Arial"/>
          <w:color w:val="000000"/>
          <w:sz w:val="20"/>
          <w:szCs w:val="20"/>
        </w:rPr>
      </w:pPr>
      <w:r>
        <w:rPr>
          <w:rFonts w:ascii="Arial" w:eastAsia="Arial" w:hAnsi="Arial" w:cs="Arial"/>
          <w:color w:val="000000"/>
          <w:sz w:val="20"/>
          <w:szCs w:val="20"/>
        </w:rPr>
        <w:t>2-Tutor/a</w:t>
      </w:r>
    </w:p>
    <w:p w:rsidR="002C4AF7" w:rsidRDefault="007C2686">
      <w:pPr>
        <w:ind w:left="0" w:hanging="2"/>
        <w:rPr>
          <w:rFonts w:ascii="Arial" w:eastAsia="Arial" w:hAnsi="Arial" w:cs="Arial"/>
          <w:color w:val="000000"/>
          <w:sz w:val="20"/>
          <w:szCs w:val="20"/>
        </w:rPr>
      </w:pPr>
      <w:r>
        <w:rPr>
          <w:rFonts w:ascii="Arial" w:eastAsia="Arial" w:hAnsi="Arial" w:cs="Arial"/>
          <w:color w:val="000000"/>
          <w:sz w:val="20"/>
          <w:szCs w:val="20"/>
        </w:rPr>
        <w:t>3-Revisor/a externo/a</w:t>
      </w:r>
    </w:p>
    <w:p w:rsidR="002C4AF7" w:rsidRDefault="002C4AF7">
      <w:pPr>
        <w:ind w:left="0" w:hanging="2"/>
        <w:jc w:val="both"/>
        <w:rPr>
          <w:rFonts w:ascii="Arial" w:eastAsia="Arial" w:hAnsi="Arial" w:cs="Arial"/>
          <w:color w:val="000000"/>
          <w:sz w:val="20"/>
          <w:szCs w:val="20"/>
        </w:rPr>
      </w:pPr>
    </w:p>
    <w:p w:rsidR="002C4AF7" w:rsidRDefault="007C2686">
      <w:pPr>
        <w:ind w:left="0" w:hanging="2"/>
        <w:jc w:val="both"/>
        <w:rPr>
          <w:rFonts w:ascii="Arial" w:eastAsia="Arial" w:hAnsi="Arial" w:cs="Arial"/>
          <w:color w:val="000000"/>
          <w:sz w:val="20"/>
          <w:szCs w:val="20"/>
        </w:rPr>
      </w:pPr>
      <w:r>
        <w:rPr>
          <w:rFonts w:ascii="Arial" w:eastAsia="Arial" w:hAnsi="Arial" w:cs="Arial"/>
          <w:color w:val="000000"/>
          <w:sz w:val="20"/>
          <w:szCs w:val="20"/>
        </w:rPr>
        <w:t>Tras haber y leído y comprendido la información remitida sobre la declaración de conflictos para el presente informe, formulo la siguiente declaración:</w:t>
      </w:r>
    </w:p>
    <w:p w:rsidR="002C4AF7" w:rsidRDefault="002C4AF7">
      <w:pPr>
        <w:spacing w:after="40"/>
        <w:ind w:left="0" w:hanging="2"/>
        <w:rPr>
          <w:rFonts w:ascii="Arial" w:eastAsia="Arial" w:hAnsi="Arial" w:cs="Arial"/>
          <w:color w:val="000000"/>
          <w:sz w:val="20"/>
          <w:szCs w:val="20"/>
        </w:rPr>
      </w:pPr>
    </w:p>
    <w:p w:rsidR="002C4AF7" w:rsidRDefault="007C2686">
      <w:pPr>
        <w:ind w:left="0" w:hanging="2"/>
        <w:rPr>
          <w:rFonts w:ascii="Arial" w:eastAsia="Arial" w:hAnsi="Arial" w:cs="Arial"/>
          <w:color w:val="000000"/>
          <w:sz w:val="20"/>
          <w:szCs w:val="20"/>
        </w:rPr>
      </w:pPr>
      <w:r>
        <w:rPr>
          <w:rFonts w:ascii="Arial" w:eastAsia="Arial" w:hAnsi="Arial" w:cs="Arial"/>
          <w:b/>
          <w:color w:val="000000"/>
          <w:sz w:val="20"/>
          <w:szCs w:val="20"/>
        </w:rPr>
        <w:t>A- Intereses personales (</w:t>
      </w:r>
      <w:r>
        <w:rPr>
          <w:rFonts w:ascii="Arial" w:eastAsia="Arial" w:hAnsi="Arial" w:cs="Arial"/>
          <w:color w:val="000000"/>
          <w:sz w:val="20"/>
          <w:szCs w:val="20"/>
        </w:rPr>
        <w:t>En caso afirmativo especificar</w:t>
      </w:r>
      <w:r>
        <w:rPr>
          <w:rFonts w:ascii="Arial" w:eastAsia="Arial" w:hAnsi="Arial" w:cs="Arial"/>
          <w:b/>
          <w:color w:val="000000"/>
          <w:sz w:val="20"/>
          <w:szCs w:val="20"/>
        </w:rPr>
        <w:t xml:space="preserve">): </w:t>
      </w:r>
      <w:r>
        <w:rPr>
          <w:rFonts w:ascii="Arial" w:eastAsia="Arial" w:hAnsi="Arial" w:cs="Arial"/>
          <w:b/>
          <w:color w:val="000000"/>
          <w:sz w:val="20"/>
          <w:szCs w:val="20"/>
        </w:rPr>
        <w:tab/>
      </w:r>
      <w:r>
        <w:rPr>
          <w:rFonts w:ascii="Arial" w:eastAsia="Arial" w:hAnsi="Arial" w:cs="Arial"/>
          <w:b/>
          <w:color w:val="000000"/>
          <w:sz w:val="20"/>
          <w:szCs w:val="20"/>
        </w:rPr>
        <w:tab/>
        <w:t>🞐SI</w:t>
      </w:r>
      <w:r>
        <w:rPr>
          <w:rFonts w:ascii="Arial" w:eastAsia="Arial" w:hAnsi="Arial" w:cs="Arial"/>
          <w:b/>
          <w:color w:val="000000"/>
          <w:sz w:val="20"/>
          <w:szCs w:val="20"/>
        </w:rPr>
        <w:tab/>
      </w:r>
      <w:r>
        <w:rPr>
          <w:rFonts w:ascii="Arial" w:eastAsia="Arial" w:hAnsi="Arial" w:cs="Arial"/>
          <w:b/>
          <w:color w:val="000000"/>
          <w:sz w:val="20"/>
          <w:szCs w:val="20"/>
        </w:rPr>
        <w:tab/>
      </w:r>
      <w:r w:rsidR="007E0101">
        <w:rPr>
          <w:rFonts w:ascii="Arial" w:eastAsia="Arial" w:hAnsi="Arial" w:cs="Arial"/>
          <w:b/>
          <w:color w:val="000000"/>
          <w:sz w:val="20"/>
          <w:szCs w:val="20"/>
        </w:rPr>
        <w:sym w:font="Wingdings" w:char="F078"/>
      </w:r>
      <w:r>
        <w:rPr>
          <w:rFonts w:ascii="Arial" w:eastAsia="Arial" w:hAnsi="Arial" w:cs="Arial"/>
          <w:b/>
          <w:color w:val="000000"/>
          <w:sz w:val="20"/>
          <w:szCs w:val="20"/>
        </w:rPr>
        <w:t>NO</w:t>
      </w:r>
    </w:p>
    <w:p w:rsidR="002C4AF7" w:rsidRDefault="002C4AF7">
      <w:pPr>
        <w:ind w:left="0" w:hanging="2"/>
        <w:rPr>
          <w:rFonts w:ascii="Arial" w:eastAsia="Arial" w:hAnsi="Arial" w:cs="Arial"/>
          <w:color w:val="000000"/>
          <w:sz w:val="20"/>
          <w:szCs w:val="20"/>
        </w:rPr>
      </w:pPr>
    </w:p>
    <w:tbl>
      <w:tblPr>
        <w:tblStyle w:val="affffe"/>
        <w:tblW w:w="887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5"/>
        <w:gridCol w:w="1276"/>
        <w:gridCol w:w="1275"/>
        <w:gridCol w:w="833"/>
      </w:tblGrid>
      <w:tr w:rsidR="002C4AF7">
        <w:tc>
          <w:tcPr>
            <w:tcW w:w="5495" w:type="dxa"/>
          </w:tcPr>
          <w:p w:rsidR="002C4AF7" w:rsidRDefault="002C4AF7">
            <w:pPr>
              <w:ind w:left="0" w:hanging="2"/>
              <w:rPr>
                <w:rFonts w:ascii="Arial" w:eastAsia="Arial" w:hAnsi="Arial" w:cs="Arial"/>
                <w:color w:val="000000"/>
                <w:sz w:val="18"/>
                <w:szCs w:val="18"/>
              </w:rPr>
            </w:pPr>
          </w:p>
        </w:tc>
        <w:tc>
          <w:tcPr>
            <w:tcW w:w="1276" w:type="dxa"/>
          </w:tcPr>
          <w:p w:rsidR="002C4AF7" w:rsidRDefault="007C2686">
            <w:pPr>
              <w:ind w:left="0" w:hanging="2"/>
              <w:rPr>
                <w:rFonts w:ascii="Arial" w:eastAsia="Arial" w:hAnsi="Arial" w:cs="Arial"/>
                <w:color w:val="000000"/>
                <w:sz w:val="18"/>
                <w:szCs w:val="18"/>
              </w:rPr>
            </w:pPr>
            <w:r>
              <w:rPr>
                <w:rFonts w:ascii="Arial" w:eastAsia="Arial" w:hAnsi="Arial" w:cs="Arial"/>
                <w:color w:val="000000"/>
                <w:sz w:val="18"/>
                <w:szCs w:val="18"/>
              </w:rPr>
              <w:t>Actividad</w:t>
            </w:r>
          </w:p>
        </w:tc>
        <w:tc>
          <w:tcPr>
            <w:tcW w:w="1275" w:type="dxa"/>
          </w:tcPr>
          <w:p w:rsidR="002C4AF7" w:rsidRDefault="007C2686">
            <w:pPr>
              <w:ind w:left="0" w:hanging="2"/>
              <w:rPr>
                <w:rFonts w:ascii="Arial" w:eastAsia="Arial" w:hAnsi="Arial" w:cs="Arial"/>
                <w:color w:val="000000"/>
                <w:sz w:val="18"/>
                <w:szCs w:val="18"/>
              </w:rPr>
            </w:pPr>
            <w:r>
              <w:rPr>
                <w:rFonts w:ascii="Arial" w:eastAsia="Arial" w:hAnsi="Arial" w:cs="Arial"/>
                <w:color w:val="000000"/>
                <w:sz w:val="18"/>
                <w:szCs w:val="18"/>
              </w:rPr>
              <w:t>Institución</w:t>
            </w:r>
          </w:p>
        </w:tc>
        <w:tc>
          <w:tcPr>
            <w:tcW w:w="833" w:type="dxa"/>
          </w:tcPr>
          <w:p w:rsidR="002C4AF7" w:rsidRDefault="007C2686">
            <w:pPr>
              <w:ind w:left="0" w:hanging="2"/>
              <w:rPr>
                <w:rFonts w:ascii="Arial" w:eastAsia="Arial" w:hAnsi="Arial" w:cs="Arial"/>
                <w:color w:val="000000"/>
                <w:sz w:val="18"/>
                <w:szCs w:val="18"/>
              </w:rPr>
            </w:pPr>
            <w:r>
              <w:rPr>
                <w:rFonts w:ascii="Arial" w:eastAsia="Arial" w:hAnsi="Arial" w:cs="Arial"/>
                <w:color w:val="000000"/>
                <w:sz w:val="18"/>
                <w:szCs w:val="18"/>
              </w:rPr>
              <w:t>Fecha</w:t>
            </w:r>
          </w:p>
        </w:tc>
      </w:tr>
      <w:tr w:rsidR="002C4AF7">
        <w:tc>
          <w:tcPr>
            <w:tcW w:w="5495" w:type="dxa"/>
          </w:tcPr>
          <w:p w:rsidR="002C4AF7" w:rsidRDefault="007C2686">
            <w:pPr>
              <w:ind w:left="0" w:hanging="2"/>
              <w:rPr>
                <w:rFonts w:ascii="Arial" w:eastAsia="Arial" w:hAnsi="Arial" w:cs="Arial"/>
                <w:color w:val="000000"/>
                <w:sz w:val="18"/>
                <w:szCs w:val="18"/>
              </w:rPr>
            </w:pPr>
            <w:r>
              <w:rPr>
                <w:rFonts w:ascii="Arial" w:eastAsia="Arial" w:hAnsi="Arial" w:cs="Arial"/>
                <w:color w:val="000000"/>
                <w:sz w:val="18"/>
                <w:szCs w:val="18"/>
              </w:rPr>
              <w:t>Financiación para reuniones y congresos, asistencia a cursos (inscripciones, bolsas de viajes, alojamiento…)</w:t>
            </w:r>
          </w:p>
        </w:tc>
        <w:tc>
          <w:tcPr>
            <w:tcW w:w="1276" w:type="dxa"/>
          </w:tcPr>
          <w:p w:rsidR="002C4AF7" w:rsidRDefault="002C4AF7">
            <w:pPr>
              <w:ind w:left="0" w:hanging="2"/>
              <w:rPr>
                <w:rFonts w:ascii="Arial" w:eastAsia="Arial" w:hAnsi="Arial" w:cs="Arial"/>
                <w:color w:val="000000"/>
                <w:sz w:val="18"/>
                <w:szCs w:val="18"/>
              </w:rPr>
            </w:pPr>
          </w:p>
        </w:tc>
        <w:tc>
          <w:tcPr>
            <w:tcW w:w="1275" w:type="dxa"/>
          </w:tcPr>
          <w:p w:rsidR="002C4AF7" w:rsidRDefault="002C4AF7">
            <w:pPr>
              <w:ind w:left="0" w:hanging="2"/>
              <w:rPr>
                <w:rFonts w:ascii="Arial" w:eastAsia="Arial" w:hAnsi="Arial" w:cs="Arial"/>
                <w:color w:val="000000"/>
                <w:sz w:val="18"/>
                <w:szCs w:val="18"/>
              </w:rPr>
            </w:pPr>
          </w:p>
        </w:tc>
        <w:tc>
          <w:tcPr>
            <w:tcW w:w="833" w:type="dxa"/>
          </w:tcPr>
          <w:p w:rsidR="002C4AF7" w:rsidRDefault="002C4AF7">
            <w:pPr>
              <w:ind w:left="0" w:hanging="2"/>
              <w:rPr>
                <w:rFonts w:ascii="Arial" w:eastAsia="Arial" w:hAnsi="Arial" w:cs="Arial"/>
                <w:color w:val="000000"/>
                <w:sz w:val="18"/>
                <w:szCs w:val="18"/>
              </w:rPr>
            </w:pPr>
          </w:p>
        </w:tc>
      </w:tr>
      <w:tr w:rsidR="002C4AF7">
        <w:tc>
          <w:tcPr>
            <w:tcW w:w="5495" w:type="dxa"/>
          </w:tcPr>
          <w:p w:rsidR="002C4AF7" w:rsidRDefault="007C2686">
            <w:pPr>
              <w:ind w:left="0" w:hanging="2"/>
              <w:rPr>
                <w:rFonts w:ascii="Arial" w:eastAsia="Arial" w:hAnsi="Arial" w:cs="Arial"/>
                <w:color w:val="000000"/>
                <w:sz w:val="18"/>
                <w:szCs w:val="18"/>
              </w:rPr>
            </w:pPr>
            <w:r>
              <w:rPr>
                <w:rFonts w:ascii="Arial" w:eastAsia="Arial" w:hAnsi="Arial" w:cs="Arial"/>
                <w:color w:val="000000"/>
                <w:sz w:val="18"/>
                <w:szCs w:val="18"/>
              </w:rPr>
              <w:t>Honorarios como ponente (conferencias, cursos…)</w:t>
            </w:r>
          </w:p>
        </w:tc>
        <w:tc>
          <w:tcPr>
            <w:tcW w:w="1276" w:type="dxa"/>
          </w:tcPr>
          <w:p w:rsidR="002C4AF7" w:rsidRDefault="002C4AF7">
            <w:pPr>
              <w:ind w:left="0" w:hanging="2"/>
              <w:rPr>
                <w:rFonts w:ascii="Arial" w:eastAsia="Arial" w:hAnsi="Arial" w:cs="Arial"/>
                <w:color w:val="000000"/>
                <w:sz w:val="18"/>
                <w:szCs w:val="18"/>
              </w:rPr>
            </w:pPr>
          </w:p>
        </w:tc>
        <w:tc>
          <w:tcPr>
            <w:tcW w:w="1275" w:type="dxa"/>
          </w:tcPr>
          <w:p w:rsidR="002C4AF7" w:rsidRDefault="002C4AF7">
            <w:pPr>
              <w:ind w:left="0" w:hanging="2"/>
              <w:rPr>
                <w:rFonts w:ascii="Arial" w:eastAsia="Arial" w:hAnsi="Arial" w:cs="Arial"/>
                <w:color w:val="000000"/>
                <w:sz w:val="18"/>
                <w:szCs w:val="18"/>
              </w:rPr>
            </w:pPr>
          </w:p>
        </w:tc>
        <w:tc>
          <w:tcPr>
            <w:tcW w:w="833" w:type="dxa"/>
          </w:tcPr>
          <w:p w:rsidR="002C4AF7" w:rsidRDefault="002C4AF7">
            <w:pPr>
              <w:ind w:left="0" w:hanging="2"/>
              <w:rPr>
                <w:rFonts w:ascii="Arial" w:eastAsia="Arial" w:hAnsi="Arial" w:cs="Arial"/>
                <w:color w:val="000000"/>
                <w:sz w:val="18"/>
                <w:szCs w:val="18"/>
              </w:rPr>
            </w:pPr>
          </w:p>
        </w:tc>
      </w:tr>
      <w:tr w:rsidR="002C4AF7">
        <w:tc>
          <w:tcPr>
            <w:tcW w:w="5495" w:type="dxa"/>
          </w:tcPr>
          <w:p w:rsidR="002C4AF7" w:rsidRDefault="007C2686">
            <w:pPr>
              <w:ind w:left="0" w:hanging="2"/>
              <w:rPr>
                <w:rFonts w:ascii="Arial" w:eastAsia="Arial" w:hAnsi="Arial" w:cs="Arial"/>
                <w:color w:val="000000"/>
                <w:sz w:val="18"/>
                <w:szCs w:val="18"/>
              </w:rPr>
            </w:pPr>
            <w:r>
              <w:rPr>
                <w:rFonts w:ascii="Arial" w:eastAsia="Arial" w:hAnsi="Arial" w:cs="Arial"/>
                <w:color w:val="000000"/>
                <w:sz w:val="18"/>
                <w:szCs w:val="18"/>
              </w:rPr>
              <w:t>Financiación de programas educativos o cursos (contratación de personal, alquiler de instalaciones…)</w:t>
            </w:r>
          </w:p>
        </w:tc>
        <w:tc>
          <w:tcPr>
            <w:tcW w:w="1276" w:type="dxa"/>
          </w:tcPr>
          <w:p w:rsidR="002C4AF7" w:rsidRDefault="002C4AF7">
            <w:pPr>
              <w:ind w:left="0" w:hanging="2"/>
              <w:rPr>
                <w:rFonts w:ascii="Arial" w:eastAsia="Arial" w:hAnsi="Arial" w:cs="Arial"/>
                <w:color w:val="000000"/>
                <w:sz w:val="18"/>
                <w:szCs w:val="18"/>
              </w:rPr>
            </w:pPr>
          </w:p>
        </w:tc>
        <w:tc>
          <w:tcPr>
            <w:tcW w:w="1275" w:type="dxa"/>
          </w:tcPr>
          <w:p w:rsidR="002C4AF7" w:rsidRDefault="002C4AF7">
            <w:pPr>
              <w:ind w:left="0" w:hanging="2"/>
              <w:rPr>
                <w:rFonts w:ascii="Arial" w:eastAsia="Arial" w:hAnsi="Arial" w:cs="Arial"/>
                <w:color w:val="000000"/>
                <w:sz w:val="18"/>
                <w:szCs w:val="18"/>
              </w:rPr>
            </w:pPr>
          </w:p>
        </w:tc>
        <w:tc>
          <w:tcPr>
            <w:tcW w:w="833" w:type="dxa"/>
          </w:tcPr>
          <w:p w:rsidR="002C4AF7" w:rsidRDefault="002C4AF7">
            <w:pPr>
              <w:ind w:left="0" w:hanging="2"/>
              <w:rPr>
                <w:rFonts w:ascii="Arial" w:eastAsia="Arial" w:hAnsi="Arial" w:cs="Arial"/>
                <w:color w:val="000000"/>
                <w:sz w:val="18"/>
                <w:szCs w:val="18"/>
              </w:rPr>
            </w:pPr>
          </w:p>
        </w:tc>
      </w:tr>
      <w:tr w:rsidR="002C4AF7">
        <w:tc>
          <w:tcPr>
            <w:tcW w:w="5495" w:type="dxa"/>
          </w:tcPr>
          <w:p w:rsidR="002C4AF7" w:rsidRDefault="007C2686">
            <w:pPr>
              <w:ind w:left="0" w:hanging="2"/>
              <w:rPr>
                <w:rFonts w:ascii="Arial" w:eastAsia="Arial" w:hAnsi="Arial" w:cs="Arial"/>
                <w:color w:val="000000"/>
                <w:sz w:val="18"/>
                <w:szCs w:val="18"/>
              </w:rPr>
            </w:pPr>
            <w:r>
              <w:rPr>
                <w:rFonts w:ascii="Arial" w:eastAsia="Arial" w:hAnsi="Arial" w:cs="Arial"/>
                <w:color w:val="000000"/>
                <w:sz w:val="18"/>
                <w:szCs w:val="18"/>
              </w:rPr>
              <w:t>Financiación por participar en una investigación</w:t>
            </w:r>
          </w:p>
        </w:tc>
        <w:tc>
          <w:tcPr>
            <w:tcW w:w="1276" w:type="dxa"/>
          </w:tcPr>
          <w:p w:rsidR="002C4AF7" w:rsidRDefault="002C4AF7">
            <w:pPr>
              <w:ind w:left="0" w:hanging="2"/>
              <w:rPr>
                <w:rFonts w:ascii="Arial" w:eastAsia="Arial" w:hAnsi="Arial" w:cs="Arial"/>
                <w:color w:val="000000"/>
                <w:sz w:val="18"/>
                <w:szCs w:val="18"/>
              </w:rPr>
            </w:pPr>
          </w:p>
        </w:tc>
        <w:tc>
          <w:tcPr>
            <w:tcW w:w="1275" w:type="dxa"/>
          </w:tcPr>
          <w:p w:rsidR="002C4AF7" w:rsidRDefault="002C4AF7">
            <w:pPr>
              <w:ind w:left="0" w:hanging="2"/>
              <w:rPr>
                <w:rFonts w:ascii="Arial" w:eastAsia="Arial" w:hAnsi="Arial" w:cs="Arial"/>
                <w:color w:val="000000"/>
                <w:sz w:val="18"/>
                <w:szCs w:val="18"/>
              </w:rPr>
            </w:pPr>
          </w:p>
        </w:tc>
        <w:tc>
          <w:tcPr>
            <w:tcW w:w="833" w:type="dxa"/>
          </w:tcPr>
          <w:p w:rsidR="002C4AF7" w:rsidRDefault="002C4AF7">
            <w:pPr>
              <w:ind w:left="0" w:hanging="2"/>
              <w:rPr>
                <w:rFonts w:ascii="Arial" w:eastAsia="Arial" w:hAnsi="Arial" w:cs="Arial"/>
                <w:color w:val="000000"/>
                <w:sz w:val="18"/>
                <w:szCs w:val="18"/>
              </w:rPr>
            </w:pPr>
          </w:p>
        </w:tc>
      </w:tr>
      <w:tr w:rsidR="002C4AF7">
        <w:tc>
          <w:tcPr>
            <w:tcW w:w="5495" w:type="dxa"/>
          </w:tcPr>
          <w:p w:rsidR="002C4AF7" w:rsidRDefault="007C2686">
            <w:pPr>
              <w:ind w:left="0" w:hanging="2"/>
              <w:rPr>
                <w:rFonts w:ascii="Arial" w:eastAsia="Arial" w:hAnsi="Arial" w:cs="Arial"/>
                <w:color w:val="000000"/>
                <w:sz w:val="18"/>
                <w:szCs w:val="18"/>
              </w:rPr>
            </w:pPr>
            <w:r>
              <w:rPr>
                <w:rFonts w:ascii="Arial" w:eastAsia="Arial" w:hAnsi="Arial" w:cs="Arial"/>
                <w:color w:val="000000"/>
                <w:sz w:val="18"/>
                <w:szCs w:val="18"/>
              </w:rPr>
              <w:t>Consultoría para una compañía farmacéutica/otras tecnologías</w:t>
            </w:r>
          </w:p>
        </w:tc>
        <w:tc>
          <w:tcPr>
            <w:tcW w:w="1276" w:type="dxa"/>
          </w:tcPr>
          <w:p w:rsidR="002C4AF7" w:rsidRDefault="002C4AF7">
            <w:pPr>
              <w:ind w:left="0" w:hanging="2"/>
              <w:rPr>
                <w:rFonts w:ascii="Arial" w:eastAsia="Arial" w:hAnsi="Arial" w:cs="Arial"/>
                <w:color w:val="000000"/>
                <w:sz w:val="18"/>
                <w:szCs w:val="18"/>
              </w:rPr>
            </w:pPr>
          </w:p>
        </w:tc>
        <w:tc>
          <w:tcPr>
            <w:tcW w:w="1275" w:type="dxa"/>
          </w:tcPr>
          <w:p w:rsidR="002C4AF7" w:rsidRDefault="002C4AF7">
            <w:pPr>
              <w:ind w:left="0" w:hanging="2"/>
              <w:rPr>
                <w:rFonts w:ascii="Arial" w:eastAsia="Arial" w:hAnsi="Arial" w:cs="Arial"/>
                <w:color w:val="000000"/>
                <w:sz w:val="18"/>
                <w:szCs w:val="18"/>
              </w:rPr>
            </w:pPr>
          </w:p>
        </w:tc>
        <w:tc>
          <w:tcPr>
            <w:tcW w:w="833" w:type="dxa"/>
          </w:tcPr>
          <w:p w:rsidR="002C4AF7" w:rsidRDefault="002C4AF7">
            <w:pPr>
              <w:ind w:left="0" w:hanging="2"/>
              <w:rPr>
                <w:rFonts w:ascii="Arial" w:eastAsia="Arial" w:hAnsi="Arial" w:cs="Arial"/>
                <w:color w:val="000000"/>
                <w:sz w:val="18"/>
                <w:szCs w:val="18"/>
              </w:rPr>
            </w:pPr>
          </w:p>
        </w:tc>
      </w:tr>
      <w:tr w:rsidR="002C4AF7">
        <w:tc>
          <w:tcPr>
            <w:tcW w:w="5495" w:type="dxa"/>
          </w:tcPr>
          <w:p w:rsidR="002C4AF7" w:rsidRDefault="007C2686">
            <w:pPr>
              <w:ind w:left="0" w:hanging="2"/>
              <w:rPr>
                <w:rFonts w:ascii="Arial" w:eastAsia="Arial" w:hAnsi="Arial" w:cs="Arial"/>
                <w:color w:val="000000"/>
                <w:sz w:val="18"/>
                <w:szCs w:val="18"/>
              </w:rPr>
            </w:pPr>
            <w:r>
              <w:rPr>
                <w:rFonts w:ascii="Arial" w:eastAsia="Arial" w:hAnsi="Arial" w:cs="Arial"/>
                <w:color w:val="000000"/>
                <w:sz w:val="18"/>
                <w:szCs w:val="18"/>
              </w:rPr>
              <w:t>Accionista o con intereses comerciales en una compañía</w:t>
            </w:r>
          </w:p>
        </w:tc>
        <w:tc>
          <w:tcPr>
            <w:tcW w:w="1276" w:type="dxa"/>
          </w:tcPr>
          <w:p w:rsidR="002C4AF7" w:rsidRDefault="002C4AF7">
            <w:pPr>
              <w:ind w:left="0" w:hanging="2"/>
              <w:rPr>
                <w:rFonts w:ascii="Arial" w:eastAsia="Arial" w:hAnsi="Arial" w:cs="Arial"/>
                <w:color w:val="000000"/>
                <w:sz w:val="18"/>
                <w:szCs w:val="18"/>
              </w:rPr>
            </w:pPr>
          </w:p>
        </w:tc>
        <w:tc>
          <w:tcPr>
            <w:tcW w:w="1275" w:type="dxa"/>
          </w:tcPr>
          <w:p w:rsidR="002C4AF7" w:rsidRDefault="002C4AF7">
            <w:pPr>
              <w:ind w:left="0" w:hanging="2"/>
              <w:rPr>
                <w:rFonts w:ascii="Arial" w:eastAsia="Arial" w:hAnsi="Arial" w:cs="Arial"/>
                <w:color w:val="000000"/>
                <w:sz w:val="18"/>
                <w:szCs w:val="18"/>
              </w:rPr>
            </w:pPr>
          </w:p>
        </w:tc>
        <w:tc>
          <w:tcPr>
            <w:tcW w:w="833" w:type="dxa"/>
          </w:tcPr>
          <w:p w:rsidR="002C4AF7" w:rsidRDefault="002C4AF7">
            <w:pPr>
              <w:ind w:left="0" w:hanging="2"/>
              <w:rPr>
                <w:rFonts w:ascii="Arial" w:eastAsia="Arial" w:hAnsi="Arial" w:cs="Arial"/>
                <w:color w:val="000000"/>
                <w:sz w:val="18"/>
                <w:szCs w:val="18"/>
              </w:rPr>
            </w:pPr>
          </w:p>
        </w:tc>
      </w:tr>
      <w:tr w:rsidR="002C4AF7">
        <w:tc>
          <w:tcPr>
            <w:tcW w:w="5495" w:type="dxa"/>
          </w:tcPr>
          <w:p w:rsidR="002C4AF7" w:rsidRDefault="007C2686">
            <w:pPr>
              <w:ind w:left="0" w:hanging="2"/>
              <w:rPr>
                <w:rFonts w:ascii="Arial" w:eastAsia="Arial" w:hAnsi="Arial" w:cs="Arial"/>
                <w:color w:val="000000"/>
                <w:sz w:val="18"/>
                <w:szCs w:val="18"/>
              </w:rPr>
            </w:pPr>
            <w:r>
              <w:rPr>
                <w:rFonts w:ascii="Arial" w:eastAsia="Arial" w:hAnsi="Arial" w:cs="Arial"/>
                <w:color w:val="000000"/>
                <w:sz w:val="18"/>
                <w:szCs w:val="18"/>
              </w:rPr>
              <w:t>Intereses económicos en una empresa privada relacionada con la salud (propietario, empleado, accionista, consulta privada…), que puede ser significativo en relación a la autoría del informe</w:t>
            </w:r>
          </w:p>
        </w:tc>
        <w:tc>
          <w:tcPr>
            <w:tcW w:w="1276" w:type="dxa"/>
          </w:tcPr>
          <w:p w:rsidR="002C4AF7" w:rsidRDefault="002C4AF7">
            <w:pPr>
              <w:ind w:left="0" w:hanging="2"/>
              <w:rPr>
                <w:rFonts w:ascii="Arial" w:eastAsia="Arial" w:hAnsi="Arial" w:cs="Arial"/>
                <w:color w:val="000000"/>
                <w:sz w:val="18"/>
                <w:szCs w:val="18"/>
              </w:rPr>
            </w:pPr>
          </w:p>
        </w:tc>
        <w:tc>
          <w:tcPr>
            <w:tcW w:w="1275" w:type="dxa"/>
          </w:tcPr>
          <w:p w:rsidR="002C4AF7" w:rsidRDefault="002C4AF7">
            <w:pPr>
              <w:ind w:left="0" w:hanging="2"/>
              <w:rPr>
                <w:rFonts w:ascii="Arial" w:eastAsia="Arial" w:hAnsi="Arial" w:cs="Arial"/>
                <w:color w:val="000000"/>
                <w:sz w:val="18"/>
                <w:szCs w:val="18"/>
              </w:rPr>
            </w:pPr>
          </w:p>
        </w:tc>
        <w:tc>
          <w:tcPr>
            <w:tcW w:w="833" w:type="dxa"/>
          </w:tcPr>
          <w:p w:rsidR="002C4AF7" w:rsidRDefault="002C4AF7">
            <w:pPr>
              <w:ind w:left="0" w:hanging="2"/>
              <w:rPr>
                <w:rFonts w:ascii="Arial" w:eastAsia="Arial" w:hAnsi="Arial" w:cs="Arial"/>
                <w:color w:val="000000"/>
                <w:sz w:val="18"/>
                <w:szCs w:val="18"/>
              </w:rPr>
            </w:pPr>
          </w:p>
        </w:tc>
      </w:tr>
      <w:tr w:rsidR="002C4AF7">
        <w:tc>
          <w:tcPr>
            <w:tcW w:w="5495" w:type="dxa"/>
          </w:tcPr>
          <w:p w:rsidR="002C4AF7" w:rsidRDefault="007C2686">
            <w:pPr>
              <w:ind w:left="0" w:hanging="2"/>
              <w:rPr>
                <w:rFonts w:ascii="Arial" w:eastAsia="Arial" w:hAnsi="Arial" w:cs="Arial"/>
                <w:color w:val="000000"/>
                <w:sz w:val="18"/>
                <w:szCs w:val="18"/>
              </w:rPr>
            </w:pPr>
            <w:r>
              <w:rPr>
                <w:rFonts w:ascii="Arial" w:eastAsia="Arial" w:hAnsi="Arial" w:cs="Arial"/>
                <w:color w:val="000000"/>
                <w:sz w:val="18"/>
                <w:szCs w:val="18"/>
              </w:rPr>
              <w:t>Conflictos de intereses de índole no económico que pueden ser significativos en relación a la autoría en la guía</w:t>
            </w:r>
          </w:p>
        </w:tc>
        <w:tc>
          <w:tcPr>
            <w:tcW w:w="1276" w:type="dxa"/>
          </w:tcPr>
          <w:p w:rsidR="002C4AF7" w:rsidRDefault="002C4AF7">
            <w:pPr>
              <w:ind w:left="0" w:hanging="2"/>
              <w:rPr>
                <w:rFonts w:ascii="Arial" w:eastAsia="Arial" w:hAnsi="Arial" w:cs="Arial"/>
                <w:color w:val="000000"/>
                <w:sz w:val="18"/>
                <w:szCs w:val="18"/>
              </w:rPr>
            </w:pPr>
          </w:p>
        </w:tc>
        <w:tc>
          <w:tcPr>
            <w:tcW w:w="1275" w:type="dxa"/>
          </w:tcPr>
          <w:p w:rsidR="002C4AF7" w:rsidRDefault="002C4AF7">
            <w:pPr>
              <w:ind w:left="0" w:hanging="2"/>
              <w:rPr>
                <w:rFonts w:ascii="Arial" w:eastAsia="Arial" w:hAnsi="Arial" w:cs="Arial"/>
                <w:color w:val="000000"/>
                <w:sz w:val="18"/>
                <w:szCs w:val="18"/>
              </w:rPr>
            </w:pPr>
          </w:p>
        </w:tc>
        <w:tc>
          <w:tcPr>
            <w:tcW w:w="833" w:type="dxa"/>
          </w:tcPr>
          <w:p w:rsidR="002C4AF7" w:rsidRDefault="002C4AF7">
            <w:pPr>
              <w:ind w:left="0" w:hanging="2"/>
              <w:rPr>
                <w:rFonts w:ascii="Arial" w:eastAsia="Arial" w:hAnsi="Arial" w:cs="Arial"/>
                <w:color w:val="000000"/>
                <w:sz w:val="18"/>
                <w:szCs w:val="18"/>
              </w:rPr>
            </w:pPr>
          </w:p>
        </w:tc>
      </w:tr>
      <w:tr w:rsidR="002C4AF7">
        <w:trPr>
          <w:trHeight w:val="226"/>
        </w:trPr>
        <w:tc>
          <w:tcPr>
            <w:tcW w:w="8879" w:type="dxa"/>
            <w:gridSpan w:val="4"/>
          </w:tcPr>
          <w:p w:rsidR="002C4AF7" w:rsidRDefault="002C4AF7">
            <w:pPr>
              <w:ind w:left="0" w:hanging="2"/>
              <w:jc w:val="both"/>
              <w:rPr>
                <w:rFonts w:ascii="Arial" w:eastAsia="Arial" w:hAnsi="Arial" w:cs="Arial"/>
                <w:color w:val="FF0000"/>
                <w:sz w:val="18"/>
                <w:szCs w:val="18"/>
              </w:rPr>
            </w:pPr>
          </w:p>
        </w:tc>
      </w:tr>
    </w:tbl>
    <w:p w:rsidR="002C4AF7" w:rsidRDefault="007C2686">
      <w:pPr>
        <w:ind w:left="0" w:hanging="2"/>
        <w:rPr>
          <w:rFonts w:ascii="Arial" w:eastAsia="Arial" w:hAnsi="Arial" w:cs="Arial"/>
          <w:color w:val="000000"/>
          <w:sz w:val="20"/>
          <w:szCs w:val="20"/>
        </w:rPr>
      </w:pPr>
      <w:r>
        <w:rPr>
          <w:rFonts w:ascii="Arial" w:eastAsia="Arial" w:hAnsi="Arial" w:cs="Arial"/>
          <w:b/>
          <w:color w:val="000000"/>
          <w:sz w:val="20"/>
          <w:szCs w:val="20"/>
        </w:rPr>
        <w:t>B- Intereses no personales (</w:t>
      </w:r>
      <w:r>
        <w:rPr>
          <w:rFonts w:ascii="Arial" w:eastAsia="Arial" w:hAnsi="Arial" w:cs="Arial"/>
          <w:color w:val="000000"/>
          <w:sz w:val="20"/>
          <w:szCs w:val="20"/>
        </w:rPr>
        <w:t>En caso afirmativo especificar</w:t>
      </w:r>
      <w:r>
        <w:rPr>
          <w:rFonts w:ascii="Arial" w:eastAsia="Arial" w:hAnsi="Arial" w:cs="Arial"/>
          <w:b/>
          <w:color w:val="000000"/>
          <w:sz w:val="20"/>
          <w:szCs w:val="20"/>
        </w:rPr>
        <w:t xml:space="preserve">): </w:t>
      </w:r>
      <w:r>
        <w:rPr>
          <w:rFonts w:ascii="Arial" w:eastAsia="Arial" w:hAnsi="Arial" w:cs="Arial"/>
          <w:b/>
          <w:color w:val="000000"/>
          <w:sz w:val="20"/>
          <w:szCs w:val="20"/>
        </w:rPr>
        <w:tab/>
      </w:r>
      <w:r>
        <w:rPr>
          <w:rFonts w:ascii="Arial" w:eastAsia="Arial" w:hAnsi="Arial" w:cs="Arial"/>
          <w:b/>
          <w:color w:val="000000"/>
          <w:sz w:val="20"/>
          <w:szCs w:val="20"/>
        </w:rPr>
        <w:tab/>
        <w:t>🞐SI</w:t>
      </w:r>
      <w:r>
        <w:rPr>
          <w:rFonts w:ascii="Arial" w:eastAsia="Arial" w:hAnsi="Arial" w:cs="Arial"/>
          <w:b/>
          <w:color w:val="000000"/>
          <w:sz w:val="20"/>
          <w:szCs w:val="20"/>
        </w:rPr>
        <w:tab/>
      </w:r>
      <w:r>
        <w:rPr>
          <w:rFonts w:ascii="Arial" w:eastAsia="Arial" w:hAnsi="Arial" w:cs="Arial"/>
          <w:b/>
          <w:color w:val="000000"/>
          <w:sz w:val="20"/>
          <w:szCs w:val="20"/>
        </w:rPr>
        <w:tab/>
      </w:r>
      <w:r w:rsidR="007E0101">
        <w:rPr>
          <w:rFonts w:ascii="Arial" w:eastAsia="Arial" w:hAnsi="Arial" w:cs="Arial"/>
          <w:b/>
          <w:color w:val="000000"/>
          <w:sz w:val="20"/>
          <w:szCs w:val="20"/>
        </w:rPr>
        <w:sym w:font="Wingdings" w:char="F078"/>
      </w:r>
      <w:r>
        <w:rPr>
          <w:rFonts w:ascii="Arial" w:eastAsia="Arial" w:hAnsi="Arial" w:cs="Arial"/>
          <w:b/>
          <w:color w:val="000000"/>
          <w:sz w:val="20"/>
          <w:szCs w:val="20"/>
        </w:rPr>
        <w:t>NO</w:t>
      </w:r>
    </w:p>
    <w:p w:rsidR="002C4AF7" w:rsidRDefault="002C4AF7">
      <w:pPr>
        <w:ind w:left="0" w:hanging="2"/>
        <w:rPr>
          <w:rFonts w:ascii="Arial" w:eastAsia="Arial" w:hAnsi="Arial" w:cs="Arial"/>
          <w:color w:val="000000"/>
          <w:sz w:val="20"/>
          <w:szCs w:val="20"/>
        </w:rPr>
      </w:pPr>
    </w:p>
    <w:tbl>
      <w:tblPr>
        <w:tblStyle w:val="afffff"/>
        <w:tblW w:w="9039" w:type="dxa"/>
        <w:tblInd w:w="-70" w:type="dxa"/>
        <w:tblLayout w:type="fixed"/>
        <w:tblLook w:val="0000" w:firstRow="0" w:lastRow="0" w:firstColumn="0" w:lastColumn="0" w:noHBand="0" w:noVBand="0"/>
      </w:tblPr>
      <w:tblGrid>
        <w:gridCol w:w="9039"/>
      </w:tblGrid>
      <w:tr w:rsidR="002C4AF7">
        <w:trPr>
          <w:trHeight w:val="226"/>
        </w:trPr>
        <w:tc>
          <w:tcPr>
            <w:tcW w:w="9039" w:type="dxa"/>
          </w:tcPr>
          <w:p w:rsidR="002C4AF7" w:rsidRDefault="002C4AF7">
            <w:pPr>
              <w:spacing w:line="240" w:lineRule="auto"/>
              <w:ind w:left="0" w:hanging="2"/>
              <w:rPr>
                <w:rFonts w:ascii="Arial" w:eastAsia="Arial" w:hAnsi="Arial" w:cs="Arial"/>
                <w:color w:val="000000"/>
                <w:sz w:val="20"/>
                <w:szCs w:val="20"/>
              </w:rPr>
            </w:pPr>
          </w:p>
          <w:tbl>
            <w:tblPr>
              <w:tblStyle w:val="afffff0"/>
              <w:tblW w:w="88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5"/>
              <w:gridCol w:w="1276"/>
              <w:gridCol w:w="1275"/>
              <w:gridCol w:w="833"/>
            </w:tblGrid>
            <w:tr w:rsidR="002C4AF7">
              <w:tc>
                <w:tcPr>
                  <w:tcW w:w="5495" w:type="dxa"/>
                  <w:tcBorders>
                    <w:top w:val="single" w:sz="4" w:space="0" w:color="000000"/>
                    <w:left w:val="single" w:sz="4" w:space="0" w:color="000000"/>
                    <w:bottom w:val="single" w:sz="4" w:space="0" w:color="000000"/>
                    <w:right w:val="single" w:sz="4" w:space="0" w:color="000000"/>
                  </w:tcBorders>
                </w:tcPr>
                <w:p w:rsidR="002C4AF7" w:rsidRDefault="002C4AF7" w:rsidP="00C14BFD">
                  <w:pPr>
                    <w:ind w:left="0" w:hanging="2"/>
                    <w:rPr>
                      <w:rFonts w:ascii="Arial" w:eastAsia="Arial" w:hAnsi="Arial" w:cs="Arial"/>
                      <w:color w:val="000000"/>
                      <w:sz w:val="18"/>
                      <w:szCs w:val="18"/>
                    </w:rPr>
                  </w:pPr>
                </w:p>
              </w:tc>
              <w:tc>
                <w:tcPr>
                  <w:tcW w:w="1276" w:type="dxa"/>
                  <w:tcBorders>
                    <w:top w:val="single" w:sz="4" w:space="0" w:color="000000"/>
                    <w:left w:val="single" w:sz="4" w:space="0" w:color="000000"/>
                    <w:bottom w:val="single" w:sz="4" w:space="0" w:color="000000"/>
                    <w:right w:val="single" w:sz="4" w:space="0" w:color="000000"/>
                  </w:tcBorders>
                </w:tcPr>
                <w:p w:rsidR="002C4AF7" w:rsidRDefault="007C2686" w:rsidP="00C14BFD">
                  <w:pPr>
                    <w:ind w:left="0" w:hanging="2"/>
                    <w:rPr>
                      <w:rFonts w:ascii="Arial" w:eastAsia="Arial" w:hAnsi="Arial" w:cs="Arial"/>
                      <w:color w:val="000000"/>
                      <w:sz w:val="18"/>
                      <w:szCs w:val="18"/>
                    </w:rPr>
                  </w:pPr>
                  <w:r>
                    <w:rPr>
                      <w:rFonts w:ascii="Arial" w:eastAsia="Arial" w:hAnsi="Arial" w:cs="Arial"/>
                      <w:color w:val="000000"/>
                      <w:sz w:val="18"/>
                      <w:szCs w:val="18"/>
                    </w:rPr>
                    <w:t>Actividad</w:t>
                  </w:r>
                </w:p>
              </w:tc>
              <w:tc>
                <w:tcPr>
                  <w:tcW w:w="1275" w:type="dxa"/>
                  <w:tcBorders>
                    <w:top w:val="single" w:sz="4" w:space="0" w:color="000000"/>
                    <w:left w:val="single" w:sz="4" w:space="0" w:color="000000"/>
                    <w:bottom w:val="single" w:sz="4" w:space="0" w:color="000000"/>
                    <w:right w:val="single" w:sz="4" w:space="0" w:color="000000"/>
                  </w:tcBorders>
                </w:tcPr>
                <w:p w:rsidR="002C4AF7" w:rsidRDefault="007C2686" w:rsidP="00C14BFD">
                  <w:pPr>
                    <w:ind w:left="0" w:hanging="2"/>
                    <w:rPr>
                      <w:rFonts w:ascii="Arial" w:eastAsia="Arial" w:hAnsi="Arial" w:cs="Arial"/>
                      <w:color w:val="000000"/>
                      <w:sz w:val="18"/>
                      <w:szCs w:val="18"/>
                    </w:rPr>
                  </w:pPr>
                  <w:r>
                    <w:rPr>
                      <w:rFonts w:ascii="Arial" w:eastAsia="Arial" w:hAnsi="Arial" w:cs="Arial"/>
                      <w:color w:val="000000"/>
                      <w:sz w:val="18"/>
                      <w:szCs w:val="18"/>
                    </w:rPr>
                    <w:t>Institución</w:t>
                  </w:r>
                </w:p>
              </w:tc>
              <w:tc>
                <w:tcPr>
                  <w:tcW w:w="833" w:type="dxa"/>
                  <w:tcBorders>
                    <w:top w:val="single" w:sz="4" w:space="0" w:color="000000"/>
                    <w:left w:val="single" w:sz="4" w:space="0" w:color="000000"/>
                    <w:bottom w:val="single" w:sz="4" w:space="0" w:color="000000"/>
                    <w:right w:val="single" w:sz="4" w:space="0" w:color="000000"/>
                  </w:tcBorders>
                </w:tcPr>
                <w:p w:rsidR="002C4AF7" w:rsidRDefault="007C2686" w:rsidP="00C14BFD">
                  <w:pPr>
                    <w:ind w:left="0" w:hanging="2"/>
                    <w:rPr>
                      <w:rFonts w:ascii="Arial" w:eastAsia="Arial" w:hAnsi="Arial" w:cs="Arial"/>
                      <w:color w:val="000000"/>
                      <w:sz w:val="18"/>
                      <w:szCs w:val="18"/>
                    </w:rPr>
                  </w:pPr>
                  <w:r>
                    <w:rPr>
                      <w:rFonts w:ascii="Arial" w:eastAsia="Arial" w:hAnsi="Arial" w:cs="Arial"/>
                      <w:color w:val="000000"/>
                      <w:sz w:val="18"/>
                      <w:szCs w:val="18"/>
                    </w:rPr>
                    <w:t>Fecha</w:t>
                  </w:r>
                </w:p>
              </w:tc>
            </w:tr>
            <w:tr w:rsidR="002C4AF7">
              <w:tc>
                <w:tcPr>
                  <w:tcW w:w="5495" w:type="dxa"/>
                  <w:tcBorders>
                    <w:top w:val="single" w:sz="4" w:space="0" w:color="000000"/>
                    <w:left w:val="single" w:sz="4" w:space="0" w:color="000000"/>
                    <w:bottom w:val="single" w:sz="4" w:space="0" w:color="000000"/>
                    <w:right w:val="single" w:sz="4" w:space="0" w:color="000000"/>
                  </w:tcBorders>
                </w:tcPr>
                <w:p w:rsidR="002C4AF7" w:rsidRDefault="007C2686" w:rsidP="00C14BFD">
                  <w:pPr>
                    <w:ind w:left="0" w:hanging="2"/>
                    <w:rPr>
                      <w:rFonts w:ascii="Arial" w:eastAsia="Arial" w:hAnsi="Arial" w:cs="Arial"/>
                      <w:color w:val="000000"/>
                      <w:sz w:val="18"/>
                      <w:szCs w:val="18"/>
                    </w:rPr>
                  </w:pPr>
                  <w:r>
                    <w:rPr>
                      <w:rFonts w:ascii="Arial" w:eastAsia="Arial" w:hAnsi="Arial" w:cs="Arial"/>
                      <w:color w:val="000000"/>
                      <w:sz w:val="18"/>
                      <w:szCs w:val="18"/>
                    </w:rPr>
                    <w:lastRenderedPageBreak/>
                    <w:t>Financiación o ayudas económicas para la creación de la unidad o servicio</w:t>
                  </w:r>
                </w:p>
              </w:tc>
              <w:tc>
                <w:tcPr>
                  <w:tcW w:w="1276" w:type="dxa"/>
                  <w:tcBorders>
                    <w:top w:val="single" w:sz="4" w:space="0" w:color="000000"/>
                    <w:left w:val="single" w:sz="4" w:space="0" w:color="000000"/>
                    <w:bottom w:val="single" w:sz="4" w:space="0" w:color="000000"/>
                    <w:right w:val="single" w:sz="4" w:space="0" w:color="000000"/>
                  </w:tcBorders>
                </w:tcPr>
                <w:p w:rsidR="002C4AF7" w:rsidRDefault="002C4AF7" w:rsidP="00C14BFD">
                  <w:pPr>
                    <w:ind w:left="0" w:hanging="2"/>
                    <w:rPr>
                      <w:rFonts w:ascii="Arial" w:eastAsia="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2C4AF7" w:rsidRDefault="002C4AF7" w:rsidP="00C14BFD">
                  <w:pPr>
                    <w:ind w:left="0" w:hanging="2"/>
                    <w:rPr>
                      <w:rFonts w:ascii="Arial" w:eastAsia="Arial" w:hAnsi="Arial" w:cs="Arial"/>
                      <w:color w:val="000000"/>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2C4AF7" w:rsidRDefault="002C4AF7" w:rsidP="00C14BFD">
                  <w:pPr>
                    <w:ind w:left="0" w:hanging="2"/>
                    <w:rPr>
                      <w:rFonts w:ascii="Arial" w:eastAsia="Arial" w:hAnsi="Arial" w:cs="Arial"/>
                      <w:color w:val="000000"/>
                      <w:sz w:val="18"/>
                      <w:szCs w:val="18"/>
                    </w:rPr>
                  </w:pPr>
                </w:p>
              </w:tc>
            </w:tr>
            <w:tr w:rsidR="002C4AF7">
              <w:tc>
                <w:tcPr>
                  <w:tcW w:w="5495" w:type="dxa"/>
                  <w:tcBorders>
                    <w:top w:val="single" w:sz="4" w:space="0" w:color="000000"/>
                    <w:left w:val="single" w:sz="4" w:space="0" w:color="000000"/>
                    <w:bottom w:val="single" w:sz="4" w:space="0" w:color="000000"/>
                    <w:right w:val="single" w:sz="4" w:space="0" w:color="000000"/>
                  </w:tcBorders>
                </w:tcPr>
                <w:p w:rsidR="002C4AF7" w:rsidRDefault="007C2686" w:rsidP="00C14BFD">
                  <w:pPr>
                    <w:ind w:left="0" w:hanging="2"/>
                    <w:rPr>
                      <w:rFonts w:ascii="Arial" w:eastAsia="Arial" w:hAnsi="Arial" w:cs="Arial"/>
                      <w:color w:val="000000"/>
                      <w:sz w:val="18"/>
                      <w:szCs w:val="18"/>
                    </w:rPr>
                  </w:pPr>
                  <w:r>
                    <w:rPr>
                      <w:rFonts w:ascii="Arial" w:eastAsia="Arial" w:hAnsi="Arial" w:cs="Arial"/>
                      <w:color w:val="000000"/>
                      <w:sz w:val="18"/>
                      <w:szCs w:val="18"/>
                    </w:rPr>
                    <w:t>Dotación significativa de material a la unidad o servicio</w:t>
                  </w:r>
                </w:p>
              </w:tc>
              <w:tc>
                <w:tcPr>
                  <w:tcW w:w="1276" w:type="dxa"/>
                  <w:tcBorders>
                    <w:top w:val="single" w:sz="4" w:space="0" w:color="000000"/>
                    <w:left w:val="single" w:sz="4" w:space="0" w:color="000000"/>
                    <w:bottom w:val="single" w:sz="4" w:space="0" w:color="000000"/>
                    <w:right w:val="single" w:sz="4" w:space="0" w:color="000000"/>
                  </w:tcBorders>
                </w:tcPr>
                <w:p w:rsidR="002C4AF7" w:rsidRDefault="002C4AF7" w:rsidP="00C14BFD">
                  <w:pPr>
                    <w:ind w:left="0" w:hanging="2"/>
                    <w:rPr>
                      <w:rFonts w:ascii="Arial" w:eastAsia="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2C4AF7" w:rsidRDefault="002C4AF7" w:rsidP="00C14BFD">
                  <w:pPr>
                    <w:ind w:left="0" w:hanging="2"/>
                    <w:rPr>
                      <w:rFonts w:ascii="Arial" w:eastAsia="Arial" w:hAnsi="Arial" w:cs="Arial"/>
                      <w:color w:val="000000"/>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2C4AF7" w:rsidRDefault="002C4AF7" w:rsidP="00C14BFD">
                  <w:pPr>
                    <w:ind w:left="0" w:hanging="2"/>
                    <w:rPr>
                      <w:rFonts w:ascii="Arial" w:eastAsia="Arial" w:hAnsi="Arial" w:cs="Arial"/>
                      <w:color w:val="000000"/>
                      <w:sz w:val="18"/>
                      <w:szCs w:val="18"/>
                    </w:rPr>
                  </w:pPr>
                </w:p>
              </w:tc>
            </w:tr>
            <w:tr w:rsidR="002C4AF7">
              <w:tc>
                <w:tcPr>
                  <w:tcW w:w="5495" w:type="dxa"/>
                  <w:tcBorders>
                    <w:top w:val="single" w:sz="4" w:space="0" w:color="000000"/>
                    <w:left w:val="single" w:sz="4" w:space="0" w:color="000000"/>
                    <w:bottom w:val="single" w:sz="4" w:space="0" w:color="000000"/>
                    <w:right w:val="single" w:sz="4" w:space="0" w:color="000000"/>
                  </w:tcBorders>
                </w:tcPr>
                <w:p w:rsidR="002C4AF7" w:rsidRDefault="007C2686" w:rsidP="00C14BFD">
                  <w:pPr>
                    <w:ind w:left="0" w:hanging="2"/>
                    <w:rPr>
                      <w:rFonts w:ascii="Arial" w:eastAsia="Arial" w:hAnsi="Arial" w:cs="Arial"/>
                      <w:color w:val="000000"/>
                      <w:sz w:val="18"/>
                      <w:szCs w:val="18"/>
                    </w:rPr>
                  </w:pPr>
                  <w:r>
                    <w:rPr>
                      <w:rFonts w:ascii="Arial" w:eastAsia="Arial" w:hAnsi="Arial" w:cs="Arial"/>
                      <w:color w:val="000000"/>
                      <w:sz w:val="18"/>
                      <w:szCs w:val="18"/>
                    </w:rPr>
                    <w:t>Contratación o ayudas económicas para contratar personal en la unidad o servicio</w:t>
                  </w:r>
                </w:p>
              </w:tc>
              <w:tc>
                <w:tcPr>
                  <w:tcW w:w="1276" w:type="dxa"/>
                  <w:tcBorders>
                    <w:top w:val="single" w:sz="4" w:space="0" w:color="000000"/>
                    <w:left w:val="single" w:sz="4" w:space="0" w:color="000000"/>
                    <w:bottom w:val="single" w:sz="4" w:space="0" w:color="000000"/>
                    <w:right w:val="single" w:sz="4" w:space="0" w:color="000000"/>
                  </w:tcBorders>
                </w:tcPr>
                <w:p w:rsidR="002C4AF7" w:rsidRDefault="002C4AF7" w:rsidP="00C14BFD">
                  <w:pPr>
                    <w:ind w:left="0" w:hanging="2"/>
                    <w:rPr>
                      <w:rFonts w:ascii="Arial" w:eastAsia="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2C4AF7" w:rsidRDefault="002C4AF7" w:rsidP="00C14BFD">
                  <w:pPr>
                    <w:ind w:left="0" w:hanging="2"/>
                    <w:rPr>
                      <w:rFonts w:ascii="Arial" w:eastAsia="Arial" w:hAnsi="Arial" w:cs="Arial"/>
                      <w:color w:val="000000"/>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2C4AF7" w:rsidRDefault="002C4AF7" w:rsidP="00C14BFD">
                  <w:pPr>
                    <w:ind w:left="0" w:hanging="2"/>
                    <w:rPr>
                      <w:rFonts w:ascii="Arial" w:eastAsia="Arial" w:hAnsi="Arial" w:cs="Arial"/>
                      <w:color w:val="000000"/>
                      <w:sz w:val="18"/>
                      <w:szCs w:val="18"/>
                    </w:rPr>
                  </w:pPr>
                </w:p>
              </w:tc>
            </w:tr>
            <w:tr w:rsidR="002C4AF7">
              <w:tc>
                <w:tcPr>
                  <w:tcW w:w="5495" w:type="dxa"/>
                  <w:tcBorders>
                    <w:top w:val="single" w:sz="4" w:space="0" w:color="000000"/>
                    <w:left w:val="single" w:sz="4" w:space="0" w:color="000000"/>
                    <w:bottom w:val="single" w:sz="4" w:space="0" w:color="000000"/>
                    <w:right w:val="single" w:sz="4" w:space="0" w:color="000000"/>
                  </w:tcBorders>
                </w:tcPr>
                <w:p w:rsidR="002C4AF7" w:rsidRDefault="007C2686" w:rsidP="00C14BFD">
                  <w:pPr>
                    <w:ind w:left="0" w:hanging="2"/>
                    <w:rPr>
                      <w:rFonts w:ascii="Arial" w:eastAsia="Arial" w:hAnsi="Arial" w:cs="Arial"/>
                      <w:color w:val="000000"/>
                      <w:sz w:val="18"/>
                      <w:szCs w:val="18"/>
                    </w:rPr>
                  </w:pPr>
                  <w:r>
                    <w:rPr>
                      <w:rFonts w:ascii="Arial" w:eastAsia="Arial" w:hAnsi="Arial" w:cs="Arial"/>
                      <w:color w:val="000000"/>
                      <w:sz w:val="18"/>
                      <w:szCs w:val="18"/>
                    </w:rPr>
                    <w:t>Ayuda económica para la financiación de una investigación</w:t>
                  </w:r>
                </w:p>
              </w:tc>
              <w:tc>
                <w:tcPr>
                  <w:tcW w:w="1276" w:type="dxa"/>
                  <w:tcBorders>
                    <w:top w:val="single" w:sz="4" w:space="0" w:color="000000"/>
                    <w:left w:val="single" w:sz="4" w:space="0" w:color="000000"/>
                    <w:bottom w:val="single" w:sz="4" w:space="0" w:color="000000"/>
                    <w:right w:val="single" w:sz="4" w:space="0" w:color="000000"/>
                  </w:tcBorders>
                </w:tcPr>
                <w:p w:rsidR="002C4AF7" w:rsidRDefault="002C4AF7" w:rsidP="00C14BFD">
                  <w:pPr>
                    <w:ind w:left="0" w:hanging="2"/>
                    <w:rPr>
                      <w:rFonts w:ascii="Arial" w:eastAsia="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2C4AF7" w:rsidRDefault="002C4AF7" w:rsidP="00C14BFD">
                  <w:pPr>
                    <w:ind w:left="0" w:hanging="2"/>
                    <w:rPr>
                      <w:rFonts w:ascii="Arial" w:eastAsia="Arial" w:hAnsi="Arial" w:cs="Arial"/>
                      <w:color w:val="000000"/>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2C4AF7" w:rsidRDefault="002C4AF7" w:rsidP="00C14BFD">
                  <w:pPr>
                    <w:ind w:left="0" w:hanging="2"/>
                    <w:rPr>
                      <w:rFonts w:ascii="Arial" w:eastAsia="Arial" w:hAnsi="Arial" w:cs="Arial"/>
                      <w:color w:val="000000"/>
                      <w:sz w:val="18"/>
                      <w:szCs w:val="18"/>
                    </w:rPr>
                  </w:pPr>
                </w:p>
              </w:tc>
            </w:tr>
            <w:tr w:rsidR="002C4AF7">
              <w:tc>
                <w:tcPr>
                  <w:tcW w:w="5495" w:type="dxa"/>
                  <w:tcBorders>
                    <w:top w:val="single" w:sz="4" w:space="0" w:color="000000"/>
                    <w:left w:val="single" w:sz="4" w:space="0" w:color="000000"/>
                    <w:bottom w:val="single" w:sz="4" w:space="0" w:color="000000"/>
                    <w:right w:val="single" w:sz="4" w:space="0" w:color="000000"/>
                  </w:tcBorders>
                </w:tcPr>
                <w:p w:rsidR="002C4AF7" w:rsidRDefault="007C2686" w:rsidP="00C14BFD">
                  <w:pPr>
                    <w:ind w:left="0" w:hanging="2"/>
                    <w:rPr>
                      <w:rFonts w:ascii="Arial" w:eastAsia="Arial" w:hAnsi="Arial" w:cs="Arial"/>
                      <w:color w:val="000000"/>
                      <w:sz w:val="18"/>
                      <w:szCs w:val="18"/>
                    </w:rPr>
                  </w:pPr>
                  <w:r>
                    <w:rPr>
                      <w:rFonts w:ascii="Arial" w:eastAsia="Arial" w:hAnsi="Arial" w:cs="Arial"/>
                      <w:color w:val="000000"/>
                      <w:sz w:val="18"/>
                      <w:szCs w:val="18"/>
                    </w:rPr>
                    <w:t>Financiación de programas educativos o cursos para la unidad</w:t>
                  </w:r>
                </w:p>
              </w:tc>
              <w:tc>
                <w:tcPr>
                  <w:tcW w:w="1276" w:type="dxa"/>
                  <w:tcBorders>
                    <w:top w:val="single" w:sz="4" w:space="0" w:color="000000"/>
                    <w:left w:val="single" w:sz="4" w:space="0" w:color="000000"/>
                    <w:bottom w:val="single" w:sz="4" w:space="0" w:color="000000"/>
                    <w:right w:val="single" w:sz="4" w:space="0" w:color="000000"/>
                  </w:tcBorders>
                </w:tcPr>
                <w:p w:rsidR="002C4AF7" w:rsidRDefault="002C4AF7" w:rsidP="00C14BFD">
                  <w:pPr>
                    <w:ind w:left="0" w:hanging="2"/>
                    <w:rPr>
                      <w:rFonts w:ascii="Arial" w:eastAsia="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2C4AF7" w:rsidRDefault="002C4AF7" w:rsidP="00C14BFD">
                  <w:pPr>
                    <w:ind w:left="0" w:hanging="2"/>
                    <w:rPr>
                      <w:rFonts w:ascii="Arial" w:eastAsia="Arial" w:hAnsi="Arial" w:cs="Arial"/>
                      <w:color w:val="000000"/>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2C4AF7" w:rsidRDefault="002C4AF7" w:rsidP="00C14BFD">
                  <w:pPr>
                    <w:ind w:left="0" w:hanging="2"/>
                    <w:rPr>
                      <w:rFonts w:ascii="Arial" w:eastAsia="Arial" w:hAnsi="Arial" w:cs="Arial"/>
                      <w:color w:val="000000"/>
                      <w:sz w:val="18"/>
                      <w:szCs w:val="18"/>
                    </w:rPr>
                  </w:pPr>
                </w:p>
              </w:tc>
            </w:tr>
          </w:tbl>
          <w:p w:rsidR="002C4AF7" w:rsidRDefault="002C4AF7">
            <w:pPr>
              <w:spacing w:line="240" w:lineRule="auto"/>
              <w:ind w:left="0" w:hanging="2"/>
              <w:rPr>
                <w:rFonts w:ascii="Arial" w:eastAsia="Arial" w:hAnsi="Arial" w:cs="Arial"/>
                <w:color w:val="000000"/>
                <w:sz w:val="20"/>
                <w:szCs w:val="20"/>
              </w:rPr>
            </w:pPr>
          </w:p>
        </w:tc>
      </w:tr>
    </w:tbl>
    <w:p w:rsidR="002C4AF7" w:rsidRDefault="002C4AF7">
      <w:pPr>
        <w:ind w:left="0" w:hanging="2"/>
        <w:rPr>
          <w:rFonts w:ascii="Arial" w:eastAsia="Arial" w:hAnsi="Arial" w:cs="Arial"/>
          <w:color w:val="000000"/>
          <w:sz w:val="20"/>
          <w:szCs w:val="20"/>
        </w:rPr>
      </w:pPr>
    </w:p>
    <w:p w:rsidR="002C4AF7" w:rsidRDefault="007C2686">
      <w:pPr>
        <w:ind w:left="0" w:hanging="2"/>
        <w:rPr>
          <w:rFonts w:ascii="Arial" w:eastAsia="Arial" w:hAnsi="Arial" w:cs="Arial"/>
          <w:sz w:val="20"/>
          <w:szCs w:val="20"/>
        </w:rPr>
      </w:pPr>
      <w:r>
        <w:rPr>
          <w:rFonts w:ascii="Arial" w:eastAsia="Arial" w:hAnsi="Arial" w:cs="Arial"/>
          <w:b/>
          <w:color w:val="000000"/>
          <w:sz w:val="20"/>
          <w:szCs w:val="20"/>
        </w:rPr>
        <w:t>C-Otros posibles conflictos de intereses no señalados en apartados anteriores (especificar)</w:t>
      </w:r>
    </w:p>
    <w:p w:rsidR="002C4AF7" w:rsidRDefault="002C4AF7">
      <w:pPr>
        <w:ind w:left="0" w:hanging="2"/>
        <w:rPr>
          <w:rFonts w:ascii="Arial" w:eastAsia="Arial" w:hAnsi="Arial" w:cs="Arial"/>
          <w:sz w:val="20"/>
          <w:szCs w:val="20"/>
        </w:rPr>
      </w:pPr>
    </w:p>
    <w:p w:rsidR="002C4AF7" w:rsidRDefault="002C4AF7">
      <w:pPr>
        <w:ind w:left="0" w:hanging="2"/>
        <w:rPr>
          <w:rFonts w:ascii="Arial" w:eastAsia="Arial" w:hAnsi="Arial" w:cs="Arial"/>
          <w:sz w:val="20"/>
          <w:szCs w:val="20"/>
        </w:rPr>
      </w:pPr>
    </w:p>
    <w:p w:rsidR="002C4AF7" w:rsidRDefault="002C4AF7">
      <w:pPr>
        <w:ind w:left="0" w:hanging="2"/>
        <w:rPr>
          <w:rFonts w:ascii="Arial" w:eastAsia="Arial" w:hAnsi="Arial" w:cs="Arial"/>
          <w:sz w:val="20"/>
          <w:szCs w:val="20"/>
        </w:rPr>
      </w:pPr>
    </w:p>
    <w:p w:rsidR="002C4AF7" w:rsidRDefault="002C4AF7">
      <w:pPr>
        <w:ind w:left="0" w:hanging="2"/>
        <w:rPr>
          <w:rFonts w:ascii="Arial" w:eastAsia="Arial" w:hAnsi="Arial" w:cs="Arial"/>
          <w:sz w:val="20"/>
          <w:szCs w:val="20"/>
        </w:rPr>
      </w:pPr>
    </w:p>
    <w:p w:rsidR="009D49F2" w:rsidRDefault="007E0101">
      <w:pPr>
        <w:ind w:left="0" w:hanging="2"/>
        <w:rPr>
          <w:rFonts w:ascii="Arial" w:eastAsia="Arial" w:hAnsi="Arial" w:cs="Arial"/>
          <w:b/>
          <w:sz w:val="20"/>
          <w:szCs w:val="20"/>
        </w:rPr>
      </w:pPr>
      <w:r>
        <w:rPr>
          <w:rFonts w:ascii="Arial" w:eastAsia="Arial" w:hAnsi="Arial" w:cs="Arial"/>
          <w:b/>
          <w:sz w:val="20"/>
          <w:szCs w:val="20"/>
        </w:rPr>
        <w:t>FECHA</w:t>
      </w:r>
      <w:r>
        <w:rPr>
          <w:rFonts w:ascii="Arial" w:eastAsia="Arial" w:hAnsi="Arial" w:cs="Arial"/>
          <w:b/>
          <w:sz w:val="20"/>
          <w:szCs w:val="20"/>
        </w:rPr>
        <w:tab/>
        <w:t xml:space="preserve"> 22/12/2022</w:t>
      </w:r>
      <w:r w:rsidR="007C2686">
        <w:rPr>
          <w:rFonts w:ascii="Arial" w:eastAsia="Arial" w:hAnsi="Arial" w:cs="Arial"/>
          <w:b/>
          <w:sz w:val="20"/>
          <w:szCs w:val="20"/>
        </w:rPr>
        <w:tab/>
      </w:r>
      <w:r w:rsidR="007C2686">
        <w:rPr>
          <w:rFonts w:ascii="Arial" w:eastAsia="Arial" w:hAnsi="Arial" w:cs="Arial"/>
          <w:b/>
          <w:sz w:val="20"/>
          <w:szCs w:val="20"/>
        </w:rPr>
        <w:tab/>
      </w:r>
      <w:r w:rsidR="007C2686">
        <w:rPr>
          <w:rFonts w:ascii="Arial" w:eastAsia="Arial" w:hAnsi="Arial" w:cs="Arial"/>
          <w:b/>
          <w:sz w:val="20"/>
          <w:szCs w:val="20"/>
        </w:rPr>
        <w:tab/>
      </w:r>
      <w:r w:rsidR="007C2686">
        <w:rPr>
          <w:rFonts w:ascii="Arial" w:eastAsia="Arial" w:hAnsi="Arial" w:cs="Arial"/>
          <w:b/>
          <w:sz w:val="20"/>
          <w:szCs w:val="20"/>
        </w:rPr>
        <w:tab/>
      </w:r>
      <w:r w:rsidR="007C2686">
        <w:rPr>
          <w:rFonts w:ascii="Arial" w:eastAsia="Arial" w:hAnsi="Arial" w:cs="Arial"/>
          <w:b/>
          <w:sz w:val="20"/>
          <w:szCs w:val="20"/>
        </w:rPr>
        <w:tab/>
      </w:r>
      <w:r w:rsidR="007C2686">
        <w:rPr>
          <w:rFonts w:ascii="Arial" w:eastAsia="Arial" w:hAnsi="Arial" w:cs="Arial"/>
          <w:b/>
          <w:sz w:val="20"/>
          <w:szCs w:val="20"/>
        </w:rPr>
        <w:tab/>
      </w:r>
      <w:r w:rsidR="007C2686">
        <w:rPr>
          <w:rFonts w:ascii="Arial" w:eastAsia="Arial" w:hAnsi="Arial" w:cs="Arial"/>
          <w:b/>
          <w:sz w:val="20"/>
          <w:szCs w:val="20"/>
        </w:rPr>
        <w:tab/>
      </w:r>
      <w:r w:rsidR="007C2686">
        <w:rPr>
          <w:rFonts w:ascii="Arial" w:eastAsia="Arial" w:hAnsi="Arial" w:cs="Arial"/>
          <w:b/>
          <w:sz w:val="20"/>
          <w:szCs w:val="20"/>
        </w:rPr>
        <w:tab/>
        <w:t>FIRMA</w:t>
      </w:r>
    </w:p>
    <w:p w:rsidR="00563E41" w:rsidRDefault="00563E41">
      <w:pPr>
        <w:ind w:left="0" w:hanging="2"/>
        <w:rPr>
          <w:rFonts w:ascii="Arial" w:eastAsia="Arial" w:hAnsi="Arial" w:cs="Arial"/>
          <w:b/>
          <w:sz w:val="20"/>
          <w:szCs w:val="20"/>
        </w:rPr>
      </w:pPr>
    </w:p>
    <w:p w:rsidR="00563E41" w:rsidRDefault="00563E41">
      <w:pPr>
        <w:ind w:left="0" w:hanging="2"/>
        <w:rPr>
          <w:rFonts w:ascii="Arial" w:eastAsia="Arial" w:hAnsi="Arial" w:cs="Arial"/>
          <w:b/>
          <w:sz w:val="20"/>
          <w:szCs w:val="20"/>
        </w:rPr>
      </w:pPr>
    </w:p>
    <w:p w:rsidR="007E0101" w:rsidRDefault="007E0101" w:rsidP="007E0101">
      <w:pPr>
        <w:tabs>
          <w:tab w:val="left" w:pos="1633"/>
        </w:tabs>
        <w:ind w:left="0" w:hanging="2"/>
        <w:jc w:val="both"/>
        <w:rPr>
          <w:rFonts w:ascii="Arial" w:eastAsia="Arial" w:hAnsi="Arial" w:cs="Arial"/>
          <w:color w:val="212121"/>
          <w:sz w:val="20"/>
          <w:szCs w:val="20"/>
          <w:highlight w:val="white"/>
        </w:rPr>
      </w:pPr>
    </w:p>
    <w:p w:rsidR="007E0101" w:rsidRDefault="007E0101" w:rsidP="007E0101">
      <w:pPr>
        <w:shd w:val="clear" w:color="auto" w:fill="DBE5F1"/>
        <w:ind w:left="0" w:hanging="2"/>
        <w:jc w:val="center"/>
        <w:rPr>
          <w:rFonts w:ascii="Arial" w:eastAsia="Arial" w:hAnsi="Arial" w:cs="Arial"/>
          <w:color w:val="000000"/>
          <w:sz w:val="20"/>
          <w:szCs w:val="20"/>
        </w:rPr>
      </w:pPr>
      <w:r>
        <w:rPr>
          <w:rFonts w:ascii="Arial" w:eastAsia="Arial" w:hAnsi="Arial" w:cs="Arial"/>
          <w:b/>
          <w:color w:val="000000"/>
          <w:sz w:val="20"/>
          <w:szCs w:val="20"/>
        </w:rPr>
        <w:t>Formulario de declaración de conflictos de intereses</w:t>
      </w:r>
    </w:p>
    <w:p w:rsidR="007E0101" w:rsidRDefault="007E0101" w:rsidP="007E0101">
      <w:pPr>
        <w:ind w:left="0" w:hanging="2"/>
        <w:rPr>
          <w:rFonts w:ascii="Arial" w:eastAsia="Arial" w:hAnsi="Arial" w:cs="Arial"/>
          <w:color w:val="000000"/>
          <w:sz w:val="20"/>
          <w:szCs w:val="20"/>
        </w:rPr>
      </w:pPr>
    </w:p>
    <w:p w:rsidR="007E0101" w:rsidRDefault="007E0101" w:rsidP="007E0101">
      <w:pP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Los potenciales conflictos de intereses en la elaboración de informes de evaluación se consideran siempre que superen la cantidad de 2.000 euros anuales (últimos 3 años). </w:t>
      </w:r>
    </w:p>
    <w:p w:rsidR="007E0101" w:rsidRDefault="007E0101" w:rsidP="007E0101">
      <w:pPr>
        <w:spacing w:line="240" w:lineRule="auto"/>
        <w:ind w:left="0" w:hanging="2"/>
        <w:rPr>
          <w:rFonts w:ascii="Arial" w:eastAsia="Arial" w:hAnsi="Arial" w:cs="Arial"/>
          <w:color w:val="000080"/>
          <w:sz w:val="20"/>
          <w:szCs w:val="20"/>
        </w:rPr>
      </w:pPr>
    </w:p>
    <w:p w:rsidR="007E0101" w:rsidRDefault="007E0101" w:rsidP="007E0101">
      <w:pPr>
        <w:ind w:left="0" w:hanging="2"/>
        <w:rPr>
          <w:rFonts w:ascii="Arial" w:eastAsia="Arial" w:hAnsi="Arial" w:cs="Arial"/>
          <w:color w:val="000000"/>
          <w:sz w:val="20"/>
          <w:szCs w:val="20"/>
        </w:rPr>
      </w:pPr>
      <w:r>
        <w:rPr>
          <w:rFonts w:ascii="Arial" w:eastAsia="Arial" w:hAnsi="Arial" w:cs="Arial"/>
          <w:b/>
          <w:color w:val="000000"/>
          <w:sz w:val="20"/>
          <w:szCs w:val="20"/>
        </w:rPr>
        <w:t xml:space="preserve">– Nombre y apellidos: </w:t>
      </w:r>
      <w:r w:rsidR="00563E41">
        <w:rPr>
          <w:rFonts w:ascii="Arial" w:eastAsia="Arial" w:hAnsi="Arial" w:cs="Arial"/>
          <w:color w:val="000000"/>
          <w:sz w:val="20"/>
          <w:szCs w:val="20"/>
        </w:rPr>
        <w:t>Silvia Fénix Caballero</w:t>
      </w:r>
    </w:p>
    <w:p w:rsidR="00563E41" w:rsidRDefault="00563E41" w:rsidP="007E0101">
      <w:pPr>
        <w:ind w:left="0" w:hanging="2"/>
        <w:rPr>
          <w:rFonts w:ascii="Arial" w:eastAsia="Arial" w:hAnsi="Arial" w:cs="Arial"/>
          <w:b/>
          <w:color w:val="000000"/>
          <w:sz w:val="20"/>
          <w:szCs w:val="20"/>
        </w:rPr>
      </w:pPr>
    </w:p>
    <w:p w:rsidR="007E0101" w:rsidRDefault="007E0101" w:rsidP="007E0101">
      <w:pPr>
        <w:ind w:leftChars="0" w:left="0" w:firstLineChars="0" w:firstLine="0"/>
        <w:rPr>
          <w:rFonts w:ascii="Arial" w:eastAsia="Arial" w:hAnsi="Arial" w:cs="Arial"/>
          <w:color w:val="000000"/>
          <w:sz w:val="20"/>
          <w:szCs w:val="20"/>
        </w:rPr>
      </w:pPr>
    </w:p>
    <w:p w:rsidR="007E0101" w:rsidRPr="00563E41" w:rsidRDefault="007E0101" w:rsidP="00563E41">
      <w:pPr>
        <w:ind w:left="0" w:hanging="2"/>
        <w:jc w:val="both"/>
        <w:rPr>
          <w:rFonts w:ascii="Arial" w:eastAsia="Arial" w:hAnsi="Arial" w:cs="Arial"/>
          <w:color w:val="000000"/>
          <w:sz w:val="20"/>
          <w:szCs w:val="20"/>
        </w:rPr>
      </w:pPr>
      <w:r>
        <w:rPr>
          <w:rFonts w:ascii="Arial" w:eastAsia="Arial" w:hAnsi="Arial" w:cs="Arial"/>
          <w:b/>
          <w:color w:val="000000"/>
          <w:sz w:val="20"/>
          <w:szCs w:val="20"/>
        </w:rPr>
        <w:t>– Institución en la que trabaja:</w:t>
      </w:r>
      <w:r w:rsidRPr="00761216">
        <w:rPr>
          <w:rFonts w:ascii="Arial" w:eastAsia="Arial" w:hAnsi="Arial" w:cs="Arial"/>
          <w:color w:val="000000"/>
          <w:sz w:val="20"/>
          <w:szCs w:val="20"/>
        </w:rPr>
        <w:t xml:space="preserve"> </w:t>
      </w:r>
      <w:r w:rsidRPr="00B600EA">
        <w:rPr>
          <w:rFonts w:ascii="Arial" w:eastAsia="Arial" w:hAnsi="Arial" w:cs="Arial"/>
          <w:sz w:val="20"/>
          <w:szCs w:val="20"/>
        </w:rPr>
        <w:t>Fundación para la Gestión de la Investigación Biomédica de Cádiz, Hospital Universitario Puerto Real. Cádiz.</w:t>
      </w:r>
    </w:p>
    <w:p w:rsidR="007E0101" w:rsidRDefault="007E0101" w:rsidP="007E0101">
      <w:pPr>
        <w:ind w:left="0" w:hanging="2"/>
        <w:rPr>
          <w:rFonts w:ascii="Arial" w:eastAsia="Arial" w:hAnsi="Arial" w:cs="Arial"/>
          <w:color w:val="000000"/>
          <w:sz w:val="20"/>
          <w:szCs w:val="20"/>
        </w:rPr>
      </w:pPr>
    </w:p>
    <w:p w:rsidR="007E0101" w:rsidRDefault="007E0101" w:rsidP="007E0101">
      <w:pPr>
        <w:ind w:left="0" w:hanging="2"/>
        <w:rPr>
          <w:rFonts w:ascii="Arial" w:eastAsia="Arial" w:hAnsi="Arial" w:cs="Arial"/>
          <w:color w:val="000000"/>
          <w:sz w:val="20"/>
          <w:szCs w:val="20"/>
        </w:rPr>
      </w:pPr>
    </w:p>
    <w:p w:rsidR="007E0101" w:rsidRDefault="007E0101" w:rsidP="007E0101">
      <w:pPr>
        <w:ind w:left="0" w:hanging="2"/>
        <w:rPr>
          <w:rFonts w:ascii="Arial" w:eastAsia="Arial" w:hAnsi="Arial" w:cs="Arial"/>
          <w:color w:val="000000"/>
          <w:sz w:val="20"/>
          <w:szCs w:val="20"/>
        </w:rPr>
      </w:pPr>
      <w:r>
        <w:rPr>
          <w:rFonts w:ascii="Arial" w:eastAsia="Arial" w:hAnsi="Arial" w:cs="Arial"/>
          <w:b/>
          <w:color w:val="000000"/>
          <w:sz w:val="20"/>
          <w:szCs w:val="20"/>
        </w:rPr>
        <w:t xml:space="preserve">– Institución que le vincula al informe. </w:t>
      </w:r>
      <w:r>
        <w:rPr>
          <w:rFonts w:ascii="Arial" w:eastAsia="Arial" w:hAnsi="Arial" w:cs="Arial"/>
          <w:color w:val="000000"/>
          <w:sz w:val="20"/>
          <w:szCs w:val="20"/>
        </w:rPr>
        <w:t>Grupo GENESIS de la SEFH</w:t>
      </w:r>
    </w:p>
    <w:p w:rsidR="007E0101" w:rsidRDefault="007E0101" w:rsidP="007E0101">
      <w:pPr>
        <w:spacing w:after="40"/>
        <w:ind w:left="0" w:hanging="2"/>
        <w:rPr>
          <w:rFonts w:ascii="Arial" w:eastAsia="Arial" w:hAnsi="Arial" w:cs="Arial"/>
          <w:color w:val="000000"/>
          <w:sz w:val="20"/>
          <w:szCs w:val="20"/>
        </w:rPr>
      </w:pPr>
    </w:p>
    <w:p w:rsidR="007E0101" w:rsidRDefault="007E0101" w:rsidP="007E0101">
      <w:pPr>
        <w:spacing w:after="40"/>
        <w:ind w:left="0" w:hanging="2"/>
        <w:rPr>
          <w:rFonts w:ascii="Arial" w:eastAsia="Arial" w:hAnsi="Arial" w:cs="Arial"/>
          <w:color w:val="000000"/>
          <w:sz w:val="20"/>
          <w:szCs w:val="20"/>
        </w:rPr>
      </w:pPr>
      <w:r>
        <w:rPr>
          <w:rFonts w:ascii="Arial" w:eastAsia="Arial" w:hAnsi="Arial" w:cs="Arial"/>
          <w:color w:val="000000"/>
          <w:sz w:val="20"/>
          <w:szCs w:val="20"/>
        </w:rPr>
        <w:t>Participación en el informe de evaluación como:</w:t>
      </w:r>
    </w:p>
    <w:p w:rsidR="00563E41" w:rsidRDefault="007E0101" w:rsidP="007E0101">
      <w:pPr>
        <w:ind w:left="0" w:hanging="2"/>
        <w:rPr>
          <w:rFonts w:ascii="Arial" w:eastAsia="Arial" w:hAnsi="Arial" w:cs="Arial"/>
          <w:color w:val="000000"/>
          <w:sz w:val="20"/>
          <w:szCs w:val="20"/>
        </w:rPr>
      </w:pPr>
      <w:r w:rsidRPr="00563E41">
        <w:rPr>
          <w:rFonts w:ascii="Arial" w:eastAsia="Arial" w:hAnsi="Arial" w:cs="Arial"/>
          <w:color w:val="000000"/>
          <w:sz w:val="20"/>
          <w:szCs w:val="20"/>
        </w:rPr>
        <w:t>1-Autor/a</w:t>
      </w:r>
    </w:p>
    <w:p w:rsidR="007E0101" w:rsidRPr="00563E41" w:rsidRDefault="00563E41" w:rsidP="007E0101">
      <w:pPr>
        <w:ind w:left="0" w:hanging="2"/>
        <w:rPr>
          <w:rFonts w:ascii="Arial" w:eastAsia="Arial" w:hAnsi="Arial" w:cs="Arial"/>
          <w:b/>
          <w:color w:val="000000"/>
          <w:sz w:val="20"/>
          <w:szCs w:val="20"/>
          <w:u w:val="single"/>
        </w:rPr>
      </w:pPr>
      <w:r w:rsidRPr="00563E41">
        <w:rPr>
          <w:rFonts w:ascii="Arial" w:eastAsia="Arial" w:hAnsi="Arial" w:cs="Arial"/>
          <w:b/>
          <w:color w:val="000000"/>
          <w:sz w:val="20"/>
          <w:szCs w:val="20"/>
          <w:u w:val="single"/>
        </w:rPr>
        <w:sym w:font="Wingdings" w:char="F078"/>
      </w:r>
      <w:r w:rsidR="007E0101" w:rsidRPr="00563E41">
        <w:rPr>
          <w:rFonts w:ascii="Arial" w:eastAsia="Arial" w:hAnsi="Arial" w:cs="Arial"/>
          <w:b/>
          <w:color w:val="000000"/>
          <w:sz w:val="20"/>
          <w:szCs w:val="20"/>
          <w:u w:val="single"/>
        </w:rPr>
        <w:t>2-Tutor/a</w:t>
      </w:r>
    </w:p>
    <w:p w:rsidR="007E0101" w:rsidRDefault="007E0101" w:rsidP="007E0101">
      <w:pPr>
        <w:ind w:left="0" w:hanging="2"/>
        <w:rPr>
          <w:rFonts w:ascii="Arial" w:eastAsia="Arial" w:hAnsi="Arial" w:cs="Arial"/>
          <w:color w:val="000000"/>
          <w:sz w:val="20"/>
          <w:szCs w:val="20"/>
        </w:rPr>
      </w:pPr>
      <w:r>
        <w:rPr>
          <w:rFonts w:ascii="Arial" w:eastAsia="Arial" w:hAnsi="Arial" w:cs="Arial"/>
          <w:color w:val="000000"/>
          <w:sz w:val="20"/>
          <w:szCs w:val="20"/>
        </w:rPr>
        <w:t>3-Revisor/a externo/a</w:t>
      </w:r>
    </w:p>
    <w:p w:rsidR="007E0101" w:rsidRDefault="007E0101" w:rsidP="007E0101">
      <w:pPr>
        <w:ind w:left="0" w:hanging="2"/>
        <w:jc w:val="both"/>
        <w:rPr>
          <w:rFonts w:ascii="Arial" w:eastAsia="Arial" w:hAnsi="Arial" w:cs="Arial"/>
          <w:color w:val="000000"/>
          <w:sz w:val="20"/>
          <w:szCs w:val="20"/>
        </w:rPr>
      </w:pPr>
    </w:p>
    <w:p w:rsidR="007E0101" w:rsidRDefault="007E0101" w:rsidP="007E0101">
      <w:pPr>
        <w:ind w:left="0" w:hanging="2"/>
        <w:jc w:val="both"/>
        <w:rPr>
          <w:rFonts w:ascii="Arial" w:eastAsia="Arial" w:hAnsi="Arial" w:cs="Arial"/>
          <w:color w:val="000000"/>
          <w:sz w:val="20"/>
          <w:szCs w:val="20"/>
        </w:rPr>
      </w:pPr>
      <w:r>
        <w:rPr>
          <w:rFonts w:ascii="Arial" w:eastAsia="Arial" w:hAnsi="Arial" w:cs="Arial"/>
          <w:color w:val="000000"/>
          <w:sz w:val="20"/>
          <w:szCs w:val="20"/>
        </w:rPr>
        <w:t>Tras haber y leído y comprendido la información remitida sobre la declaración de conflictos para el presente informe, formulo la siguiente declaración:</w:t>
      </w:r>
    </w:p>
    <w:p w:rsidR="007E0101" w:rsidRDefault="007E0101" w:rsidP="007E0101">
      <w:pPr>
        <w:spacing w:after="40"/>
        <w:ind w:left="0" w:hanging="2"/>
        <w:rPr>
          <w:rFonts w:ascii="Arial" w:eastAsia="Arial" w:hAnsi="Arial" w:cs="Arial"/>
          <w:color w:val="000000"/>
          <w:sz w:val="20"/>
          <w:szCs w:val="20"/>
        </w:rPr>
      </w:pPr>
    </w:p>
    <w:p w:rsidR="007E0101" w:rsidRDefault="007E0101" w:rsidP="007E0101">
      <w:pPr>
        <w:ind w:left="0" w:hanging="2"/>
        <w:rPr>
          <w:rFonts w:ascii="Arial" w:eastAsia="Arial" w:hAnsi="Arial" w:cs="Arial"/>
          <w:color w:val="000000"/>
          <w:sz w:val="20"/>
          <w:szCs w:val="20"/>
        </w:rPr>
      </w:pPr>
      <w:r>
        <w:rPr>
          <w:rFonts w:ascii="Arial" w:eastAsia="Arial" w:hAnsi="Arial" w:cs="Arial"/>
          <w:b/>
          <w:color w:val="000000"/>
          <w:sz w:val="20"/>
          <w:szCs w:val="20"/>
        </w:rPr>
        <w:t>A- Intereses personales (</w:t>
      </w:r>
      <w:r>
        <w:rPr>
          <w:rFonts w:ascii="Arial" w:eastAsia="Arial" w:hAnsi="Arial" w:cs="Arial"/>
          <w:color w:val="000000"/>
          <w:sz w:val="20"/>
          <w:szCs w:val="20"/>
        </w:rPr>
        <w:t>En caso afirmativo especificar</w:t>
      </w:r>
      <w:r>
        <w:rPr>
          <w:rFonts w:ascii="Arial" w:eastAsia="Arial" w:hAnsi="Arial" w:cs="Arial"/>
          <w:b/>
          <w:color w:val="000000"/>
          <w:sz w:val="20"/>
          <w:szCs w:val="20"/>
        </w:rPr>
        <w:t xml:space="preserve">): </w:t>
      </w:r>
      <w:r>
        <w:rPr>
          <w:rFonts w:ascii="Arial" w:eastAsia="Arial" w:hAnsi="Arial" w:cs="Arial"/>
          <w:b/>
          <w:color w:val="000000"/>
          <w:sz w:val="20"/>
          <w:szCs w:val="20"/>
        </w:rPr>
        <w:tab/>
      </w:r>
      <w:r>
        <w:rPr>
          <w:rFonts w:ascii="Arial" w:eastAsia="Arial" w:hAnsi="Arial" w:cs="Arial"/>
          <w:b/>
          <w:color w:val="000000"/>
          <w:sz w:val="20"/>
          <w:szCs w:val="20"/>
        </w:rPr>
        <w:tab/>
        <w:t>🞐SI</w:t>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sym w:font="Wingdings" w:char="F078"/>
      </w:r>
      <w:r>
        <w:rPr>
          <w:rFonts w:ascii="Arial" w:eastAsia="Arial" w:hAnsi="Arial" w:cs="Arial"/>
          <w:b/>
          <w:color w:val="000000"/>
          <w:sz w:val="20"/>
          <w:szCs w:val="20"/>
        </w:rPr>
        <w:t>NO</w:t>
      </w:r>
    </w:p>
    <w:p w:rsidR="007E0101" w:rsidRDefault="007E0101" w:rsidP="007E0101">
      <w:pPr>
        <w:ind w:left="0" w:hanging="2"/>
        <w:rPr>
          <w:rFonts w:ascii="Arial" w:eastAsia="Arial" w:hAnsi="Arial" w:cs="Arial"/>
          <w:color w:val="000000"/>
          <w:sz w:val="20"/>
          <w:szCs w:val="20"/>
        </w:rPr>
      </w:pPr>
    </w:p>
    <w:tbl>
      <w:tblPr>
        <w:tblStyle w:val="affffe"/>
        <w:tblW w:w="887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5"/>
        <w:gridCol w:w="1276"/>
        <w:gridCol w:w="1275"/>
        <w:gridCol w:w="833"/>
      </w:tblGrid>
      <w:tr w:rsidR="007E0101" w:rsidTr="00DE68A1">
        <w:tc>
          <w:tcPr>
            <w:tcW w:w="5495" w:type="dxa"/>
          </w:tcPr>
          <w:p w:rsidR="007E0101" w:rsidRDefault="007E0101" w:rsidP="00DE68A1">
            <w:pPr>
              <w:ind w:left="0" w:hanging="2"/>
              <w:rPr>
                <w:rFonts w:ascii="Arial" w:eastAsia="Arial" w:hAnsi="Arial" w:cs="Arial"/>
                <w:color w:val="000000"/>
                <w:sz w:val="18"/>
                <w:szCs w:val="18"/>
              </w:rPr>
            </w:pPr>
          </w:p>
        </w:tc>
        <w:tc>
          <w:tcPr>
            <w:tcW w:w="1276" w:type="dxa"/>
          </w:tcPr>
          <w:p w:rsidR="007E0101" w:rsidRDefault="007E0101" w:rsidP="00DE68A1">
            <w:pPr>
              <w:ind w:left="0" w:hanging="2"/>
              <w:rPr>
                <w:rFonts w:ascii="Arial" w:eastAsia="Arial" w:hAnsi="Arial" w:cs="Arial"/>
                <w:color w:val="000000"/>
                <w:sz w:val="18"/>
                <w:szCs w:val="18"/>
              </w:rPr>
            </w:pPr>
            <w:r>
              <w:rPr>
                <w:rFonts w:ascii="Arial" w:eastAsia="Arial" w:hAnsi="Arial" w:cs="Arial"/>
                <w:color w:val="000000"/>
                <w:sz w:val="18"/>
                <w:szCs w:val="18"/>
              </w:rPr>
              <w:t>Actividad</w:t>
            </w:r>
          </w:p>
        </w:tc>
        <w:tc>
          <w:tcPr>
            <w:tcW w:w="1275" w:type="dxa"/>
          </w:tcPr>
          <w:p w:rsidR="007E0101" w:rsidRDefault="007E0101" w:rsidP="00DE68A1">
            <w:pPr>
              <w:ind w:left="0" w:hanging="2"/>
              <w:rPr>
                <w:rFonts w:ascii="Arial" w:eastAsia="Arial" w:hAnsi="Arial" w:cs="Arial"/>
                <w:color w:val="000000"/>
                <w:sz w:val="18"/>
                <w:szCs w:val="18"/>
              </w:rPr>
            </w:pPr>
            <w:r>
              <w:rPr>
                <w:rFonts w:ascii="Arial" w:eastAsia="Arial" w:hAnsi="Arial" w:cs="Arial"/>
                <w:color w:val="000000"/>
                <w:sz w:val="18"/>
                <w:szCs w:val="18"/>
              </w:rPr>
              <w:t>Institución</w:t>
            </w:r>
          </w:p>
        </w:tc>
        <w:tc>
          <w:tcPr>
            <w:tcW w:w="833" w:type="dxa"/>
          </w:tcPr>
          <w:p w:rsidR="007E0101" w:rsidRDefault="007E0101" w:rsidP="00DE68A1">
            <w:pPr>
              <w:ind w:left="0" w:hanging="2"/>
              <w:rPr>
                <w:rFonts w:ascii="Arial" w:eastAsia="Arial" w:hAnsi="Arial" w:cs="Arial"/>
                <w:color w:val="000000"/>
                <w:sz w:val="18"/>
                <w:szCs w:val="18"/>
              </w:rPr>
            </w:pPr>
            <w:r>
              <w:rPr>
                <w:rFonts w:ascii="Arial" w:eastAsia="Arial" w:hAnsi="Arial" w:cs="Arial"/>
                <w:color w:val="000000"/>
                <w:sz w:val="18"/>
                <w:szCs w:val="18"/>
              </w:rPr>
              <w:t>Fecha</w:t>
            </w:r>
          </w:p>
        </w:tc>
      </w:tr>
      <w:tr w:rsidR="007E0101" w:rsidTr="00DE68A1">
        <w:tc>
          <w:tcPr>
            <w:tcW w:w="5495" w:type="dxa"/>
          </w:tcPr>
          <w:p w:rsidR="007E0101" w:rsidRDefault="007E0101" w:rsidP="00DE68A1">
            <w:pPr>
              <w:ind w:left="0" w:hanging="2"/>
              <w:rPr>
                <w:rFonts w:ascii="Arial" w:eastAsia="Arial" w:hAnsi="Arial" w:cs="Arial"/>
                <w:color w:val="000000"/>
                <w:sz w:val="18"/>
                <w:szCs w:val="18"/>
              </w:rPr>
            </w:pPr>
            <w:r>
              <w:rPr>
                <w:rFonts w:ascii="Arial" w:eastAsia="Arial" w:hAnsi="Arial" w:cs="Arial"/>
                <w:color w:val="000000"/>
                <w:sz w:val="18"/>
                <w:szCs w:val="18"/>
              </w:rPr>
              <w:t>Financiación para reuniones y congresos, asistencia a cursos (inscripciones, bolsas de viajes, alojamiento…)</w:t>
            </w:r>
          </w:p>
        </w:tc>
        <w:tc>
          <w:tcPr>
            <w:tcW w:w="1276" w:type="dxa"/>
          </w:tcPr>
          <w:p w:rsidR="007E0101" w:rsidRDefault="007E0101" w:rsidP="00DE68A1">
            <w:pPr>
              <w:ind w:left="0" w:hanging="2"/>
              <w:rPr>
                <w:rFonts w:ascii="Arial" w:eastAsia="Arial" w:hAnsi="Arial" w:cs="Arial"/>
                <w:color w:val="000000"/>
                <w:sz w:val="18"/>
                <w:szCs w:val="18"/>
              </w:rPr>
            </w:pPr>
          </w:p>
        </w:tc>
        <w:tc>
          <w:tcPr>
            <w:tcW w:w="1275" w:type="dxa"/>
          </w:tcPr>
          <w:p w:rsidR="007E0101" w:rsidRDefault="007E0101" w:rsidP="00DE68A1">
            <w:pPr>
              <w:ind w:left="0" w:hanging="2"/>
              <w:rPr>
                <w:rFonts w:ascii="Arial" w:eastAsia="Arial" w:hAnsi="Arial" w:cs="Arial"/>
                <w:color w:val="000000"/>
                <w:sz w:val="18"/>
                <w:szCs w:val="18"/>
              </w:rPr>
            </w:pPr>
          </w:p>
        </w:tc>
        <w:tc>
          <w:tcPr>
            <w:tcW w:w="833" w:type="dxa"/>
          </w:tcPr>
          <w:p w:rsidR="007E0101" w:rsidRDefault="007E0101" w:rsidP="00DE68A1">
            <w:pPr>
              <w:ind w:left="0" w:hanging="2"/>
              <w:rPr>
                <w:rFonts w:ascii="Arial" w:eastAsia="Arial" w:hAnsi="Arial" w:cs="Arial"/>
                <w:color w:val="000000"/>
                <w:sz w:val="18"/>
                <w:szCs w:val="18"/>
              </w:rPr>
            </w:pPr>
          </w:p>
        </w:tc>
      </w:tr>
      <w:tr w:rsidR="007E0101" w:rsidTr="00DE68A1">
        <w:tc>
          <w:tcPr>
            <w:tcW w:w="5495" w:type="dxa"/>
          </w:tcPr>
          <w:p w:rsidR="007E0101" w:rsidRDefault="007E0101" w:rsidP="00DE68A1">
            <w:pPr>
              <w:ind w:left="0" w:hanging="2"/>
              <w:rPr>
                <w:rFonts w:ascii="Arial" w:eastAsia="Arial" w:hAnsi="Arial" w:cs="Arial"/>
                <w:color w:val="000000"/>
                <w:sz w:val="18"/>
                <w:szCs w:val="18"/>
              </w:rPr>
            </w:pPr>
            <w:r>
              <w:rPr>
                <w:rFonts w:ascii="Arial" w:eastAsia="Arial" w:hAnsi="Arial" w:cs="Arial"/>
                <w:color w:val="000000"/>
                <w:sz w:val="18"/>
                <w:szCs w:val="18"/>
              </w:rPr>
              <w:t>Honorarios como ponente (conferencias, cursos…)</w:t>
            </w:r>
          </w:p>
        </w:tc>
        <w:tc>
          <w:tcPr>
            <w:tcW w:w="1276" w:type="dxa"/>
          </w:tcPr>
          <w:p w:rsidR="007E0101" w:rsidRDefault="007E0101" w:rsidP="00DE68A1">
            <w:pPr>
              <w:ind w:left="0" w:hanging="2"/>
              <w:rPr>
                <w:rFonts w:ascii="Arial" w:eastAsia="Arial" w:hAnsi="Arial" w:cs="Arial"/>
                <w:color w:val="000000"/>
                <w:sz w:val="18"/>
                <w:szCs w:val="18"/>
              </w:rPr>
            </w:pPr>
          </w:p>
        </w:tc>
        <w:tc>
          <w:tcPr>
            <w:tcW w:w="1275" w:type="dxa"/>
          </w:tcPr>
          <w:p w:rsidR="007E0101" w:rsidRDefault="007E0101" w:rsidP="00DE68A1">
            <w:pPr>
              <w:ind w:left="0" w:hanging="2"/>
              <w:rPr>
                <w:rFonts w:ascii="Arial" w:eastAsia="Arial" w:hAnsi="Arial" w:cs="Arial"/>
                <w:color w:val="000000"/>
                <w:sz w:val="18"/>
                <w:szCs w:val="18"/>
              </w:rPr>
            </w:pPr>
          </w:p>
        </w:tc>
        <w:tc>
          <w:tcPr>
            <w:tcW w:w="833" w:type="dxa"/>
          </w:tcPr>
          <w:p w:rsidR="007E0101" w:rsidRDefault="007E0101" w:rsidP="00DE68A1">
            <w:pPr>
              <w:ind w:left="0" w:hanging="2"/>
              <w:rPr>
                <w:rFonts w:ascii="Arial" w:eastAsia="Arial" w:hAnsi="Arial" w:cs="Arial"/>
                <w:color w:val="000000"/>
                <w:sz w:val="18"/>
                <w:szCs w:val="18"/>
              </w:rPr>
            </w:pPr>
          </w:p>
        </w:tc>
      </w:tr>
      <w:tr w:rsidR="007E0101" w:rsidTr="00DE68A1">
        <w:tc>
          <w:tcPr>
            <w:tcW w:w="5495" w:type="dxa"/>
          </w:tcPr>
          <w:p w:rsidR="007E0101" w:rsidRDefault="007E0101" w:rsidP="00DE68A1">
            <w:pPr>
              <w:ind w:left="0" w:hanging="2"/>
              <w:rPr>
                <w:rFonts w:ascii="Arial" w:eastAsia="Arial" w:hAnsi="Arial" w:cs="Arial"/>
                <w:color w:val="000000"/>
                <w:sz w:val="18"/>
                <w:szCs w:val="18"/>
              </w:rPr>
            </w:pPr>
            <w:r>
              <w:rPr>
                <w:rFonts w:ascii="Arial" w:eastAsia="Arial" w:hAnsi="Arial" w:cs="Arial"/>
                <w:color w:val="000000"/>
                <w:sz w:val="18"/>
                <w:szCs w:val="18"/>
              </w:rPr>
              <w:t>Financiación de programas educativos o cursos (contratación de personal, alquiler de instalaciones…)</w:t>
            </w:r>
          </w:p>
        </w:tc>
        <w:tc>
          <w:tcPr>
            <w:tcW w:w="1276" w:type="dxa"/>
          </w:tcPr>
          <w:p w:rsidR="007E0101" w:rsidRDefault="007E0101" w:rsidP="00DE68A1">
            <w:pPr>
              <w:ind w:left="0" w:hanging="2"/>
              <w:rPr>
                <w:rFonts w:ascii="Arial" w:eastAsia="Arial" w:hAnsi="Arial" w:cs="Arial"/>
                <w:color w:val="000000"/>
                <w:sz w:val="18"/>
                <w:szCs w:val="18"/>
              </w:rPr>
            </w:pPr>
          </w:p>
        </w:tc>
        <w:tc>
          <w:tcPr>
            <w:tcW w:w="1275" w:type="dxa"/>
          </w:tcPr>
          <w:p w:rsidR="007E0101" w:rsidRDefault="007E0101" w:rsidP="00DE68A1">
            <w:pPr>
              <w:ind w:left="0" w:hanging="2"/>
              <w:rPr>
                <w:rFonts w:ascii="Arial" w:eastAsia="Arial" w:hAnsi="Arial" w:cs="Arial"/>
                <w:color w:val="000000"/>
                <w:sz w:val="18"/>
                <w:szCs w:val="18"/>
              </w:rPr>
            </w:pPr>
          </w:p>
        </w:tc>
        <w:tc>
          <w:tcPr>
            <w:tcW w:w="833" w:type="dxa"/>
          </w:tcPr>
          <w:p w:rsidR="007E0101" w:rsidRDefault="007E0101" w:rsidP="00DE68A1">
            <w:pPr>
              <w:ind w:left="0" w:hanging="2"/>
              <w:rPr>
                <w:rFonts w:ascii="Arial" w:eastAsia="Arial" w:hAnsi="Arial" w:cs="Arial"/>
                <w:color w:val="000000"/>
                <w:sz w:val="18"/>
                <w:szCs w:val="18"/>
              </w:rPr>
            </w:pPr>
          </w:p>
        </w:tc>
      </w:tr>
      <w:tr w:rsidR="007E0101" w:rsidTr="00DE68A1">
        <w:tc>
          <w:tcPr>
            <w:tcW w:w="5495" w:type="dxa"/>
          </w:tcPr>
          <w:p w:rsidR="007E0101" w:rsidRDefault="007E0101" w:rsidP="00DE68A1">
            <w:pPr>
              <w:ind w:left="0" w:hanging="2"/>
              <w:rPr>
                <w:rFonts w:ascii="Arial" w:eastAsia="Arial" w:hAnsi="Arial" w:cs="Arial"/>
                <w:color w:val="000000"/>
                <w:sz w:val="18"/>
                <w:szCs w:val="18"/>
              </w:rPr>
            </w:pPr>
            <w:r>
              <w:rPr>
                <w:rFonts w:ascii="Arial" w:eastAsia="Arial" w:hAnsi="Arial" w:cs="Arial"/>
                <w:color w:val="000000"/>
                <w:sz w:val="18"/>
                <w:szCs w:val="18"/>
              </w:rPr>
              <w:t>Financiación por participar en una investigación</w:t>
            </w:r>
          </w:p>
        </w:tc>
        <w:tc>
          <w:tcPr>
            <w:tcW w:w="1276" w:type="dxa"/>
          </w:tcPr>
          <w:p w:rsidR="007E0101" w:rsidRDefault="007E0101" w:rsidP="00DE68A1">
            <w:pPr>
              <w:ind w:left="0" w:hanging="2"/>
              <w:rPr>
                <w:rFonts w:ascii="Arial" w:eastAsia="Arial" w:hAnsi="Arial" w:cs="Arial"/>
                <w:color w:val="000000"/>
                <w:sz w:val="18"/>
                <w:szCs w:val="18"/>
              </w:rPr>
            </w:pPr>
          </w:p>
        </w:tc>
        <w:tc>
          <w:tcPr>
            <w:tcW w:w="1275" w:type="dxa"/>
          </w:tcPr>
          <w:p w:rsidR="007E0101" w:rsidRDefault="007E0101" w:rsidP="00DE68A1">
            <w:pPr>
              <w:ind w:left="0" w:hanging="2"/>
              <w:rPr>
                <w:rFonts w:ascii="Arial" w:eastAsia="Arial" w:hAnsi="Arial" w:cs="Arial"/>
                <w:color w:val="000000"/>
                <w:sz w:val="18"/>
                <w:szCs w:val="18"/>
              </w:rPr>
            </w:pPr>
          </w:p>
        </w:tc>
        <w:tc>
          <w:tcPr>
            <w:tcW w:w="833" w:type="dxa"/>
          </w:tcPr>
          <w:p w:rsidR="007E0101" w:rsidRDefault="007E0101" w:rsidP="00DE68A1">
            <w:pPr>
              <w:ind w:left="0" w:hanging="2"/>
              <w:rPr>
                <w:rFonts w:ascii="Arial" w:eastAsia="Arial" w:hAnsi="Arial" w:cs="Arial"/>
                <w:color w:val="000000"/>
                <w:sz w:val="18"/>
                <w:szCs w:val="18"/>
              </w:rPr>
            </w:pPr>
          </w:p>
        </w:tc>
      </w:tr>
      <w:tr w:rsidR="007E0101" w:rsidTr="00DE68A1">
        <w:tc>
          <w:tcPr>
            <w:tcW w:w="5495" w:type="dxa"/>
          </w:tcPr>
          <w:p w:rsidR="007E0101" w:rsidRDefault="007E0101" w:rsidP="00DE68A1">
            <w:pPr>
              <w:ind w:left="0" w:hanging="2"/>
              <w:rPr>
                <w:rFonts w:ascii="Arial" w:eastAsia="Arial" w:hAnsi="Arial" w:cs="Arial"/>
                <w:color w:val="000000"/>
                <w:sz w:val="18"/>
                <w:szCs w:val="18"/>
              </w:rPr>
            </w:pPr>
            <w:r>
              <w:rPr>
                <w:rFonts w:ascii="Arial" w:eastAsia="Arial" w:hAnsi="Arial" w:cs="Arial"/>
                <w:color w:val="000000"/>
                <w:sz w:val="18"/>
                <w:szCs w:val="18"/>
              </w:rPr>
              <w:t>Consultoría para una compañía farmacéutica/otras tecnologías</w:t>
            </w:r>
          </w:p>
        </w:tc>
        <w:tc>
          <w:tcPr>
            <w:tcW w:w="1276" w:type="dxa"/>
          </w:tcPr>
          <w:p w:rsidR="007E0101" w:rsidRDefault="007E0101" w:rsidP="00DE68A1">
            <w:pPr>
              <w:ind w:left="0" w:hanging="2"/>
              <w:rPr>
                <w:rFonts w:ascii="Arial" w:eastAsia="Arial" w:hAnsi="Arial" w:cs="Arial"/>
                <w:color w:val="000000"/>
                <w:sz w:val="18"/>
                <w:szCs w:val="18"/>
              </w:rPr>
            </w:pPr>
          </w:p>
        </w:tc>
        <w:tc>
          <w:tcPr>
            <w:tcW w:w="1275" w:type="dxa"/>
          </w:tcPr>
          <w:p w:rsidR="007E0101" w:rsidRDefault="007E0101" w:rsidP="00DE68A1">
            <w:pPr>
              <w:ind w:left="0" w:hanging="2"/>
              <w:rPr>
                <w:rFonts w:ascii="Arial" w:eastAsia="Arial" w:hAnsi="Arial" w:cs="Arial"/>
                <w:color w:val="000000"/>
                <w:sz w:val="18"/>
                <w:szCs w:val="18"/>
              </w:rPr>
            </w:pPr>
          </w:p>
        </w:tc>
        <w:tc>
          <w:tcPr>
            <w:tcW w:w="833" w:type="dxa"/>
          </w:tcPr>
          <w:p w:rsidR="007E0101" w:rsidRDefault="007E0101" w:rsidP="00DE68A1">
            <w:pPr>
              <w:ind w:left="0" w:hanging="2"/>
              <w:rPr>
                <w:rFonts w:ascii="Arial" w:eastAsia="Arial" w:hAnsi="Arial" w:cs="Arial"/>
                <w:color w:val="000000"/>
                <w:sz w:val="18"/>
                <w:szCs w:val="18"/>
              </w:rPr>
            </w:pPr>
          </w:p>
        </w:tc>
      </w:tr>
      <w:tr w:rsidR="007E0101" w:rsidTr="00DE68A1">
        <w:tc>
          <w:tcPr>
            <w:tcW w:w="5495" w:type="dxa"/>
          </w:tcPr>
          <w:p w:rsidR="007E0101" w:rsidRDefault="007E0101" w:rsidP="00DE68A1">
            <w:pPr>
              <w:ind w:left="0" w:hanging="2"/>
              <w:rPr>
                <w:rFonts w:ascii="Arial" w:eastAsia="Arial" w:hAnsi="Arial" w:cs="Arial"/>
                <w:color w:val="000000"/>
                <w:sz w:val="18"/>
                <w:szCs w:val="18"/>
              </w:rPr>
            </w:pPr>
            <w:r>
              <w:rPr>
                <w:rFonts w:ascii="Arial" w:eastAsia="Arial" w:hAnsi="Arial" w:cs="Arial"/>
                <w:color w:val="000000"/>
                <w:sz w:val="18"/>
                <w:szCs w:val="18"/>
              </w:rPr>
              <w:t>Accionista o con intereses comerciales en una compañía</w:t>
            </w:r>
          </w:p>
        </w:tc>
        <w:tc>
          <w:tcPr>
            <w:tcW w:w="1276" w:type="dxa"/>
          </w:tcPr>
          <w:p w:rsidR="007E0101" w:rsidRDefault="007E0101" w:rsidP="00DE68A1">
            <w:pPr>
              <w:ind w:left="0" w:hanging="2"/>
              <w:rPr>
                <w:rFonts w:ascii="Arial" w:eastAsia="Arial" w:hAnsi="Arial" w:cs="Arial"/>
                <w:color w:val="000000"/>
                <w:sz w:val="18"/>
                <w:szCs w:val="18"/>
              </w:rPr>
            </w:pPr>
          </w:p>
        </w:tc>
        <w:tc>
          <w:tcPr>
            <w:tcW w:w="1275" w:type="dxa"/>
          </w:tcPr>
          <w:p w:rsidR="007E0101" w:rsidRDefault="007E0101" w:rsidP="00DE68A1">
            <w:pPr>
              <w:ind w:left="0" w:hanging="2"/>
              <w:rPr>
                <w:rFonts w:ascii="Arial" w:eastAsia="Arial" w:hAnsi="Arial" w:cs="Arial"/>
                <w:color w:val="000000"/>
                <w:sz w:val="18"/>
                <w:szCs w:val="18"/>
              </w:rPr>
            </w:pPr>
          </w:p>
        </w:tc>
        <w:tc>
          <w:tcPr>
            <w:tcW w:w="833" w:type="dxa"/>
          </w:tcPr>
          <w:p w:rsidR="007E0101" w:rsidRDefault="007E0101" w:rsidP="00DE68A1">
            <w:pPr>
              <w:ind w:left="0" w:hanging="2"/>
              <w:rPr>
                <w:rFonts w:ascii="Arial" w:eastAsia="Arial" w:hAnsi="Arial" w:cs="Arial"/>
                <w:color w:val="000000"/>
                <w:sz w:val="18"/>
                <w:szCs w:val="18"/>
              </w:rPr>
            </w:pPr>
          </w:p>
        </w:tc>
      </w:tr>
      <w:tr w:rsidR="007E0101" w:rsidTr="00DE68A1">
        <w:tc>
          <w:tcPr>
            <w:tcW w:w="5495" w:type="dxa"/>
          </w:tcPr>
          <w:p w:rsidR="007E0101" w:rsidRDefault="007E0101" w:rsidP="00DE68A1">
            <w:pPr>
              <w:ind w:left="0" w:hanging="2"/>
              <w:rPr>
                <w:rFonts w:ascii="Arial" w:eastAsia="Arial" w:hAnsi="Arial" w:cs="Arial"/>
                <w:color w:val="000000"/>
                <w:sz w:val="18"/>
                <w:szCs w:val="18"/>
              </w:rPr>
            </w:pPr>
            <w:r>
              <w:rPr>
                <w:rFonts w:ascii="Arial" w:eastAsia="Arial" w:hAnsi="Arial" w:cs="Arial"/>
                <w:color w:val="000000"/>
                <w:sz w:val="18"/>
                <w:szCs w:val="18"/>
              </w:rPr>
              <w:t>Intereses económicos en una empresa privada relacionada con la salud (propietario, empleado, accionista, consulta privada…), que puede ser significativo en relación a la autoría del informe</w:t>
            </w:r>
          </w:p>
        </w:tc>
        <w:tc>
          <w:tcPr>
            <w:tcW w:w="1276" w:type="dxa"/>
          </w:tcPr>
          <w:p w:rsidR="007E0101" w:rsidRDefault="007E0101" w:rsidP="00DE68A1">
            <w:pPr>
              <w:ind w:left="0" w:hanging="2"/>
              <w:rPr>
                <w:rFonts w:ascii="Arial" w:eastAsia="Arial" w:hAnsi="Arial" w:cs="Arial"/>
                <w:color w:val="000000"/>
                <w:sz w:val="18"/>
                <w:szCs w:val="18"/>
              </w:rPr>
            </w:pPr>
          </w:p>
        </w:tc>
        <w:tc>
          <w:tcPr>
            <w:tcW w:w="1275" w:type="dxa"/>
          </w:tcPr>
          <w:p w:rsidR="007E0101" w:rsidRDefault="007E0101" w:rsidP="00DE68A1">
            <w:pPr>
              <w:ind w:left="0" w:hanging="2"/>
              <w:rPr>
                <w:rFonts w:ascii="Arial" w:eastAsia="Arial" w:hAnsi="Arial" w:cs="Arial"/>
                <w:color w:val="000000"/>
                <w:sz w:val="18"/>
                <w:szCs w:val="18"/>
              </w:rPr>
            </w:pPr>
          </w:p>
        </w:tc>
        <w:tc>
          <w:tcPr>
            <w:tcW w:w="833" w:type="dxa"/>
          </w:tcPr>
          <w:p w:rsidR="007E0101" w:rsidRDefault="007E0101" w:rsidP="00DE68A1">
            <w:pPr>
              <w:ind w:left="0" w:hanging="2"/>
              <w:rPr>
                <w:rFonts w:ascii="Arial" w:eastAsia="Arial" w:hAnsi="Arial" w:cs="Arial"/>
                <w:color w:val="000000"/>
                <w:sz w:val="18"/>
                <w:szCs w:val="18"/>
              </w:rPr>
            </w:pPr>
          </w:p>
        </w:tc>
      </w:tr>
      <w:tr w:rsidR="007E0101" w:rsidTr="00DE68A1">
        <w:tc>
          <w:tcPr>
            <w:tcW w:w="5495" w:type="dxa"/>
          </w:tcPr>
          <w:p w:rsidR="007E0101" w:rsidRDefault="007E0101" w:rsidP="00DE68A1">
            <w:pPr>
              <w:ind w:left="0" w:hanging="2"/>
              <w:rPr>
                <w:rFonts w:ascii="Arial" w:eastAsia="Arial" w:hAnsi="Arial" w:cs="Arial"/>
                <w:color w:val="000000"/>
                <w:sz w:val="18"/>
                <w:szCs w:val="18"/>
              </w:rPr>
            </w:pPr>
            <w:r>
              <w:rPr>
                <w:rFonts w:ascii="Arial" w:eastAsia="Arial" w:hAnsi="Arial" w:cs="Arial"/>
                <w:color w:val="000000"/>
                <w:sz w:val="18"/>
                <w:szCs w:val="18"/>
              </w:rPr>
              <w:t>Conflictos de intereses de índole no económico que pueden ser significativos en relación a la autoría en la guía</w:t>
            </w:r>
          </w:p>
        </w:tc>
        <w:tc>
          <w:tcPr>
            <w:tcW w:w="1276" w:type="dxa"/>
          </w:tcPr>
          <w:p w:rsidR="007E0101" w:rsidRDefault="007E0101" w:rsidP="00DE68A1">
            <w:pPr>
              <w:ind w:left="0" w:hanging="2"/>
              <w:rPr>
                <w:rFonts w:ascii="Arial" w:eastAsia="Arial" w:hAnsi="Arial" w:cs="Arial"/>
                <w:color w:val="000000"/>
                <w:sz w:val="18"/>
                <w:szCs w:val="18"/>
              </w:rPr>
            </w:pPr>
          </w:p>
        </w:tc>
        <w:tc>
          <w:tcPr>
            <w:tcW w:w="1275" w:type="dxa"/>
          </w:tcPr>
          <w:p w:rsidR="007E0101" w:rsidRDefault="007E0101" w:rsidP="00DE68A1">
            <w:pPr>
              <w:ind w:left="0" w:hanging="2"/>
              <w:rPr>
                <w:rFonts w:ascii="Arial" w:eastAsia="Arial" w:hAnsi="Arial" w:cs="Arial"/>
                <w:color w:val="000000"/>
                <w:sz w:val="18"/>
                <w:szCs w:val="18"/>
              </w:rPr>
            </w:pPr>
          </w:p>
        </w:tc>
        <w:tc>
          <w:tcPr>
            <w:tcW w:w="833" w:type="dxa"/>
          </w:tcPr>
          <w:p w:rsidR="007E0101" w:rsidRDefault="007E0101" w:rsidP="00DE68A1">
            <w:pPr>
              <w:ind w:left="0" w:hanging="2"/>
              <w:rPr>
                <w:rFonts w:ascii="Arial" w:eastAsia="Arial" w:hAnsi="Arial" w:cs="Arial"/>
                <w:color w:val="000000"/>
                <w:sz w:val="18"/>
                <w:szCs w:val="18"/>
              </w:rPr>
            </w:pPr>
          </w:p>
        </w:tc>
      </w:tr>
      <w:tr w:rsidR="007E0101" w:rsidTr="00DE68A1">
        <w:trPr>
          <w:trHeight w:val="226"/>
        </w:trPr>
        <w:tc>
          <w:tcPr>
            <w:tcW w:w="8879" w:type="dxa"/>
            <w:gridSpan w:val="4"/>
          </w:tcPr>
          <w:p w:rsidR="007E0101" w:rsidRDefault="007E0101" w:rsidP="00DE68A1">
            <w:pPr>
              <w:ind w:left="0" w:hanging="2"/>
              <w:jc w:val="both"/>
              <w:rPr>
                <w:rFonts w:ascii="Arial" w:eastAsia="Arial" w:hAnsi="Arial" w:cs="Arial"/>
                <w:color w:val="FF0000"/>
                <w:sz w:val="18"/>
                <w:szCs w:val="18"/>
              </w:rPr>
            </w:pPr>
          </w:p>
        </w:tc>
      </w:tr>
    </w:tbl>
    <w:p w:rsidR="007E0101" w:rsidRDefault="007E0101" w:rsidP="007E0101">
      <w:pPr>
        <w:ind w:left="0" w:hanging="2"/>
        <w:rPr>
          <w:rFonts w:ascii="Arial" w:eastAsia="Arial" w:hAnsi="Arial" w:cs="Arial"/>
          <w:color w:val="000000"/>
          <w:sz w:val="20"/>
          <w:szCs w:val="20"/>
        </w:rPr>
      </w:pPr>
      <w:r>
        <w:rPr>
          <w:rFonts w:ascii="Arial" w:eastAsia="Arial" w:hAnsi="Arial" w:cs="Arial"/>
          <w:b/>
          <w:color w:val="000000"/>
          <w:sz w:val="20"/>
          <w:szCs w:val="20"/>
        </w:rPr>
        <w:t>B- Intereses no personales (</w:t>
      </w:r>
      <w:r>
        <w:rPr>
          <w:rFonts w:ascii="Arial" w:eastAsia="Arial" w:hAnsi="Arial" w:cs="Arial"/>
          <w:color w:val="000000"/>
          <w:sz w:val="20"/>
          <w:szCs w:val="20"/>
        </w:rPr>
        <w:t>En caso afirmativo especificar</w:t>
      </w:r>
      <w:r>
        <w:rPr>
          <w:rFonts w:ascii="Arial" w:eastAsia="Arial" w:hAnsi="Arial" w:cs="Arial"/>
          <w:b/>
          <w:color w:val="000000"/>
          <w:sz w:val="20"/>
          <w:szCs w:val="20"/>
        </w:rPr>
        <w:t xml:space="preserve">): </w:t>
      </w:r>
      <w:r>
        <w:rPr>
          <w:rFonts w:ascii="Arial" w:eastAsia="Arial" w:hAnsi="Arial" w:cs="Arial"/>
          <w:b/>
          <w:color w:val="000000"/>
          <w:sz w:val="20"/>
          <w:szCs w:val="20"/>
        </w:rPr>
        <w:tab/>
      </w:r>
      <w:r>
        <w:rPr>
          <w:rFonts w:ascii="Arial" w:eastAsia="Arial" w:hAnsi="Arial" w:cs="Arial"/>
          <w:b/>
          <w:color w:val="000000"/>
          <w:sz w:val="20"/>
          <w:szCs w:val="20"/>
        </w:rPr>
        <w:tab/>
        <w:t>🞐SI</w:t>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sym w:font="Wingdings" w:char="F078"/>
      </w:r>
      <w:r>
        <w:rPr>
          <w:rFonts w:ascii="Arial" w:eastAsia="Arial" w:hAnsi="Arial" w:cs="Arial"/>
          <w:b/>
          <w:color w:val="000000"/>
          <w:sz w:val="20"/>
          <w:szCs w:val="20"/>
        </w:rPr>
        <w:t>NO</w:t>
      </w:r>
    </w:p>
    <w:p w:rsidR="007E0101" w:rsidRDefault="007E0101" w:rsidP="007E0101">
      <w:pPr>
        <w:ind w:left="0" w:hanging="2"/>
        <w:rPr>
          <w:rFonts w:ascii="Arial" w:eastAsia="Arial" w:hAnsi="Arial" w:cs="Arial"/>
          <w:color w:val="000000"/>
          <w:sz w:val="20"/>
          <w:szCs w:val="20"/>
        </w:rPr>
      </w:pPr>
    </w:p>
    <w:tbl>
      <w:tblPr>
        <w:tblStyle w:val="afffff"/>
        <w:tblW w:w="9039" w:type="dxa"/>
        <w:tblInd w:w="-70" w:type="dxa"/>
        <w:tblLayout w:type="fixed"/>
        <w:tblLook w:val="0000" w:firstRow="0" w:lastRow="0" w:firstColumn="0" w:lastColumn="0" w:noHBand="0" w:noVBand="0"/>
      </w:tblPr>
      <w:tblGrid>
        <w:gridCol w:w="9039"/>
      </w:tblGrid>
      <w:tr w:rsidR="007E0101" w:rsidTr="00DE68A1">
        <w:trPr>
          <w:trHeight w:val="226"/>
        </w:trPr>
        <w:tc>
          <w:tcPr>
            <w:tcW w:w="9039" w:type="dxa"/>
          </w:tcPr>
          <w:p w:rsidR="007E0101" w:rsidRDefault="007E0101" w:rsidP="00DE68A1">
            <w:pPr>
              <w:spacing w:line="240" w:lineRule="auto"/>
              <w:ind w:left="0" w:hanging="2"/>
              <w:rPr>
                <w:rFonts w:ascii="Arial" w:eastAsia="Arial" w:hAnsi="Arial" w:cs="Arial"/>
                <w:color w:val="000000"/>
                <w:sz w:val="20"/>
                <w:szCs w:val="20"/>
              </w:rPr>
            </w:pPr>
          </w:p>
          <w:tbl>
            <w:tblPr>
              <w:tblStyle w:val="afffff0"/>
              <w:tblW w:w="88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5"/>
              <w:gridCol w:w="1276"/>
              <w:gridCol w:w="1275"/>
              <w:gridCol w:w="833"/>
            </w:tblGrid>
            <w:tr w:rsidR="007E0101" w:rsidTr="00DE68A1">
              <w:tc>
                <w:tcPr>
                  <w:tcW w:w="5495" w:type="dxa"/>
                  <w:tcBorders>
                    <w:top w:val="single" w:sz="4" w:space="0" w:color="000000"/>
                    <w:left w:val="single" w:sz="4" w:space="0" w:color="000000"/>
                    <w:bottom w:val="single" w:sz="4" w:space="0" w:color="000000"/>
                    <w:right w:val="single" w:sz="4" w:space="0" w:color="000000"/>
                  </w:tcBorders>
                </w:tcPr>
                <w:p w:rsidR="007E0101" w:rsidRDefault="007E0101" w:rsidP="00C14BFD">
                  <w:pPr>
                    <w:ind w:left="0" w:hanging="2"/>
                    <w:rPr>
                      <w:rFonts w:ascii="Arial" w:eastAsia="Arial" w:hAnsi="Arial" w:cs="Arial"/>
                      <w:color w:val="000000"/>
                      <w:sz w:val="18"/>
                      <w:szCs w:val="18"/>
                    </w:rPr>
                  </w:pPr>
                </w:p>
              </w:tc>
              <w:tc>
                <w:tcPr>
                  <w:tcW w:w="1276" w:type="dxa"/>
                  <w:tcBorders>
                    <w:top w:val="single" w:sz="4" w:space="0" w:color="000000"/>
                    <w:left w:val="single" w:sz="4" w:space="0" w:color="000000"/>
                    <w:bottom w:val="single" w:sz="4" w:space="0" w:color="000000"/>
                    <w:right w:val="single" w:sz="4" w:space="0" w:color="000000"/>
                  </w:tcBorders>
                </w:tcPr>
                <w:p w:rsidR="007E0101" w:rsidRDefault="007E0101" w:rsidP="00C14BFD">
                  <w:pPr>
                    <w:ind w:left="0" w:hanging="2"/>
                    <w:rPr>
                      <w:rFonts w:ascii="Arial" w:eastAsia="Arial" w:hAnsi="Arial" w:cs="Arial"/>
                      <w:color w:val="000000"/>
                      <w:sz w:val="18"/>
                      <w:szCs w:val="18"/>
                    </w:rPr>
                  </w:pPr>
                  <w:r>
                    <w:rPr>
                      <w:rFonts w:ascii="Arial" w:eastAsia="Arial" w:hAnsi="Arial" w:cs="Arial"/>
                      <w:color w:val="000000"/>
                      <w:sz w:val="18"/>
                      <w:szCs w:val="18"/>
                    </w:rPr>
                    <w:t>Actividad</w:t>
                  </w:r>
                </w:p>
              </w:tc>
              <w:tc>
                <w:tcPr>
                  <w:tcW w:w="1275" w:type="dxa"/>
                  <w:tcBorders>
                    <w:top w:val="single" w:sz="4" w:space="0" w:color="000000"/>
                    <w:left w:val="single" w:sz="4" w:space="0" w:color="000000"/>
                    <w:bottom w:val="single" w:sz="4" w:space="0" w:color="000000"/>
                    <w:right w:val="single" w:sz="4" w:space="0" w:color="000000"/>
                  </w:tcBorders>
                </w:tcPr>
                <w:p w:rsidR="007E0101" w:rsidRDefault="007E0101" w:rsidP="00C14BFD">
                  <w:pPr>
                    <w:ind w:left="0" w:hanging="2"/>
                    <w:rPr>
                      <w:rFonts w:ascii="Arial" w:eastAsia="Arial" w:hAnsi="Arial" w:cs="Arial"/>
                      <w:color w:val="000000"/>
                      <w:sz w:val="18"/>
                      <w:szCs w:val="18"/>
                    </w:rPr>
                  </w:pPr>
                  <w:r>
                    <w:rPr>
                      <w:rFonts w:ascii="Arial" w:eastAsia="Arial" w:hAnsi="Arial" w:cs="Arial"/>
                      <w:color w:val="000000"/>
                      <w:sz w:val="18"/>
                      <w:szCs w:val="18"/>
                    </w:rPr>
                    <w:t>Institución</w:t>
                  </w:r>
                </w:p>
              </w:tc>
              <w:tc>
                <w:tcPr>
                  <w:tcW w:w="833" w:type="dxa"/>
                  <w:tcBorders>
                    <w:top w:val="single" w:sz="4" w:space="0" w:color="000000"/>
                    <w:left w:val="single" w:sz="4" w:space="0" w:color="000000"/>
                    <w:bottom w:val="single" w:sz="4" w:space="0" w:color="000000"/>
                    <w:right w:val="single" w:sz="4" w:space="0" w:color="000000"/>
                  </w:tcBorders>
                </w:tcPr>
                <w:p w:rsidR="007E0101" w:rsidRDefault="007E0101" w:rsidP="00C14BFD">
                  <w:pPr>
                    <w:ind w:left="0" w:hanging="2"/>
                    <w:rPr>
                      <w:rFonts w:ascii="Arial" w:eastAsia="Arial" w:hAnsi="Arial" w:cs="Arial"/>
                      <w:color w:val="000000"/>
                      <w:sz w:val="18"/>
                      <w:szCs w:val="18"/>
                    </w:rPr>
                  </w:pPr>
                  <w:r>
                    <w:rPr>
                      <w:rFonts w:ascii="Arial" w:eastAsia="Arial" w:hAnsi="Arial" w:cs="Arial"/>
                      <w:color w:val="000000"/>
                      <w:sz w:val="18"/>
                      <w:szCs w:val="18"/>
                    </w:rPr>
                    <w:t>Fecha</w:t>
                  </w:r>
                </w:p>
              </w:tc>
            </w:tr>
            <w:tr w:rsidR="007E0101" w:rsidTr="00DE68A1">
              <w:tc>
                <w:tcPr>
                  <w:tcW w:w="5495" w:type="dxa"/>
                  <w:tcBorders>
                    <w:top w:val="single" w:sz="4" w:space="0" w:color="000000"/>
                    <w:left w:val="single" w:sz="4" w:space="0" w:color="000000"/>
                    <w:bottom w:val="single" w:sz="4" w:space="0" w:color="000000"/>
                    <w:right w:val="single" w:sz="4" w:space="0" w:color="000000"/>
                  </w:tcBorders>
                </w:tcPr>
                <w:p w:rsidR="007E0101" w:rsidRDefault="007E0101" w:rsidP="00C14BFD">
                  <w:pPr>
                    <w:ind w:left="0" w:hanging="2"/>
                    <w:rPr>
                      <w:rFonts w:ascii="Arial" w:eastAsia="Arial" w:hAnsi="Arial" w:cs="Arial"/>
                      <w:color w:val="000000"/>
                      <w:sz w:val="18"/>
                      <w:szCs w:val="18"/>
                    </w:rPr>
                  </w:pPr>
                  <w:r>
                    <w:rPr>
                      <w:rFonts w:ascii="Arial" w:eastAsia="Arial" w:hAnsi="Arial" w:cs="Arial"/>
                      <w:color w:val="000000"/>
                      <w:sz w:val="18"/>
                      <w:szCs w:val="18"/>
                    </w:rPr>
                    <w:t>Financiación o ayudas económicas para la creación de la unidad o servicio</w:t>
                  </w:r>
                </w:p>
              </w:tc>
              <w:tc>
                <w:tcPr>
                  <w:tcW w:w="1276" w:type="dxa"/>
                  <w:tcBorders>
                    <w:top w:val="single" w:sz="4" w:space="0" w:color="000000"/>
                    <w:left w:val="single" w:sz="4" w:space="0" w:color="000000"/>
                    <w:bottom w:val="single" w:sz="4" w:space="0" w:color="000000"/>
                    <w:right w:val="single" w:sz="4" w:space="0" w:color="000000"/>
                  </w:tcBorders>
                </w:tcPr>
                <w:p w:rsidR="007E0101" w:rsidRDefault="007E0101" w:rsidP="00C14BFD">
                  <w:pPr>
                    <w:ind w:left="0" w:hanging="2"/>
                    <w:rPr>
                      <w:rFonts w:ascii="Arial" w:eastAsia="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7E0101" w:rsidRDefault="007E0101" w:rsidP="00C14BFD">
                  <w:pPr>
                    <w:ind w:left="0" w:hanging="2"/>
                    <w:rPr>
                      <w:rFonts w:ascii="Arial" w:eastAsia="Arial" w:hAnsi="Arial" w:cs="Arial"/>
                      <w:color w:val="000000"/>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7E0101" w:rsidRDefault="007E0101" w:rsidP="00C14BFD">
                  <w:pPr>
                    <w:ind w:left="0" w:hanging="2"/>
                    <w:rPr>
                      <w:rFonts w:ascii="Arial" w:eastAsia="Arial" w:hAnsi="Arial" w:cs="Arial"/>
                      <w:color w:val="000000"/>
                      <w:sz w:val="18"/>
                      <w:szCs w:val="18"/>
                    </w:rPr>
                  </w:pPr>
                </w:p>
              </w:tc>
            </w:tr>
            <w:tr w:rsidR="007E0101" w:rsidTr="00DE68A1">
              <w:tc>
                <w:tcPr>
                  <w:tcW w:w="5495" w:type="dxa"/>
                  <w:tcBorders>
                    <w:top w:val="single" w:sz="4" w:space="0" w:color="000000"/>
                    <w:left w:val="single" w:sz="4" w:space="0" w:color="000000"/>
                    <w:bottom w:val="single" w:sz="4" w:space="0" w:color="000000"/>
                    <w:right w:val="single" w:sz="4" w:space="0" w:color="000000"/>
                  </w:tcBorders>
                </w:tcPr>
                <w:p w:rsidR="007E0101" w:rsidRDefault="007E0101" w:rsidP="00C14BFD">
                  <w:pPr>
                    <w:ind w:left="0" w:hanging="2"/>
                    <w:rPr>
                      <w:rFonts w:ascii="Arial" w:eastAsia="Arial" w:hAnsi="Arial" w:cs="Arial"/>
                      <w:color w:val="000000"/>
                      <w:sz w:val="18"/>
                      <w:szCs w:val="18"/>
                    </w:rPr>
                  </w:pPr>
                  <w:r>
                    <w:rPr>
                      <w:rFonts w:ascii="Arial" w:eastAsia="Arial" w:hAnsi="Arial" w:cs="Arial"/>
                      <w:color w:val="000000"/>
                      <w:sz w:val="18"/>
                      <w:szCs w:val="18"/>
                    </w:rPr>
                    <w:t>Dotación significativa de material a la unidad o servicio</w:t>
                  </w:r>
                </w:p>
              </w:tc>
              <w:tc>
                <w:tcPr>
                  <w:tcW w:w="1276" w:type="dxa"/>
                  <w:tcBorders>
                    <w:top w:val="single" w:sz="4" w:space="0" w:color="000000"/>
                    <w:left w:val="single" w:sz="4" w:space="0" w:color="000000"/>
                    <w:bottom w:val="single" w:sz="4" w:space="0" w:color="000000"/>
                    <w:right w:val="single" w:sz="4" w:space="0" w:color="000000"/>
                  </w:tcBorders>
                </w:tcPr>
                <w:p w:rsidR="007E0101" w:rsidRDefault="007E0101" w:rsidP="00C14BFD">
                  <w:pPr>
                    <w:ind w:left="0" w:hanging="2"/>
                    <w:rPr>
                      <w:rFonts w:ascii="Arial" w:eastAsia="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7E0101" w:rsidRDefault="007E0101" w:rsidP="00C14BFD">
                  <w:pPr>
                    <w:ind w:left="0" w:hanging="2"/>
                    <w:rPr>
                      <w:rFonts w:ascii="Arial" w:eastAsia="Arial" w:hAnsi="Arial" w:cs="Arial"/>
                      <w:color w:val="000000"/>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7E0101" w:rsidRDefault="007E0101" w:rsidP="00C14BFD">
                  <w:pPr>
                    <w:ind w:left="0" w:hanging="2"/>
                    <w:rPr>
                      <w:rFonts w:ascii="Arial" w:eastAsia="Arial" w:hAnsi="Arial" w:cs="Arial"/>
                      <w:color w:val="000000"/>
                      <w:sz w:val="18"/>
                      <w:szCs w:val="18"/>
                    </w:rPr>
                  </w:pPr>
                </w:p>
              </w:tc>
            </w:tr>
            <w:tr w:rsidR="007E0101" w:rsidTr="00DE68A1">
              <w:tc>
                <w:tcPr>
                  <w:tcW w:w="5495" w:type="dxa"/>
                  <w:tcBorders>
                    <w:top w:val="single" w:sz="4" w:space="0" w:color="000000"/>
                    <w:left w:val="single" w:sz="4" w:space="0" w:color="000000"/>
                    <w:bottom w:val="single" w:sz="4" w:space="0" w:color="000000"/>
                    <w:right w:val="single" w:sz="4" w:space="0" w:color="000000"/>
                  </w:tcBorders>
                </w:tcPr>
                <w:p w:rsidR="007E0101" w:rsidRDefault="007E0101" w:rsidP="00C14BFD">
                  <w:pPr>
                    <w:ind w:left="0" w:hanging="2"/>
                    <w:rPr>
                      <w:rFonts w:ascii="Arial" w:eastAsia="Arial" w:hAnsi="Arial" w:cs="Arial"/>
                      <w:color w:val="000000"/>
                      <w:sz w:val="18"/>
                      <w:szCs w:val="18"/>
                    </w:rPr>
                  </w:pPr>
                  <w:r>
                    <w:rPr>
                      <w:rFonts w:ascii="Arial" w:eastAsia="Arial" w:hAnsi="Arial" w:cs="Arial"/>
                      <w:color w:val="000000"/>
                      <w:sz w:val="18"/>
                      <w:szCs w:val="18"/>
                    </w:rPr>
                    <w:t>Contratación o ayudas económicas para contratar personal en la unidad o servicio</w:t>
                  </w:r>
                </w:p>
              </w:tc>
              <w:tc>
                <w:tcPr>
                  <w:tcW w:w="1276" w:type="dxa"/>
                  <w:tcBorders>
                    <w:top w:val="single" w:sz="4" w:space="0" w:color="000000"/>
                    <w:left w:val="single" w:sz="4" w:space="0" w:color="000000"/>
                    <w:bottom w:val="single" w:sz="4" w:space="0" w:color="000000"/>
                    <w:right w:val="single" w:sz="4" w:space="0" w:color="000000"/>
                  </w:tcBorders>
                </w:tcPr>
                <w:p w:rsidR="007E0101" w:rsidRDefault="007E0101" w:rsidP="00C14BFD">
                  <w:pPr>
                    <w:ind w:left="0" w:hanging="2"/>
                    <w:rPr>
                      <w:rFonts w:ascii="Arial" w:eastAsia="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7E0101" w:rsidRDefault="007E0101" w:rsidP="00C14BFD">
                  <w:pPr>
                    <w:ind w:left="0" w:hanging="2"/>
                    <w:rPr>
                      <w:rFonts w:ascii="Arial" w:eastAsia="Arial" w:hAnsi="Arial" w:cs="Arial"/>
                      <w:color w:val="000000"/>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7E0101" w:rsidRDefault="007E0101" w:rsidP="00C14BFD">
                  <w:pPr>
                    <w:ind w:left="0" w:hanging="2"/>
                    <w:rPr>
                      <w:rFonts w:ascii="Arial" w:eastAsia="Arial" w:hAnsi="Arial" w:cs="Arial"/>
                      <w:color w:val="000000"/>
                      <w:sz w:val="18"/>
                      <w:szCs w:val="18"/>
                    </w:rPr>
                  </w:pPr>
                </w:p>
              </w:tc>
            </w:tr>
            <w:tr w:rsidR="007E0101" w:rsidTr="00DE68A1">
              <w:tc>
                <w:tcPr>
                  <w:tcW w:w="5495" w:type="dxa"/>
                  <w:tcBorders>
                    <w:top w:val="single" w:sz="4" w:space="0" w:color="000000"/>
                    <w:left w:val="single" w:sz="4" w:space="0" w:color="000000"/>
                    <w:bottom w:val="single" w:sz="4" w:space="0" w:color="000000"/>
                    <w:right w:val="single" w:sz="4" w:space="0" w:color="000000"/>
                  </w:tcBorders>
                </w:tcPr>
                <w:p w:rsidR="007E0101" w:rsidRDefault="007E0101" w:rsidP="00C14BFD">
                  <w:pPr>
                    <w:ind w:left="0" w:hanging="2"/>
                    <w:rPr>
                      <w:rFonts w:ascii="Arial" w:eastAsia="Arial" w:hAnsi="Arial" w:cs="Arial"/>
                      <w:color w:val="000000"/>
                      <w:sz w:val="18"/>
                      <w:szCs w:val="18"/>
                    </w:rPr>
                  </w:pPr>
                  <w:r>
                    <w:rPr>
                      <w:rFonts w:ascii="Arial" w:eastAsia="Arial" w:hAnsi="Arial" w:cs="Arial"/>
                      <w:color w:val="000000"/>
                      <w:sz w:val="18"/>
                      <w:szCs w:val="18"/>
                    </w:rPr>
                    <w:t>Ayuda económica para la financiación de una investigación</w:t>
                  </w:r>
                </w:p>
              </w:tc>
              <w:tc>
                <w:tcPr>
                  <w:tcW w:w="1276" w:type="dxa"/>
                  <w:tcBorders>
                    <w:top w:val="single" w:sz="4" w:space="0" w:color="000000"/>
                    <w:left w:val="single" w:sz="4" w:space="0" w:color="000000"/>
                    <w:bottom w:val="single" w:sz="4" w:space="0" w:color="000000"/>
                    <w:right w:val="single" w:sz="4" w:space="0" w:color="000000"/>
                  </w:tcBorders>
                </w:tcPr>
                <w:p w:rsidR="007E0101" w:rsidRDefault="007E0101" w:rsidP="00C14BFD">
                  <w:pPr>
                    <w:ind w:left="0" w:hanging="2"/>
                    <w:rPr>
                      <w:rFonts w:ascii="Arial" w:eastAsia="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7E0101" w:rsidRDefault="007E0101" w:rsidP="00C14BFD">
                  <w:pPr>
                    <w:ind w:left="0" w:hanging="2"/>
                    <w:rPr>
                      <w:rFonts w:ascii="Arial" w:eastAsia="Arial" w:hAnsi="Arial" w:cs="Arial"/>
                      <w:color w:val="000000"/>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7E0101" w:rsidRDefault="007E0101" w:rsidP="00C14BFD">
                  <w:pPr>
                    <w:ind w:left="0" w:hanging="2"/>
                    <w:rPr>
                      <w:rFonts w:ascii="Arial" w:eastAsia="Arial" w:hAnsi="Arial" w:cs="Arial"/>
                      <w:color w:val="000000"/>
                      <w:sz w:val="18"/>
                      <w:szCs w:val="18"/>
                    </w:rPr>
                  </w:pPr>
                </w:p>
              </w:tc>
            </w:tr>
            <w:tr w:rsidR="007E0101" w:rsidTr="00DE68A1">
              <w:tc>
                <w:tcPr>
                  <w:tcW w:w="5495" w:type="dxa"/>
                  <w:tcBorders>
                    <w:top w:val="single" w:sz="4" w:space="0" w:color="000000"/>
                    <w:left w:val="single" w:sz="4" w:space="0" w:color="000000"/>
                    <w:bottom w:val="single" w:sz="4" w:space="0" w:color="000000"/>
                    <w:right w:val="single" w:sz="4" w:space="0" w:color="000000"/>
                  </w:tcBorders>
                </w:tcPr>
                <w:p w:rsidR="007E0101" w:rsidRDefault="007E0101" w:rsidP="00C14BFD">
                  <w:pPr>
                    <w:ind w:left="0" w:hanging="2"/>
                    <w:rPr>
                      <w:rFonts w:ascii="Arial" w:eastAsia="Arial" w:hAnsi="Arial" w:cs="Arial"/>
                      <w:color w:val="000000"/>
                      <w:sz w:val="18"/>
                      <w:szCs w:val="18"/>
                    </w:rPr>
                  </w:pPr>
                  <w:r>
                    <w:rPr>
                      <w:rFonts w:ascii="Arial" w:eastAsia="Arial" w:hAnsi="Arial" w:cs="Arial"/>
                      <w:color w:val="000000"/>
                      <w:sz w:val="18"/>
                      <w:szCs w:val="18"/>
                    </w:rPr>
                    <w:t>Financiación de programas educativos o cursos para la unidad</w:t>
                  </w:r>
                </w:p>
              </w:tc>
              <w:tc>
                <w:tcPr>
                  <w:tcW w:w="1276" w:type="dxa"/>
                  <w:tcBorders>
                    <w:top w:val="single" w:sz="4" w:space="0" w:color="000000"/>
                    <w:left w:val="single" w:sz="4" w:space="0" w:color="000000"/>
                    <w:bottom w:val="single" w:sz="4" w:space="0" w:color="000000"/>
                    <w:right w:val="single" w:sz="4" w:space="0" w:color="000000"/>
                  </w:tcBorders>
                </w:tcPr>
                <w:p w:rsidR="007E0101" w:rsidRDefault="007E0101" w:rsidP="00C14BFD">
                  <w:pPr>
                    <w:ind w:left="0" w:hanging="2"/>
                    <w:rPr>
                      <w:rFonts w:ascii="Arial" w:eastAsia="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7E0101" w:rsidRDefault="007E0101" w:rsidP="00C14BFD">
                  <w:pPr>
                    <w:ind w:left="0" w:hanging="2"/>
                    <w:rPr>
                      <w:rFonts w:ascii="Arial" w:eastAsia="Arial" w:hAnsi="Arial" w:cs="Arial"/>
                      <w:color w:val="000000"/>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7E0101" w:rsidRDefault="007E0101" w:rsidP="00C14BFD">
                  <w:pPr>
                    <w:ind w:left="0" w:hanging="2"/>
                    <w:rPr>
                      <w:rFonts w:ascii="Arial" w:eastAsia="Arial" w:hAnsi="Arial" w:cs="Arial"/>
                      <w:color w:val="000000"/>
                      <w:sz w:val="18"/>
                      <w:szCs w:val="18"/>
                    </w:rPr>
                  </w:pPr>
                </w:p>
              </w:tc>
            </w:tr>
          </w:tbl>
          <w:p w:rsidR="007E0101" w:rsidRDefault="007E0101" w:rsidP="00DE68A1">
            <w:pPr>
              <w:spacing w:line="240" w:lineRule="auto"/>
              <w:ind w:left="0" w:hanging="2"/>
              <w:rPr>
                <w:rFonts w:ascii="Arial" w:eastAsia="Arial" w:hAnsi="Arial" w:cs="Arial"/>
                <w:color w:val="000000"/>
                <w:sz w:val="20"/>
                <w:szCs w:val="20"/>
              </w:rPr>
            </w:pPr>
          </w:p>
        </w:tc>
      </w:tr>
    </w:tbl>
    <w:p w:rsidR="007E0101" w:rsidRDefault="007E0101" w:rsidP="007E0101">
      <w:pPr>
        <w:ind w:left="0" w:hanging="2"/>
        <w:rPr>
          <w:rFonts w:ascii="Arial" w:eastAsia="Arial" w:hAnsi="Arial" w:cs="Arial"/>
          <w:color w:val="000000"/>
          <w:sz w:val="20"/>
          <w:szCs w:val="20"/>
        </w:rPr>
      </w:pPr>
    </w:p>
    <w:p w:rsidR="007E0101" w:rsidRDefault="007E0101" w:rsidP="007E0101">
      <w:pPr>
        <w:ind w:left="0" w:hanging="2"/>
        <w:rPr>
          <w:rFonts w:ascii="Arial" w:eastAsia="Arial" w:hAnsi="Arial" w:cs="Arial"/>
          <w:sz w:val="20"/>
          <w:szCs w:val="20"/>
        </w:rPr>
      </w:pPr>
      <w:r>
        <w:rPr>
          <w:rFonts w:ascii="Arial" w:eastAsia="Arial" w:hAnsi="Arial" w:cs="Arial"/>
          <w:b/>
          <w:color w:val="000000"/>
          <w:sz w:val="20"/>
          <w:szCs w:val="20"/>
        </w:rPr>
        <w:t>C-Otros posibles conflictos de intereses no señalados en apartados anteriores (especificar)</w:t>
      </w:r>
    </w:p>
    <w:p w:rsidR="007E0101" w:rsidRDefault="007E0101" w:rsidP="007E0101">
      <w:pPr>
        <w:ind w:left="0" w:hanging="2"/>
        <w:rPr>
          <w:rFonts w:ascii="Arial" w:eastAsia="Arial" w:hAnsi="Arial" w:cs="Arial"/>
          <w:sz w:val="20"/>
          <w:szCs w:val="20"/>
        </w:rPr>
      </w:pPr>
    </w:p>
    <w:p w:rsidR="0015555D" w:rsidRDefault="0015555D" w:rsidP="0015555D">
      <w:pPr>
        <w:ind w:left="0" w:hanging="2"/>
        <w:rPr>
          <w:rFonts w:ascii="Arial" w:eastAsia="Arial" w:hAnsi="Arial" w:cs="Arial"/>
          <w:b/>
          <w:sz w:val="20"/>
          <w:szCs w:val="20"/>
        </w:rPr>
      </w:pPr>
      <w:r>
        <w:rPr>
          <w:rFonts w:ascii="Arial" w:eastAsia="Arial" w:hAnsi="Arial" w:cs="Arial"/>
          <w:b/>
          <w:sz w:val="20"/>
          <w:szCs w:val="20"/>
        </w:rPr>
        <w:t>FECHA</w:t>
      </w:r>
      <w:r>
        <w:rPr>
          <w:rFonts w:ascii="Arial" w:eastAsia="Arial" w:hAnsi="Arial" w:cs="Arial"/>
          <w:b/>
          <w:sz w:val="20"/>
          <w:szCs w:val="20"/>
        </w:rPr>
        <w:tab/>
        <w:t xml:space="preserve"> 22/12/2022</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FIRMA</w:t>
      </w:r>
    </w:p>
    <w:p w:rsidR="007E0101" w:rsidRDefault="007E0101">
      <w:pPr>
        <w:ind w:left="0" w:hanging="2"/>
        <w:rPr>
          <w:rFonts w:ascii="Arial" w:eastAsia="Arial" w:hAnsi="Arial" w:cs="Arial"/>
          <w:b/>
          <w:sz w:val="20"/>
          <w:szCs w:val="20"/>
        </w:rPr>
        <w:sectPr w:rsidR="007E0101">
          <w:type w:val="continuous"/>
          <w:pgSz w:w="11906" w:h="16838"/>
          <w:pgMar w:top="1417" w:right="1466" w:bottom="1417" w:left="1701" w:header="708" w:footer="708" w:gutter="0"/>
          <w:cols w:space="720"/>
        </w:sectPr>
      </w:pPr>
    </w:p>
    <w:p w:rsidR="009D49F2" w:rsidRDefault="009D49F2" w:rsidP="009D49F2">
      <w:pPr>
        <w:pBdr>
          <w:top w:val="nil"/>
          <w:left w:val="nil"/>
          <w:bottom w:val="nil"/>
          <w:right w:val="nil"/>
          <w:between w:val="nil"/>
        </w:pBdr>
        <w:spacing w:after="120" w:line="240" w:lineRule="auto"/>
        <w:ind w:left="0" w:hanging="2"/>
        <w:jc w:val="both"/>
        <w:rPr>
          <w:rFonts w:ascii="Arial" w:eastAsia="Arial" w:hAnsi="Arial" w:cs="Arial"/>
          <w:color w:val="000080"/>
          <w:sz w:val="20"/>
          <w:szCs w:val="20"/>
        </w:rPr>
      </w:pPr>
      <w:r>
        <w:rPr>
          <w:rFonts w:ascii="Arial" w:eastAsia="Arial" w:hAnsi="Arial" w:cs="Arial"/>
          <w:b/>
          <w:color w:val="000080"/>
          <w:sz w:val="20"/>
          <w:szCs w:val="20"/>
        </w:rPr>
        <w:lastRenderedPageBreak/>
        <w:t>ANEXO 2</w:t>
      </w:r>
      <w:r>
        <w:rPr>
          <w:rFonts w:ascii="Arial" w:eastAsia="Arial" w:hAnsi="Arial" w:cs="Arial"/>
          <w:color w:val="000080"/>
          <w:sz w:val="20"/>
          <w:szCs w:val="20"/>
        </w:rPr>
        <w:t xml:space="preserve">. </w:t>
      </w:r>
      <w:r>
        <w:rPr>
          <w:rFonts w:ascii="Arial" w:eastAsia="Arial" w:hAnsi="Arial" w:cs="Arial"/>
          <w:b/>
          <w:color w:val="000080"/>
          <w:sz w:val="20"/>
          <w:szCs w:val="20"/>
        </w:rPr>
        <w:t xml:space="preserve">HOJA DE INSTRUCCIONES PARA ALEGACIONES/PROPUESTAS AL BORRADOR DE INFORME DE EVALUACIÓN DE FÁRMACO _ PATOLOGÍA.  </w:t>
      </w:r>
    </w:p>
    <w:p w:rsidR="009D49F2" w:rsidRDefault="009D49F2" w:rsidP="009D49F2">
      <w:pPr>
        <w:ind w:left="0" w:hanging="2"/>
        <w:jc w:val="both"/>
        <w:rPr>
          <w:rFonts w:ascii="Arial" w:eastAsia="Arial" w:hAnsi="Arial" w:cs="Arial"/>
          <w:color w:val="000080"/>
          <w:sz w:val="20"/>
          <w:szCs w:val="20"/>
        </w:rPr>
      </w:pPr>
    </w:p>
    <w:p w:rsidR="009D49F2" w:rsidRDefault="009D49F2" w:rsidP="009D49F2">
      <w:pPr>
        <w:ind w:left="0" w:hanging="2"/>
        <w:jc w:val="both"/>
        <w:rPr>
          <w:rFonts w:ascii="Arial" w:eastAsia="Arial" w:hAnsi="Arial" w:cs="Arial"/>
          <w:color w:val="000080"/>
          <w:sz w:val="20"/>
          <w:szCs w:val="20"/>
        </w:rPr>
      </w:pPr>
      <w:r>
        <w:rPr>
          <w:rFonts w:ascii="Arial" w:eastAsia="Arial" w:hAnsi="Arial" w:cs="Arial"/>
          <w:color w:val="000080"/>
          <w:sz w:val="20"/>
          <w:szCs w:val="20"/>
        </w:rPr>
        <w:t>Nombre persona que hace la alegación propuesta: Dr. Miguel Rodrigo Aliaga</w:t>
      </w:r>
    </w:p>
    <w:p w:rsidR="009D49F2" w:rsidRDefault="009D49F2" w:rsidP="009D49F2">
      <w:pPr>
        <w:ind w:left="0" w:hanging="2"/>
        <w:jc w:val="both"/>
        <w:rPr>
          <w:rFonts w:ascii="Arial" w:eastAsia="Arial" w:hAnsi="Arial" w:cs="Arial"/>
          <w:color w:val="000080"/>
          <w:sz w:val="20"/>
          <w:szCs w:val="20"/>
        </w:rPr>
      </w:pPr>
      <w:r>
        <w:rPr>
          <w:rFonts w:ascii="Arial" w:eastAsia="Arial" w:hAnsi="Arial" w:cs="Arial"/>
          <w:color w:val="000080"/>
          <w:sz w:val="20"/>
          <w:szCs w:val="20"/>
        </w:rPr>
        <w:t>Cargo que ocupa: Urólogo. Coordinador del Grupo Uro-Oncológico (GUO) de la Asociación Española de Urología (AEU)</w:t>
      </w:r>
    </w:p>
    <w:p w:rsidR="009D49F2" w:rsidRDefault="009D49F2" w:rsidP="009D49F2">
      <w:pPr>
        <w:ind w:left="0" w:hanging="2"/>
        <w:jc w:val="both"/>
        <w:rPr>
          <w:rFonts w:ascii="Arial" w:eastAsia="Arial" w:hAnsi="Arial" w:cs="Arial"/>
          <w:color w:val="000080"/>
          <w:sz w:val="20"/>
          <w:szCs w:val="20"/>
        </w:rPr>
      </w:pPr>
      <w:r>
        <w:rPr>
          <w:rFonts w:ascii="Arial" w:eastAsia="Arial" w:hAnsi="Arial" w:cs="Arial"/>
          <w:color w:val="000080"/>
          <w:sz w:val="20"/>
          <w:szCs w:val="20"/>
        </w:rPr>
        <w:t xml:space="preserve">Centro, sociedad o empresa: </w:t>
      </w:r>
    </w:p>
    <w:p w:rsidR="009D49F2" w:rsidRDefault="009D49F2" w:rsidP="009D49F2">
      <w:pPr>
        <w:ind w:left="0" w:hanging="2"/>
        <w:jc w:val="both"/>
        <w:rPr>
          <w:rFonts w:ascii="Arial" w:eastAsia="Arial" w:hAnsi="Arial" w:cs="Arial"/>
          <w:color w:val="000080"/>
          <w:sz w:val="20"/>
          <w:szCs w:val="20"/>
        </w:rPr>
      </w:pPr>
      <w:r>
        <w:rPr>
          <w:rFonts w:ascii="Arial" w:eastAsia="Arial" w:hAnsi="Arial" w:cs="Arial"/>
          <w:color w:val="000080"/>
          <w:sz w:val="20"/>
          <w:szCs w:val="20"/>
        </w:rPr>
        <w:t>Teléfono de contacto: 607227020</w:t>
      </w:r>
    </w:p>
    <w:p w:rsidR="009D49F2" w:rsidRDefault="009D49F2" w:rsidP="009D49F2">
      <w:pPr>
        <w:ind w:left="0" w:hanging="2"/>
        <w:jc w:val="both"/>
        <w:rPr>
          <w:rFonts w:ascii="Arial" w:eastAsia="Arial" w:hAnsi="Arial" w:cs="Arial"/>
          <w:color w:val="000080"/>
          <w:sz w:val="20"/>
          <w:szCs w:val="20"/>
        </w:rPr>
      </w:pPr>
    </w:p>
    <w:p w:rsidR="009D49F2" w:rsidRDefault="009D49F2" w:rsidP="009D49F2">
      <w:pPr>
        <w:ind w:left="0" w:hanging="2"/>
        <w:jc w:val="both"/>
        <w:rPr>
          <w:rFonts w:ascii="Arial" w:eastAsia="Arial" w:hAnsi="Arial" w:cs="Arial"/>
          <w:sz w:val="20"/>
          <w:szCs w:val="20"/>
        </w:rPr>
      </w:pPr>
      <w:r>
        <w:rPr>
          <w:rFonts w:ascii="Arial" w:eastAsia="Arial" w:hAnsi="Arial" w:cs="Arial"/>
          <w:color w:val="000080"/>
          <w:sz w:val="20"/>
          <w:szCs w:val="20"/>
        </w:rPr>
        <w:t>FÁRMACO: ENZALUTAMIDA</w:t>
      </w:r>
    </w:p>
    <w:p w:rsidR="009D49F2" w:rsidRDefault="009D49F2" w:rsidP="009D49F2">
      <w:pPr>
        <w:ind w:left="0" w:hanging="2"/>
        <w:jc w:val="both"/>
        <w:rPr>
          <w:rFonts w:ascii="Arial" w:eastAsia="Arial" w:hAnsi="Arial" w:cs="Arial"/>
          <w:sz w:val="20"/>
          <w:szCs w:val="20"/>
        </w:rPr>
      </w:pPr>
    </w:p>
    <w:p w:rsidR="009D49F2" w:rsidRDefault="009D49F2" w:rsidP="009D49F2">
      <w:pPr>
        <w:ind w:left="0" w:hanging="2"/>
        <w:jc w:val="both"/>
        <w:rPr>
          <w:rFonts w:ascii="Tahoma" w:eastAsia="Tahoma" w:hAnsi="Tahoma" w:cs="Tahoma"/>
          <w:sz w:val="28"/>
          <w:szCs w:val="28"/>
        </w:rPr>
      </w:pPr>
      <w:r>
        <w:rPr>
          <w:rFonts w:ascii="Arial" w:eastAsia="Arial" w:hAnsi="Arial" w:cs="Arial"/>
          <w:color w:val="000080"/>
          <w:sz w:val="20"/>
          <w:szCs w:val="20"/>
        </w:rPr>
        <w:t>INDICACIÓN/ES: CPHSm</w:t>
      </w:r>
    </w:p>
    <w:p w:rsidR="009D49F2" w:rsidRDefault="009D49F2" w:rsidP="009D49F2">
      <w:pPr>
        <w:ind w:left="0" w:hanging="2"/>
        <w:jc w:val="both"/>
        <w:rPr>
          <w:rFonts w:ascii="Arial" w:eastAsia="Arial" w:hAnsi="Arial" w:cs="Arial"/>
          <w:color w:val="000080"/>
          <w:sz w:val="20"/>
          <w:szCs w:val="20"/>
        </w:rPr>
      </w:pPr>
    </w:p>
    <w:tbl>
      <w:tblPr>
        <w:tblW w:w="15037" w:type="dxa"/>
        <w:tblInd w:w="-72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1080"/>
        <w:gridCol w:w="8145"/>
        <w:gridCol w:w="5812"/>
      </w:tblGrid>
      <w:tr w:rsidR="009D49F2" w:rsidTr="0027454F">
        <w:tc>
          <w:tcPr>
            <w:tcW w:w="15037" w:type="dxa"/>
            <w:gridSpan w:val="3"/>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 Alegaciones al borrador público (MAXIMO 3 IMPRESOS)</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Dr. Miguel Rodrigo Aliaga. Urólogo. Coordinador del Grupo Uro-Oncológico (GUO) de la Asociación Española de Urología (AEU).</w:t>
            </w:r>
          </w:p>
        </w:tc>
        <w:tc>
          <w:tcPr>
            <w:tcW w:w="8145"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5.2.b Evaluación de la validez y de la utilidad práctica de los resultados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A. Validez interna. Limitaciones de diseño y/o comentarios (pag.24)</w:t>
            </w:r>
          </w:p>
          <w:p w:rsidR="009D49F2" w:rsidRDefault="009D49F2" w:rsidP="009D49F2">
            <w:pPr>
              <w:numPr>
                <w:ilvl w:val="0"/>
                <w:numId w:val="13"/>
              </w:numPr>
              <w:suppressAutoHyphens/>
              <w:ind w:left="0" w:hanging="2"/>
              <w:jc w:val="both"/>
              <w:textDirection w:val="btLr"/>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En el congreso de ASCO 2022 (1) se presentan los resultados correspondientes al análisis final de ENZAMET tras 470 eventos y un seguimiento de 68 meses. Aún no se ha alcanzado la mediana de SG en el brazo activo pero la reducción del riesgo de muerte es del 30% a favor de enzalutamida (HR 0.70; 95% CI 0.58-0.84). </w:t>
            </w:r>
            <w:r>
              <w:rPr>
                <w:rFonts w:ascii="Arial Narrow" w:eastAsia="Arial Narrow" w:hAnsi="Arial Narrow" w:cs="Arial Narrow"/>
                <w:color w:val="000080"/>
                <w:sz w:val="20"/>
                <w:szCs w:val="20"/>
              </w:rPr>
              <w:br/>
            </w:r>
          </w:p>
          <w:p w:rsidR="009D49F2" w:rsidRDefault="009D49F2" w:rsidP="009D49F2">
            <w:pPr>
              <w:numPr>
                <w:ilvl w:val="0"/>
                <w:numId w:val="13"/>
              </w:numPr>
              <w:suppressAutoHyphens/>
              <w:ind w:left="0" w:hanging="2"/>
              <w:jc w:val="both"/>
              <w:textDirection w:val="btLr"/>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El ensayo sí fue diseñado para poder obtener resultados con consistencia estadística en este aspecto dado que la variable “volumen de enfermedad” (alta y baja carga metastásica) se utilizó como criterio de estratificación. </w:t>
            </w:r>
          </w:p>
        </w:tc>
        <w:tc>
          <w:tcPr>
            <w:tcW w:w="5812"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Respuesta Tutor</w:t>
            </w: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-Se acepta y se incluyen los resultados del congreso ASCO en el informe. Si bien se trata de un abstract publicado tras la finalización del informe.</w:t>
            </w: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-De acuerdo con la alegación. Así se indica en el texto.</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Dr. Miguel Rodrigo Aliaga. Urólogo. Coordinador del Grupo Uro-Oncológico (GUO) de la </w:t>
            </w:r>
            <w:r>
              <w:rPr>
                <w:rFonts w:ascii="Arial Narrow" w:eastAsia="Arial Narrow" w:hAnsi="Arial Narrow" w:cs="Arial Narrow"/>
                <w:color w:val="000080"/>
                <w:sz w:val="20"/>
                <w:szCs w:val="20"/>
              </w:rPr>
              <w:lastRenderedPageBreak/>
              <w:t>Asociación Española de Urología (AEU).</w:t>
            </w:r>
          </w:p>
        </w:tc>
        <w:tc>
          <w:tcPr>
            <w:tcW w:w="8145"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lastRenderedPageBreak/>
              <w:t>5.2.b Evaluación de la validez y de la utilidad práctica de los resultados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C1. Valorar si la magnitud del efecto del tratamiento es de relevancia clínica. (pag.25)</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ARCHES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En el análisis final de ARCHES (2) se sigue demostrando el beneficio en SLPr visto en el análisis intermedio, de indudable relevancia clínica en una enfermedad de supervivencia prolongada donde los eventos relacionados con el esqueleto derivados de la progresión ósea son la principal causa de deterioro de la calidad de vida y de ingresos hospitalarios.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Con respecto a la calidad de vida durante el tratamiento, tal y como se publicó en JCO en 2019 (3), enzalutamida mantiene la calidad de vida de los pacientes CPHSm cuando se compara con el brazo control.</w:t>
            </w: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ENZAMET</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Los datos finales ya maduros de ENZAMET recientemente presentados en ASCO 2022 (1) confieren un beneficio en SG a enzalutamida tanto en pacientes con enfermedad de alto volumen (HR 0,79: IC 95%: 0.63-0.98) como en paciente con baja carga metastásica (HR 0.54; IC 95%: 0.39-0.74). </w:t>
            </w:r>
          </w:p>
        </w:tc>
        <w:tc>
          <w:tcPr>
            <w:tcW w:w="5812"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No se acepta. En este apartado se ha aplicado el formulario de valoración de beneficio clínico de la ESMO (URL </w:t>
            </w:r>
            <w:hyperlink r:id="rId72">
              <w:r>
                <w:rPr>
                  <w:rFonts w:ascii="Arial Narrow" w:eastAsia="Arial Narrow" w:hAnsi="Arial Narrow" w:cs="Arial Narrow"/>
                  <w:color w:val="000080"/>
                  <w:sz w:val="20"/>
                  <w:szCs w:val="20"/>
                </w:rPr>
                <w:t>https://www.esmo.org/guidelines/esmo-mcbs/esmo-mcbs-evaluation-forms</w:t>
              </w:r>
            </w:hyperlink>
            <w:r>
              <w:rPr>
                <w:rFonts w:ascii="Arial Narrow" w:eastAsia="Arial Narrow" w:hAnsi="Arial Narrow" w:cs="Arial Narrow"/>
                <w:color w:val="000080"/>
                <w:sz w:val="20"/>
                <w:szCs w:val="20"/>
              </w:rPr>
              <w:t xml:space="preserve">). En la valoración preliminar, se alcanza una puntuación de 3, pero en el siguiente apartado (donde se valora seguridad y calidad de vida) no se observa mejoría estadísticamente </w:t>
            </w:r>
            <w:r>
              <w:rPr>
                <w:rFonts w:ascii="Arial Narrow" w:eastAsia="Arial Narrow" w:hAnsi="Arial Narrow" w:cs="Arial Narrow"/>
                <w:color w:val="000080"/>
                <w:sz w:val="20"/>
                <w:szCs w:val="20"/>
              </w:rPr>
              <w:lastRenderedPageBreak/>
              <w:t xml:space="preserve">significativa, por lo que la puntuación no se modifica. Esta misma puntuación es la que dan los propios evaluadores de la ESMO, ya que desde hace un tiempo publican las scorecards con sus valoraciones (URL </w:t>
            </w:r>
            <w:hyperlink r:id="rId73">
              <w:r>
                <w:rPr>
                  <w:rFonts w:ascii="Arial Narrow" w:eastAsia="Arial Narrow" w:hAnsi="Arial Narrow" w:cs="Arial Narrow"/>
                  <w:color w:val="000080"/>
                  <w:sz w:val="20"/>
                  <w:szCs w:val="20"/>
                </w:rPr>
                <w:t>https://www.esmo.org/guidelines/esmo-mcbs/esmo-mcbs-scorecards</w:t>
              </w:r>
            </w:hyperlink>
            <w:r>
              <w:rPr>
                <w:rFonts w:ascii="Arial Narrow" w:eastAsia="Arial Narrow" w:hAnsi="Arial Narrow" w:cs="Arial Narrow"/>
                <w:color w:val="000080"/>
                <w:sz w:val="20"/>
                <w:szCs w:val="20"/>
              </w:rPr>
              <w:t>)</w:t>
            </w: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object w:dxaOrig="15817" w:dyaOrig="2184">
                <v:shape id="_x0000_i1026" type="#_x0000_t75" style="width:276pt;height:38pt;visibility:visible" o:ole="">
                  <v:imagedata r:id="rId32" o:title=""/>
                  <v:path o:extrusionok="t"/>
                </v:shape>
                <o:OLEObject Type="Embed" ProgID="PBrush" ShapeID="_x0000_i1026" DrawAspect="Content" ObjectID="_1738771682" r:id="rId74"/>
              </w:object>
            </w: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Se acepta y se incluye esta valoración en el informe. </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lastRenderedPageBreak/>
              <w:t>Dr. Miguel Rodrigo Aliaga. Urólogo. Coordinador del Grupo Uro-Oncológico (GUO) de la Asociación Española de Urología (AEU).</w:t>
            </w:r>
          </w:p>
        </w:tc>
        <w:tc>
          <w:tcPr>
            <w:tcW w:w="8145"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5.3.b.1 Comparaciones Indirectas publicadas (pag. 35)</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Los principales sesgos potencialmente presentes en los metaanálisis, como son la calidad de los estudios seleccionados (en este caso megaensayos clínicos de alta calidad),  el sesgo de heterogeneidad (no existe heterogeneidad demostrada entre los EECC seleccionados) y el sesgo de publicación (se han seleccionado todos los EECC existentes sin obviar ninguno con resultados negativos o diferente) no están presentes en ninguno de los tres metaanálisis. La mayoría de los considerados potenciales “sesgos” no deben de ser considerados para restar credibilidad a los resultados de 3 metaanálisis con una rigurosa metodología y con el mayor nivel de evidencia científica posible.</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A modo de síntesis valorando eficacia podemos extraer las conclusiones globales de los 3 metaanálisis: </w:t>
            </w:r>
          </w:p>
          <w:p w:rsidR="009D49F2" w:rsidRDefault="009D49F2" w:rsidP="009D49F2">
            <w:pPr>
              <w:numPr>
                <w:ilvl w:val="0"/>
                <w:numId w:val="6"/>
              </w:numPr>
              <w:suppressAutoHyphens/>
              <w:ind w:left="0" w:hanging="2"/>
              <w:jc w:val="both"/>
              <w:textDirection w:val="btLr"/>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u w:val="single"/>
              </w:rPr>
              <w:t>Para dar respuesta al beneficio en SLP</w:t>
            </w:r>
            <w:r>
              <w:rPr>
                <w:rFonts w:ascii="Arial Narrow" w:eastAsia="Arial Narrow" w:hAnsi="Arial Narrow" w:cs="Arial Narrow"/>
                <w:color w:val="000080"/>
                <w:sz w:val="20"/>
                <w:szCs w:val="20"/>
              </w:rPr>
              <w:t>, las conclusiones de los metaanálisis son las siguientes: En el primer metaanálisis, las 3 moléculas orales (apalutamida, abiraterona y enzalutamida) demuestran una superioridad frente a docetaxel, siendo la enzalutamida el fármaco con una mayor reducción del riesgo de progresión. En el segundo de los metaanálisis se observa también una superioridad de enzalutamida frente a apalutamida y docetaxel, pero no frente a abiraterona.</w:t>
            </w:r>
          </w:p>
          <w:p w:rsidR="009D49F2" w:rsidRDefault="009D49F2" w:rsidP="009D49F2">
            <w:pPr>
              <w:numPr>
                <w:ilvl w:val="0"/>
                <w:numId w:val="6"/>
              </w:numPr>
              <w:suppressAutoHyphens/>
              <w:ind w:left="0" w:hanging="2"/>
              <w:jc w:val="both"/>
              <w:textDirection w:val="btLr"/>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u w:val="single"/>
              </w:rPr>
              <w:t>Para dar respuesta al beneficio en SG</w:t>
            </w:r>
            <w:r>
              <w:rPr>
                <w:rFonts w:ascii="Arial Narrow" w:eastAsia="Arial Narrow" w:hAnsi="Arial Narrow" w:cs="Arial Narrow"/>
                <w:color w:val="000080"/>
                <w:sz w:val="20"/>
                <w:szCs w:val="20"/>
              </w:rPr>
              <w:t xml:space="preserve">, las conclusiones de los metaanálisis son las siguientes: En el primer metaanálisis la enzalutamida no logró demostrar superioridad cuando se comparó con el resto de combinaciones. Tanto en el segundo como el tercer metaanálisis, enzalutamida demuestra un mayor beneficio en SG que docetaxel sin haber podido demostrar diferencias con abiraterona y apalutamida. Cuando </w:t>
            </w:r>
            <w:r>
              <w:rPr>
                <w:rFonts w:ascii="Arial Narrow" w:eastAsia="Arial Narrow" w:hAnsi="Arial Narrow" w:cs="Arial Narrow"/>
                <w:color w:val="000080"/>
                <w:sz w:val="20"/>
                <w:szCs w:val="20"/>
              </w:rPr>
              <w:lastRenderedPageBreak/>
              <w:t xml:space="preserve">se analiza de nuevo el beneficio en SG en función del volumen de enfermedad, enzalutamida se muestra superior a docetaxel, sin encontrar diferencias con el resto de moléculas orales. </w:t>
            </w:r>
          </w:p>
        </w:tc>
        <w:tc>
          <w:tcPr>
            <w:tcW w:w="5812"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La conclusión es correcta, pues no se mostraron diferencias estadísticamente significativas entre las tres moléculas. No se toma en consideración si numéricamente es mayor o no, pues, si no hay significación estadística, cualquier diferencia podría ser debido al azar. </w:t>
            </w:r>
          </w:p>
          <w:p w:rsidR="009D49F2" w:rsidRDefault="009D49F2" w:rsidP="0027454F">
            <w:pPr>
              <w:ind w:left="0" w:hanging="2"/>
              <w:jc w:val="both"/>
              <w:rPr>
                <w:rFonts w:ascii="Arial Narrow" w:eastAsia="Arial Narrow" w:hAnsi="Arial Narrow" w:cs="Arial Narrow"/>
                <w:color w:val="000080"/>
                <w:sz w:val="20"/>
                <w:szCs w:val="20"/>
              </w:rPr>
            </w:pP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lastRenderedPageBreak/>
              <w:t>Dr. Miguel Rodrigo Aliaga. Urólogo. Coordinador del Grupo Uro-Oncológico (GUO) de la Asociación Española de Urología (AEU).</w:t>
            </w:r>
          </w:p>
        </w:tc>
        <w:tc>
          <w:tcPr>
            <w:tcW w:w="8145"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5.3.b.2 Comparaciones indirectas de elaboración propia (pag. 40)</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Hay 3 ensayos que estratificaron a los pacientes en función del “volumen de enfermedad” dotándolos de solidez estadística suficiente como para obtener conclusiones de relevante evidencia científica. Estos 3 ensayos son CHAARTED, ENZAMET y ARCHES.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u w:val="single"/>
              </w:rPr>
              <w:t>El análisis final del ensayo CHAARTED</w:t>
            </w:r>
            <w:r>
              <w:rPr>
                <w:rFonts w:ascii="Arial Narrow" w:eastAsia="Arial Narrow" w:hAnsi="Arial Narrow" w:cs="Arial Narrow"/>
                <w:color w:val="000080"/>
                <w:sz w:val="20"/>
                <w:szCs w:val="20"/>
              </w:rPr>
              <w:t xml:space="preserve"> publicado en JCO en abril 2018 (4) con más de 53 meses de seguimiento demuestra que los pacientes con CPHSm de bajo volumen no se benefician de docetaxel (HR 1.04; IC 95%: 0.70-1.55), mientras que sí que lo hacen aquellos con alta carga metastásica (HR 51.2; IC 95%: 0.50-0.79). Reforzando esta conclusión, recientemente se han presentado en ASCO 2022 los datos de seguimiento a 8 años del ensayo CHAARTED (5) donde se sigue demostrando la ausencia de beneficio en supervivencia de los pacientes con CPHSm de bajo volumen tratados con docetaxel, ni en los sincrónicos (HR 0.77; IC 95% 0.51-1.18, p = 0.23) ni en los metacrónicos (HR 1.65; IC 95%: 0.95-2.87, p = 0.54). Tan sólo el grupo de pacientes de novo y alto volumen se benefician de docetaxel reforzando los datos previamente publicados.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u w:val="single"/>
              </w:rPr>
              <w:t>En segundo lugar, los datos finales ya maduros de ENZAMET</w:t>
            </w:r>
            <w:r>
              <w:rPr>
                <w:rFonts w:ascii="Arial Narrow" w:eastAsia="Arial Narrow" w:hAnsi="Arial Narrow" w:cs="Arial Narrow"/>
                <w:color w:val="000080"/>
                <w:sz w:val="20"/>
                <w:szCs w:val="20"/>
              </w:rPr>
              <w:t xml:space="preserve"> recientemente presentados en ASCO 2022 (1) confieren un beneficio en SG a enzalutamida tanto en pacientes con enfermedad de alto volumen (HR 0,79: IC 95%: 0.63-0.98) como en pacientes con baja carga metastásica (HR 0.54; IC 95%: 0.39-0.74). </w:t>
            </w: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u w:val="single"/>
              </w:rPr>
            </w:pPr>
          </w:p>
          <w:p w:rsidR="009D49F2" w:rsidRDefault="009D49F2" w:rsidP="0027454F">
            <w:pPr>
              <w:ind w:left="0" w:hanging="2"/>
              <w:jc w:val="both"/>
              <w:rPr>
                <w:rFonts w:ascii="Arial Narrow" w:eastAsia="Arial Narrow" w:hAnsi="Arial Narrow" w:cs="Arial Narrow"/>
                <w:color w:val="000080"/>
                <w:sz w:val="20"/>
                <w:szCs w:val="20"/>
                <w:u w:val="single"/>
              </w:rPr>
            </w:pPr>
          </w:p>
          <w:p w:rsidR="009D49F2" w:rsidRDefault="009D49F2" w:rsidP="0027454F">
            <w:pPr>
              <w:ind w:left="0" w:hanging="2"/>
              <w:jc w:val="both"/>
              <w:rPr>
                <w:rFonts w:ascii="Arial Narrow" w:eastAsia="Arial Narrow" w:hAnsi="Arial Narrow" w:cs="Arial Narrow"/>
                <w:color w:val="000080"/>
                <w:sz w:val="20"/>
                <w:szCs w:val="20"/>
                <w:u w:val="single"/>
              </w:rPr>
            </w:pPr>
          </w:p>
          <w:p w:rsidR="009D49F2" w:rsidRDefault="009D49F2" w:rsidP="0027454F">
            <w:pPr>
              <w:ind w:left="0" w:hanging="2"/>
              <w:jc w:val="both"/>
              <w:rPr>
                <w:rFonts w:ascii="Arial Narrow" w:eastAsia="Arial Narrow" w:hAnsi="Arial Narrow" w:cs="Arial Narrow"/>
                <w:color w:val="000080"/>
                <w:sz w:val="20"/>
                <w:szCs w:val="20"/>
                <w:u w:val="single"/>
              </w:rPr>
            </w:pPr>
          </w:p>
          <w:p w:rsidR="009D49F2" w:rsidRDefault="009D49F2" w:rsidP="0027454F">
            <w:pPr>
              <w:ind w:left="0" w:hanging="2"/>
              <w:jc w:val="both"/>
              <w:rPr>
                <w:rFonts w:ascii="Arial Narrow" w:eastAsia="Arial Narrow" w:hAnsi="Arial Narrow" w:cs="Arial Narrow"/>
                <w:color w:val="000080"/>
                <w:sz w:val="20"/>
                <w:szCs w:val="20"/>
                <w:u w:val="single"/>
              </w:rPr>
            </w:pPr>
          </w:p>
          <w:p w:rsidR="009D49F2" w:rsidRDefault="009D49F2" w:rsidP="0027454F">
            <w:pPr>
              <w:ind w:left="0" w:hanging="2"/>
              <w:jc w:val="both"/>
              <w:rPr>
                <w:rFonts w:ascii="Arial Narrow" w:eastAsia="Arial Narrow" w:hAnsi="Arial Narrow" w:cs="Arial Narrow"/>
                <w:color w:val="000080"/>
                <w:sz w:val="20"/>
                <w:szCs w:val="20"/>
                <w:u w:val="single"/>
              </w:rPr>
            </w:pPr>
          </w:p>
          <w:p w:rsidR="009D49F2" w:rsidRDefault="009D49F2" w:rsidP="0027454F">
            <w:pPr>
              <w:ind w:left="0" w:hanging="2"/>
              <w:jc w:val="both"/>
              <w:rPr>
                <w:rFonts w:ascii="Arial Narrow" w:eastAsia="Arial Narrow" w:hAnsi="Arial Narrow" w:cs="Arial Narrow"/>
                <w:color w:val="000080"/>
                <w:sz w:val="20"/>
                <w:szCs w:val="20"/>
                <w:u w:val="single"/>
              </w:rPr>
            </w:pPr>
          </w:p>
          <w:p w:rsidR="009D49F2" w:rsidRDefault="009D49F2" w:rsidP="0027454F">
            <w:pPr>
              <w:ind w:left="0" w:hanging="2"/>
              <w:jc w:val="both"/>
              <w:rPr>
                <w:rFonts w:ascii="Arial Narrow" w:eastAsia="Arial Narrow" w:hAnsi="Arial Narrow" w:cs="Arial Narrow"/>
                <w:color w:val="000080"/>
                <w:sz w:val="20"/>
                <w:szCs w:val="20"/>
                <w:u w:val="single"/>
              </w:rPr>
            </w:pPr>
          </w:p>
          <w:p w:rsidR="009D49F2" w:rsidRDefault="009D49F2" w:rsidP="0027454F">
            <w:pPr>
              <w:ind w:left="0" w:hanging="2"/>
              <w:jc w:val="both"/>
              <w:rPr>
                <w:rFonts w:ascii="Arial Narrow" w:eastAsia="Arial Narrow" w:hAnsi="Arial Narrow" w:cs="Arial Narrow"/>
                <w:color w:val="000080"/>
                <w:sz w:val="20"/>
                <w:szCs w:val="20"/>
                <w:u w:val="single"/>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u w:val="single"/>
              </w:rPr>
              <w:t>Y por último, los datos finales de ARCHES</w:t>
            </w:r>
            <w:r>
              <w:rPr>
                <w:rFonts w:ascii="Arial Narrow" w:eastAsia="Arial Narrow" w:hAnsi="Arial Narrow" w:cs="Arial Narrow"/>
                <w:color w:val="000080"/>
                <w:sz w:val="20"/>
                <w:szCs w:val="20"/>
              </w:rPr>
              <w:t xml:space="preserve"> presentados en ESMO 2021 (2) tras un seguimiento de 44.6 meses vienen a refrendar los resultados de ENZAMET. ARCHES demuestra un beneficio en SG a favor de enzalutamida tanto en pacientes con alto volumen (HR 0.66; IC 95%: 0.52-0.83) como en bajo volumen metastásico (HR 0.66; IC 95%: 0.43-1.03) a pesar de datos aún inmaduros pues tan sólo se han producido 81 muertes (sobre un total de 423 pacientes de bajo volumen en el ensayo).</w:t>
            </w: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lastRenderedPageBreak/>
              <w:t xml:space="preserve">Analizados los 3 ensayos anteriores, no parece ético seguir recomendando el tratamiento con docetaxel a los pacientes con CPHS con baja carga metastásica, </w:t>
            </w: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Por otro lado, los metaanálisis en red analizados sí que arrojan conclusiones bastante consistentes. Conclusiones procedentes de análisis estadísticos con megaensayos clínicos de alta calidad (principal factor de relevancia para valorar la calidad de un metaanálisis) y con un riesgo de sesgo de heterogeneidad y de detección muy bajo, según se ha expuesto anteriormente.</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1.</w:t>
            </w:r>
            <w:r>
              <w:rPr>
                <w:rFonts w:ascii="Arial Narrow" w:eastAsia="Arial Narrow" w:hAnsi="Arial Narrow" w:cs="Arial Narrow"/>
                <w:color w:val="000080"/>
                <w:sz w:val="20"/>
                <w:szCs w:val="20"/>
              </w:rPr>
              <w:tab/>
            </w:r>
            <w:r>
              <w:rPr>
                <w:rFonts w:ascii="Arial Narrow" w:eastAsia="Arial Narrow" w:hAnsi="Arial Narrow" w:cs="Arial Narrow"/>
                <w:color w:val="000080"/>
                <w:sz w:val="20"/>
                <w:szCs w:val="20"/>
                <w:u w:val="single"/>
              </w:rPr>
              <w:t>La primera de las conclusiones</w:t>
            </w:r>
            <w:r>
              <w:rPr>
                <w:rFonts w:ascii="Arial Narrow" w:eastAsia="Arial Narrow" w:hAnsi="Arial Narrow" w:cs="Arial Narrow"/>
                <w:color w:val="000080"/>
                <w:sz w:val="20"/>
                <w:szCs w:val="20"/>
              </w:rPr>
              <w:t xml:space="preserve"> es que enzalutamida es con alta probabilidad el fármaco con una mayor reducción del riesgo de progresión (radiológica y/o clínica). Hecho muy a tener en cuenta en una enfermedad de largo recorrido como el cáncer de próstata.</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2.</w:t>
            </w:r>
            <w:r>
              <w:rPr>
                <w:rFonts w:ascii="Arial Narrow" w:eastAsia="Arial Narrow" w:hAnsi="Arial Narrow" w:cs="Arial Narrow"/>
                <w:color w:val="000080"/>
                <w:sz w:val="20"/>
                <w:szCs w:val="20"/>
              </w:rPr>
              <w:tab/>
            </w:r>
            <w:r>
              <w:rPr>
                <w:rFonts w:ascii="Arial Narrow" w:eastAsia="Arial Narrow" w:hAnsi="Arial Narrow" w:cs="Arial Narrow"/>
                <w:color w:val="000080"/>
                <w:sz w:val="20"/>
                <w:szCs w:val="20"/>
                <w:u w:val="single"/>
              </w:rPr>
              <w:t>La siguiente de las conclusiones</w:t>
            </w:r>
            <w:r>
              <w:rPr>
                <w:rFonts w:ascii="Arial Narrow" w:eastAsia="Arial Narrow" w:hAnsi="Arial Narrow" w:cs="Arial Narrow"/>
                <w:color w:val="000080"/>
                <w:sz w:val="20"/>
                <w:szCs w:val="20"/>
              </w:rPr>
              <w:t xml:space="preserve"> es que no parece probable o no es posible demostrar que exista una superioridad en eficacia de ninguna de las combinaciones frente al resto en pacientes con CPHSm sincrónico y de alto volumen.</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3.</w:t>
            </w:r>
            <w:r>
              <w:rPr>
                <w:rFonts w:ascii="Arial Narrow" w:eastAsia="Arial Narrow" w:hAnsi="Arial Narrow" w:cs="Arial Narrow"/>
                <w:color w:val="000080"/>
                <w:sz w:val="20"/>
                <w:szCs w:val="20"/>
              </w:rPr>
              <w:tab/>
            </w:r>
            <w:r>
              <w:rPr>
                <w:rFonts w:ascii="Arial Narrow" w:eastAsia="Arial Narrow" w:hAnsi="Arial Narrow" w:cs="Arial Narrow"/>
                <w:color w:val="000080"/>
                <w:sz w:val="20"/>
                <w:szCs w:val="20"/>
                <w:u w:val="single"/>
              </w:rPr>
              <w:t>La tercera conclusión</w:t>
            </w:r>
            <w:r>
              <w:rPr>
                <w:rFonts w:ascii="Arial Narrow" w:eastAsia="Arial Narrow" w:hAnsi="Arial Narrow" w:cs="Arial Narrow"/>
                <w:color w:val="000080"/>
                <w:sz w:val="20"/>
                <w:szCs w:val="20"/>
              </w:rPr>
              <w:t xml:space="preserve"> es que, con alta probabilidad, en los pacientes con CPHSm de bajo volumen, enzalutamida ofrece una mayor reducción del riesgo de muerte que docetaxel. No es probable que podamos demostrar esta diferencia cuando se compara con apalutamida y abiraterona.</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4.</w:t>
            </w:r>
            <w:r>
              <w:rPr>
                <w:rFonts w:ascii="Arial Narrow" w:eastAsia="Arial Narrow" w:hAnsi="Arial Narrow" w:cs="Arial Narrow"/>
                <w:color w:val="000080"/>
                <w:sz w:val="20"/>
                <w:szCs w:val="20"/>
              </w:rPr>
              <w:tab/>
            </w:r>
            <w:r>
              <w:rPr>
                <w:rFonts w:ascii="Arial Narrow" w:eastAsia="Arial Narrow" w:hAnsi="Arial Narrow" w:cs="Arial Narrow"/>
                <w:color w:val="000080"/>
                <w:sz w:val="20"/>
                <w:szCs w:val="20"/>
                <w:u w:val="single"/>
              </w:rPr>
              <w:t>Por último</w:t>
            </w:r>
            <w:r>
              <w:rPr>
                <w:rFonts w:ascii="Arial Narrow" w:eastAsia="Arial Narrow" w:hAnsi="Arial Narrow" w:cs="Arial Narrow"/>
                <w:color w:val="000080"/>
                <w:sz w:val="20"/>
                <w:szCs w:val="20"/>
              </w:rPr>
              <w:t>, la calidad de vida frente a placebo no se deteriora durante el tratamiento con enzalutamida, abiraterona y apalutamida.  La calidad de vida con docetaxel se deteriora frente a placebo en todos los ensayos en los que la combinación TPA + docetaxel se compara con TPA + placebo.</w:t>
            </w:r>
          </w:p>
        </w:tc>
        <w:tc>
          <w:tcPr>
            <w:tcW w:w="5812"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u w:val="single"/>
              </w:rPr>
              <w:t>En el ensayo CHAARTED (TDA vs. TDA+docetaxel)</w:t>
            </w:r>
            <w:r>
              <w:rPr>
                <w:rFonts w:ascii="Arial Narrow" w:eastAsia="Arial Narrow" w:hAnsi="Arial Narrow" w:cs="Arial Narrow"/>
                <w:color w:val="000080"/>
                <w:sz w:val="20"/>
                <w:szCs w:val="20"/>
              </w:rPr>
              <w:t xml:space="preserve">, los resultados de los brazos de alta y baja carga tumoral son: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Alta carga (HR </w:t>
            </w:r>
            <w:r>
              <w:rPr>
                <w:rFonts w:ascii="Arial Narrow" w:eastAsia="Arial Narrow" w:hAnsi="Arial Narrow" w:cs="Arial Narrow"/>
                <w:b/>
                <w:color w:val="000080"/>
                <w:sz w:val="20"/>
                <w:szCs w:val="20"/>
              </w:rPr>
              <w:t>0,63</w:t>
            </w:r>
            <w:r>
              <w:rPr>
                <w:rFonts w:ascii="Arial Narrow" w:eastAsia="Arial Narrow" w:hAnsi="Arial Narrow" w:cs="Arial Narrow"/>
                <w:color w:val="000080"/>
                <w:sz w:val="20"/>
                <w:szCs w:val="20"/>
              </w:rPr>
              <w:t>; IC95% 0,50-0,79)</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Baja carga (HR 1,04, IC95% 0,70-1,55)</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P de interacción entre subgrupos de 0,0322.</w:t>
            </w: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u w:val="single"/>
              </w:rPr>
              <w:t>En el ensayo ENZAMET (enzalutamida vs. tratamiento estándar)</w:t>
            </w:r>
            <w:r>
              <w:rPr>
                <w:rFonts w:ascii="Arial Narrow" w:eastAsia="Arial Narrow" w:hAnsi="Arial Narrow" w:cs="Arial Narrow"/>
                <w:color w:val="000080"/>
                <w:sz w:val="20"/>
                <w:szCs w:val="20"/>
              </w:rPr>
              <w:t xml:space="preserve">: </w:t>
            </w: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En el global de pacientes: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Baja carga: HR 0,54 (IC95% 0,39-0,74)</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Alta carga: HR 0,79 (IC95% 0,63-0,98)</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P de interacción: 0,0553</w:t>
            </w: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En la comparación entre alto y bajo volumen en pacientes con docetaxel:</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Baja carga: HR 0,61 (IC95% 0,33-1,10)</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Alta carga: HR 0,87 (IC95% 0,66-1,17)</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P de interacción: 0,2965</w:t>
            </w: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u w:val="single"/>
              </w:rPr>
              <w:t>Ensayo ARCHES (TDA vs. TDA+enzalutamida)</w:t>
            </w:r>
            <w:r>
              <w:rPr>
                <w:rFonts w:ascii="Arial Narrow" w:eastAsia="Arial Narrow" w:hAnsi="Arial Narrow" w:cs="Arial Narrow"/>
                <w:color w:val="000080"/>
                <w:sz w:val="20"/>
                <w:szCs w:val="20"/>
              </w:rPr>
              <w:t xml:space="preserve">: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Baja carga: HR 0,25 (IC95% 0,14-0,46)</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Alta carga: HR 0,43 (IC95% 0,33-0,57)</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P de interacción: 0,1044</w:t>
            </w: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lastRenderedPageBreak/>
              <w:t xml:space="preserve">En la comparación entre alta y baja carga con enzalutamida, si bien no hay interacción en todos, van en el mismo sentido. Y podría decirse que funciona mejor en pacientes con baja carga tumoral. </w:t>
            </w: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En el caso de docetaxel, no queda tan claro, al menos con los datos disponibles y aquí comentados: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En el CHAARTED se observa interacción, pero el resultado (mejor resultado en alta carga) no es consistente con el mostrado en el ensayo ENZAMET (aparentemente mejor en baja carga).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Además, en el ensayo ENZAMET, no existe interacción estadística entre los subgrupos. Por tanto, existe incertidumbre sobre la falta de eficacia de docetaxel en pacientes con baja carga tumoral, y no pueden extraerse conclusiones.</w:t>
            </w: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El resultado de los metanálisis ya se ha comentado previamente. </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lastRenderedPageBreak/>
              <w:t xml:space="preserve">Dr. Miguel Rodrigo Aliaga. Urólogo. </w:t>
            </w:r>
            <w:r>
              <w:rPr>
                <w:rFonts w:ascii="Arial Narrow" w:eastAsia="Arial Narrow" w:hAnsi="Arial Narrow" w:cs="Arial Narrow"/>
                <w:color w:val="000080"/>
                <w:sz w:val="20"/>
                <w:szCs w:val="20"/>
              </w:rPr>
              <w:lastRenderedPageBreak/>
              <w:t>Coordinador del Grupo Uro-Oncológico (GUO) de la Asociación Española de Urología (AEU).</w:t>
            </w:r>
          </w:p>
        </w:tc>
        <w:tc>
          <w:tcPr>
            <w:tcW w:w="8145"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lastRenderedPageBreak/>
              <w:t>7.4. Estimación del impacto presupuestario y de los beneficios esperados en salud (pag. 53)</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Diversas consideraciones han de tenerse en cuenta antes de poder estimar la población diana subsidiaria de recibir enzalutamida en CPHSm.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lastRenderedPageBreak/>
              <w:t>1.</w:t>
            </w:r>
            <w:r>
              <w:rPr>
                <w:rFonts w:ascii="Arial Narrow" w:eastAsia="Arial Narrow" w:hAnsi="Arial Narrow" w:cs="Arial Narrow"/>
                <w:color w:val="000080"/>
                <w:sz w:val="20"/>
                <w:szCs w:val="20"/>
              </w:rPr>
              <w:tab/>
            </w:r>
            <w:r>
              <w:rPr>
                <w:rFonts w:ascii="Arial Narrow" w:eastAsia="Arial Narrow" w:hAnsi="Arial Narrow" w:cs="Arial Narrow"/>
                <w:b/>
                <w:color w:val="000080"/>
                <w:sz w:val="20"/>
                <w:szCs w:val="20"/>
                <w:u w:val="single"/>
              </w:rPr>
              <w:t>En primer lugar debemos considerar el perfil de paciente que se beneficiaría de enzalutamida.</w:t>
            </w:r>
            <w:r>
              <w:rPr>
                <w:rFonts w:ascii="Arial Narrow" w:eastAsia="Arial Narrow" w:hAnsi="Arial Narrow" w:cs="Arial Narrow"/>
                <w:color w:val="000080"/>
                <w:sz w:val="20"/>
                <w:szCs w:val="20"/>
              </w:rPr>
              <w:t xml:space="preserve"> Según los ensayos ENZAMET y ARCHES la población diana serían todos los pacientes incluidos en ambos ensayos pues todos ellos muestran beneficio en los objetivos del ensayo. A saber, pacientes con CPHSm tanto con baja y alta carga metastásica, como sincrónicos y metacrónicos.</w:t>
            </w:r>
          </w:p>
          <w:p w:rsidR="009D49F2" w:rsidRDefault="009D49F2" w:rsidP="0027454F">
            <w:pPr>
              <w:ind w:left="0" w:hanging="2"/>
              <w:jc w:val="both"/>
              <w:rPr>
                <w:rFonts w:ascii="Arial Narrow" w:eastAsia="Arial Narrow" w:hAnsi="Arial Narrow" w:cs="Arial Narrow"/>
                <w:color w:val="000080"/>
                <w:sz w:val="20"/>
                <w:szCs w:val="20"/>
                <w:u w:val="single"/>
              </w:rPr>
            </w:pPr>
            <w:r>
              <w:rPr>
                <w:rFonts w:ascii="Arial Narrow" w:eastAsia="Arial Narrow" w:hAnsi="Arial Narrow" w:cs="Arial Narrow"/>
                <w:color w:val="000080"/>
                <w:sz w:val="20"/>
                <w:szCs w:val="20"/>
              </w:rPr>
              <w:t>2.</w:t>
            </w:r>
            <w:r>
              <w:rPr>
                <w:rFonts w:ascii="Arial Narrow" w:eastAsia="Arial Narrow" w:hAnsi="Arial Narrow" w:cs="Arial Narrow"/>
                <w:color w:val="000080"/>
                <w:sz w:val="20"/>
                <w:szCs w:val="20"/>
              </w:rPr>
              <w:tab/>
            </w:r>
            <w:r>
              <w:rPr>
                <w:rFonts w:ascii="Arial Narrow" w:eastAsia="Arial Narrow" w:hAnsi="Arial Narrow" w:cs="Arial Narrow"/>
                <w:b/>
                <w:color w:val="000080"/>
                <w:sz w:val="20"/>
                <w:szCs w:val="20"/>
                <w:u w:val="single"/>
              </w:rPr>
              <w:t xml:space="preserve">¿qué fármacos tienen indicación actualmente  en nuestro pais en estos escenarios?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u w:val="single"/>
              </w:rPr>
              <w:t>ABIRATERONA</w:t>
            </w:r>
            <w:r>
              <w:rPr>
                <w:rFonts w:ascii="Arial Narrow" w:eastAsia="Arial Narrow" w:hAnsi="Arial Narrow" w:cs="Arial Narrow"/>
                <w:color w:val="000080"/>
                <w:sz w:val="20"/>
                <w:szCs w:val="20"/>
              </w:rPr>
              <w:t xml:space="preserve">: indicada en “pacientes con CPHSm de nuevo diagnóstico (sincrónico) y de alto riesgo cuando el paciente no tolere o no sea susceptible de recibir docetaxel” (alto riesgo presenta una concordancia del 85% con el concepto de alto volumen de CHAARTED).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u w:val="single"/>
              </w:rPr>
              <w:t>DOCETAXEL</w:t>
            </w:r>
            <w:r>
              <w:rPr>
                <w:rFonts w:ascii="Arial Narrow" w:eastAsia="Arial Narrow" w:hAnsi="Arial Narrow" w:cs="Arial Narrow"/>
                <w:color w:val="000080"/>
                <w:sz w:val="20"/>
                <w:szCs w:val="20"/>
              </w:rPr>
              <w:t>: indicado en “pacientes con CPHSm”. Se ha documentado fehacientemente con anterioridad la ausencia de beneficio de docetaxel en pacientes con bajo volumen, por lo que la indicación de docetaxel debería quedar restringida a los pacientes con alta carga metastásica que son los únicos que se benefician de dicho tratamiento.</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u w:val="single"/>
              </w:rPr>
              <w:t>APALUTAMIDA</w:t>
            </w:r>
            <w:r>
              <w:rPr>
                <w:rFonts w:ascii="Arial Narrow" w:eastAsia="Arial Narrow" w:hAnsi="Arial Narrow" w:cs="Arial Narrow"/>
                <w:color w:val="000080"/>
                <w:sz w:val="20"/>
                <w:szCs w:val="20"/>
              </w:rPr>
              <w:t>: indicada en “CPHSm cuando el paciente no tolere o no sea susceptible de recibir docetaxel”. Según la evidencia de los ensayos, en este caso el TITAN, apalutamida demostró superioridad en su objetivo primario (SG), en todos los pacientes incluidos en su estudio (CPHSm tanto con baja y alta carga metastásica, como sincrónicos y metacrónicos), la misma población donde lo ha hecho enzalutamida.</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La evidencia científica nos hace considerar más de un escenario clínico del paciente con CPHSm dado que no todos los fármacos han demostrado eficacia en todos los grupos de pacientes: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w:t>
            </w:r>
            <w:r>
              <w:rPr>
                <w:rFonts w:ascii="Arial Narrow" w:eastAsia="Arial Narrow" w:hAnsi="Arial Narrow" w:cs="Arial Narrow"/>
                <w:color w:val="000080"/>
                <w:sz w:val="20"/>
                <w:szCs w:val="20"/>
              </w:rPr>
              <w:tab/>
              <w:t>CPHSm de novo (sincrónico) y alto volumen: docetaxel, abiraterona, apalutamida y enzalutamida</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w:t>
            </w:r>
            <w:r>
              <w:rPr>
                <w:rFonts w:ascii="Arial Narrow" w:eastAsia="Arial Narrow" w:hAnsi="Arial Narrow" w:cs="Arial Narrow"/>
                <w:color w:val="000080"/>
                <w:sz w:val="20"/>
                <w:szCs w:val="20"/>
              </w:rPr>
              <w:tab/>
              <w:t>CPHSm de novo (sincrónico) y bajo volumen: apalutamida y enzalutamida</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w:t>
            </w:r>
            <w:r>
              <w:rPr>
                <w:rFonts w:ascii="Arial Narrow" w:eastAsia="Arial Narrow" w:hAnsi="Arial Narrow" w:cs="Arial Narrow"/>
                <w:color w:val="000080"/>
                <w:sz w:val="20"/>
                <w:szCs w:val="20"/>
              </w:rPr>
              <w:tab/>
              <w:t>CPHSm metacrónico y alto volumen: apalutamida y enzalutamida</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w:t>
            </w:r>
            <w:r>
              <w:rPr>
                <w:rFonts w:ascii="Arial Narrow" w:eastAsia="Arial Narrow" w:hAnsi="Arial Narrow" w:cs="Arial Narrow"/>
                <w:color w:val="000080"/>
                <w:sz w:val="20"/>
                <w:szCs w:val="20"/>
              </w:rPr>
              <w:tab/>
              <w:t>CPHSm metacrónico y bajo volumen: apalutamida y enzalutamida</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3.</w:t>
            </w:r>
            <w:r>
              <w:rPr>
                <w:rFonts w:ascii="Arial Narrow" w:eastAsia="Arial Narrow" w:hAnsi="Arial Narrow" w:cs="Arial Narrow"/>
                <w:color w:val="000080"/>
                <w:sz w:val="20"/>
                <w:szCs w:val="20"/>
              </w:rPr>
              <w:tab/>
            </w:r>
            <w:r>
              <w:rPr>
                <w:rFonts w:ascii="Arial Narrow" w:eastAsia="Arial Narrow" w:hAnsi="Arial Narrow" w:cs="Arial Narrow"/>
                <w:b/>
                <w:color w:val="000080"/>
                <w:sz w:val="20"/>
                <w:szCs w:val="20"/>
                <w:u w:val="single"/>
              </w:rPr>
              <w:t>Consideraciones especiales: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w:t>
            </w:r>
            <w:r>
              <w:rPr>
                <w:rFonts w:ascii="Arial Narrow" w:eastAsia="Arial Narrow" w:hAnsi="Arial Narrow" w:cs="Arial Narrow"/>
                <w:color w:val="000080"/>
                <w:sz w:val="20"/>
                <w:szCs w:val="20"/>
              </w:rPr>
              <w:tab/>
              <w:t>Abiraterona será un fármaco genérico en nuestro país a partir de septiembre 2022 con indicación clara en pacientes con CPHSm de nuevo diagnóstico y alto riesgo.</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w:t>
            </w:r>
            <w:r>
              <w:rPr>
                <w:rFonts w:ascii="Arial Narrow" w:eastAsia="Arial Narrow" w:hAnsi="Arial Narrow" w:cs="Arial Narrow"/>
                <w:color w:val="000080"/>
                <w:sz w:val="20"/>
                <w:szCs w:val="20"/>
              </w:rPr>
              <w:tab/>
              <w:t>Apalutamida fue aprobada por la AEMPs en febrero 2021 compartiendo población diana con enzalutamida</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w:t>
            </w:r>
            <w:r>
              <w:rPr>
                <w:rFonts w:ascii="Arial Narrow" w:eastAsia="Arial Narrow" w:hAnsi="Arial Narrow" w:cs="Arial Narrow"/>
                <w:color w:val="000080"/>
                <w:sz w:val="20"/>
                <w:szCs w:val="20"/>
              </w:rPr>
              <w:tab/>
              <w:t>Docetaxel no presenta beneficio en la población diana de enzalutamida y apalutamida de bajo volumen aunque sí lo hace en alto volumen.</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4.</w:t>
            </w:r>
            <w:r>
              <w:rPr>
                <w:rFonts w:ascii="Arial Narrow" w:eastAsia="Arial Narrow" w:hAnsi="Arial Narrow" w:cs="Arial Narrow"/>
                <w:color w:val="000080"/>
                <w:sz w:val="20"/>
                <w:szCs w:val="20"/>
              </w:rPr>
              <w:tab/>
            </w:r>
            <w:r>
              <w:rPr>
                <w:rFonts w:ascii="Arial Narrow" w:eastAsia="Arial Narrow" w:hAnsi="Arial Narrow" w:cs="Arial Narrow"/>
                <w:b/>
                <w:color w:val="000080"/>
                <w:sz w:val="20"/>
                <w:szCs w:val="20"/>
                <w:u w:val="single"/>
              </w:rPr>
              <w:t>Estimación de la población diana en nuestro país.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Dado que no se han encontrado datos publicados sobre la representatividad de cada una de las subpoblaciones del CPHSm, una estimación aproximada se obtendría tras analizar las poblaciones de los ensayos de ENZAMET y ARCHES que potencialmente reclutaban a cualquier paciente con CPHSm con independencia del volumen y del momento de aparición de las metástasis.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lastRenderedPageBreak/>
              <w:t>La población incluida en ENZAMET pertenece a países del primer mundo (Australia, New Zealand, Canada, USA, Ireland, United Kingdom) que sería más representativa de la situación sanitaria de nuestro país que la población de ARCHES. Teniendo en cuenta esto, el porcentaje de pacientes de bajo volumen incluidos en el ensayo fue del 48% mientras que un 52% fueron pacientes de alto volumen; mientras que un 60% de los pacientes eran de nuevo diagnóstico, y un 40% eran metastásicos metacrónicos.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Extrapolando estos datos a la población española, de los 2.290 pacientes diagnosticados de CPHSm/año, un 48% de ellos (1100 pacientes) serían pacientes de bajo volumen candidatos a recibir bien apalutamida, bien enzalutamida. El resto (1190 pacientes) serían pacientes de alto volumen candidatos a recibir cualquiera de las 4 moléculas (docetaxel, abiraterona, apalutamida o enzalutamida).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Resulta obvio que hay un grupo de pacientes que comparten nicho terapéutico con apalutamida y enzalutamida, y que van a ser subsidiarios de recibir tratamiento con un fármaco u otro, pero no con los dos simultáneamente.  Teniendo en cuenta las propiedades y características de ambas moléculas, podría estimarse que el 50% de los pacientes con bajo volumen serían candidatos a recibir apalutamida y el otro 50% enzalutamida.  Por tanto, la estimación de la población diana para enzalutamida sería alrededor 550 pacientes/año.</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Los esfuerzos de la administración para fomentar la sostenibilidad del sistema sanitario a partir de septiembre 2022 deberían de ir dirigidos a facilitar el uso de abiraterona en los pacientes con indicación (CPHSm de novo y alto riesgo/volumen) sobre las recientemente incorporadas moléculas (apalutamida y enzalutamida). Apalutamida y enzalutamida siguen siendo las únicas moléculas que han demostrado beneficio en CPHSm de bajo volumen.</w:t>
            </w:r>
          </w:p>
        </w:tc>
        <w:tc>
          <w:tcPr>
            <w:tcW w:w="5812"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lastRenderedPageBreak/>
              <w:t>Se incluye en el informe valoración del impacto presupuestario según la información planteada de los distintos escenarios.</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lastRenderedPageBreak/>
              <w:t>Dr. Miguel Rodrigo Aliaga. Urólogo. Coordinador del Grupo Uro-Oncológico (GUO) de la Asociación Española de Urología (AEU).</w:t>
            </w:r>
          </w:p>
        </w:tc>
        <w:tc>
          <w:tcPr>
            <w:tcW w:w="8145"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9.3 Condiciones de uso (Solo en caso de clasificación D-E de la guía GINF)</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Las condiciones de uso de enzalutamida deberían ser inequivocamente para los hombres adultos con CPHSm de bajo volumen. En alto volumen se debería recomendar igualmente en aquellos pacientes que no fueran candidatos a docetaxel o abiraterona.</w:t>
            </w:r>
          </w:p>
        </w:tc>
        <w:tc>
          <w:tcPr>
            <w:tcW w:w="5812"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Se ha comentado anteriormente la incertidumbre que sigue habiendo en torno al uso de docetaxel en alto y bajo volumen. Si bien es cierto que cada vez se usa más en pacientes con alto volumen, aún no queda claro que no deba emplearse en pacientes con baja carga tumoral.</w:t>
            </w:r>
          </w:p>
        </w:tc>
      </w:tr>
    </w:tbl>
    <w:p w:rsidR="009D49F2" w:rsidRDefault="009D49F2" w:rsidP="009D49F2">
      <w:pPr>
        <w:ind w:left="0" w:hanging="2"/>
        <w:rPr>
          <w:rFonts w:ascii="Arial Narrow" w:eastAsia="Arial Narrow" w:hAnsi="Arial Narrow" w:cs="Arial Narrow"/>
        </w:rPr>
      </w:pPr>
    </w:p>
    <w:p w:rsidR="009D49F2" w:rsidRPr="009D49F2" w:rsidRDefault="009D49F2" w:rsidP="009D49F2">
      <w:pPr>
        <w:ind w:left="0" w:hanging="2"/>
        <w:rPr>
          <w:rFonts w:ascii="Arial Narrow" w:eastAsia="Arial Narrow" w:hAnsi="Arial Narrow" w:cs="Arial Narrow"/>
          <w:color w:val="000080"/>
          <w:sz w:val="20"/>
          <w:szCs w:val="20"/>
          <w:lang w:val="en-GB"/>
        </w:rPr>
      </w:pPr>
      <w:r w:rsidRPr="009D49F2">
        <w:rPr>
          <w:rFonts w:ascii="Arial Narrow" w:eastAsia="Arial Narrow" w:hAnsi="Arial Narrow" w:cs="Arial Narrow"/>
          <w:color w:val="000080"/>
          <w:sz w:val="20"/>
          <w:szCs w:val="20"/>
          <w:lang w:val="en-GB"/>
        </w:rPr>
        <w:t>(1) Davis ID, et al. DOI: 10.1200/JCO.2022.40.17_suppl.LBA5004 Journal of Clinical Oncology 40, no. 17_suppl (June 10, 2022) LBA5004-LBA5004.</w:t>
      </w:r>
    </w:p>
    <w:p w:rsidR="009D49F2" w:rsidRPr="009D49F2" w:rsidRDefault="009D49F2" w:rsidP="009D49F2">
      <w:pPr>
        <w:ind w:left="0" w:hanging="2"/>
        <w:jc w:val="both"/>
        <w:rPr>
          <w:rFonts w:ascii="Arial Narrow" w:eastAsia="Arial Narrow" w:hAnsi="Arial Narrow" w:cs="Arial Narrow"/>
          <w:color w:val="000080"/>
          <w:sz w:val="20"/>
          <w:szCs w:val="20"/>
          <w:lang w:val="en-GB"/>
        </w:rPr>
      </w:pPr>
      <w:r w:rsidRPr="009D49F2">
        <w:rPr>
          <w:rFonts w:ascii="Arial Narrow" w:eastAsia="Arial Narrow" w:hAnsi="Arial Narrow" w:cs="Arial Narrow"/>
          <w:color w:val="000080"/>
          <w:sz w:val="20"/>
          <w:szCs w:val="20"/>
          <w:lang w:val="en-GB"/>
        </w:rPr>
        <w:lastRenderedPageBreak/>
        <w:t>(2) Armstrong AJ, et al. Annals of Oncology (2021) 32 (suppl_5): S1283-S1346. 10.1016/annonc/annonc741</w:t>
      </w:r>
    </w:p>
    <w:p w:rsidR="009D49F2" w:rsidRPr="009D49F2" w:rsidRDefault="009D49F2" w:rsidP="009D49F2">
      <w:pPr>
        <w:ind w:left="0" w:hanging="2"/>
        <w:rPr>
          <w:rFonts w:ascii="Arial Narrow" w:eastAsia="Arial Narrow" w:hAnsi="Arial Narrow" w:cs="Arial Narrow"/>
          <w:color w:val="000080"/>
          <w:sz w:val="20"/>
          <w:szCs w:val="20"/>
          <w:lang w:val="en-GB"/>
        </w:rPr>
      </w:pPr>
      <w:r w:rsidRPr="009D49F2">
        <w:rPr>
          <w:rFonts w:ascii="Arial Narrow" w:eastAsia="Arial Narrow" w:hAnsi="Arial Narrow" w:cs="Arial Narrow"/>
          <w:color w:val="000080"/>
          <w:sz w:val="20"/>
          <w:szCs w:val="20"/>
          <w:lang w:val="en-GB"/>
        </w:rPr>
        <w:t xml:space="preserve">(3) Armstrong AJ, et al. </w:t>
      </w:r>
      <w:hyperlink r:id="rId75">
        <w:r w:rsidRPr="009D49F2">
          <w:rPr>
            <w:rFonts w:ascii="Arial Narrow" w:eastAsia="Arial Narrow" w:hAnsi="Arial Narrow" w:cs="Arial Narrow"/>
            <w:color w:val="0000FF"/>
            <w:sz w:val="20"/>
            <w:szCs w:val="20"/>
            <w:u w:val="single"/>
            <w:lang w:val="en-GB"/>
          </w:rPr>
          <w:t>https://doi.org/10.1200/JCO.19.00799</w:t>
        </w:r>
      </w:hyperlink>
    </w:p>
    <w:p w:rsidR="009D49F2" w:rsidRPr="00174F4D" w:rsidRDefault="009D49F2" w:rsidP="009D49F2">
      <w:pPr>
        <w:ind w:left="0" w:hanging="2"/>
        <w:jc w:val="both"/>
        <w:rPr>
          <w:rFonts w:ascii="Arial Narrow" w:eastAsia="Arial Narrow" w:hAnsi="Arial Narrow" w:cs="Arial Narrow"/>
          <w:color w:val="000080"/>
          <w:sz w:val="20"/>
          <w:szCs w:val="20"/>
          <w:lang w:val="en-GB"/>
        </w:rPr>
      </w:pPr>
      <w:r>
        <w:rPr>
          <w:rFonts w:ascii="Arial Narrow" w:eastAsia="Arial Narrow" w:hAnsi="Arial Narrow" w:cs="Arial Narrow"/>
          <w:color w:val="000080"/>
          <w:sz w:val="20"/>
          <w:szCs w:val="20"/>
        </w:rPr>
        <w:t xml:space="preserve">(4) Kyriakopoulos CE, et al. J Clin Oncol 36:1080-1087. </w:t>
      </w:r>
      <w:r w:rsidRPr="00174F4D">
        <w:rPr>
          <w:rFonts w:ascii="Arial Narrow" w:eastAsia="Arial Narrow" w:hAnsi="Arial Narrow" w:cs="Arial Narrow"/>
          <w:color w:val="000080"/>
          <w:sz w:val="20"/>
          <w:szCs w:val="20"/>
          <w:lang w:val="en-GB"/>
        </w:rPr>
        <w:t>2018.</w:t>
      </w:r>
    </w:p>
    <w:p w:rsidR="009D49F2" w:rsidRPr="00174F4D" w:rsidRDefault="009D49F2" w:rsidP="009D49F2">
      <w:pPr>
        <w:ind w:left="0" w:hanging="2"/>
        <w:jc w:val="both"/>
        <w:rPr>
          <w:rFonts w:ascii="Arial Narrow" w:eastAsia="Arial Narrow" w:hAnsi="Arial Narrow" w:cs="Arial Narrow"/>
          <w:color w:val="000080"/>
          <w:sz w:val="20"/>
          <w:szCs w:val="20"/>
          <w:lang w:val="en-GB"/>
        </w:rPr>
      </w:pPr>
      <w:r w:rsidRPr="00174F4D">
        <w:rPr>
          <w:rFonts w:ascii="Arial Narrow" w:eastAsia="Arial Narrow" w:hAnsi="Arial Narrow" w:cs="Arial Narrow"/>
          <w:color w:val="000080"/>
          <w:sz w:val="20"/>
          <w:szCs w:val="20"/>
          <w:lang w:val="en-GB"/>
        </w:rPr>
        <w:t xml:space="preserve">DOI: </w:t>
      </w:r>
      <w:hyperlink r:id="rId76">
        <w:r w:rsidRPr="00174F4D">
          <w:rPr>
            <w:rFonts w:ascii="Arial Narrow" w:eastAsia="Arial Narrow" w:hAnsi="Arial Narrow" w:cs="Arial Narrow"/>
            <w:color w:val="0000FF"/>
            <w:sz w:val="20"/>
            <w:szCs w:val="20"/>
            <w:u w:val="single"/>
            <w:lang w:val="en-GB"/>
          </w:rPr>
          <w:t>https://doi.org/10.1200/JCO.2017.75.3657</w:t>
        </w:r>
      </w:hyperlink>
    </w:p>
    <w:p w:rsidR="009D49F2" w:rsidRDefault="009D49F2" w:rsidP="009D49F2">
      <w:pPr>
        <w:ind w:left="0" w:hanging="2"/>
        <w:jc w:val="both"/>
        <w:rPr>
          <w:rFonts w:ascii="Arial Narrow" w:eastAsia="Arial Narrow" w:hAnsi="Arial Narrow" w:cs="Arial Narrow"/>
          <w:color w:val="000080"/>
          <w:sz w:val="20"/>
          <w:szCs w:val="20"/>
          <w:lang w:val="en-GB"/>
        </w:rPr>
      </w:pPr>
      <w:r w:rsidRPr="009D49F2">
        <w:rPr>
          <w:rFonts w:ascii="Arial Narrow" w:eastAsia="Arial Narrow" w:hAnsi="Arial Narrow" w:cs="Arial Narrow"/>
          <w:color w:val="000080"/>
          <w:sz w:val="20"/>
          <w:szCs w:val="20"/>
          <w:lang w:val="en-GB"/>
        </w:rPr>
        <w:t>(5) Tripathi A, et al. DOI: 10.1200/JCO.2022.40.16_suppl.5081 Journal of Clinical Oncology 40, no. 16_suppl (June 01, 2022) 5081-5081.</w:t>
      </w:r>
    </w:p>
    <w:p w:rsidR="00F00D20" w:rsidRDefault="00F00D20" w:rsidP="009D49F2">
      <w:pPr>
        <w:ind w:left="0" w:hanging="2"/>
        <w:jc w:val="both"/>
        <w:rPr>
          <w:rFonts w:ascii="Arial Narrow" w:eastAsia="Arial Narrow" w:hAnsi="Arial Narrow" w:cs="Arial Narrow"/>
          <w:color w:val="000080"/>
          <w:sz w:val="20"/>
          <w:szCs w:val="20"/>
          <w:lang w:val="en-GB"/>
        </w:rPr>
      </w:pPr>
    </w:p>
    <w:p w:rsidR="00F00D20" w:rsidRPr="008C4F08" w:rsidRDefault="00F00D20" w:rsidP="00F00D20">
      <w:pPr>
        <w:pBdr>
          <w:top w:val="nil"/>
          <w:left w:val="nil"/>
          <w:bottom w:val="nil"/>
          <w:right w:val="nil"/>
          <w:between w:val="nil"/>
        </w:pBdr>
        <w:spacing w:after="120" w:line="240" w:lineRule="auto"/>
        <w:ind w:left="0" w:hanging="2"/>
        <w:jc w:val="both"/>
        <w:rPr>
          <w:rFonts w:ascii="Arial" w:eastAsia="Arial" w:hAnsi="Arial" w:cs="Arial"/>
          <w:b/>
          <w:color w:val="000080"/>
          <w:sz w:val="20"/>
          <w:szCs w:val="20"/>
          <w:lang w:val="en-GB"/>
        </w:rPr>
      </w:pPr>
    </w:p>
    <w:p w:rsidR="00F00D20" w:rsidRPr="008C4F08" w:rsidRDefault="00F00D20" w:rsidP="00F00D20">
      <w:pPr>
        <w:pBdr>
          <w:top w:val="nil"/>
          <w:left w:val="nil"/>
          <w:bottom w:val="nil"/>
          <w:right w:val="nil"/>
          <w:between w:val="nil"/>
        </w:pBdr>
        <w:spacing w:after="120" w:line="240" w:lineRule="auto"/>
        <w:ind w:left="0" w:hanging="2"/>
        <w:jc w:val="both"/>
        <w:rPr>
          <w:rFonts w:ascii="Arial" w:eastAsia="Arial" w:hAnsi="Arial" w:cs="Arial"/>
          <w:b/>
          <w:color w:val="000080"/>
          <w:sz w:val="20"/>
          <w:szCs w:val="20"/>
          <w:lang w:val="en-GB"/>
        </w:rPr>
      </w:pPr>
    </w:p>
    <w:p w:rsidR="00F00D20" w:rsidRPr="008C4F08" w:rsidRDefault="00F00D20">
      <w:pPr>
        <w:spacing w:line="240" w:lineRule="auto"/>
        <w:ind w:leftChars="0" w:firstLineChars="0"/>
        <w:textAlignment w:val="auto"/>
        <w:outlineLvl w:val="9"/>
        <w:rPr>
          <w:rFonts w:ascii="Arial" w:eastAsia="Arial" w:hAnsi="Arial" w:cs="Arial"/>
          <w:b/>
          <w:color w:val="000080"/>
          <w:sz w:val="20"/>
          <w:szCs w:val="20"/>
          <w:lang w:val="en-GB"/>
        </w:rPr>
      </w:pPr>
      <w:r w:rsidRPr="008C4F08">
        <w:rPr>
          <w:rFonts w:ascii="Arial" w:eastAsia="Arial" w:hAnsi="Arial" w:cs="Arial"/>
          <w:b/>
          <w:color w:val="000080"/>
          <w:sz w:val="20"/>
          <w:szCs w:val="20"/>
          <w:lang w:val="en-GB"/>
        </w:rPr>
        <w:br w:type="page"/>
      </w:r>
    </w:p>
    <w:p w:rsidR="00F00D20" w:rsidRDefault="00F00D20" w:rsidP="00F00D20">
      <w:pPr>
        <w:pBdr>
          <w:top w:val="nil"/>
          <w:left w:val="nil"/>
          <w:bottom w:val="nil"/>
          <w:right w:val="nil"/>
          <w:between w:val="nil"/>
        </w:pBdr>
        <w:spacing w:after="120" w:line="240" w:lineRule="auto"/>
        <w:ind w:left="0" w:hanging="2"/>
        <w:jc w:val="both"/>
        <w:rPr>
          <w:rFonts w:ascii="Arial" w:eastAsia="Arial" w:hAnsi="Arial" w:cs="Arial"/>
          <w:color w:val="000080"/>
          <w:sz w:val="20"/>
          <w:szCs w:val="20"/>
        </w:rPr>
      </w:pPr>
      <w:r>
        <w:rPr>
          <w:rFonts w:ascii="Arial" w:eastAsia="Arial" w:hAnsi="Arial" w:cs="Arial"/>
          <w:b/>
          <w:color w:val="000080"/>
          <w:sz w:val="20"/>
          <w:szCs w:val="20"/>
        </w:rPr>
        <w:lastRenderedPageBreak/>
        <w:t>ANEXO 2</w:t>
      </w:r>
      <w:r>
        <w:rPr>
          <w:rFonts w:ascii="Arial" w:eastAsia="Arial" w:hAnsi="Arial" w:cs="Arial"/>
          <w:color w:val="000080"/>
          <w:sz w:val="20"/>
          <w:szCs w:val="20"/>
        </w:rPr>
        <w:t xml:space="preserve">. </w:t>
      </w:r>
      <w:r>
        <w:rPr>
          <w:rFonts w:ascii="Arial" w:eastAsia="Arial" w:hAnsi="Arial" w:cs="Arial"/>
          <w:b/>
          <w:color w:val="000080"/>
          <w:sz w:val="20"/>
          <w:szCs w:val="20"/>
        </w:rPr>
        <w:t xml:space="preserve">HOJA DE INSTRUCCIONES PARA ALEGACIONES/PROPUESTAS AL BORRADOR DE INFORME DE EVALUACIÓN DE FÁRMACO _ PATOLOGÍA.  </w:t>
      </w:r>
    </w:p>
    <w:p w:rsidR="00F00D20" w:rsidRDefault="00F00D20" w:rsidP="00F00D20">
      <w:pPr>
        <w:ind w:left="0" w:hanging="2"/>
        <w:jc w:val="both"/>
        <w:rPr>
          <w:rFonts w:ascii="Arial" w:eastAsia="Arial" w:hAnsi="Arial" w:cs="Arial"/>
          <w:color w:val="000080"/>
          <w:sz w:val="20"/>
          <w:szCs w:val="20"/>
        </w:rPr>
      </w:pPr>
    </w:p>
    <w:p w:rsidR="00F00D20" w:rsidRPr="00AF2224" w:rsidRDefault="00F00D20" w:rsidP="00F00D20">
      <w:pPr>
        <w:spacing w:line="360" w:lineRule="auto"/>
        <w:ind w:left="0" w:hanging="2"/>
        <w:jc w:val="both"/>
        <w:rPr>
          <w:rFonts w:ascii="Arial" w:hAnsi="Arial" w:cs="Arial"/>
          <w:color w:val="000080"/>
          <w:sz w:val="20"/>
          <w:szCs w:val="20"/>
        </w:rPr>
      </w:pPr>
      <w:r w:rsidRPr="00AF2224">
        <w:rPr>
          <w:rFonts w:ascii="Arial" w:hAnsi="Arial" w:cs="Arial"/>
          <w:color w:val="000080"/>
          <w:sz w:val="20"/>
          <w:szCs w:val="20"/>
        </w:rPr>
        <w:t xml:space="preserve">Nombre persona que hace la alegación propuesta: </w:t>
      </w:r>
      <w:r>
        <w:rPr>
          <w:rFonts w:ascii="Arial" w:hAnsi="Arial" w:cs="Arial"/>
          <w:color w:val="000080"/>
          <w:sz w:val="20"/>
          <w:szCs w:val="20"/>
        </w:rPr>
        <w:t>Belen Corbacho Martín</w:t>
      </w:r>
    </w:p>
    <w:p w:rsidR="00F00D20" w:rsidRPr="00AF2224" w:rsidRDefault="00F00D20" w:rsidP="00F00D20">
      <w:pPr>
        <w:spacing w:line="360" w:lineRule="auto"/>
        <w:ind w:left="0" w:hanging="2"/>
        <w:jc w:val="both"/>
        <w:rPr>
          <w:rFonts w:ascii="Arial" w:hAnsi="Arial" w:cs="Arial"/>
          <w:color w:val="000080"/>
          <w:sz w:val="20"/>
          <w:szCs w:val="20"/>
        </w:rPr>
      </w:pPr>
      <w:r w:rsidRPr="00AF2224">
        <w:rPr>
          <w:rFonts w:ascii="Arial" w:hAnsi="Arial" w:cs="Arial"/>
          <w:color w:val="000080"/>
          <w:sz w:val="20"/>
          <w:szCs w:val="20"/>
        </w:rPr>
        <w:t>Cargo que ocupa:</w:t>
      </w:r>
      <w:r>
        <w:rPr>
          <w:rFonts w:ascii="Arial" w:hAnsi="Arial" w:cs="Arial"/>
          <w:color w:val="000080"/>
          <w:sz w:val="20"/>
          <w:szCs w:val="20"/>
        </w:rPr>
        <w:t xml:space="preserve"> HEOR Associate Director</w:t>
      </w:r>
    </w:p>
    <w:p w:rsidR="00F00D20" w:rsidRPr="00AF2224" w:rsidRDefault="00F00D20" w:rsidP="00F00D20">
      <w:pPr>
        <w:spacing w:line="360" w:lineRule="auto"/>
        <w:ind w:left="0" w:hanging="2"/>
        <w:jc w:val="both"/>
        <w:rPr>
          <w:rFonts w:ascii="Arial" w:hAnsi="Arial" w:cs="Arial"/>
          <w:color w:val="000080"/>
          <w:sz w:val="20"/>
          <w:szCs w:val="20"/>
        </w:rPr>
      </w:pPr>
      <w:r w:rsidRPr="00AF2224">
        <w:rPr>
          <w:rFonts w:ascii="Arial" w:hAnsi="Arial" w:cs="Arial"/>
          <w:color w:val="000080"/>
          <w:sz w:val="20"/>
          <w:szCs w:val="20"/>
        </w:rPr>
        <w:t xml:space="preserve">Centro, sociedad o empresa: </w:t>
      </w:r>
      <w:r>
        <w:rPr>
          <w:rFonts w:ascii="Arial" w:hAnsi="Arial" w:cs="Arial"/>
          <w:color w:val="000080"/>
          <w:sz w:val="20"/>
          <w:szCs w:val="20"/>
        </w:rPr>
        <w:t>Astellas Pharma</w:t>
      </w:r>
    </w:p>
    <w:p w:rsidR="00F00D20" w:rsidRDefault="00F00D20" w:rsidP="00F00D20">
      <w:pPr>
        <w:spacing w:line="360" w:lineRule="auto"/>
        <w:ind w:left="0" w:hanging="2"/>
        <w:jc w:val="both"/>
        <w:rPr>
          <w:rFonts w:ascii="Arial" w:hAnsi="Arial" w:cs="Arial"/>
          <w:color w:val="000080"/>
          <w:sz w:val="20"/>
          <w:szCs w:val="20"/>
        </w:rPr>
      </w:pPr>
      <w:r w:rsidRPr="00AF2224">
        <w:rPr>
          <w:rFonts w:ascii="Arial" w:hAnsi="Arial" w:cs="Arial"/>
          <w:color w:val="000080"/>
          <w:sz w:val="20"/>
          <w:szCs w:val="20"/>
        </w:rPr>
        <w:t>Teléfono de contacto:</w:t>
      </w:r>
      <w:r>
        <w:rPr>
          <w:rFonts w:ascii="Arial" w:hAnsi="Arial" w:cs="Arial"/>
          <w:color w:val="000080"/>
          <w:sz w:val="20"/>
          <w:szCs w:val="20"/>
        </w:rPr>
        <w:t xml:space="preserve"> 650341646</w:t>
      </w:r>
    </w:p>
    <w:p w:rsidR="00F00D20" w:rsidRDefault="00F00D20" w:rsidP="00F00D20">
      <w:pPr>
        <w:ind w:left="0" w:hanging="2"/>
        <w:jc w:val="both"/>
        <w:rPr>
          <w:rFonts w:ascii="Arial" w:eastAsia="Arial" w:hAnsi="Arial" w:cs="Arial"/>
          <w:color w:val="000080"/>
          <w:sz w:val="20"/>
          <w:szCs w:val="20"/>
        </w:rPr>
      </w:pPr>
    </w:p>
    <w:p w:rsidR="00F00D20" w:rsidRDefault="00F00D20" w:rsidP="00F00D20">
      <w:pPr>
        <w:ind w:left="0" w:hanging="2"/>
        <w:jc w:val="both"/>
        <w:rPr>
          <w:rFonts w:ascii="Arial" w:eastAsia="Arial" w:hAnsi="Arial" w:cs="Arial"/>
          <w:sz w:val="20"/>
          <w:szCs w:val="20"/>
        </w:rPr>
      </w:pPr>
      <w:r>
        <w:rPr>
          <w:rFonts w:ascii="Arial" w:eastAsia="Arial" w:hAnsi="Arial" w:cs="Arial"/>
          <w:color w:val="000080"/>
          <w:sz w:val="20"/>
          <w:szCs w:val="20"/>
        </w:rPr>
        <w:t>FÁRMACO: ENZALUTAMIDA</w:t>
      </w:r>
    </w:p>
    <w:p w:rsidR="00F00D20" w:rsidRDefault="00F00D20" w:rsidP="00F00D20">
      <w:pPr>
        <w:ind w:left="0" w:hanging="2"/>
        <w:jc w:val="both"/>
        <w:rPr>
          <w:rFonts w:ascii="Arial" w:eastAsia="Arial" w:hAnsi="Arial" w:cs="Arial"/>
          <w:sz w:val="20"/>
          <w:szCs w:val="20"/>
        </w:rPr>
      </w:pPr>
    </w:p>
    <w:p w:rsidR="00F00D20" w:rsidRDefault="00F00D20" w:rsidP="00F00D20">
      <w:pPr>
        <w:ind w:left="0" w:hanging="2"/>
        <w:jc w:val="both"/>
        <w:rPr>
          <w:rFonts w:ascii="Tahoma" w:eastAsia="Tahoma" w:hAnsi="Tahoma" w:cs="Tahoma"/>
          <w:sz w:val="28"/>
          <w:szCs w:val="28"/>
        </w:rPr>
      </w:pPr>
      <w:r>
        <w:rPr>
          <w:rFonts w:ascii="Arial" w:eastAsia="Arial" w:hAnsi="Arial" w:cs="Arial"/>
          <w:color w:val="000080"/>
          <w:sz w:val="20"/>
          <w:szCs w:val="20"/>
        </w:rPr>
        <w:t>INDICACIÓN/ES: CPHSm</w:t>
      </w:r>
    </w:p>
    <w:p w:rsidR="00F00D20" w:rsidRPr="008C4F08" w:rsidRDefault="00F00D20" w:rsidP="009D49F2">
      <w:pPr>
        <w:ind w:left="0" w:hanging="2"/>
        <w:jc w:val="both"/>
        <w:rPr>
          <w:rFonts w:ascii="Arial Narrow" w:eastAsia="Arial Narrow" w:hAnsi="Arial Narrow" w:cs="Arial Narrow"/>
          <w:color w:val="000080"/>
          <w:sz w:val="20"/>
          <w:szCs w:val="20"/>
        </w:rPr>
      </w:pPr>
    </w:p>
    <w:p w:rsidR="009D49F2" w:rsidRPr="008C4F08" w:rsidRDefault="009D49F2" w:rsidP="009D49F2">
      <w:pPr>
        <w:ind w:left="0" w:hanging="2"/>
      </w:pPr>
    </w:p>
    <w:p w:rsidR="009D49F2" w:rsidRPr="008C4F08" w:rsidRDefault="009D49F2" w:rsidP="009D49F2">
      <w:pPr>
        <w:ind w:left="0" w:hanging="2"/>
        <w:jc w:val="both"/>
        <w:rPr>
          <w:rFonts w:ascii="Arial" w:eastAsia="Arial" w:hAnsi="Arial" w:cs="Arial"/>
          <w:color w:val="000080"/>
          <w:sz w:val="16"/>
          <w:szCs w:val="16"/>
        </w:rPr>
      </w:pPr>
    </w:p>
    <w:tbl>
      <w:tblPr>
        <w:tblW w:w="15036" w:type="dxa"/>
        <w:tblInd w:w="-72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1080"/>
        <w:gridCol w:w="8003"/>
        <w:gridCol w:w="5953"/>
      </w:tblGrid>
      <w:tr w:rsidR="009D49F2" w:rsidTr="0027454F">
        <w:tc>
          <w:tcPr>
            <w:tcW w:w="15037" w:type="dxa"/>
            <w:gridSpan w:val="3"/>
          </w:tcPr>
          <w:p w:rsidR="009D49F2" w:rsidRDefault="009D49F2" w:rsidP="0027454F">
            <w:pPr>
              <w:ind w:left="0" w:hanging="2"/>
              <w:jc w:val="both"/>
              <w:rPr>
                <w:rFonts w:ascii="Arial Narrow" w:eastAsia="Arial Narrow" w:hAnsi="Arial Narrow" w:cs="Arial Narrow"/>
                <w:color w:val="000080"/>
                <w:sz w:val="20"/>
                <w:szCs w:val="20"/>
              </w:rPr>
            </w:pPr>
            <w:r w:rsidRPr="008C4F08">
              <w:rPr>
                <w:rFonts w:ascii="Arial Narrow" w:eastAsia="Arial Narrow" w:hAnsi="Arial Narrow" w:cs="Arial Narrow"/>
                <w:color w:val="000080"/>
                <w:sz w:val="20"/>
                <w:szCs w:val="20"/>
              </w:rPr>
              <w:t xml:space="preserve"> </w:t>
            </w:r>
            <w:r>
              <w:rPr>
                <w:rFonts w:ascii="Arial Narrow" w:eastAsia="Arial Narrow" w:hAnsi="Arial Narrow" w:cs="Arial Narrow"/>
                <w:color w:val="000080"/>
                <w:sz w:val="20"/>
                <w:szCs w:val="20"/>
              </w:rPr>
              <w:t>Alegaciones al borrador público (MAXIMO 3 IMPRESOS)</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Belén Corbacho</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HEOR Astellas Ph</w:t>
            </w:r>
          </w:p>
        </w:tc>
        <w:tc>
          <w:tcPr>
            <w:tcW w:w="8004"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Apartado 3.1. Área descriptiva del medicamento.</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Tabla de “Presentaciones y precio”.</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El Coste por unidad PVL + IVA correcto para enzalutamida es 29,47 € </w:t>
            </w:r>
          </w:p>
        </w:tc>
        <w:tc>
          <w:tcPr>
            <w:tcW w:w="5953"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Respuesta Tutor</w:t>
            </w: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Actualmente, el PVL notificado del envase de 112 comprimidos (tras aplicar RDL 8/2010 e IVA) es de 3.052,74€. El PVL unitario queda en 27,26 €.</w:t>
            </w: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No consideramos necesario rehacer todos los cálculos ya que parte de un precio unitario de 28€.</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Marta Mateo</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Oncology Lead.</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Astellas Ph.</w:t>
            </w:r>
          </w:p>
        </w:tc>
        <w:tc>
          <w:tcPr>
            <w:tcW w:w="8004"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Apartado 3.3. Características comparadas con otras alternativas similares. Conveniencia.</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Comentario:</w:t>
            </w:r>
            <w:r>
              <w:rPr>
                <w:rFonts w:ascii="Arial Narrow" w:eastAsia="Arial Narrow" w:hAnsi="Arial Narrow" w:cs="Arial Narrow"/>
                <w:color w:val="000080"/>
                <w:sz w:val="20"/>
                <w:szCs w:val="20"/>
              </w:rPr>
              <w:t xml:space="preserve"> Las diferencias en la posología y la forma de administración de los cuatro tratamientos comparados podrían tener un impacto en la conveniencia del tratamiento para el paciente.</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Sugerencia:</w:t>
            </w:r>
            <w:r>
              <w:rPr>
                <w:rFonts w:ascii="Arial Narrow" w:eastAsia="Arial Narrow" w:hAnsi="Arial Narrow" w:cs="Arial Narrow"/>
                <w:color w:val="000080"/>
                <w:sz w:val="20"/>
                <w:szCs w:val="20"/>
              </w:rPr>
              <w:t xml:space="preserve"> Solicitamos incluir esta consideración indicando las diferencias recogidas en las correspondientes fichas técnicas, tal como se refleja en la tabla propuesta en relación al tamaño del comprimido.</w:t>
            </w:r>
          </w:p>
          <w:tbl>
            <w:tblPr>
              <w:tblW w:w="7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1560"/>
              <w:gridCol w:w="1560"/>
              <w:gridCol w:w="1701"/>
              <w:gridCol w:w="1841"/>
            </w:tblGrid>
            <w:tr w:rsidR="009D49F2" w:rsidTr="0027454F">
              <w:trPr>
                <w:trHeight w:val="180"/>
              </w:trPr>
              <w:tc>
                <w:tcPr>
                  <w:tcW w:w="7797" w:type="dxa"/>
                  <w:gridSpan w:val="5"/>
                  <w:shd w:val="clear" w:color="auto" w:fill="CCFFCC"/>
                </w:tcPr>
                <w:p w:rsidR="009D49F2" w:rsidRDefault="009D49F2" w:rsidP="0027454F">
                  <w:pPr>
                    <w:tabs>
                      <w:tab w:val="center" w:pos="4252"/>
                      <w:tab w:val="right" w:pos="8504"/>
                    </w:tabs>
                    <w:ind w:left="0" w:hanging="2"/>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Características diferenciales comparadas con otras alternativas similares</w:t>
                  </w:r>
                </w:p>
              </w:tc>
            </w:tr>
            <w:tr w:rsidR="009D49F2" w:rsidTr="0027454F">
              <w:tc>
                <w:tcPr>
                  <w:tcW w:w="1135" w:type="dxa"/>
                </w:tcPr>
                <w:p w:rsidR="009D49F2" w:rsidRDefault="009D49F2" w:rsidP="0027454F">
                  <w:pPr>
                    <w:tabs>
                      <w:tab w:val="center" w:pos="4252"/>
                      <w:tab w:val="right" w:pos="8504"/>
                    </w:tabs>
                    <w:ind w:left="0" w:hanging="2"/>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Nombre</w:t>
                  </w:r>
                </w:p>
              </w:tc>
              <w:tc>
                <w:tcPr>
                  <w:tcW w:w="1560" w:type="dxa"/>
                </w:tcPr>
                <w:p w:rsidR="009D49F2" w:rsidRDefault="009D49F2" w:rsidP="0027454F">
                  <w:pPr>
                    <w:tabs>
                      <w:tab w:val="center" w:pos="4252"/>
                      <w:tab w:val="right" w:pos="8504"/>
                    </w:tabs>
                    <w:ind w:left="0" w:hanging="2"/>
                    <w:rPr>
                      <w:rFonts w:ascii="Arial Narrow" w:eastAsia="Arial Narrow" w:hAnsi="Arial Narrow" w:cs="Arial Narrow"/>
                      <w:color w:val="000000"/>
                      <w:sz w:val="16"/>
                      <w:szCs w:val="16"/>
                    </w:rPr>
                  </w:pPr>
                  <w:r>
                    <w:rPr>
                      <w:rFonts w:ascii="Arial Narrow" w:eastAsia="Arial Narrow" w:hAnsi="Arial Narrow" w:cs="Arial Narrow"/>
                      <w:b/>
                      <w:sz w:val="16"/>
                      <w:szCs w:val="16"/>
                    </w:rPr>
                    <w:t>ENZALUTAMIDA</w:t>
                  </w:r>
                </w:p>
              </w:tc>
              <w:tc>
                <w:tcPr>
                  <w:tcW w:w="1560" w:type="dxa"/>
                </w:tcPr>
                <w:p w:rsidR="009D49F2" w:rsidRDefault="009D49F2" w:rsidP="0027454F">
                  <w:pPr>
                    <w:tabs>
                      <w:tab w:val="center" w:pos="4252"/>
                      <w:tab w:val="right" w:pos="8504"/>
                    </w:tabs>
                    <w:ind w:left="0" w:hanging="2"/>
                    <w:rPr>
                      <w:rFonts w:ascii="Arial Narrow" w:eastAsia="Arial Narrow" w:hAnsi="Arial Narrow" w:cs="Arial Narrow"/>
                      <w:color w:val="000000"/>
                      <w:sz w:val="16"/>
                      <w:szCs w:val="16"/>
                    </w:rPr>
                  </w:pPr>
                  <w:r>
                    <w:rPr>
                      <w:rFonts w:ascii="Arial Narrow" w:eastAsia="Arial Narrow" w:hAnsi="Arial Narrow" w:cs="Arial Narrow"/>
                      <w:b/>
                      <w:sz w:val="16"/>
                      <w:szCs w:val="16"/>
                    </w:rPr>
                    <w:t>APALUTAMIDA</w:t>
                  </w:r>
                </w:p>
              </w:tc>
              <w:tc>
                <w:tcPr>
                  <w:tcW w:w="1701" w:type="dxa"/>
                </w:tcPr>
                <w:p w:rsidR="009D49F2" w:rsidRDefault="009D49F2" w:rsidP="0027454F">
                  <w:pPr>
                    <w:tabs>
                      <w:tab w:val="center" w:pos="4252"/>
                      <w:tab w:val="right" w:pos="8504"/>
                    </w:tabs>
                    <w:ind w:left="0" w:hanging="2"/>
                    <w:rPr>
                      <w:rFonts w:ascii="Arial Narrow" w:eastAsia="Arial Narrow" w:hAnsi="Arial Narrow" w:cs="Arial Narrow"/>
                      <w:color w:val="000000"/>
                      <w:sz w:val="16"/>
                      <w:szCs w:val="16"/>
                      <w:highlight w:val="green"/>
                    </w:rPr>
                  </w:pPr>
                  <w:r>
                    <w:rPr>
                      <w:rFonts w:ascii="Arial Narrow" w:eastAsia="Arial Narrow" w:hAnsi="Arial Narrow" w:cs="Arial Narrow"/>
                      <w:b/>
                      <w:sz w:val="16"/>
                      <w:szCs w:val="16"/>
                    </w:rPr>
                    <w:t xml:space="preserve">ABIRATERONA </w:t>
                  </w:r>
                </w:p>
              </w:tc>
              <w:tc>
                <w:tcPr>
                  <w:tcW w:w="1841" w:type="dxa"/>
                </w:tcPr>
                <w:p w:rsidR="009D49F2" w:rsidRDefault="009D49F2" w:rsidP="0027454F">
                  <w:pPr>
                    <w:tabs>
                      <w:tab w:val="center" w:pos="4252"/>
                      <w:tab w:val="right" w:pos="8504"/>
                    </w:tabs>
                    <w:ind w:left="0" w:hanging="2"/>
                    <w:rPr>
                      <w:rFonts w:ascii="Arial Narrow" w:eastAsia="Arial Narrow" w:hAnsi="Arial Narrow" w:cs="Arial Narrow"/>
                      <w:sz w:val="16"/>
                      <w:szCs w:val="16"/>
                    </w:rPr>
                  </w:pPr>
                  <w:r>
                    <w:rPr>
                      <w:rFonts w:ascii="Arial Narrow" w:eastAsia="Arial Narrow" w:hAnsi="Arial Narrow" w:cs="Arial Narrow"/>
                      <w:b/>
                      <w:sz w:val="16"/>
                      <w:szCs w:val="16"/>
                    </w:rPr>
                    <w:t>DOCETAXEL</w:t>
                  </w:r>
                </w:p>
              </w:tc>
            </w:tr>
            <w:tr w:rsidR="009D49F2" w:rsidTr="0027454F">
              <w:tc>
                <w:tcPr>
                  <w:tcW w:w="1135" w:type="dxa"/>
                </w:tcPr>
                <w:p w:rsidR="009D49F2" w:rsidRDefault="009D49F2" w:rsidP="0027454F">
                  <w:pPr>
                    <w:ind w:left="0" w:hanging="2"/>
                    <w:rPr>
                      <w:rFonts w:ascii="Arial Narrow" w:eastAsia="Arial Narrow" w:hAnsi="Arial Narrow" w:cs="Arial Narrow"/>
                      <w:sz w:val="16"/>
                      <w:szCs w:val="16"/>
                    </w:rPr>
                  </w:pPr>
                  <w:r>
                    <w:rPr>
                      <w:rFonts w:ascii="Arial Narrow" w:eastAsia="Arial Narrow" w:hAnsi="Arial Narrow" w:cs="Arial Narrow"/>
                      <w:sz w:val="16"/>
                      <w:szCs w:val="16"/>
                    </w:rPr>
                    <w:t>Presentación</w:t>
                  </w:r>
                </w:p>
              </w:tc>
              <w:tc>
                <w:tcPr>
                  <w:tcW w:w="1560" w:type="dxa"/>
                </w:tcPr>
                <w:p w:rsidR="009D49F2" w:rsidRDefault="009D49F2" w:rsidP="0027454F">
                  <w:pPr>
                    <w:ind w:left="0" w:hanging="2"/>
                    <w:jc w:val="both"/>
                    <w:rPr>
                      <w:rFonts w:ascii="Arial Narrow" w:eastAsia="Arial Narrow" w:hAnsi="Arial Narrow" w:cs="Arial Narrow"/>
                      <w:color w:val="000080"/>
                      <w:sz w:val="16"/>
                      <w:szCs w:val="16"/>
                    </w:rPr>
                  </w:pPr>
                  <w:r>
                    <w:rPr>
                      <w:rFonts w:ascii="Arial Narrow" w:eastAsia="Arial Narrow" w:hAnsi="Arial Narrow" w:cs="Arial Narrow"/>
                      <w:color w:val="000080"/>
                      <w:sz w:val="16"/>
                      <w:szCs w:val="16"/>
                    </w:rPr>
                    <w:t>Comprimidos 40 mg</w:t>
                  </w:r>
                </w:p>
              </w:tc>
              <w:tc>
                <w:tcPr>
                  <w:tcW w:w="1560" w:type="dxa"/>
                </w:tcPr>
                <w:p w:rsidR="009D49F2" w:rsidRDefault="009D49F2" w:rsidP="0027454F">
                  <w:pPr>
                    <w:ind w:left="0" w:hanging="2"/>
                    <w:jc w:val="both"/>
                    <w:rPr>
                      <w:rFonts w:ascii="Arial Narrow" w:eastAsia="Arial Narrow" w:hAnsi="Arial Narrow" w:cs="Arial Narrow"/>
                      <w:color w:val="000080"/>
                      <w:sz w:val="16"/>
                      <w:szCs w:val="16"/>
                    </w:rPr>
                  </w:pPr>
                  <w:r>
                    <w:rPr>
                      <w:rFonts w:ascii="Arial Narrow" w:eastAsia="Arial Narrow" w:hAnsi="Arial Narrow" w:cs="Arial Narrow"/>
                      <w:color w:val="000080"/>
                      <w:sz w:val="16"/>
                      <w:szCs w:val="16"/>
                    </w:rPr>
                    <w:t>Comprimidos 60 mg</w:t>
                  </w:r>
                </w:p>
              </w:tc>
              <w:tc>
                <w:tcPr>
                  <w:tcW w:w="1701" w:type="dxa"/>
                </w:tcPr>
                <w:p w:rsidR="009D49F2" w:rsidRDefault="009D49F2" w:rsidP="0027454F">
                  <w:pPr>
                    <w:ind w:left="0" w:hanging="2"/>
                    <w:jc w:val="both"/>
                    <w:rPr>
                      <w:rFonts w:ascii="Arial Narrow" w:eastAsia="Arial Narrow" w:hAnsi="Arial Narrow" w:cs="Arial Narrow"/>
                      <w:color w:val="000080"/>
                      <w:sz w:val="16"/>
                      <w:szCs w:val="16"/>
                    </w:rPr>
                  </w:pPr>
                  <w:r>
                    <w:rPr>
                      <w:rFonts w:ascii="Arial Narrow" w:eastAsia="Arial Narrow" w:hAnsi="Arial Narrow" w:cs="Arial Narrow"/>
                      <w:color w:val="000080"/>
                      <w:sz w:val="16"/>
                      <w:szCs w:val="16"/>
                    </w:rPr>
                    <w:t>Comprimidos 500 mg</w:t>
                  </w:r>
                </w:p>
              </w:tc>
              <w:tc>
                <w:tcPr>
                  <w:tcW w:w="1841" w:type="dxa"/>
                </w:tcPr>
                <w:p w:rsidR="009D49F2" w:rsidRDefault="009D49F2" w:rsidP="0027454F">
                  <w:pPr>
                    <w:ind w:left="0" w:hanging="2"/>
                    <w:jc w:val="both"/>
                    <w:rPr>
                      <w:rFonts w:ascii="Arial Narrow" w:eastAsia="Arial Narrow" w:hAnsi="Arial Narrow" w:cs="Arial Narrow"/>
                      <w:color w:val="000080"/>
                      <w:sz w:val="16"/>
                      <w:szCs w:val="16"/>
                    </w:rPr>
                  </w:pPr>
                  <w:r>
                    <w:rPr>
                      <w:rFonts w:ascii="Arial Narrow" w:eastAsia="Arial Narrow" w:hAnsi="Arial Narrow" w:cs="Arial Narrow"/>
                      <w:color w:val="000080"/>
                      <w:sz w:val="16"/>
                      <w:szCs w:val="16"/>
                    </w:rPr>
                    <w:t>Concentrado para solución para perfusión</w:t>
                  </w:r>
                </w:p>
              </w:tc>
            </w:tr>
            <w:tr w:rsidR="009D49F2" w:rsidTr="0027454F">
              <w:tc>
                <w:tcPr>
                  <w:tcW w:w="1135" w:type="dxa"/>
                </w:tcPr>
                <w:p w:rsidR="009D49F2" w:rsidRDefault="009D49F2" w:rsidP="0027454F">
                  <w:pPr>
                    <w:ind w:left="0" w:hanging="2"/>
                    <w:rPr>
                      <w:rFonts w:ascii="Arial Narrow" w:eastAsia="Arial Narrow" w:hAnsi="Arial Narrow" w:cs="Arial Narrow"/>
                      <w:sz w:val="16"/>
                      <w:szCs w:val="16"/>
                    </w:rPr>
                  </w:pPr>
                  <w:r>
                    <w:rPr>
                      <w:rFonts w:ascii="Arial Narrow" w:eastAsia="Arial Narrow" w:hAnsi="Arial Narrow" w:cs="Arial Narrow"/>
                      <w:sz w:val="16"/>
                      <w:szCs w:val="16"/>
                    </w:rPr>
                    <w:t>Conveniencia</w:t>
                  </w:r>
                </w:p>
              </w:tc>
              <w:tc>
                <w:tcPr>
                  <w:tcW w:w="1560" w:type="dxa"/>
                </w:tcPr>
                <w:p w:rsidR="009D49F2" w:rsidRDefault="009D49F2" w:rsidP="0027454F">
                  <w:pPr>
                    <w:ind w:left="0" w:hanging="2"/>
                    <w:rPr>
                      <w:rFonts w:ascii="Arial Narrow" w:eastAsia="Arial Narrow" w:hAnsi="Arial Narrow" w:cs="Arial Narrow"/>
                      <w:color w:val="000080"/>
                      <w:sz w:val="16"/>
                      <w:szCs w:val="16"/>
                    </w:rPr>
                  </w:pPr>
                  <w:r>
                    <w:rPr>
                      <w:rFonts w:ascii="Arial Narrow" w:eastAsia="Arial Narrow" w:hAnsi="Arial Narrow" w:cs="Arial Narrow"/>
                      <w:color w:val="000080"/>
                      <w:sz w:val="16"/>
                      <w:szCs w:val="16"/>
                    </w:rPr>
                    <w:t xml:space="preserve">No requiere administración con </w:t>
                  </w:r>
                  <w:r>
                    <w:rPr>
                      <w:rFonts w:ascii="Arial Narrow" w:eastAsia="Arial Narrow" w:hAnsi="Arial Narrow" w:cs="Arial Narrow"/>
                      <w:color w:val="000080"/>
                      <w:sz w:val="16"/>
                      <w:szCs w:val="16"/>
                    </w:rPr>
                    <w:lastRenderedPageBreak/>
                    <w:t>corticoides, se pueden tomar con o sin alimentos. Tamaño comprimido:</w:t>
                  </w:r>
                </w:p>
                <w:p w:rsidR="009D49F2" w:rsidRDefault="009D49F2" w:rsidP="0027454F">
                  <w:pPr>
                    <w:ind w:left="0" w:hanging="2"/>
                    <w:rPr>
                      <w:rFonts w:ascii="Arial Narrow" w:eastAsia="Arial Narrow" w:hAnsi="Arial Narrow" w:cs="Arial Narrow"/>
                      <w:color w:val="000080"/>
                      <w:sz w:val="16"/>
                      <w:szCs w:val="16"/>
                    </w:rPr>
                  </w:pPr>
                  <w:r>
                    <w:rPr>
                      <w:rFonts w:ascii="Arial Narrow" w:eastAsia="Arial Narrow" w:hAnsi="Arial Narrow" w:cs="Arial Narrow"/>
                      <w:color w:val="000080"/>
                      <w:sz w:val="16"/>
                      <w:szCs w:val="16"/>
                    </w:rPr>
                    <w:t xml:space="preserve">10,1mm x 10,19mm x 4,7mm </w:t>
                  </w:r>
                  <w:r>
                    <w:rPr>
                      <w:rFonts w:ascii="Arial Narrow" w:eastAsia="Arial Narrow" w:hAnsi="Arial Narrow" w:cs="Arial Narrow"/>
                      <w:b/>
                      <w:color w:val="00B050"/>
                      <w:sz w:val="16"/>
                      <w:szCs w:val="16"/>
                    </w:rPr>
                    <w:t>(Ref.42)</w:t>
                  </w:r>
                </w:p>
              </w:tc>
              <w:tc>
                <w:tcPr>
                  <w:tcW w:w="1560" w:type="dxa"/>
                </w:tcPr>
                <w:p w:rsidR="009D49F2" w:rsidRDefault="009D49F2" w:rsidP="0027454F">
                  <w:pPr>
                    <w:ind w:left="0" w:hanging="2"/>
                    <w:rPr>
                      <w:rFonts w:ascii="Arial Narrow" w:eastAsia="Arial Narrow" w:hAnsi="Arial Narrow" w:cs="Arial Narrow"/>
                      <w:color w:val="000080"/>
                      <w:sz w:val="16"/>
                      <w:szCs w:val="16"/>
                    </w:rPr>
                  </w:pPr>
                  <w:r>
                    <w:rPr>
                      <w:rFonts w:ascii="Arial Narrow" w:eastAsia="Arial Narrow" w:hAnsi="Arial Narrow" w:cs="Arial Narrow"/>
                      <w:color w:val="000080"/>
                      <w:sz w:val="16"/>
                      <w:szCs w:val="16"/>
                    </w:rPr>
                    <w:lastRenderedPageBreak/>
                    <w:t xml:space="preserve">No requiere administración con </w:t>
                  </w:r>
                  <w:r>
                    <w:rPr>
                      <w:rFonts w:ascii="Arial Narrow" w:eastAsia="Arial Narrow" w:hAnsi="Arial Narrow" w:cs="Arial Narrow"/>
                      <w:color w:val="000080"/>
                      <w:sz w:val="16"/>
                      <w:szCs w:val="16"/>
                    </w:rPr>
                    <w:lastRenderedPageBreak/>
                    <w:t xml:space="preserve">corticoides, se pueden tomar con o sin alimentos. </w:t>
                  </w:r>
                  <w:r>
                    <w:rPr>
                      <w:rFonts w:ascii="Arial Narrow" w:eastAsia="Arial Narrow" w:hAnsi="Arial Narrow" w:cs="Arial Narrow"/>
                      <w:color w:val="000080"/>
                      <w:sz w:val="16"/>
                      <w:szCs w:val="16"/>
                    </w:rPr>
                    <w:tab/>
                    <w:t xml:space="preserve"> Tamaño comprimido:</w:t>
                  </w:r>
                </w:p>
                <w:p w:rsidR="009D49F2" w:rsidRDefault="009D49F2" w:rsidP="0027454F">
                  <w:pPr>
                    <w:ind w:left="0" w:hanging="2"/>
                    <w:rPr>
                      <w:rFonts w:ascii="Arial Narrow" w:eastAsia="Arial Narrow" w:hAnsi="Arial Narrow" w:cs="Arial Narrow"/>
                      <w:color w:val="000080"/>
                      <w:sz w:val="16"/>
                      <w:szCs w:val="16"/>
                    </w:rPr>
                  </w:pPr>
                  <w:r>
                    <w:rPr>
                      <w:rFonts w:ascii="Arial Narrow" w:eastAsia="Arial Narrow" w:hAnsi="Arial Narrow" w:cs="Arial Narrow"/>
                      <w:color w:val="000080"/>
                      <w:sz w:val="16"/>
                      <w:szCs w:val="16"/>
                    </w:rPr>
                    <w:t xml:space="preserve">16,7mm de largo por 8,7mm de ancho </w:t>
                  </w:r>
                  <w:r>
                    <w:rPr>
                      <w:rFonts w:ascii="Arial Narrow" w:eastAsia="Arial Narrow" w:hAnsi="Arial Narrow" w:cs="Arial Narrow"/>
                      <w:b/>
                      <w:color w:val="00B050"/>
                      <w:sz w:val="16"/>
                      <w:szCs w:val="16"/>
                    </w:rPr>
                    <w:t>(Ref. 43)</w:t>
                  </w:r>
                </w:p>
              </w:tc>
              <w:tc>
                <w:tcPr>
                  <w:tcW w:w="1701" w:type="dxa"/>
                </w:tcPr>
                <w:p w:rsidR="009D49F2" w:rsidRDefault="009D49F2" w:rsidP="0027454F">
                  <w:pPr>
                    <w:ind w:left="0" w:hanging="2"/>
                    <w:rPr>
                      <w:rFonts w:ascii="Arial Narrow" w:eastAsia="Arial Narrow" w:hAnsi="Arial Narrow" w:cs="Arial Narrow"/>
                      <w:color w:val="000080"/>
                      <w:sz w:val="16"/>
                      <w:szCs w:val="16"/>
                    </w:rPr>
                  </w:pPr>
                  <w:r>
                    <w:rPr>
                      <w:rFonts w:ascii="Arial Narrow" w:eastAsia="Arial Narrow" w:hAnsi="Arial Narrow" w:cs="Arial Narrow"/>
                      <w:color w:val="000080"/>
                      <w:sz w:val="16"/>
                      <w:szCs w:val="16"/>
                    </w:rPr>
                    <w:lastRenderedPageBreak/>
                    <w:t xml:space="preserve">Requiere administración concomitante de </w:t>
                  </w:r>
                  <w:r>
                    <w:rPr>
                      <w:rFonts w:ascii="Arial Narrow" w:eastAsia="Arial Narrow" w:hAnsi="Arial Narrow" w:cs="Arial Narrow"/>
                      <w:color w:val="000080"/>
                      <w:sz w:val="16"/>
                      <w:szCs w:val="16"/>
                    </w:rPr>
                    <w:lastRenderedPageBreak/>
                    <w:t>corticoides, no debe administrarse con alimentos.</w:t>
                  </w:r>
                </w:p>
                <w:p w:rsidR="009D49F2" w:rsidRDefault="009D49F2" w:rsidP="0027454F">
                  <w:pPr>
                    <w:ind w:left="0" w:hanging="2"/>
                    <w:rPr>
                      <w:rFonts w:ascii="Arial Narrow" w:eastAsia="Arial Narrow" w:hAnsi="Arial Narrow" w:cs="Arial Narrow"/>
                      <w:color w:val="000080"/>
                      <w:sz w:val="16"/>
                      <w:szCs w:val="16"/>
                    </w:rPr>
                  </w:pPr>
                  <w:r>
                    <w:rPr>
                      <w:rFonts w:ascii="Arial Narrow" w:eastAsia="Arial Narrow" w:hAnsi="Arial Narrow" w:cs="Arial Narrow"/>
                      <w:color w:val="000080"/>
                      <w:sz w:val="16"/>
                      <w:szCs w:val="16"/>
                    </w:rPr>
                    <w:t>Tamaño comprimido:</w:t>
                  </w:r>
                </w:p>
                <w:p w:rsidR="009D49F2" w:rsidRDefault="009D49F2" w:rsidP="0027454F">
                  <w:pPr>
                    <w:ind w:left="0" w:hanging="2"/>
                    <w:rPr>
                      <w:rFonts w:ascii="Arial Narrow" w:eastAsia="Arial Narrow" w:hAnsi="Arial Narrow" w:cs="Arial Narrow"/>
                      <w:color w:val="000080"/>
                      <w:sz w:val="16"/>
                      <w:szCs w:val="16"/>
                    </w:rPr>
                  </w:pPr>
                  <w:r>
                    <w:rPr>
                      <w:rFonts w:ascii="Arial Narrow" w:eastAsia="Arial Narrow" w:hAnsi="Arial Narrow" w:cs="Arial Narrow"/>
                      <w:color w:val="000080"/>
                      <w:sz w:val="16"/>
                      <w:szCs w:val="16"/>
                    </w:rPr>
                    <w:t>15,9mm de longitud x 9,5mm de ancho</w:t>
                  </w:r>
                </w:p>
                <w:p w:rsidR="009D49F2" w:rsidRDefault="009D49F2" w:rsidP="0027454F">
                  <w:pPr>
                    <w:ind w:left="0" w:hanging="2"/>
                    <w:rPr>
                      <w:rFonts w:ascii="Arial Narrow" w:eastAsia="Arial Narrow" w:hAnsi="Arial Narrow" w:cs="Arial Narrow"/>
                      <w:color w:val="000080"/>
                      <w:sz w:val="16"/>
                      <w:szCs w:val="16"/>
                    </w:rPr>
                  </w:pPr>
                  <w:r>
                    <w:rPr>
                      <w:rFonts w:ascii="Arial Narrow" w:eastAsia="Arial Narrow" w:hAnsi="Arial Narrow" w:cs="Arial Narrow"/>
                      <w:b/>
                      <w:color w:val="00B050"/>
                      <w:sz w:val="16"/>
                      <w:szCs w:val="16"/>
                    </w:rPr>
                    <w:t>(Ref. 44)</w:t>
                  </w:r>
                </w:p>
              </w:tc>
              <w:tc>
                <w:tcPr>
                  <w:tcW w:w="1841" w:type="dxa"/>
                </w:tcPr>
                <w:p w:rsidR="009D49F2" w:rsidRDefault="009D49F2" w:rsidP="0027454F">
                  <w:pPr>
                    <w:ind w:left="0" w:hanging="2"/>
                    <w:rPr>
                      <w:rFonts w:ascii="Arial Narrow" w:eastAsia="Arial Narrow" w:hAnsi="Arial Narrow" w:cs="Arial Narrow"/>
                      <w:color w:val="000080"/>
                      <w:sz w:val="16"/>
                      <w:szCs w:val="16"/>
                    </w:rPr>
                  </w:pPr>
                  <w:r>
                    <w:rPr>
                      <w:rFonts w:ascii="Arial Narrow" w:eastAsia="Arial Narrow" w:hAnsi="Arial Narrow" w:cs="Arial Narrow"/>
                      <w:color w:val="000080"/>
                      <w:sz w:val="16"/>
                      <w:szCs w:val="16"/>
                    </w:rPr>
                    <w:lastRenderedPageBreak/>
                    <w:t xml:space="preserve">El uso de docetaxel debe estar restringido a unidades </w:t>
                  </w:r>
                  <w:r>
                    <w:rPr>
                      <w:rFonts w:ascii="Arial Narrow" w:eastAsia="Arial Narrow" w:hAnsi="Arial Narrow" w:cs="Arial Narrow"/>
                      <w:color w:val="000080"/>
                      <w:sz w:val="16"/>
                      <w:szCs w:val="16"/>
                    </w:rPr>
                    <w:lastRenderedPageBreak/>
                    <w:t xml:space="preserve">especializadas en la administración de quimioterapia citotóxica y sólo debe ser administrado bajo la supervisión de un médico especializado en quimioterapia anticancerosa </w:t>
                  </w:r>
                  <w:r>
                    <w:rPr>
                      <w:rFonts w:ascii="Arial Narrow" w:eastAsia="Arial Narrow" w:hAnsi="Arial Narrow" w:cs="Arial Narrow"/>
                      <w:b/>
                      <w:color w:val="00B050"/>
                      <w:sz w:val="16"/>
                      <w:szCs w:val="16"/>
                    </w:rPr>
                    <w:t>(Ref. 45)</w:t>
                  </w:r>
                </w:p>
              </w:tc>
            </w:tr>
          </w:tbl>
          <w:p w:rsidR="009D49F2" w:rsidRDefault="009D49F2" w:rsidP="0027454F">
            <w:pPr>
              <w:ind w:left="0" w:hanging="2"/>
              <w:jc w:val="both"/>
              <w:rPr>
                <w:rFonts w:ascii="Arial Narrow" w:eastAsia="Arial Narrow" w:hAnsi="Arial Narrow" w:cs="Arial Narrow"/>
                <w:color w:val="000080"/>
                <w:sz w:val="20"/>
                <w:szCs w:val="20"/>
              </w:rPr>
            </w:pPr>
          </w:p>
        </w:tc>
        <w:tc>
          <w:tcPr>
            <w:tcW w:w="5953"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C00000"/>
                <w:sz w:val="20"/>
                <w:szCs w:val="20"/>
              </w:rPr>
            </w:pPr>
            <w:r>
              <w:rPr>
                <w:rFonts w:ascii="Arial Narrow" w:eastAsia="Arial Narrow" w:hAnsi="Arial Narrow" w:cs="Arial Narrow"/>
                <w:color w:val="000080"/>
                <w:sz w:val="20"/>
                <w:szCs w:val="20"/>
              </w:rPr>
              <w:t>Se incluye información sobre conveniencia en la tabla indicada.</w:t>
            </w:r>
            <w:r>
              <w:rPr>
                <w:rFonts w:ascii="Arial Narrow" w:eastAsia="Arial Narrow" w:hAnsi="Arial Narrow" w:cs="Arial Narrow"/>
                <w:color w:val="C00000"/>
                <w:sz w:val="20"/>
                <w:szCs w:val="20"/>
              </w:rPr>
              <w:t xml:space="preserve"> </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lastRenderedPageBreak/>
              <w:t xml:space="preserve">Marta Mateo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Oncology Lead.</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Astellas Ph.</w:t>
            </w:r>
          </w:p>
        </w:tc>
        <w:tc>
          <w:tcPr>
            <w:tcW w:w="8004"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Apartado 3.2.b Tratamiento actual de la enfermedad: evidencias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 xml:space="preserve">Comentario: </w:t>
            </w:r>
            <w:r>
              <w:rPr>
                <w:rFonts w:ascii="Arial Narrow" w:eastAsia="Arial Narrow" w:hAnsi="Arial Narrow" w:cs="Arial Narrow"/>
                <w:color w:val="000080"/>
                <w:sz w:val="20"/>
                <w:szCs w:val="20"/>
              </w:rPr>
              <w:t>En este apartado debería incluirse enzalutamida puesto que es una opción aprobada actualmente</w:t>
            </w:r>
            <w:r>
              <w:rPr>
                <w:rFonts w:ascii="Arial Narrow" w:eastAsia="Arial Narrow" w:hAnsi="Arial Narrow" w:cs="Arial Narrow"/>
                <w:b/>
                <w:color w:val="000080"/>
                <w:sz w:val="20"/>
                <w:szCs w:val="20"/>
              </w:rPr>
              <w:t>.</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 xml:space="preserve">Sugerencia: </w:t>
            </w:r>
            <w:r>
              <w:rPr>
                <w:rFonts w:ascii="Arial Narrow" w:eastAsia="Arial Narrow" w:hAnsi="Arial Narrow" w:cs="Arial Narrow"/>
                <w:color w:val="000080"/>
                <w:sz w:val="20"/>
                <w:szCs w:val="20"/>
              </w:rPr>
              <w:t>Añadir</w:t>
            </w:r>
            <w:r>
              <w:rPr>
                <w:rFonts w:ascii="Arial Narrow" w:eastAsia="Arial Narrow" w:hAnsi="Arial Narrow" w:cs="Arial Narrow"/>
                <w:b/>
                <w:color w:val="000080"/>
                <w:sz w:val="20"/>
                <w:szCs w:val="20"/>
              </w:rPr>
              <w:t xml:space="preserve"> “</w:t>
            </w:r>
            <w:r>
              <w:rPr>
                <w:rFonts w:ascii="Arial Narrow" w:eastAsia="Arial Narrow" w:hAnsi="Arial Narrow" w:cs="Arial Narrow"/>
                <w:color w:val="000080"/>
                <w:sz w:val="20"/>
                <w:szCs w:val="20"/>
              </w:rPr>
              <w:t xml:space="preserve">En septiembre de 2021 enzalutamida se aprobó en España para el tratamiento de los pacientes con CPHSm según los resultados favorables de los estudios ARCHES y ENZAMET”. </w:t>
            </w:r>
            <w:r>
              <w:rPr>
                <w:rFonts w:ascii="Arial Narrow" w:eastAsia="Arial Narrow" w:hAnsi="Arial Narrow" w:cs="Arial Narrow"/>
                <w:b/>
                <w:color w:val="00B050"/>
                <w:sz w:val="20"/>
                <w:szCs w:val="20"/>
              </w:rPr>
              <w:t>Ref. 16 actualizada y Ref. 35</w:t>
            </w:r>
          </w:p>
        </w:tc>
        <w:tc>
          <w:tcPr>
            <w:tcW w:w="5953"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Se incluye comentario. </w:t>
            </w:r>
          </w:p>
          <w:p w:rsidR="009D49F2" w:rsidRDefault="009D49F2" w:rsidP="0027454F">
            <w:pPr>
              <w:ind w:left="0" w:hanging="2"/>
              <w:jc w:val="both"/>
              <w:rPr>
                <w:rFonts w:ascii="Arial Narrow" w:eastAsia="Arial Narrow" w:hAnsi="Arial Narrow" w:cs="Arial Narrow"/>
                <w:color w:val="000080"/>
                <w:sz w:val="20"/>
                <w:szCs w:val="20"/>
              </w:rPr>
            </w:pP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Marta Mateo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Oncology Lead.</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Astellas Ph.</w:t>
            </w:r>
          </w:p>
        </w:tc>
        <w:tc>
          <w:tcPr>
            <w:tcW w:w="8004"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Apartado 3.3 Características comparadas con otras alternativas similares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 xml:space="preserve">Comentario/sugerencia: </w:t>
            </w:r>
          </w:p>
          <w:p w:rsidR="009D49F2" w:rsidRDefault="009D49F2" w:rsidP="009D49F2">
            <w:pPr>
              <w:numPr>
                <w:ilvl w:val="0"/>
                <w:numId w:val="7"/>
              </w:numPr>
              <w:suppressAutoHyphens/>
              <w:ind w:left="0" w:hanging="2"/>
              <w:textDirection w:val="btLr"/>
              <w:rPr>
                <w:rFonts w:ascii="Arial Narrow" w:eastAsia="Arial Narrow" w:hAnsi="Arial Narrow" w:cs="Arial Narrow"/>
                <w:color w:val="00B050"/>
                <w:sz w:val="20"/>
                <w:szCs w:val="20"/>
              </w:rPr>
            </w:pPr>
            <w:r>
              <w:rPr>
                <w:rFonts w:ascii="Arial Narrow" w:eastAsia="Arial Narrow" w:hAnsi="Arial Narrow" w:cs="Arial Narrow"/>
                <w:color w:val="000080"/>
                <w:sz w:val="20"/>
                <w:szCs w:val="20"/>
              </w:rPr>
              <w:t xml:space="preserve">Abiraterona se debe administrar con Prednisona o prednisolona siempre y solo lo indica en CPHSm con 5 mg.  </w:t>
            </w:r>
            <w:r>
              <w:rPr>
                <w:rFonts w:ascii="Arial Narrow" w:eastAsia="Arial Narrow" w:hAnsi="Arial Narrow" w:cs="Arial Narrow"/>
                <w:b/>
                <w:color w:val="000080"/>
                <w:sz w:val="20"/>
                <w:szCs w:val="20"/>
              </w:rPr>
              <w:t>Sugerimos</w:t>
            </w:r>
            <w:r>
              <w:rPr>
                <w:rFonts w:ascii="Arial Narrow" w:eastAsia="Arial Narrow" w:hAnsi="Arial Narrow" w:cs="Arial Narrow"/>
                <w:color w:val="000080"/>
                <w:sz w:val="20"/>
                <w:szCs w:val="20"/>
              </w:rPr>
              <w:t xml:space="preserve"> añadir en las dos indicaciones de CPRCm para abiraterona “Se ha de administrar con 10 mg de prednisona o prednisolona al día” </w:t>
            </w:r>
            <w:r>
              <w:rPr>
                <w:rFonts w:ascii="Arial Narrow" w:eastAsia="Arial Narrow" w:hAnsi="Arial Narrow" w:cs="Arial Narrow"/>
                <w:b/>
                <w:color w:val="00B050"/>
                <w:sz w:val="20"/>
                <w:szCs w:val="20"/>
              </w:rPr>
              <w:t>Ref. 43</w:t>
            </w:r>
          </w:p>
          <w:p w:rsidR="009D49F2" w:rsidRDefault="009D49F2" w:rsidP="009D49F2">
            <w:pPr>
              <w:numPr>
                <w:ilvl w:val="0"/>
                <w:numId w:val="7"/>
              </w:numPr>
              <w:suppressAutoHyphens/>
              <w:ind w:left="0" w:hanging="2"/>
              <w:jc w:val="both"/>
              <w:textDirection w:val="btLr"/>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Los eventos adversos frecuentes y muy frecuentes de abiraterona y apalutamida están incompletos. </w:t>
            </w:r>
            <w:r>
              <w:rPr>
                <w:rFonts w:ascii="Arial Narrow" w:eastAsia="Arial Narrow" w:hAnsi="Arial Narrow" w:cs="Arial Narrow"/>
                <w:b/>
                <w:color w:val="000080"/>
                <w:sz w:val="20"/>
                <w:szCs w:val="20"/>
              </w:rPr>
              <w:t xml:space="preserve">Sugerimos </w:t>
            </w:r>
            <w:r>
              <w:rPr>
                <w:rFonts w:ascii="Arial Narrow" w:eastAsia="Arial Narrow" w:hAnsi="Arial Narrow" w:cs="Arial Narrow"/>
                <w:color w:val="000080"/>
                <w:sz w:val="20"/>
                <w:szCs w:val="20"/>
              </w:rPr>
              <w:t xml:space="preserve">añadir los siguientes eventos adversos para abiraterona: “insuficiencia cardíaca, elevación de las transaminasas, fracturas e hipertrigliceridemia”, puesto que se mencionan en advertencias y añadir a apalutamida: “hipotiroidismo, mareo y trastorno cognoscitivo” </w:t>
            </w:r>
            <w:r>
              <w:rPr>
                <w:rFonts w:ascii="Arial Narrow" w:eastAsia="Arial Narrow" w:hAnsi="Arial Narrow" w:cs="Arial Narrow"/>
                <w:b/>
                <w:color w:val="00B050"/>
                <w:sz w:val="20"/>
                <w:szCs w:val="20"/>
              </w:rPr>
              <w:t>Ref 43 y 44</w:t>
            </w:r>
          </w:p>
        </w:tc>
        <w:tc>
          <w:tcPr>
            <w:tcW w:w="5953"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Se incluyen estas consideraciones</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Marta Mateo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Oncology Lead.</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Astellas Ph.</w:t>
            </w:r>
          </w:p>
        </w:tc>
        <w:tc>
          <w:tcPr>
            <w:tcW w:w="8004"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 xml:space="preserve">Apartados 3.3, 4.3, 5.2,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Comentario:</w:t>
            </w:r>
            <w:r>
              <w:rPr>
                <w:rFonts w:ascii="Arial Narrow" w:eastAsia="Arial Narrow" w:hAnsi="Arial Narrow" w:cs="Arial Narrow"/>
                <w:color w:val="000080"/>
                <w:sz w:val="20"/>
                <w:szCs w:val="20"/>
              </w:rPr>
              <w:t xml:space="preserve"> En España no se comercializan las cápsulas blandas, se comercializan comprimidos recubiertos con película.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Sugerencia:</w:t>
            </w:r>
            <w:r>
              <w:rPr>
                <w:rFonts w:ascii="Arial Narrow" w:eastAsia="Arial Narrow" w:hAnsi="Arial Narrow" w:cs="Arial Narrow"/>
                <w:color w:val="000080"/>
                <w:sz w:val="20"/>
                <w:szCs w:val="20"/>
              </w:rPr>
              <w:t xml:space="preserve"> sustituir en todo el documento para enzalutamida, cápsulas por comprimidos recubiertos</w:t>
            </w:r>
          </w:p>
        </w:tc>
        <w:tc>
          <w:tcPr>
            <w:tcW w:w="5953"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Se acepta.</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Marta Mateo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Oncology Lead.</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Astellas Ph.</w:t>
            </w:r>
          </w:p>
        </w:tc>
        <w:tc>
          <w:tcPr>
            <w:tcW w:w="8004"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Apartado 5.2.a Resultados de los ensayos clínicos. Tabla 2 ARCHES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 xml:space="preserve">Comentario: Párrafo 2 antes de la figura 1. </w:t>
            </w:r>
            <w:r>
              <w:rPr>
                <w:rFonts w:ascii="Arial Narrow" w:eastAsia="Arial Narrow" w:hAnsi="Arial Narrow" w:cs="Arial Narrow"/>
                <w:color w:val="000080"/>
                <w:sz w:val="20"/>
                <w:szCs w:val="20"/>
              </w:rPr>
              <w:t xml:space="preserve">Puesto que el análisis final del estudio ARCHES ya se encuentra publicado, sugerimos incluir estos resultados finales.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Sugerencia:</w:t>
            </w:r>
            <w:r>
              <w:rPr>
                <w:rFonts w:ascii="Arial Narrow" w:eastAsia="Arial Narrow" w:hAnsi="Arial Narrow" w:cs="Arial Narrow"/>
                <w:color w:val="000080"/>
                <w:sz w:val="20"/>
                <w:szCs w:val="20"/>
              </w:rPr>
              <w:t xml:space="preserve"> “El análisis final de ARCHES demostró que enzalutamida+TDA redujo el riesgo de muerte un 34% (HR: 0,66; IC95%: 0,53-0,81; p=0,0001) versus placebo+TDA. No se alcanzó la mediana del tiempo de supervivencia en ninguno de los grupos”. </w:t>
            </w:r>
            <w:r>
              <w:rPr>
                <w:rFonts w:ascii="Arial Narrow" w:eastAsia="Arial Narrow" w:hAnsi="Arial Narrow" w:cs="Arial Narrow"/>
                <w:b/>
                <w:color w:val="00B050"/>
                <w:sz w:val="20"/>
                <w:szCs w:val="20"/>
              </w:rPr>
              <w:t>Ref.16 actualizada</w:t>
            </w:r>
          </w:p>
        </w:tc>
        <w:tc>
          <w:tcPr>
            <w:tcW w:w="5953"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Se acepta y se incluyen resultados actualizados. </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Marta Mateo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lastRenderedPageBreak/>
              <w:t>Oncology Lead.</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Astellas Ph.</w:t>
            </w:r>
          </w:p>
        </w:tc>
        <w:tc>
          <w:tcPr>
            <w:tcW w:w="8004"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lastRenderedPageBreak/>
              <w:t>Apartado 5.2.a Resultados de los ensayos clínicos - Supervivencia global:</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lastRenderedPageBreak/>
              <w:t>Comentario/Sugerencia</w:t>
            </w:r>
            <w:r>
              <w:rPr>
                <w:rFonts w:ascii="Arial Narrow" w:eastAsia="Arial Narrow" w:hAnsi="Arial Narrow" w:cs="Arial Narrow"/>
                <w:color w:val="000080"/>
                <w:sz w:val="20"/>
                <w:szCs w:val="20"/>
              </w:rPr>
              <w:t>:</w:t>
            </w:r>
            <w:r>
              <w:rPr>
                <w:rFonts w:ascii="Arial Narrow" w:eastAsia="Arial Narrow" w:hAnsi="Arial Narrow" w:cs="Arial Narrow"/>
                <w:sz w:val="20"/>
                <w:szCs w:val="20"/>
              </w:rPr>
              <w:t xml:space="preserve"> </w:t>
            </w:r>
            <w:r>
              <w:rPr>
                <w:rFonts w:ascii="Arial Narrow" w:eastAsia="Arial Narrow" w:hAnsi="Arial Narrow" w:cs="Arial Narrow"/>
                <w:color w:val="000080"/>
                <w:sz w:val="20"/>
                <w:szCs w:val="20"/>
              </w:rPr>
              <w:t xml:space="preserve">Se comentan los resultados finales de SG en este apartado, sugerimos, poder añadir la gráfica de las curvas de Kaplan-Meier que representan estos resultados. </w:t>
            </w:r>
            <w:r>
              <w:rPr>
                <w:rFonts w:ascii="Arial Narrow" w:eastAsia="Arial Narrow" w:hAnsi="Arial Narrow" w:cs="Arial Narrow"/>
                <w:color w:val="FF0000"/>
                <w:sz w:val="20"/>
                <w:szCs w:val="20"/>
              </w:rPr>
              <w:t>Adjunta en documento anexo.</w:t>
            </w:r>
            <w:r>
              <w:rPr>
                <w:rFonts w:ascii="Arial Narrow" w:eastAsia="Arial Narrow" w:hAnsi="Arial Narrow" w:cs="Arial Narrow"/>
                <w:color w:val="000080"/>
                <w:sz w:val="20"/>
                <w:szCs w:val="20"/>
              </w:rPr>
              <w:t xml:space="preserve"> </w:t>
            </w:r>
            <w:r>
              <w:rPr>
                <w:rFonts w:ascii="Arial Narrow" w:eastAsia="Arial Narrow" w:hAnsi="Arial Narrow" w:cs="Arial Narrow"/>
                <w:b/>
                <w:color w:val="00B050"/>
                <w:sz w:val="20"/>
                <w:szCs w:val="20"/>
              </w:rPr>
              <w:t xml:space="preserve">Ref. 16 actualizada </w:t>
            </w:r>
          </w:p>
        </w:tc>
        <w:tc>
          <w:tcPr>
            <w:tcW w:w="5953"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lastRenderedPageBreak/>
              <w:t xml:space="preserve">No se dispone de la curva de Kaplan Meier del artículo original del ensayo ARCHES. No obstante, se incluye la curva de los datos actualizados comentados en la alegación anterior. </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lastRenderedPageBreak/>
              <w:t xml:space="preserve">Marta Mateo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Oncology Lead.</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Astellas Ph.</w:t>
            </w:r>
          </w:p>
        </w:tc>
        <w:tc>
          <w:tcPr>
            <w:tcW w:w="8004"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Apartado 5.2.a Resultados de los ensayos clínicos. Tabla 3. ENZAMET. Variable primaria</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Comentarios:</w:t>
            </w:r>
            <w:r>
              <w:rPr>
                <w:rFonts w:ascii="Arial Narrow" w:eastAsia="Arial Narrow" w:hAnsi="Arial Narrow" w:cs="Arial Narrow"/>
                <w:sz w:val="20"/>
                <w:szCs w:val="20"/>
              </w:rPr>
              <w:t xml:space="preserve"> </w:t>
            </w:r>
            <w:r>
              <w:rPr>
                <w:rFonts w:ascii="Arial Narrow" w:eastAsia="Arial Narrow" w:hAnsi="Arial Narrow" w:cs="Arial Narrow"/>
                <w:color w:val="000080"/>
                <w:sz w:val="20"/>
                <w:szCs w:val="20"/>
              </w:rPr>
              <w:t>En la tabla 3</w:t>
            </w:r>
            <w:r>
              <w:rPr>
                <w:rFonts w:ascii="Arial Narrow" w:eastAsia="Arial Narrow" w:hAnsi="Arial Narrow" w:cs="Arial Narrow"/>
                <w:b/>
                <w:color w:val="000080"/>
                <w:sz w:val="20"/>
                <w:szCs w:val="20"/>
              </w:rPr>
              <w:t xml:space="preserve"> l</w:t>
            </w:r>
            <w:r>
              <w:rPr>
                <w:rFonts w:ascii="Arial Narrow" w:eastAsia="Arial Narrow" w:hAnsi="Arial Narrow" w:cs="Arial Narrow"/>
                <w:color w:val="000080"/>
                <w:sz w:val="20"/>
                <w:szCs w:val="20"/>
              </w:rPr>
              <w:t>a SG</w:t>
            </w:r>
            <w:r>
              <w:rPr>
                <w:rFonts w:ascii="Arial Narrow" w:eastAsia="Arial Narrow" w:hAnsi="Arial Narrow" w:cs="Arial Narrow"/>
                <w:b/>
                <w:color w:val="000080"/>
                <w:sz w:val="20"/>
                <w:szCs w:val="20"/>
              </w:rPr>
              <w:t xml:space="preserve"> </w:t>
            </w:r>
            <w:r>
              <w:rPr>
                <w:rFonts w:ascii="Arial Narrow" w:eastAsia="Arial Narrow" w:hAnsi="Arial Narrow" w:cs="Arial Narrow"/>
                <w:color w:val="000080"/>
                <w:sz w:val="20"/>
                <w:szCs w:val="20"/>
              </w:rPr>
              <w:t>refleja el resultado del análisis intermedio para el cual el seguimiento todavía era insuficiente, teniendo en cuenta que ya se ha publicado el resultado final de la SG, sugerimos actualizar estos datos.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Sugerencia</w:t>
            </w:r>
            <w:r>
              <w:rPr>
                <w:rFonts w:ascii="Arial Narrow" w:eastAsia="Arial Narrow" w:hAnsi="Arial Narrow" w:cs="Arial Narrow"/>
                <w:color w:val="000080"/>
                <w:sz w:val="20"/>
                <w:szCs w:val="20"/>
              </w:rPr>
              <w:t xml:space="preserve">: Añadir en la tabla los datos SG en el análisis final (HR 0,70; IC 95%, 0.58 - 0.84; p&lt;0.0001), (incluyendo en esta variable la referencia adicional del análisis final de SG del estudio ENZAMET). </w:t>
            </w:r>
            <w:r>
              <w:rPr>
                <w:rFonts w:ascii="Arial Narrow" w:eastAsia="Arial Narrow" w:hAnsi="Arial Narrow" w:cs="Arial Narrow"/>
                <w:b/>
                <w:color w:val="00B050"/>
                <w:sz w:val="20"/>
                <w:szCs w:val="20"/>
              </w:rPr>
              <w:t>Ref. 35</w:t>
            </w:r>
          </w:p>
        </w:tc>
        <w:tc>
          <w:tcPr>
            <w:tcW w:w="5953"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Se acepta y se incluyen resultados actualizados.</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Marta Mateo Rodenas.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Oncology Lead.</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Astellas Ph.</w:t>
            </w:r>
          </w:p>
        </w:tc>
        <w:tc>
          <w:tcPr>
            <w:tcW w:w="8004"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Apartado 5.2.a. Resultados de los ensayos clínicos. Párrafo tras tabla de resultados ENZAMET</w:t>
            </w:r>
          </w:p>
          <w:p w:rsidR="009D49F2" w:rsidRDefault="009D49F2" w:rsidP="0027454F">
            <w:pPr>
              <w:ind w:left="0" w:hanging="2"/>
              <w:jc w:val="both"/>
              <w:rPr>
                <w:rFonts w:ascii="Arial Narrow" w:eastAsia="Arial Narrow" w:hAnsi="Arial Narrow" w:cs="Arial Narrow"/>
                <w:color w:val="FF0000"/>
                <w:sz w:val="20"/>
                <w:szCs w:val="20"/>
              </w:rPr>
            </w:pPr>
            <w:r>
              <w:rPr>
                <w:rFonts w:ascii="Arial Narrow" w:eastAsia="Arial Narrow" w:hAnsi="Arial Narrow" w:cs="Arial Narrow"/>
                <w:b/>
                <w:color w:val="000080"/>
                <w:sz w:val="20"/>
                <w:szCs w:val="20"/>
              </w:rPr>
              <w:t>Comentario:</w:t>
            </w:r>
            <w:r>
              <w:rPr>
                <w:rFonts w:ascii="Arial Narrow" w:eastAsia="Arial Narrow" w:hAnsi="Arial Narrow" w:cs="Arial Narrow"/>
                <w:color w:val="000080"/>
                <w:sz w:val="20"/>
                <w:szCs w:val="20"/>
              </w:rPr>
              <w:t xml:space="preserve"> Al establecerse que no se ha localizado publicación posterior, consideramos desactualizada dicha afirmación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Sugerencia:</w:t>
            </w:r>
            <w:r>
              <w:rPr>
                <w:rFonts w:ascii="Arial Narrow" w:eastAsia="Arial Narrow" w:hAnsi="Arial Narrow" w:cs="Arial Narrow"/>
                <w:color w:val="000080"/>
                <w:sz w:val="20"/>
                <w:szCs w:val="20"/>
              </w:rPr>
              <w:t xml:space="preserve"> Eliminar la frase “Sin embargo, no se ha localizado publicación posterior” y actualizar esta información añadiendo: “El tratamiento con enzalutamida se asoció con una mejora significativa de la SG en comparación con el grupo AANS (HR: 0,70, IC del 95%: 0,58 a 0,84; valor de p&lt;0,001). La tasa de supervivencia a los cinco años fue del 67% en el grupo de enzalutamida y del 57% en el grupo NSAA. </w:t>
            </w:r>
          </w:p>
          <w:p w:rsidR="009D49F2" w:rsidRDefault="009D49F2" w:rsidP="0027454F">
            <w:pPr>
              <w:ind w:left="0" w:hanging="2"/>
              <w:jc w:val="both"/>
              <w:rPr>
                <w:rFonts w:ascii="Arial Narrow" w:eastAsia="Arial Narrow" w:hAnsi="Arial Narrow" w:cs="Arial Narrow"/>
                <w:color w:val="FF0000"/>
                <w:sz w:val="20"/>
                <w:szCs w:val="20"/>
              </w:rPr>
            </w:pPr>
            <w:r>
              <w:rPr>
                <w:rFonts w:ascii="Arial Narrow" w:eastAsia="Arial Narrow" w:hAnsi="Arial Narrow" w:cs="Arial Narrow"/>
                <w:color w:val="000080"/>
                <w:sz w:val="20"/>
                <w:szCs w:val="20"/>
              </w:rPr>
              <w:t xml:space="preserve">Según el protocolo, pacientes que discontinuaban su grupo de tratamiento podían recibir terapia posterior a discreción del médico. Las principales terapias para los pacientes que progresaron: para el grupo enzalutamida fueron: docetaxel (25,7%), no tratamiento (38,8%) y abiraterona combinada con prednisona o prednisolona (26,1%). Los pacientes del grupo control emplearon: enzalutamida (49,6%), abiraterona con prednisona o prednisolona (35,8%), docetaxel (25,4%) y cabazitaxel (25,2%)”. </w:t>
            </w:r>
            <w:r>
              <w:rPr>
                <w:rFonts w:ascii="Arial Narrow" w:eastAsia="Arial Narrow" w:hAnsi="Arial Narrow" w:cs="Arial Narrow"/>
                <w:b/>
                <w:color w:val="00B050"/>
                <w:sz w:val="20"/>
                <w:szCs w:val="20"/>
              </w:rPr>
              <w:t>Ref. 35</w:t>
            </w:r>
          </w:p>
        </w:tc>
        <w:tc>
          <w:tcPr>
            <w:tcW w:w="5953"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Se incluyen resultados actualizados, tal y como se menciona en la alegación anterior. </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Marta Mateo</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Oncology Lead.</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Astellas Ph.</w:t>
            </w:r>
          </w:p>
        </w:tc>
        <w:tc>
          <w:tcPr>
            <w:tcW w:w="8004"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Apartado 5.2.a Resultados de los ensayos clínicos. Figura 5. Estudio ENZAMET</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 xml:space="preserve">Comentario/Sugerencia: </w:t>
            </w:r>
            <w:r>
              <w:rPr>
                <w:rFonts w:ascii="Arial Narrow" w:eastAsia="Arial Narrow" w:hAnsi="Arial Narrow" w:cs="Arial Narrow"/>
                <w:color w:val="000080"/>
                <w:sz w:val="20"/>
                <w:szCs w:val="20"/>
              </w:rPr>
              <w:t xml:space="preserve">Respecto al </w:t>
            </w:r>
            <w:r>
              <w:rPr>
                <w:rFonts w:ascii="Arial Narrow" w:eastAsia="Arial Narrow" w:hAnsi="Arial Narrow" w:cs="Arial Narrow"/>
                <w:i/>
                <w:color w:val="000080"/>
                <w:sz w:val="20"/>
                <w:szCs w:val="20"/>
              </w:rPr>
              <w:t>forest plot</w:t>
            </w:r>
            <w:r>
              <w:rPr>
                <w:rFonts w:ascii="Arial Narrow" w:eastAsia="Arial Narrow" w:hAnsi="Arial Narrow" w:cs="Arial Narrow"/>
                <w:color w:val="000080"/>
                <w:sz w:val="20"/>
                <w:szCs w:val="20"/>
              </w:rPr>
              <w:t xml:space="preserve"> del análisis de Supervivencia Global por subgrupos preespecificados, sugerimos actualizar estos datos: con la figura del </w:t>
            </w:r>
            <w:r>
              <w:rPr>
                <w:rFonts w:ascii="Arial Narrow" w:eastAsia="Arial Narrow" w:hAnsi="Arial Narrow" w:cs="Arial Narrow"/>
                <w:i/>
                <w:color w:val="000080"/>
                <w:sz w:val="20"/>
                <w:szCs w:val="20"/>
              </w:rPr>
              <w:t>forest plot</w:t>
            </w:r>
            <w:r>
              <w:rPr>
                <w:rFonts w:ascii="Arial Narrow" w:eastAsia="Arial Narrow" w:hAnsi="Arial Narrow" w:cs="Arial Narrow"/>
                <w:color w:val="000080"/>
                <w:sz w:val="20"/>
                <w:szCs w:val="20"/>
              </w:rPr>
              <w:t xml:space="preserve"> de la referencia adicional del análisis final de SG del estudio ENZAMET. </w:t>
            </w:r>
            <w:r>
              <w:rPr>
                <w:rFonts w:ascii="Arial Narrow" w:eastAsia="Arial Narrow" w:hAnsi="Arial Narrow" w:cs="Arial Narrow"/>
                <w:color w:val="FF0000"/>
                <w:sz w:val="20"/>
                <w:szCs w:val="20"/>
              </w:rPr>
              <w:t>Adjunta en documento anexo</w:t>
            </w:r>
            <w:r>
              <w:rPr>
                <w:rFonts w:ascii="Arial Narrow" w:eastAsia="Arial Narrow" w:hAnsi="Arial Narrow" w:cs="Arial Narrow"/>
                <w:color w:val="000080"/>
                <w:sz w:val="20"/>
                <w:szCs w:val="20"/>
              </w:rPr>
              <w:t xml:space="preserve">. </w:t>
            </w:r>
            <w:r>
              <w:rPr>
                <w:rFonts w:ascii="Arial Narrow" w:eastAsia="Arial Narrow" w:hAnsi="Arial Narrow" w:cs="Arial Narrow"/>
                <w:b/>
                <w:color w:val="00B050"/>
                <w:sz w:val="20"/>
                <w:szCs w:val="20"/>
              </w:rPr>
              <w:t>Ref. 35</w:t>
            </w:r>
          </w:p>
        </w:tc>
        <w:tc>
          <w:tcPr>
            <w:tcW w:w="5953"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Se incluyen los resultados mencionados.</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Marta Mateo Rodenas.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Oncology Lead.</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Astellas Ph.</w:t>
            </w:r>
          </w:p>
        </w:tc>
        <w:tc>
          <w:tcPr>
            <w:tcW w:w="8004"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Apartado 5.2.a y b Estudio ENZAMET. Apartado 9, conclusiones ENZAMET</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 xml:space="preserve">Comentario: </w:t>
            </w:r>
            <w:r>
              <w:rPr>
                <w:rFonts w:ascii="Arial Narrow" w:eastAsia="Arial Narrow" w:hAnsi="Arial Narrow" w:cs="Arial Narrow"/>
                <w:color w:val="000080"/>
                <w:sz w:val="20"/>
                <w:szCs w:val="20"/>
              </w:rPr>
              <w:t>en varios puntos del apartado se hace referencia al uso temprano de docetaxel, cuando en realidad debería poner</w:t>
            </w:r>
            <w:r>
              <w:rPr>
                <w:rFonts w:ascii="Arial Narrow" w:eastAsia="Arial Narrow" w:hAnsi="Arial Narrow" w:cs="Arial Narrow"/>
                <w:b/>
                <w:color w:val="000080"/>
                <w:sz w:val="20"/>
                <w:szCs w:val="20"/>
              </w:rPr>
              <w:t xml:space="preserve"> “uso de docetaxel concomitante planificado de manera temprana” </w:t>
            </w:r>
            <w:r>
              <w:rPr>
                <w:rFonts w:ascii="Arial Narrow" w:eastAsia="Arial Narrow" w:hAnsi="Arial Narrow" w:cs="Arial Narrow"/>
                <w:color w:val="000080"/>
                <w:sz w:val="20"/>
                <w:szCs w:val="20"/>
              </w:rPr>
              <w:t>para no confundir con el uso previo de docetaxel antes de iniciar el ensayo.</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Sugerencia</w:t>
            </w:r>
            <w:r>
              <w:rPr>
                <w:rFonts w:ascii="Arial Narrow" w:eastAsia="Arial Narrow" w:hAnsi="Arial Narrow" w:cs="Arial Narrow"/>
                <w:color w:val="000080"/>
                <w:sz w:val="20"/>
                <w:szCs w:val="20"/>
              </w:rPr>
              <w:t xml:space="preserve"> cambiar en todo el documento donde se indica el uso temprano de docetaxel por “uso de docetaxel concomitante planificado de manera temprana”</w:t>
            </w:r>
          </w:p>
        </w:tc>
        <w:tc>
          <w:tcPr>
            <w:tcW w:w="5953"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Se acepta y se modifica donde puede inducir a error</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Marta Mateo</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lastRenderedPageBreak/>
              <w:t>Oncology Lead.</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Astellas Ph.</w:t>
            </w:r>
          </w:p>
        </w:tc>
        <w:tc>
          <w:tcPr>
            <w:tcW w:w="8004"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lastRenderedPageBreak/>
              <w:t>Apartado 5.2.a Resultados de los ensayos clínicos. Figura 6. Estudio ENZAMET</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lastRenderedPageBreak/>
              <w:t xml:space="preserve">Comentario: </w:t>
            </w:r>
            <w:r>
              <w:rPr>
                <w:rFonts w:ascii="Arial Narrow" w:eastAsia="Arial Narrow" w:hAnsi="Arial Narrow" w:cs="Arial Narrow"/>
                <w:color w:val="000080"/>
                <w:sz w:val="20"/>
                <w:szCs w:val="20"/>
              </w:rPr>
              <w:t xml:space="preserve">Respecto a la </w:t>
            </w:r>
            <w:r>
              <w:rPr>
                <w:rFonts w:ascii="Arial Narrow" w:eastAsia="Arial Narrow" w:hAnsi="Arial Narrow" w:cs="Arial Narrow"/>
                <w:i/>
                <w:color w:val="000080"/>
                <w:sz w:val="20"/>
                <w:szCs w:val="20"/>
              </w:rPr>
              <w:t>Kapplan Meier</w:t>
            </w:r>
            <w:r>
              <w:rPr>
                <w:rFonts w:ascii="Arial Narrow" w:eastAsia="Arial Narrow" w:hAnsi="Arial Narrow" w:cs="Arial Narrow"/>
                <w:color w:val="000080"/>
                <w:sz w:val="20"/>
                <w:szCs w:val="20"/>
              </w:rPr>
              <w:t xml:space="preserve"> del análisis de Supervivencia Global, sugerimos actualizarla con la figura correspondiente a la del análisis final de SG del estudio ENZAMET</w:t>
            </w:r>
            <w:r>
              <w:rPr>
                <w:rFonts w:ascii="Arial Narrow" w:eastAsia="Arial Narrow" w:hAnsi="Arial Narrow" w:cs="Arial Narrow"/>
                <w:b/>
                <w:color w:val="000080"/>
                <w:sz w:val="20"/>
                <w:szCs w:val="20"/>
              </w:rPr>
              <w:t>.</w:t>
            </w:r>
            <w:r>
              <w:rPr>
                <w:rFonts w:ascii="Arial Narrow" w:eastAsia="Arial Narrow" w:hAnsi="Arial Narrow" w:cs="Arial Narrow"/>
                <w:color w:val="FF0000"/>
                <w:sz w:val="20"/>
                <w:szCs w:val="20"/>
              </w:rPr>
              <w:t xml:space="preserve"> Adjunta en documento anexo.</w:t>
            </w:r>
            <w:r>
              <w:rPr>
                <w:rFonts w:ascii="Arial Narrow" w:eastAsia="Arial Narrow" w:hAnsi="Arial Narrow" w:cs="Arial Narrow"/>
                <w:b/>
                <w:color w:val="000080"/>
                <w:sz w:val="20"/>
                <w:szCs w:val="20"/>
              </w:rPr>
              <w:t xml:space="preserve"> </w:t>
            </w:r>
            <w:r>
              <w:rPr>
                <w:rFonts w:ascii="Arial Narrow" w:eastAsia="Arial Narrow" w:hAnsi="Arial Narrow" w:cs="Arial Narrow"/>
                <w:b/>
                <w:color w:val="00B050"/>
                <w:sz w:val="20"/>
                <w:szCs w:val="20"/>
              </w:rPr>
              <w:t>Ref. 35</w:t>
            </w:r>
          </w:p>
        </w:tc>
        <w:tc>
          <w:tcPr>
            <w:tcW w:w="5953"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No se dispone de la curva actualizada.</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lastRenderedPageBreak/>
              <w:t>Marta Mateo Rodenas.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Oncology Lead.</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Astellas Ph.</w:t>
            </w:r>
          </w:p>
        </w:tc>
        <w:tc>
          <w:tcPr>
            <w:tcW w:w="8004"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Apartado 5.2.b Evaluación de la validez y de la utilidad práctica de los resultados. A. Validez interna. Limitaciones de diseño y/o comentarios: ARCHES. Comparadores.</w:t>
            </w:r>
          </w:p>
          <w:p w:rsidR="009D49F2" w:rsidRDefault="009D49F2" w:rsidP="0027454F">
            <w:pPr>
              <w:ind w:left="0" w:hanging="2"/>
              <w:jc w:val="both"/>
              <w:rPr>
                <w:rFonts w:ascii="Arial Narrow" w:eastAsia="Arial Narrow" w:hAnsi="Arial Narrow" w:cs="Arial Narrow"/>
                <w:color w:val="00B050"/>
                <w:sz w:val="20"/>
                <w:szCs w:val="20"/>
              </w:rPr>
            </w:pPr>
            <w:r>
              <w:rPr>
                <w:rFonts w:ascii="Arial Narrow" w:eastAsia="Arial Narrow" w:hAnsi="Arial Narrow" w:cs="Arial Narrow"/>
                <w:b/>
                <w:color w:val="000080"/>
                <w:sz w:val="20"/>
                <w:szCs w:val="20"/>
              </w:rPr>
              <w:t xml:space="preserve">Comentario: </w:t>
            </w:r>
            <w:r>
              <w:rPr>
                <w:rFonts w:ascii="Arial Narrow" w:eastAsia="Arial Narrow" w:hAnsi="Arial Narrow" w:cs="Arial Narrow"/>
                <w:color w:val="000080"/>
                <w:sz w:val="20"/>
                <w:szCs w:val="20"/>
              </w:rPr>
              <w:t>Según el texto</w:t>
            </w:r>
            <w:r>
              <w:rPr>
                <w:rFonts w:ascii="Arial Narrow" w:eastAsia="Arial Narrow" w:hAnsi="Arial Narrow" w:cs="Arial Narrow"/>
                <w:b/>
                <w:color w:val="000080"/>
                <w:sz w:val="20"/>
                <w:szCs w:val="20"/>
              </w:rPr>
              <w:t xml:space="preserve"> “</w:t>
            </w:r>
            <w:r>
              <w:rPr>
                <w:rFonts w:ascii="Arial Narrow" w:eastAsia="Arial Narrow" w:hAnsi="Arial Narrow" w:cs="Arial Narrow"/>
                <w:color w:val="000080"/>
                <w:sz w:val="20"/>
                <w:szCs w:val="20"/>
              </w:rPr>
              <w:t xml:space="preserve">docetaxel podría haber sido el comparador más adecuado en el momento de estudio, teniendo en cuenta que ya fue utilizado como comparador en la evaluación de la indicación de abiraterona en cáncer de próstata hormono-sensible”, consideramos tener cuenta que los estudios ARCHES y ENZAMET se diseñaron cuando todavía docetaxel no había demostrado beneficio en SG. Por otro lado, abiraterona se comparó con docetaxel en el estudio STAMPEDE, pero este estudio no se tuvo en cuenta para la aprobación de la indicación al no ser un estudio de registro. </w:t>
            </w:r>
            <w:r>
              <w:rPr>
                <w:rFonts w:ascii="Arial Narrow" w:eastAsia="Arial Narrow" w:hAnsi="Arial Narrow" w:cs="Arial Narrow"/>
                <w:b/>
                <w:color w:val="000080"/>
                <w:sz w:val="20"/>
                <w:szCs w:val="20"/>
              </w:rPr>
              <w:t>Sugerencia:</w:t>
            </w:r>
            <w:r>
              <w:rPr>
                <w:rFonts w:ascii="Arial Narrow" w:eastAsia="Arial Narrow" w:hAnsi="Arial Narrow" w:cs="Arial Narrow"/>
                <w:color w:val="000080"/>
                <w:sz w:val="20"/>
                <w:szCs w:val="20"/>
              </w:rPr>
              <w:t xml:space="preserve"> Quitar la frase “En este caso, docetaxel podría haber sido el comparador más adecuado en el momento de estudio, teniendo en cuenta que ya fue utilizado como comparador en la evaluación de la indicación de abiraterona en cáncer de próstata hormono-sensible”</w:t>
            </w:r>
            <w:r>
              <w:rPr>
                <w:rFonts w:ascii="Arial Narrow" w:eastAsia="Arial Narrow" w:hAnsi="Arial Narrow" w:cs="Arial Narrow"/>
                <w:b/>
                <w:color w:val="00B050"/>
                <w:sz w:val="20"/>
                <w:szCs w:val="20"/>
              </w:rPr>
              <w:t xml:space="preserve"> Ref. 36</w:t>
            </w:r>
          </w:p>
        </w:tc>
        <w:tc>
          <w:tcPr>
            <w:tcW w:w="5953"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No se acepta. Actualmente, se considera que docetaxel habría sido un buen comprador en este escenario, aunque en el momento del ensayo no hubiera datos concluyentes. Sin embargo, ahora es cuando queremos evaluar el fármaco y debemos valorar la evidencia disponible, por lo que consideramos que enzalutamida podría haberse comparado con docetaxel. </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Marta Mateo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Oncology Lead.</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Astellas Ph.</w:t>
            </w:r>
          </w:p>
        </w:tc>
        <w:tc>
          <w:tcPr>
            <w:tcW w:w="8004"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Apartado 5.2.b Evaluación de la validez y de la utilidad práctica de los resultados. A. Validez interna. Limitaciones de diseño y/o comentarios: ENZAMET. 3er párrafo</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 xml:space="preserve">Sugerencia: </w:t>
            </w:r>
            <w:r>
              <w:rPr>
                <w:rFonts w:ascii="Arial Narrow" w:eastAsia="Arial Narrow" w:hAnsi="Arial Narrow" w:cs="Arial Narrow"/>
                <w:color w:val="000080"/>
                <w:sz w:val="20"/>
                <w:szCs w:val="20"/>
              </w:rPr>
              <w:t>Sugerimos valorar incluir que ENZAMET es el único estudio fase III en CPHSm que utiliza un comparador activo, NSAA+TDA</w:t>
            </w:r>
          </w:p>
        </w:tc>
        <w:tc>
          <w:tcPr>
            <w:tcW w:w="5953"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Se incluye comentario al respecto.</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Marta Mateo Rodenas.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Oncology Lead.</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Astellas Ph.</w:t>
            </w:r>
          </w:p>
        </w:tc>
        <w:tc>
          <w:tcPr>
            <w:tcW w:w="8004"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Apartado 5.2.b. Evaluación de la validez y de la utilidad práctica de los resultados. Validez interna. Limitaciones de diseño y/o comentarios. ENZAMET.</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Comentario:</w:t>
            </w:r>
            <w:r>
              <w:rPr>
                <w:rFonts w:ascii="Arial Narrow" w:eastAsia="Arial Narrow" w:hAnsi="Arial Narrow" w:cs="Arial Narrow"/>
                <w:color w:val="000080"/>
                <w:sz w:val="20"/>
                <w:szCs w:val="20"/>
              </w:rPr>
              <w:t xml:space="preserve"> Al mencionarse que el seguimiento para la supervivencia a largo plazo está en curso y se planifica cuando se hayan producido 470 eventos.  “No se ha localizado este resultado”,</w:t>
            </w:r>
            <w:r>
              <w:rPr>
                <w:rFonts w:ascii="Arial Narrow" w:eastAsia="Arial Narrow" w:hAnsi="Arial Narrow" w:cs="Arial Narrow"/>
                <w:sz w:val="20"/>
                <w:szCs w:val="20"/>
              </w:rPr>
              <w:t xml:space="preserve"> </w:t>
            </w:r>
            <w:r>
              <w:rPr>
                <w:rFonts w:ascii="Arial Narrow" w:eastAsia="Arial Narrow" w:hAnsi="Arial Narrow" w:cs="Arial Narrow"/>
                <w:color w:val="000080"/>
                <w:sz w:val="20"/>
                <w:szCs w:val="20"/>
              </w:rPr>
              <w:t xml:space="preserve">consideramos desactualizada dicha afirmación. </w:t>
            </w:r>
            <w:r>
              <w:rPr>
                <w:rFonts w:ascii="Arial Narrow" w:eastAsia="Arial Narrow" w:hAnsi="Arial Narrow" w:cs="Arial Narrow"/>
                <w:b/>
                <w:color w:val="000080"/>
                <w:sz w:val="20"/>
                <w:szCs w:val="20"/>
              </w:rPr>
              <w:t>Sugerencia:</w:t>
            </w:r>
            <w:r>
              <w:rPr>
                <w:rFonts w:ascii="Arial Narrow" w:eastAsia="Arial Narrow" w:hAnsi="Arial Narrow" w:cs="Arial Narrow"/>
                <w:color w:val="000080"/>
                <w:sz w:val="20"/>
                <w:szCs w:val="20"/>
              </w:rPr>
              <w:t xml:space="preserve"> Actualizar esta afirmación transmitiendo que: “El tratamiento con enzalutamida se asoció con una mejora significativa de la SG en comparación con el grupo AANS (HR: 0,70, IC del 95%: 0,58 a 0,84; valor de p&lt;0,001). La tasa de supervivencia a los cinco años fue del 67% en el grupo de enzalutamida y del 57% en el grupo NSAA”. </w:t>
            </w:r>
            <w:r>
              <w:rPr>
                <w:rFonts w:ascii="Arial Narrow" w:eastAsia="Arial Narrow" w:hAnsi="Arial Narrow" w:cs="Arial Narrow"/>
                <w:b/>
                <w:color w:val="00B050"/>
                <w:sz w:val="20"/>
                <w:szCs w:val="20"/>
              </w:rPr>
              <w:t>Ref. 35</w:t>
            </w:r>
          </w:p>
        </w:tc>
        <w:tc>
          <w:tcPr>
            <w:tcW w:w="5953"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Se han incluido datos actualizados. </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Marta Mateo Rodenas.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Oncology Lead.</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Astellas Ph.</w:t>
            </w:r>
          </w:p>
        </w:tc>
        <w:tc>
          <w:tcPr>
            <w:tcW w:w="8004"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Apartado 5.2.b. Evaluación de la validez y de la utilidad práctica de los resultados. Validez interna. Limitaciones de diseño y/o comentarios. ENZAMET. Párrafo final.</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Comentario: “</w:t>
            </w:r>
            <w:r>
              <w:rPr>
                <w:rFonts w:ascii="Arial Narrow" w:eastAsia="Arial Narrow" w:hAnsi="Arial Narrow" w:cs="Arial Narrow"/>
                <w:color w:val="000080"/>
                <w:sz w:val="20"/>
                <w:szCs w:val="20"/>
              </w:rPr>
              <w:t xml:space="preserve">En relación al grupo comparador, se emplea un grupo control no usado actualmente”. En este momento varias publicaciones de datos de vida real ponen en alerta el elevado % de pacientes que reciben ADT en monoterapia o asociada a NSAA en CPHSm incluyendo pacientes con metástasis viscerales y a pesar de no estar recomendado por las guías EAU en manejo de CaP, </w:t>
            </w:r>
          </w:p>
          <w:p w:rsidR="009D49F2" w:rsidRDefault="009D49F2" w:rsidP="0027454F">
            <w:pPr>
              <w:ind w:left="0" w:hanging="2"/>
              <w:jc w:val="both"/>
              <w:rPr>
                <w:rFonts w:ascii="Arial Narrow" w:eastAsia="Arial Narrow" w:hAnsi="Arial Narrow" w:cs="Arial Narrow"/>
                <w:color w:val="FF0000"/>
                <w:sz w:val="20"/>
                <w:szCs w:val="20"/>
              </w:rPr>
            </w:pPr>
            <w:r>
              <w:rPr>
                <w:rFonts w:ascii="Arial Narrow" w:eastAsia="Arial Narrow" w:hAnsi="Arial Narrow" w:cs="Arial Narrow"/>
                <w:b/>
                <w:color w:val="000080"/>
                <w:sz w:val="20"/>
                <w:szCs w:val="20"/>
              </w:rPr>
              <w:t>Sugerimos:</w:t>
            </w:r>
            <w:r>
              <w:rPr>
                <w:rFonts w:ascii="Arial Narrow" w:eastAsia="Arial Narrow" w:hAnsi="Arial Narrow" w:cs="Arial Narrow"/>
                <w:color w:val="000080"/>
                <w:sz w:val="20"/>
                <w:szCs w:val="20"/>
              </w:rPr>
              <w:t xml:space="preserve"> quitar la frase</w:t>
            </w:r>
            <w:r>
              <w:rPr>
                <w:rFonts w:ascii="Arial Narrow" w:eastAsia="Arial Narrow" w:hAnsi="Arial Narrow" w:cs="Arial Narrow"/>
                <w:sz w:val="20"/>
                <w:szCs w:val="20"/>
              </w:rPr>
              <w:t xml:space="preserve"> “</w:t>
            </w:r>
            <w:r>
              <w:rPr>
                <w:rFonts w:ascii="Arial Narrow" w:eastAsia="Arial Narrow" w:hAnsi="Arial Narrow" w:cs="Arial Narrow"/>
                <w:color w:val="000080"/>
                <w:sz w:val="20"/>
                <w:szCs w:val="20"/>
              </w:rPr>
              <w:t xml:space="preserve">En relación al grupo comparador, se emplea un grupo control no usado actualmente”. </w:t>
            </w:r>
            <w:r>
              <w:rPr>
                <w:rFonts w:ascii="Arial Narrow" w:eastAsia="Arial Narrow" w:hAnsi="Arial Narrow" w:cs="Arial Narrow"/>
                <w:b/>
                <w:color w:val="00B050"/>
                <w:sz w:val="20"/>
                <w:szCs w:val="20"/>
              </w:rPr>
              <w:t>Ref. 37</w:t>
            </w:r>
            <w:r>
              <w:rPr>
                <w:rFonts w:ascii="Arial Narrow" w:eastAsia="Arial Narrow" w:hAnsi="Arial Narrow" w:cs="Arial Narrow"/>
                <w:color w:val="FF0000"/>
                <w:sz w:val="20"/>
                <w:szCs w:val="20"/>
              </w:rPr>
              <w:t>.</w:t>
            </w:r>
          </w:p>
        </w:tc>
        <w:tc>
          <w:tcPr>
            <w:tcW w:w="5953"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Se acepta</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lastRenderedPageBreak/>
              <w:t>Marta Mateo Rodenas.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Oncology Lead.</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Astellas Ph.</w:t>
            </w:r>
          </w:p>
        </w:tc>
        <w:tc>
          <w:tcPr>
            <w:tcW w:w="8004"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Apartado 5.2.b Evaluación de la validez y de la utilidad práctica de los resultados. B. Aplicabilidad del ensayo a la práctica del hospital. ENZAMET. 3er Párrafo</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 xml:space="preserve">Comentario: </w:t>
            </w:r>
            <w:r>
              <w:rPr>
                <w:rFonts w:ascii="Arial Narrow" w:eastAsia="Arial Narrow" w:hAnsi="Arial Narrow" w:cs="Arial Narrow"/>
                <w:color w:val="000080"/>
                <w:sz w:val="20"/>
                <w:szCs w:val="20"/>
              </w:rPr>
              <w:t xml:space="preserve">Consideramos que se deberían incluir los resultados del subgrupo que no recibió docetaxel concomitante puesto que las combinaciones y tripletes no están aprobadas actualmente y no forman parte de la práctica clínica habitual.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Sugerencia:</w:t>
            </w:r>
            <w:r>
              <w:rPr>
                <w:rFonts w:ascii="Arial Narrow" w:eastAsia="Arial Narrow" w:hAnsi="Arial Narrow" w:cs="Arial Narrow"/>
                <w:color w:val="000080"/>
                <w:sz w:val="20"/>
                <w:szCs w:val="20"/>
              </w:rPr>
              <w:t xml:space="preserve"> Incluir la siguiente frase “El beneficio fue más favorable para el subgrupo preespecificado de pacientes que no recibió docetaxel planificado de manera temprana (HR: 0,60; IC del 95% 0,47 a 0,78)” </w:t>
            </w:r>
            <w:r>
              <w:rPr>
                <w:rFonts w:ascii="Arial Narrow" w:eastAsia="Arial Narrow" w:hAnsi="Arial Narrow" w:cs="Arial Narrow"/>
                <w:b/>
                <w:color w:val="00B050"/>
                <w:sz w:val="20"/>
                <w:szCs w:val="20"/>
              </w:rPr>
              <w:t>Ref. 35</w:t>
            </w:r>
          </w:p>
        </w:tc>
        <w:tc>
          <w:tcPr>
            <w:tcW w:w="5953"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Se ha incluido valoración del análisis de subgrupos en su apartado correspondiente. </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Marta Mateo Rodenas.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Oncology Lead.</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Astellas Ph.</w:t>
            </w:r>
          </w:p>
        </w:tc>
        <w:tc>
          <w:tcPr>
            <w:tcW w:w="8004"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Apartado 5.2.b Evaluación de la validez y de la utilidad práctica de los resultados. C. Relevancia clínica de los resultados. C.1 Valorar si la magnitud del efecto del tratamiento es de relevancia clínica. ARCHES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 xml:space="preserve">Comentario/Sugerencia: </w:t>
            </w:r>
            <w:r>
              <w:rPr>
                <w:rFonts w:ascii="Arial Narrow" w:eastAsia="Arial Narrow" w:hAnsi="Arial Narrow" w:cs="Arial Narrow"/>
                <w:color w:val="000080"/>
                <w:sz w:val="20"/>
                <w:szCs w:val="20"/>
              </w:rPr>
              <w:t>Respecto a los resultados de Calidad de Vida del estudio ARCHES, proponemos incluir la siguiente información: “Enzalutamida+TDA retrasó el tiempo hasta la primera aparición del peor dolor 14,09 vs. 11,10 meses (HR 0,82; IC 95% 0,69–0,98; p=0,0322) y la intensidad del dolor 19,38 vs. 16,76 meses (HR 0,79; IC 95% 0,65–0,97; p=0,021) vs. placebo+TDA. Enzalutamida+TDA retrasó el tiempo hasta el deterioro clínico de manera significativa en términos de movilidad, autocuidado, actividades cotidianas, dolor y ansiedad o depresión en comparación con placebo+TDA. Enzalutamida+TDA vs. placebo+TDA mejoró todos los subdominios de la escala FACT–P. La mejora en el bienestar funcional, social y en la funcionalidad total fue estadísticamente significativa.</w:t>
            </w:r>
          </w:p>
          <w:p w:rsidR="009D49F2" w:rsidRDefault="009D49F2" w:rsidP="0027454F">
            <w:pPr>
              <w:ind w:left="0" w:hanging="2"/>
              <w:jc w:val="both"/>
              <w:rPr>
                <w:rFonts w:ascii="Arial Narrow" w:eastAsia="Arial Narrow" w:hAnsi="Arial Narrow" w:cs="Arial Narrow"/>
                <w:color w:val="00B050"/>
                <w:sz w:val="20"/>
                <w:szCs w:val="20"/>
              </w:rPr>
            </w:pPr>
            <w:r>
              <w:rPr>
                <w:rFonts w:ascii="Arial Narrow" w:eastAsia="Arial Narrow" w:hAnsi="Arial Narrow" w:cs="Arial Narrow"/>
                <w:color w:val="000080"/>
                <w:sz w:val="20"/>
                <w:szCs w:val="20"/>
              </w:rPr>
              <w:t xml:space="preserve">Los síntomas urinarios específicos de cáncer de próstata, así como el dolor se mantuvieron sin cambios en ambos brazos independientemente del volumen durante todo el periodo”. </w:t>
            </w:r>
            <w:r>
              <w:rPr>
                <w:rFonts w:ascii="Arial Narrow" w:eastAsia="Arial Narrow" w:hAnsi="Arial Narrow" w:cs="Arial Narrow"/>
                <w:b/>
                <w:color w:val="00B050"/>
                <w:sz w:val="20"/>
                <w:szCs w:val="20"/>
              </w:rPr>
              <w:t>Ref. 34</w:t>
            </w:r>
          </w:p>
        </w:tc>
        <w:tc>
          <w:tcPr>
            <w:tcW w:w="5953"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En el diseño del ensayo se incluye el tiempo hasta el deterioro de la calidad de vida (CdV) y tiempo hasta la progresión del dolor como algunas de las variables secundarias a medir. Los resultados relacionados con calidad de vida descritos en el ensayo son: </w:t>
            </w: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9D49F2">
            <w:pPr>
              <w:numPr>
                <w:ilvl w:val="0"/>
                <w:numId w:val="11"/>
              </w:numPr>
              <w:suppressAutoHyphens/>
              <w:ind w:left="0" w:hanging="2"/>
              <w:jc w:val="both"/>
              <w:textDirection w:val="btLr"/>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Mediana del tiempo transcurrido hasta el deterioro de los síntomas urinarios (meses) </w:t>
            </w:r>
            <w:r>
              <w:rPr>
                <w:rFonts w:ascii="Wingdings" w:eastAsia="Wingdings" w:hAnsi="Wingdings" w:cs="Wingdings"/>
                <w:color w:val="000080"/>
                <w:sz w:val="20"/>
                <w:szCs w:val="20"/>
              </w:rPr>
              <w:t>🡪</w:t>
            </w:r>
            <w:r>
              <w:rPr>
                <w:rFonts w:ascii="Arial Narrow" w:eastAsia="Arial Narrow" w:hAnsi="Arial Narrow" w:cs="Arial Narrow"/>
                <w:color w:val="000080"/>
                <w:sz w:val="20"/>
                <w:szCs w:val="20"/>
              </w:rPr>
              <w:t xml:space="preserve"> no significativo (p=0,2162)</w:t>
            </w:r>
          </w:p>
          <w:p w:rsidR="009D49F2" w:rsidRDefault="009D49F2" w:rsidP="009D49F2">
            <w:pPr>
              <w:numPr>
                <w:ilvl w:val="0"/>
                <w:numId w:val="11"/>
              </w:numPr>
              <w:suppressAutoHyphens/>
              <w:ind w:left="0" w:hanging="2"/>
              <w:jc w:val="both"/>
              <w:textDirection w:val="btLr"/>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Mediana del tiempo transcurrido hasta el deterioro de la CdV (meses) </w:t>
            </w:r>
            <w:r>
              <w:rPr>
                <w:rFonts w:ascii="Wingdings" w:eastAsia="Wingdings" w:hAnsi="Wingdings" w:cs="Wingdings"/>
                <w:color w:val="000080"/>
                <w:sz w:val="20"/>
                <w:szCs w:val="20"/>
              </w:rPr>
              <w:t>🡪</w:t>
            </w:r>
            <w:r>
              <w:rPr>
                <w:rFonts w:ascii="Arial Narrow" w:eastAsia="Arial Narrow" w:hAnsi="Arial Narrow" w:cs="Arial Narrow"/>
                <w:color w:val="000080"/>
                <w:sz w:val="20"/>
                <w:szCs w:val="20"/>
              </w:rPr>
              <w:t xml:space="preserve"> no significativo (p=0,6548)</w:t>
            </w:r>
          </w:p>
          <w:p w:rsidR="009D49F2" w:rsidRDefault="009D49F2" w:rsidP="009D49F2">
            <w:pPr>
              <w:numPr>
                <w:ilvl w:val="0"/>
                <w:numId w:val="11"/>
              </w:numPr>
              <w:suppressAutoHyphens/>
              <w:ind w:left="0" w:hanging="2"/>
              <w:jc w:val="both"/>
              <w:textDirection w:val="btLr"/>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Mediana del tiempo transcurrido hasta la progresión del dolor (meses) </w:t>
            </w:r>
            <w:r>
              <w:rPr>
                <w:rFonts w:ascii="Wingdings" w:eastAsia="Wingdings" w:hAnsi="Wingdings" w:cs="Wingdings"/>
                <w:color w:val="000080"/>
                <w:sz w:val="20"/>
                <w:szCs w:val="20"/>
              </w:rPr>
              <w:t>🡪</w:t>
            </w:r>
            <w:r>
              <w:rPr>
                <w:rFonts w:ascii="Arial Narrow" w:eastAsia="Arial Narrow" w:hAnsi="Arial Narrow" w:cs="Arial Narrow"/>
                <w:color w:val="000080"/>
                <w:sz w:val="20"/>
                <w:szCs w:val="20"/>
              </w:rPr>
              <w:t xml:space="preserve"> no significativo (p=0,2715)</w:t>
            </w: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Se incluye también un análisis de sensibilidad preespecificado del tiempo transcurrido hasta la progresión del dolor:</w:t>
            </w: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9D49F2">
            <w:pPr>
              <w:numPr>
                <w:ilvl w:val="0"/>
                <w:numId w:val="11"/>
              </w:numPr>
              <w:suppressAutoHyphens/>
              <w:ind w:left="0" w:hanging="2"/>
              <w:jc w:val="both"/>
              <w:textDirection w:val="btLr"/>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Mediana del tiempo transcurrido hasta el peor dolor (ítem 3) (meses) </w:t>
            </w:r>
            <w:r>
              <w:rPr>
                <w:rFonts w:ascii="Wingdings" w:eastAsia="Wingdings" w:hAnsi="Wingdings" w:cs="Wingdings"/>
                <w:color w:val="000080"/>
                <w:sz w:val="20"/>
                <w:szCs w:val="20"/>
              </w:rPr>
              <w:t>🡪</w:t>
            </w:r>
            <w:r>
              <w:rPr>
                <w:rFonts w:ascii="Arial Narrow" w:eastAsia="Arial Narrow" w:hAnsi="Arial Narrow" w:cs="Arial Narrow"/>
                <w:color w:val="000080"/>
                <w:sz w:val="20"/>
                <w:szCs w:val="20"/>
              </w:rPr>
              <w:t>14,1 vs. 11,1 [HR=0,82 (0,69 a 0,98)]; p=0,0322</w:t>
            </w:r>
          </w:p>
          <w:p w:rsidR="009D49F2" w:rsidRDefault="009D49F2" w:rsidP="009D49F2">
            <w:pPr>
              <w:numPr>
                <w:ilvl w:val="0"/>
                <w:numId w:val="11"/>
              </w:numPr>
              <w:suppressAutoHyphens/>
              <w:ind w:left="0" w:hanging="2"/>
              <w:jc w:val="both"/>
              <w:textDirection w:val="btLr"/>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Mediana de tiempo hasta la intensidad del dolor (meses) </w:t>
            </w:r>
            <w:r>
              <w:rPr>
                <w:rFonts w:ascii="Wingdings" w:eastAsia="Wingdings" w:hAnsi="Wingdings" w:cs="Wingdings"/>
                <w:color w:val="000080"/>
                <w:sz w:val="20"/>
                <w:szCs w:val="20"/>
              </w:rPr>
              <w:t>🡪</w:t>
            </w:r>
            <w:r>
              <w:rPr>
                <w:rFonts w:ascii="Arial Narrow" w:eastAsia="Arial Narrow" w:hAnsi="Arial Narrow" w:cs="Arial Narrow"/>
                <w:color w:val="000080"/>
                <w:sz w:val="20"/>
                <w:szCs w:val="20"/>
              </w:rPr>
              <w:t xml:space="preserve"> 19,4 vs. 16,8 [HR=0,79 (0,65 a 0,97)]; p=0,0209</w:t>
            </w:r>
            <w:r>
              <w:rPr>
                <w:rFonts w:ascii="Arial Narrow" w:eastAsia="Arial Narrow" w:hAnsi="Arial Narrow" w:cs="Arial Narrow"/>
                <w:color w:val="000080"/>
                <w:sz w:val="20"/>
                <w:szCs w:val="20"/>
              </w:rPr>
              <w:br/>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br/>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Esto último es lo único que sale significativo. Se incluye toda esta información en el informe. </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lastRenderedPageBreak/>
              <w:t>Belén Corbacho</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HEOR Astellas Ph</w:t>
            </w:r>
          </w:p>
        </w:tc>
        <w:tc>
          <w:tcPr>
            <w:tcW w:w="8004" w:type="dxa"/>
          </w:tcPr>
          <w:p w:rsidR="009D49F2" w:rsidRDefault="009D49F2" w:rsidP="0027454F">
            <w:pPr>
              <w:ind w:left="0" w:hanging="2"/>
              <w:jc w:val="both"/>
              <w:rPr>
                <w:rFonts w:ascii="Arial Narrow" w:eastAsia="Arial Narrow" w:hAnsi="Arial Narrow" w:cs="Arial Narrow"/>
                <w:color w:val="FF0000"/>
                <w:sz w:val="20"/>
                <w:szCs w:val="20"/>
              </w:rPr>
            </w:pPr>
            <w:r>
              <w:rPr>
                <w:rFonts w:ascii="Arial Narrow" w:eastAsia="Arial Narrow" w:hAnsi="Arial Narrow" w:cs="Arial Narrow"/>
                <w:b/>
                <w:color w:val="000080"/>
                <w:sz w:val="20"/>
                <w:szCs w:val="20"/>
              </w:rPr>
              <w:t xml:space="preserve">Apartado 7.1 Costes. Coste incremental. Tabla 10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Los “Precio unitario (PVL+IVA)” correctos son los precios notificados + IVA incluidos en la tabla de abajo. El resto de las filas están corregidas respectivamente.</w:t>
            </w:r>
          </w:p>
          <w:tbl>
            <w:tblPr>
              <w:tblW w:w="7853" w:type="dxa"/>
              <w:tblLayout w:type="fixed"/>
              <w:tblLook w:val="0000" w:firstRow="0" w:lastRow="0" w:firstColumn="0" w:lastColumn="0" w:noHBand="0" w:noVBand="0"/>
            </w:tblPr>
            <w:tblGrid>
              <w:gridCol w:w="1555"/>
              <w:gridCol w:w="1417"/>
              <w:gridCol w:w="1418"/>
              <w:gridCol w:w="1558"/>
              <w:gridCol w:w="1905"/>
            </w:tblGrid>
            <w:tr w:rsidR="009D49F2" w:rsidTr="0027454F">
              <w:trPr>
                <w:trHeight w:val="340"/>
              </w:trPr>
              <w:tc>
                <w:tcPr>
                  <w:tcW w:w="7853" w:type="dxa"/>
                  <w:gridSpan w:val="5"/>
                  <w:tcBorders>
                    <w:top w:val="single" w:sz="8" w:space="0" w:color="000000"/>
                    <w:left w:val="single" w:sz="8" w:space="0" w:color="000000"/>
                    <w:bottom w:val="single" w:sz="8" w:space="0" w:color="000000"/>
                    <w:right w:val="single" w:sz="8" w:space="0" w:color="000000"/>
                  </w:tcBorders>
                  <w:shd w:val="clear" w:color="auto" w:fill="CCFFCC"/>
                  <w:vAlign w:val="center"/>
                </w:tcPr>
                <w:p w:rsidR="009D49F2" w:rsidRDefault="009D49F2" w:rsidP="0027454F">
                  <w:pPr>
                    <w:ind w:left="0" w:hanging="2"/>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Tabla 10 Costes de la terapia con el medicamento y con las distintas alternativas</w:t>
                  </w:r>
                </w:p>
              </w:tc>
            </w:tr>
            <w:tr w:rsidR="009D49F2" w:rsidTr="0027454F">
              <w:trPr>
                <w:cantSplit/>
                <w:trHeight w:val="118"/>
              </w:trPr>
              <w:tc>
                <w:tcPr>
                  <w:tcW w:w="1555" w:type="dxa"/>
                  <w:vMerge w:val="restart"/>
                  <w:tcBorders>
                    <w:top w:val="nil"/>
                    <w:left w:val="single" w:sz="8" w:space="0" w:color="000000"/>
                    <w:bottom w:val="single" w:sz="8" w:space="0" w:color="000000"/>
                    <w:right w:val="single" w:sz="8" w:space="0" w:color="000000"/>
                  </w:tcBorders>
                  <w:shd w:val="clear" w:color="auto" w:fill="E6E6E6"/>
                  <w:vAlign w:val="center"/>
                </w:tcPr>
                <w:p w:rsidR="009D49F2" w:rsidRDefault="009D49F2" w:rsidP="0027454F">
                  <w:pPr>
                    <w:ind w:left="0" w:hanging="2"/>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1417" w:type="dxa"/>
                  <w:tcBorders>
                    <w:top w:val="nil"/>
                    <w:left w:val="nil"/>
                    <w:bottom w:val="nil"/>
                    <w:right w:val="single" w:sz="8" w:space="0" w:color="000000"/>
                  </w:tcBorders>
                  <w:shd w:val="clear" w:color="auto" w:fill="E6E6E6"/>
                  <w:vAlign w:val="center"/>
                </w:tcPr>
                <w:p w:rsidR="009D49F2" w:rsidRDefault="009D49F2" w:rsidP="0027454F">
                  <w:pPr>
                    <w:ind w:left="0" w:hanging="2"/>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ENZALUTAMIDA</w:t>
                  </w:r>
                </w:p>
              </w:tc>
              <w:tc>
                <w:tcPr>
                  <w:tcW w:w="1418" w:type="dxa"/>
                  <w:tcBorders>
                    <w:top w:val="nil"/>
                    <w:left w:val="nil"/>
                    <w:bottom w:val="nil"/>
                    <w:right w:val="single" w:sz="8" w:space="0" w:color="000000"/>
                  </w:tcBorders>
                  <w:shd w:val="clear" w:color="auto" w:fill="E6E6E6"/>
                  <w:vAlign w:val="center"/>
                </w:tcPr>
                <w:p w:rsidR="009D49F2" w:rsidRDefault="009D49F2" w:rsidP="0027454F">
                  <w:pPr>
                    <w:ind w:left="0" w:hanging="2"/>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APALUTAMIDA</w:t>
                  </w:r>
                </w:p>
              </w:tc>
              <w:tc>
                <w:tcPr>
                  <w:tcW w:w="1558" w:type="dxa"/>
                  <w:tcBorders>
                    <w:top w:val="nil"/>
                    <w:left w:val="nil"/>
                    <w:bottom w:val="nil"/>
                    <w:right w:val="single" w:sz="8" w:space="0" w:color="000000"/>
                  </w:tcBorders>
                  <w:shd w:val="clear" w:color="auto" w:fill="E6E6E6"/>
                  <w:vAlign w:val="center"/>
                </w:tcPr>
                <w:p w:rsidR="009D49F2" w:rsidRDefault="009D49F2" w:rsidP="0027454F">
                  <w:pPr>
                    <w:ind w:left="0" w:hanging="2"/>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ABIRATERONA</w:t>
                  </w:r>
                </w:p>
              </w:tc>
              <w:tc>
                <w:tcPr>
                  <w:tcW w:w="1905" w:type="dxa"/>
                  <w:vMerge w:val="restart"/>
                  <w:tcBorders>
                    <w:top w:val="nil"/>
                    <w:left w:val="single" w:sz="8" w:space="0" w:color="000000"/>
                    <w:bottom w:val="single" w:sz="8" w:space="0" w:color="000000"/>
                    <w:right w:val="single" w:sz="8" w:space="0" w:color="000000"/>
                  </w:tcBorders>
                  <w:shd w:val="clear" w:color="auto" w:fill="E6E6E6"/>
                  <w:vAlign w:val="center"/>
                </w:tcPr>
                <w:p w:rsidR="009D49F2" w:rsidRDefault="009D49F2" w:rsidP="0027454F">
                  <w:pPr>
                    <w:ind w:left="0" w:hanging="2"/>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DOCETAXEL (vial 80 mg)</w:t>
                  </w:r>
                </w:p>
              </w:tc>
            </w:tr>
            <w:tr w:rsidR="009D49F2" w:rsidTr="0027454F">
              <w:trPr>
                <w:cantSplit/>
                <w:trHeight w:val="300"/>
              </w:trPr>
              <w:tc>
                <w:tcPr>
                  <w:tcW w:w="1555" w:type="dxa"/>
                  <w:vMerge/>
                  <w:tcBorders>
                    <w:top w:val="nil"/>
                    <w:left w:val="single" w:sz="8" w:space="0" w:color="000000"/>
                    <w:bottom w:val="single" w:sz="8" w:space="0" w:color="000000"/>
                    <w:right w:val="single" w:sz="8" w:space="0" w:color="000000"/>
                  </w:tcBorders>
                  <w:shd w:val="clear" w:color="auto" w:fill="E6E6E6"/>
                  <w:vAlign w:val="center"/>
                </w:tcPr>
                <w:p w:rsidR="009D49F2" w:rsidRDefault="009D49F2" w:rsidP="0027454F">
                  <w:pPr>
                    <w:widowControl w:val="0"/>
                    <w:pBdr>
                      <w:top w:val="nil"/>
                      <w:left w:val="nil"/>
                      <w:bottom w:val="nil"/>
                      <w:right w:val="nil"/>
                      <w:between w:val="nil"/>
                    </w:pBdr>
                    <w:spacing w:line="276" w:lineRule="auto"/>
                    <w:ind w:left="0" w:hanging="2"/>
                    <w:rPr>
                      <w:rFonts w:ascii="Arial Narrow" w:eastAsia="Arial Narrow" w:hAnsi="Arial Narrow" w:cs="Arial Narrow"/>
                      <w:color w:val="000000"/>
                      <w:sz w:val="16"/>
                      <w:szCs w:val="16"/>
                    </w:rPr>
                  </w:pPr>
                </w:p>
              </w:tc>
              <w:tc>
                <w:tcPr>
                  <w:tcW w:w="1417" w:type="dxa"/>
                  <w:tcBorders>
                    <w:top w:val="nil"/>
                    <w:left w:val="nil"/>
                    <w:bottom w:val="single" w:sz="8" w:space="0" w:color="000000"/>
                    <w:right w:val="single" w:sz="8" w:space="0" w:color="000000"/>
                  </w:tcBorders>
                  <w:shd w:val="clear" w:color="auto" w:fill="E6E6E6"/>
                  <w:vAlign w:val="center"/>
                </w:tcPr>
                <w:p w:rsidR="009D49F2" w:rsidRDefault="009D49F2" w:rsidP="0027454F">
                  <w:pPr>
                    <w:ind w:left="0" w:hanging="2"/>
                    <w:jc w:val="both"/>
                    <w:rPr>
                      <w:rFonts w:ascii="Arial Narrow" w:eastAsia="Arial Narrow" w:hAnsi="Arial Narrow" w:cs="Arial Narrow"/>
                      <w:color w:val="000000"/>
                      <w:sz w:val="16"/>
                      <w:szCs w:val="16"/>
                    </w:rPr>
                  </w:pPr>
                  <w:r>
                    <w:rPr>
                      <w:rFonts w:ascii="Arial Narrow" w:eastAsia="Arial Narrow" w:hAnsi="Arial Narrow" w:cs="Arial Narrow"/>
                      <w:color w:val="FF0000"/>
                      <w:sz w:val="16"/>
                      <w:szCs w:val="16"/>
                    </w:rPr>
                    <w:t xml:space="preserve">112 </w:t>
                  </w:r>
                  <w:r>
                    <w:rPr>
                      <w:rFonts w:ascii="Arial Narrow" w:eastAsia="Arial Narrow" w:hAnsi="Arial Narrow" w:cs="Arial Narrow"/>
                      <w:color w:val="000000"/>
                      <w:sz w:val="16"/>
                      <w:szCs w:val="16"/>
                    </w:rPr>
                    <w:t>comprimidos 40 mg</w:t>
                  </w:r>
                </w:p>
              </w:tc>
              <w:tc>
                <w:tcPr>
                  <w:tcW w:w="1418" w:type="dxa"/>
                  <w:tcBorders>
                    <w:top w:val="nil"/>
                    <w:left w:val="nil"/>
                    <w:bottom w:val="single" w:sz="8" w:space="0" w:color="000000"/>
                    <w:right w:val="single" w:sz="8" w:space="0" w:color="000000"/>
                  </w:tcBorders>
                  <w:shd w:val="clear" w:color="auto" w:fill="E6E6E6"/>
                  <w:vAlign w:val="center"/>
                </w:tcPr>
                <w:p w:rsidR="009D49F2" w:rsidRDefault="009D49F2" w:rsidP="0027454F">
                  <w:pPr>
                    <w:ind w:left="0" w:hanging="2"/>
                    <w:jc w:val="both"/>
                    <w:rPr>
                      <w:rFonts w:ascii="Arial Narrow" w:eastAsia="Arial Narrow" w:hAnsi="Arial Narrow" w:cs="Arial Narrow"/>
                      <w:color w:val="000000"/>
                      <w:sz w:val="16"/>
                      <w:szCs w:val="16"/>
                    </w:rPr>
                  </w:pPr>
                  <w:r>
                    <w:rPr>
                      <w:rFonts w:ascii="Arial Narrow" w:eastAsia="Arial Narrow" w:hAnsi="Arial Narrow" w:cs="Arial Narrow"/>
                      <w:color w:val="FF0000"/>
                      <w:sz w:val="16"/>
                      <w:szCs w:val="16"/>
                    </w:rPr>
                    <w:t>112</w:t>
                  </w:r>
                  <w:r>
                    <w:rPr>
                      <w:rFonts w:ascii="Arial Narrow" w:eastAsia="Arial Narrow" w:hAnsi="Arial Narrow" w:cs="Arial Narrow"/>
                      <w:color w:val="000000"/>
                      <w:sz w:val="16"/>
                      <w:szCs w:val="16"/>
                    </w:rPr>
                    <w:t xml:space="preserve"> comprimidos 60 mg</w:t>
                  </w:r>
                </w:p>
              </w:tc>
              <w:tc>
                <w:tcPr>
                  <w:tcW w:w="1558" w:type="dxa"/>
                  <w:tcBorders>
                    <w:top w:val="nil"/>
                    <w:left w:val="nil"/>
                    <w:bottom w:val="single" w:sz="8" w:space="0" w:color="000000"/>
                    <w:right w:val="single" w:sz="8" w:space="0" w:color="000000"/>
                  </w:tcBorders>
                  <w:shd w:val="clear" w:color="auto" w:fill="E6E6E6"/>
                  <w:vAlign w:val="center"/>
                </w:tcPr>
                <w:p w:rsidR="009D49F2" w:rsidRDefault="009D49F2" w:rsidP="0027454F">
                  <w:pPr>
                    <w:ind w:left="0" w:hanging="2"/>
                    <w:jc w:val="both"/>
                    <w:rPr>
                      <w:rFonts w:ascii="Arial Narrow" w:eastAsia="Arial Narrow" w:hAnsi="Arial Narrow" w:cs="Arial Narrow"/>
                      <w:color w:val="000000"/>
                      <w:sz w:val="16"/>
                      <w:szCs w:val="16"/>
                    </w:rPr>
                  </w:pPr>
                  <w:r>
                    <w:rPr>
                      <w:rFonts w:ascii="Arial Narrow" w:eastAsia="Arial Narrow" w:hAnsi="Arial Narrow" w:cs="Arial Narrow"/>
                      <w:color w:val="FF0000"/>
                      <w:sz w:val="16"/>
                      <w:szCs w:val="16"/>
                    </w:rPr>
                    <w:t xml:space="preserve">60 </w:t>
                  </w:r>
                  <w:r>
                    <w:rPr>
                      <w:rFonts w:ascii="Arial Narrow" w:eastAsia="Arial Narrow" w:hAnsi="Arial Narrow" w:cs="Arial Narrow"/>
                      <w:color w:val="000000"/>
                      <w:sz w:val="16"/>
                      <w:szCs w:val="16"/>
                    </w:rPr>
                    <w:t>comprimidos 500 mg</w:t>
                  </w:r>
                </w:p>
              </w:tc>
              <w:tc>
                <w:tcPr>
                  <w:tcW w:w="1905" w:type="dxa"/>
                  <w:vMerge/>
                  <w:tcBorders>
                    <w:top w:val="nil"/>
                    <w:left w:val="single" w:sz="8" w:space="0" w:color="000000"/>
                    <w:bottom w:val="single" w:sz="8" w:space="0" w:color="000000"/>
                    <w:right w:val="single" w:sz="8" w:space="0" w:color="000000"/>
                  </w:tcBorders>
                  <w:shd w:val="clear" w:color="auto" w:fill="E6E6E6"/>
                  <w:vAlign w:val="center"/>
                </w:tcPr>
                <w:p w:rsidR="009D49F2" w:rsidRDefault="009D49F2" w:rsidP="0027454F">
                  <w:pPr>
                    <w:widowControl w:val="0"/>
                    <w:pBdr>
                      <w:top w:val="nil"/>
                      <w:left w:val="nil"/>
                      <w:bottom w:val="nil"/>
                      <w:right w:val="nil"/>
                      <w:between w:val="nil"/>
                    </w:pBdr>
                    <w:spacing w:line="276" w:lineRule="auto"/>
                    <w:ind w:left="0" w:hanging="2"/>
                    <w:rPr>
                      <w:rFonts w:ascii="Arial Narrow" w:eastAsia="Arial Narrow" w:hAnsi="Arial Narrow" w:cs="Arial Narrow"/>
                      <w:color w:val="000000"/>
                      <w:sz w:val="16"/>
                      <w:szCs w:val="16"/>
                    </w:rPr>
                  </w:pPr>
                </w:p>
              </w:tc>
            </w:tr>
            <w:tr w:rsidR="009D49F2" w:rsidTr="0027454F">
              <w:trPr>
                <w:trHeight w:val="300"/>
              </w:trPr>
              <w:tc>
                <w:tcPr>
                  <w:tcW w:w="1555" w:type="dxa"/>
                  <w:tcBorders>
                    <w:top w:val="nil"/>
                    <w:left w:val="single" w:sz="8" w:space="0" w:color="000000"/>
                    <w:bottom w:val="single" w:sz="8" w:space="0" w:color="000000"/>
                    <w:right w:val="single" w:sz="8" w:space="0" w:color="000000"/>
                  </w:tcBorders>
                  <w:vAlign w:val="center"/>
                </w:tcPr>
                <w:p w:rsidR="009D49F2" w:rsidRDefault="009D49F2" w:rsidP="0027454F">
                  <w:pPr>
                    <w:ind w:left="0" w:hanging="2"/>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Precio unitario (PVL+IVA)*</w:t>
                  </w:r>
                </w:p>
              </w:tc>
              <w:tc>
                <w:tcPr>
                  <w:tcW w:w="1417" w:type="dxa"/>
                  <w:tcBorders>
                    <w:top w:val="nil"/>
                    <w:left w:val="nil"/>
                    <w:bottom w:val="single" w:sz="8" w:space="0" w:color="000000"/>
                    <w:right w:val="single" w:sz="8" w:space="0" w:color="000000"/>
                  </w:tcBorders>
                  <w:vAlign w:val="center"/>
                </w:tcPr>
                <w:p w:rsidR="009D49F2" w:rsidRDefault="009D49F2" w:rsidP="0027454F">
                  <w:pPr>
                    <w:ind w:left="0" w:hanging="2"/>
                    <w:jc w:val="both"/>
                    <w:rPr>
                      <w:rFonts w:ascii="Arial Narrow" w:eastAsia="Arial Narrow" w:hAnsi="Arial Narrow" w:cs="Arial Narrow"/>
                      <w:color w:val="000000"/>
                      <w:sz w:val="16"/>
                      <w:szCs w:val="16"/>
                    </w:rPr>
                  </w:pPr>
                  <w:r>
                    <w:rPr>
                      <w:rFonts w:ascii="Arial Narrow" w:eastAsia="Arial Narrow" w:hAnsi="Arial Narrow" w:cs="Arial Narrow"/>
                      <w:color w:val="FF0000"/>
                      <w:sz w:val="16"/>
                      <w:szCs w:val="16"/>
                    </w:rPr>
                    <w:t>29,47</w:t>
                  </w:r>
                  <w:r>
                    <w:rPr>
                      <w:rFonts w:ascii="Arial Narrow" w:eastAsia="Arial Narrow" w:hAnsi="Arial Narrow" w:cs="Arial Narrow"/>
                      <w:color w:val="000000"/>
                      <w:sz w:val="16"/>
                      <w:szCs w:val="16"/>
                    </w:rPr>
                    <w:t>€</w:t>
                  </w:r>
                </w:p>
              </w:tc>
              <w:tc>
                <w:tcPr>
                  <w:tcW w:w="1418" w:type="dxa"/>
                  <w:tcBorders>
                    <w:top w:val="nil"/>
                    <w:left w:val="nil"/>
                    <w:bottom w:val="single" w:sz="8" w:space="0" w:color="000000"/>
                    <w:right w:val="single" w:sz="8" w:space="0" w:color="000000"/>
                  </w:tcBorders>
                  <w:vAlign w:val="center"/>
                </w:tcPr>
                <w:p w:rsidR="009D49F2" w:rsidRDefault="009D49F2" w:rsidP="0027454F">
                  <w:pPr>
                    <w:ind w:left="0" w:hanging="2"/>
                    <w:jc w:val="both"/>
                    <w:rPr>
                      <w:rFonts w:ascii="Arial Narrow" w:eastAsia="Arial Narrow" w:hAnsi="Arial Narrow" w:cs="Arial Narrow"/>
                      <w:color w:val="FF0000"/>
                      <w:sz w:val="16"/>
                      <w:szCs w:val="16"/>
                    </w:rPr>
                  </w:pPr>
                  <w:r>
                    <w:rPr>
                      <w:rFonts w:ascii="Arial Narrow" w:eastAsia="Arial Narrow" w:hAnsi="Arial Narrow" w:cs="Arial Narrow"/>
                      <w:color w:val="FF0000"/>
                      <w:sz w:val="16"/>
                      <w:szCs w:val="16"/>
                    </w:rPr>
                    <w:t>29,47 €</w:t>
                  </w:r>
                </w:p>
              </w:tc>
              <w:tc>
                <w:tcPr>
                  <w:tcW w:w="1558" w:type="dxa"/>
                  <w:tcBorders>
                    <w:top w:val="nil"/>
                    <w:left w:val="nil"/>
                    <w:bottom w:val="single" w:sz="8" w:space="0" w:color="000000"/>
                    <w:right w:val="single" w:sz="8" w:space="0" w:color="000000"/>
                  </w:tcBorders>
                  <w:vAlign w:val="center"/>
                </w:tcPr>
                <w:p w:rsidR="009D49F2" w:rsidRDefault="009D49F2" w:rsidP="0027454F">
                  <w:pPr>
                    <w:ind w:left="0" w:hanging="2"/>
                    <w:jc w:val="both"/>
                    <w:rPr>
                      <w:rFonts w:ascii="Arial Narrow" w:eastAsia="Arial Narrow" w:hAnsi="Arial Narrow" w:cs="Arial Narrow"/>
                      <w:color w:val="FF0000"/>
                      <w:sz w:val="16"/>
                      <w:szCs w:val="16"/>
                    </w:rPr>
                  </w:pPr>
                  <w:r>
                    <w:rPr>
                      <w:rFonts w:ascii="Arial Narrow" w:eastAsia="Arial Narrow" w:hAnsi="Arial Narrow" w:cs="Arial Narrow"/>
                      <w:color w:val="FF0000"/>
                      <w:sz w:val="16"/>
                      <w:szCs w:val="16"/>
                    </w:rPr>
                    <w:t>58,93 €</w:t>
                  </w:r>
                </w:p>
              </w:tc>
              <w:tc>
                <w:tcPr>
                  <w:tcW w:w="1905" w:type="dxa"/>
                  <w:tcBorders>
                    <w:top w:val="nil"/>
                    <w:left w:val="nil"/>
                    <w:bottom w:val="single" w:sz="8" w:space="0" w:color="000000"/>
                    <w:right w:val="single" w:sz="8" w:space="0" w:color="000000"/>
                  </w:tcBorders>
                  <w:vAlign w:val="center"/>
                </w:tcPr>
                <w:p w:rsidR="009D49F2" w:rsidRDefault="009D49F2" w:rsidP="0027454F">
                  <w:pPr>
                    <w:ind w:left="0" w:hanging="2"/>
                    <w:jc w:val="both"/>
                    <w:rPr>
                      <w:rFonts w:ascii="Arial Narrow" w:eastAsia="Arial Narrow" w:hAnsi="Arial Narrow" w:cs="Arial Narrow"/>
                      <w:color w:val="FF0000"/>
                      <w:sz w:val="16"/>
                      <w:szCs w:val="16"/>
                    </w:rPr>
                  </w:pPr>
                  <w:r>
                    <w:rPr>
                      <w:rFonts w:ascii="Arial Narrow" w:eastAsia="Arial Narrow" w:hAnsi="Arial Narrow" w:cs="Arial Narrow"/>
                      <w:color w:val="FF0000"/>
                      <w:sz w:val="16"/>
                      <w:szCs w:val="16"/>
                    </w:rPr>
                    <w:t>182,91 €</w:t>
                  </w:r>
                </w:p>
              </w:tc>
            </w:tr>
            <w:tr w:rsidR="009D49F2" w:rsidTr="0027454F">
              <w:trPr>
                <w:cantSplit/>
                <w:trHeight w:val="192"/>
              </w:trPr>
              <w:tc>
                <w:tcPr>
                  <w:tcW w:w="1555" w:type="dxa"/>
                  <w:vMerge w:val="restart"/>
                  <w:tcBorders>
                    <w:top w:val="nil"/>
                    <w:left w:val="single" w:sz="8" w:space="0" w:color="000000"/>
                    <w:bottom w:val="single" w:sz="8" w:space="0" w:color="000000"/>
                    <w:right w:val="single" w:sz="8" w:space="0" w:color="000000"/>
                  </w:tcBorders>
                  <w:vAlign w:val="center"/>
                </w:tcPr>
                <w:p w:rsidR="009D49F2" w:rsidRDefault="009D49F2" w:rsidP="0027454F">
                  <w:pPr>
                    <w:ind w:left="0" w:hanging="2"/>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Posología</w:t>
                  </w:r>
                </w:p>
              </w:tc>
              <w:tc>
                <w:tcPr>
                  <w:tcW w:w="1417" w:type="dxa"/>
                  <w:vMerge w:val="restart"/>
                  <w:tcBorders>
                    <w:top w:val="nil"/>
                    <w:left w:val="single" w:sz="8" w:space="0" w:color="000000"/>
                    <w:bottom w:val="single" w:sz="8" w:space="0" w:color="000000"/>
                    <w:right w:val="single" w:sz="8" w:space="0" w:color="000000"/>
                  </w:tcBorders>
                  <w:vAlign w:val="center"/>
                </w:tcPr>
                <w:p w:rsidR="009D49F2" w:rsidRDefault="009D49F2" w:rsidP="0027454F">
                  <w:pPr>
                    <w:ind w:left="0" w:hanging="2"/>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160 mg/ 24h</w:t>
                  </w:r>
                </w:p>
              </w:tc>
              <w:tc>
                <w:tcPr>
                  <w:tcW w:w="1418" w:type="dxa"/>
                  <w:vMerge w:val="restart"/>
                  <w:tcBorders>
                    <w:top w:val="nil"/>
                    <w:left w:val="single" w:sz="8" w:space="0" w:color="000000"/>
                    <w:bottom w:val="single" w:sz="8" w:space="0" w:color="000000"/>
                    <w:right w:val="single" w:sz="8" w:space="0" w:color="000000"/>
                  </w:tcBorders>
                  <w:vAlign w:val="center"/>
                </w:tcPr>
                <w:p w:rsidR="009D49F2" w:rsidRDefault="009D49F2" w:rsidP="0027454F">
                  <w:pPr>
                    <w:ind w:left="0" w:hanging="2"/>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240 mg/ 24h</w:t>
                  </w:r>
                </w:p>
              </w:tc>
              <w:tc>
                <w:tcPr>
                  <w:tcW w:w="1558" w:type="dxa"/>
                  <w:vMerge w:val="restart"/>
                  <w:tcBorders>
                    <w:top w:val="nil"/>
                    <w:left w:val="single" w:sz="8" w:space="0" w:color="000000"/>
                    <w:bottom w:val="single" w:sz="8" w:space="0" w:color="000000"/>
                    <w:right w:val="single" w:sz="8" w:space="0" w:color="000000"/>
                  </w:tcBorders>
                  <w:vAlign w:val="center"/>
                </w:tcPr>
                <w:p w:rsidR="009D49F2" w:rsidRDefault="009D49F2" w:rsidP="0027454F">
                  <w:pPr>
                    <w:ind w:left="0" w:hanging="2"/>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1000 mg/ 24h</w:t>
                  </w:r>
                </w:p>
              </w:tc>
              <w:tc>
                <w:tcPr>
                  <w:tcW w:w="1905" w:type="dxa"/>
                  <w:tcBorders>
                    <w:top w:val="nil"/>
                    <w:left w:val="nil"/>
                    <w:bottom w:val="nil"/>
                    <w:right w:val="single" w:sz="8" w:space="0" w:color="000000"/>
                  </w:tcBorders>
                  <w:vAlign w:val="center"/>
                </w:tcPr>
                <w:p w:rsidR="009D49F2" w:rsidRDefault="009D49F2" w:rsidP="0027454F">
                  <w:pPr>
                    <w:ind w:left="0" w:hanging="2"/>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75 mg/m2 cada 21</w:t>
                  </w:r>
                </w:p>
              </w:tc>
            </w:tr>
            <w:tr w:rsidR="009D49F2" w:rsidTr="0027454F">
              <w:trPr>
                <w:cantSplit/>
                <w:trHeight w:val="300"/>
              </w:trPr>
              <w:tc>
                <w:tcPr>
                  <w:tcW w:w="1555" w:type="dxa"/>
                  <w:vMerge/>
                  <w:tcBorders>
                    <w:top w:val="nil"/>
                    <w:left w:val="single" w:sz="8" w:space="0" w:color="000000"/>
                    <w:bottom w:val="single" w:sz="8" w:space="0" w:color="000000"/>
                    <w:right w:val="single" w:sz="8" w:space="0" w:color="000000"/>
                  </w:tcBorders>
                  <w:vAlign w:val="center"/>
                </w:tcPr>
                <w:p w:rsidR="009D49F2" w:rsidRDefault="009D49F2" w:rsidP="0027454F">
                  <w:pPr>
                    <w:widowControl w:val="0"/>
                    <w:pBdr>
                      <w:top w:val="nil"/>
                      <w:left w:val="nil"/>
                      <w:bottom w:val="nil"/>
                      <w:right w:val="nil"/>
                      <w:between w:val="nil"/>
                    </w:pBdr>
                    <w:spacing w:line="276" w:lineRule="auto"/>
                    <w:ind w:left="0" w:hanging="2"/>
                    <w:rPr>
                      <w:rFonts w:ascii="Arial Narrow" w:eastAsia="Arial Narrow" w:hAnsi="Arial Narrow" w:cs="Arial Narrow"/>
                      <w:color w:val="000000"/>
                      <w:sz w:val="16"/>
                      <w:szCs w:val="16"/>
                    </w:rPr>
                  </w:pPr>
                </w:p>
              </w:tc>
              <w:tc>
                <w:tcPr>
                  <w:tcW w:w="1417" w:type="dxa"/>
                  <w:vMerge/>
                  <w:tcBorders>
                    <w:top w:val="nil"/>
                    <w:left w:val="single" w:sz="8" w:space="0" w:color="000000"/>
                    <w:bottom w:val="single" w:sz="8" w:space="0" w:color="000000"/>
                    <w:right w:val="single" w:sz="8" w:space="0" w:color="000000"/>
                  </w:tcBorders>
                  <w:vAlign w:val="center"/>
                </w:tcPr>
                <w:p w:rsidR="009D49F2" w:rsidRDefault="009D49F2" w:rsidP="0027454F">
                  <w:pPr>
                    <w:widowControl w:val="0"/>
                    <w:pBdr>
                      <w:top w:val="nil"/>
                      <w:left w:val="nil"/>
                      <w:bottom w:val="nil"/>
                      <w:right w:val="nil"/>
                      <w:between w:val="nil"/>
                    </w:pBdr>
                    <w:spacing w:line="276" w:lineRule="auto"/>
                    <w:ind w:left="0" w:hanging="2"/>
                    <w:rPr>
                      <w:rFonts w:ascii="Arial Narrow" w:eastAsia="Arial Narrow" w:hAnsi="Arial Narrow" w:cs="Arial Narrow"/>
                      <w:color w:val="000000"/>
                      <w:sz w:val="16"/>
                      <w:szCs w:val="16"/>
                    </w:rPr>
                  </w:pPr>
                </w:p>
              </w:tc>
              <w:tc>
                <w:tcPr>
                  <w:tcW w:w="1418" w:type="dxa"/>
                  <w:vMerge/>
                  <w:tcBorders>
                    <w:top w:val="nil"/>
                    <w:left w:val="single" w:sz="8" w:space="0" w:color="000000"/>
                    <w:bottom w:val="single" w:sz="8" w:space="0" w:color="000000"/>
                    <w:right w:val="single" w:sz="8" w:space="0" w:color="000000"/>
                  </w:tcBorders>
                  <w:vAlign w:val="center"/>
                </w:tcPr>
                <w:p w:rsidR="009D49F2" w:rsidRDefault="009D49F2" w:rsidP="0027454F">
                  <w:pPr>
                    <w:widowControl w:val="0"/>
                    <w:pBdr>
                      <w:top w:val="nil"/>
                      <w:left w:val="nil"/>
                      <w:bottom w:val="nil"/>
                      <w:right w:val="nil"/>
                      <w:between w:val="nil"/>
                    </w:pBdr>
                    <w:spacing w:line="276" w:lineRule="auto"/>
                    <w:ind w:left="0" w:hanging="2"/>
                    <w:rPr>
                      <w:rFonts w:ascii="Arial Narrow" w:eastAsia="Arial Narrow" w:hAnsi="Arial Narrow" w:cs="Arial Narrow"/>
                      <w:color w:val="000000"/>
                      <w:sz w:val="16"/>
                      <w:szCs w:val="16"/>
                    </w:rPr>
                  </w:pPr>
                </w:p>
              </w:tc>
              <w:tc>
                <w:tcPr>
                  <w:tcW w:w="1558" w:type="dxa"/>
                  <w:vMerge/>
                  <w:tcBorders>
                    <w:top w:val="nil"/>
                    <w:left w:val="single" w:sz="8" w:space="0" w:color="000000"/>
                    <w:bottom w:val="single" w:sz="8" w:space="0" w:color="000000"/>
                    <w:right w:val="single" w:sz="8" w:space="0" w:color="000000"/>
                  </w:tcBorders>
                  <w:vAlign w:val="center"/>
                </w:tcPr>
                <w:p w:rsidR="009D49F2" w:rsidRDefault="009D49F2" w:rsidP="0027454F">
                  <w:pPr>
                    <w:widowControl w:val="0"/>
                    <w:pBdr>
                      <w:top w:val="nil"/>
                      <w:left w:val="nil"/>
                      <w:bottom w:val="nil"/>
                      <w:right w:val="nil"/>
                      <w:between w:val="nil"/>
                    </w:pBdr>
                    <w:spacing w:line="276" w:lineRule="auto"/>
                    <w:ind w:left="0" w:hanging="2"/>
                    <w:rPr>
                      <w:rFonts w:ascii="Arial Narrow" w:eastAsia="Arial Narrow" w:hAnsi="Arial Narrow" w:cs="Arial Narrow"/>
                      <w:color w:val="000000"/>
                      <w:sz w:val="16"/>
                      <w:szCs w:val="16"/>
                    </w:rPr>
                  </w:pPr>
                </w:p>
              </w:tc>
              <w:tc>
                <w:tcPr>
                  <w:tcW w:w="1905" w:type="dxa"/>
                  <w:tcBorders>
                    <w:top w:val="nil"/>
                    <w:left w:val="nil"/>
                    <w:bottom w:val="single" w:sz="8" w:space="0" w:color="000000"/>
                    <w:right w:val="single" w:sz="8" w:space="0" w:color="000000"/>
                  </w:tcBorders>
                  <w:vAlign w:val="center"/>
                </w:tcPr>
                <w:p w:rsidR="009D49F2" w:rsidRDefault="009D49F2" w:rsidP="0027454F">
                  <w:pPr>
                    <w:ind w:left="0" w:hanging="2"/>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días, máximo 6 ciclos</w:t>
                  </w:r>
                </w:p>
              </w:tc>
            </w:tr>
            <w:tr w:rsidR="009D49F2" w:rsidTr="0027454F">
              <w:trPr>
                <w:trHeight w:val="300"/>
              </w:trPr>
              <w:tc>
                <w:tcPr>
                  <w:tcW w:w="1555" w:type="dxa"/>
                  <w:tcBorders>
                    <w:top w:val="nil"/>
                    <w:left w:val="single" w:sz="8" w:space="0" w:color="000000"/>
                    <w:bottom w:val="single" w:sz="8" w:space="0" w:color="000000"/>
                    <w:right w:val="single" w:sz="8" w:space="0" w:color="000000"/>
                  </w:tcBorders>
                  <w:vAlign w:val="center"/>
                </w:tcPr>
                <w:p w:rsidR="009D49F2" w:rsidRDefault="009D49F2" w:rsidP="0027454F">
                  <w:pPr>
                    <w:ind w:left="0" w:hanging="2"/>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Coste día o por ciclo</w:t>
                  </w:r>
                </w:p>
              </w:tc>
              <w:tc>
                <w:tcPr>
                  <w:tcW w:w="1417" w:type="dxa"/>
                  <w:tcBorders>
                    <w:top w:val="nil"/>
                    <w:left w:val="nil"/>
                    <w:bottom w:val="single" w:sz="8" w:space="0" w:color="000000"/>
                    <w:right w:val="single" w:sz="8" w:space="0" w:color="000000"/>
                  </w:tcBorders>
                  <w:vAlign w:val="center"/>
                </w:tcPr>
                <w:p w:rsidR="009D49F2" w:rsidRDefault="009D49F2" w:rsidP="0027454F">
                  <w:pPr>
                    <w:ind w:left="0" w:hanging="2"/>
                    <w:jc w:val="both"/>
                    <w:rPr>
                      <w:rFonts w:ascii="Arial Narrow" w:eastAsia="Arial Narrow" w:hAnsi="Arial Narrow" w:cs="Arial Narrow"/>
                      <w:color w:val="000000"/>
                      <w:sz w:val="16"/>
                      <w:szCs w:val="16"/>
                    </w:rPr>
                  </w:pPr>
                  <w:r>
                    <w:rPr>
                      <w:rFonts w:ascii="Arial Narrow" w:eastAsia="Arial Narrow" w:hAnsi="Arial Narrow" w:cs="Arial Narrow"/>
                      <w:color w:val="FF0000"/>
                      <w:sz w:val="16"/>
                      <w:szCs w:val="16"/>
                    </w:rPr>
                    <w:t>117,88 €/dia</w:t>
                  </w:r>
                </w:p>
              </w:tc>
              <w:tc>
                <w:tcPr>
                  <w:tcW w:w="1418" w:type="dxa"/>
                  <w:tcBorders>
                    <w:top w:val="nil"/>
                    <w:left w:val="nil"/>
                    <w:bottom w:val="single" w:sz="8" w:space="0" w:color="000000"/>
                    <w:right w:val="single" w:sz="8" w:space="0" w:color="000000"/>
                  </w:tcBorders>
                  <w:vAlign w:val="center"/>
                </w:tcPr>
                <w:p w:rsidR="009D49F2" w:rsidRDefault="009D49F2" w:rsidP="0027454F">
                  <w:pPr>
                    <w:ind w:left="0" w:hanging="2"/>
                    <w:jc w:val="both"/>
                    <w:rPr>
                      <w:rFonts w:ascii="Arial Narrow" w:eastAsia="Arial Narrow" w:hAnsi="Arial Narrow" w:cs="Arial Narrow"/>
                      <w:color w:val="000000"/>
                      <w:sz w:val="16"/>
                      <w:szCs w:val="16"/>
                    </w:rPr>
                  </w:pPr>
                  <w:r>
                    <w:rPr>
                      <w:rFonts w:ascii="Arial Narrow" w:eastAsia="Arial Narrow" w:hAnsi="Arial Narrow" w:cs="Arial Narrow"/>
                      <w:color w:val="FF0000"/>
                      <w:sz w:val="16"/>
                      <w:szCs w:val="16"/>
                    </w:rPr>
                    <w:t>117,88 €/dia</w:t>
                  </w:r>
                </w:p>
              </w:tc>
              <w:tc>
                <w:tcPr>
                  <w:tcW w:w="1558" w:type="dxa"/>
                  <w:tcBorders>
                    <w:top w:val="nil"/>
                    <w:left w:val="nil"/>
                    <w:bottom w:val="single" w:sz="8" w:space="0" w:color="000000"/>
                    <w:right w:val="single" w:sz="8" w:space="0" w:color="000000"/>
                  </w:tcBorders>
                  <w:vAlign w:val="center"/>
                </w:tcPr>
                <w:p w:rsidR="009D49F2" w:rsidRDefault="009D49F2" w:rsidP="0027454F">
                  <w:pPr>
                    <w:ind w:left="0" w:hanging="2"/>
                    <w:jc w:val="both"/>
                    <w:rPr>
                      <w:rFonts w:ascii="Arial Narrow" w:eastAsia="Arial Narrow" w:hAnsi="Arial Narrow" w:cs="Arial Narrow"/>
                      <w:color w:val="000000"/>
                      <w:sz w:val="16"/>
                      <w:szCs w:val="16"/>
                    </w:rPr>
                  </w:pPr>
                  <w:r>
                    <w:rPr>
                      <w:rFonts w:ascii="Arial Narrow" w:eastAsia="Arial Narrow" w:hAnsi="Arial Narrow" w:cs="Arial Narrow"/>
                      <w:color w:val="FF0000"/>
                      <w:sz w:val="16"/>
                      <w:szCs w:val="16"/>
                    </w:rPr>
                    <w:t>117,88 €/dia</w:t>
                  </w:r>
                </w:p>
              </w:tc>
              <w:tc>
                <w:tcPr>
                  <w:tcW w:w="1905" w:type="dxa"/>
                  <w:tcBorders>
                    <w:top w:val="nil"/>
                    <w:left w:val="nil"/>
                    <w:bottom w:val="single" w:sz="8" w:space="0" w:color="000000"/>
                    <w:right w:val="single" w:sz="8" w:space="0" w:color="000000"/>
                  </w:tcBorders>
                  <w:vAlign w:val="center"/>
                </w:tcPr>
                <w:p w:rsidR="009D49F2" w:rsidRDefault="009D49F2" w:rsidP="0027454F">
                  <w:pPr>
                    <w:ind w:left="0" w:hanging="2"/>
                    <w:jc w:val="both"/>
                    <w:rPr>
                      <w:rFonts w:ascii="Arial Narrow" w:eastAsia="Arial Narrow" w:hAnsi="Arial Narrow" w:cs="Arial Narrow"/>
                      <w:color w:val="000000"/>
                      <w:sz w:val="16"/>
                      <w:szCs w:val="16"/>
                    </w:rPr>
                  </w:pPr>
                  <w:r>
                    <w:rPr>
                      <w:rFonts w:ascii="Arial Narrow" w:eastAsia="Arial Narrow" w:hAnsi="Arial Narrow" w:cs="Arial Narrow"/>
                      <w:color w:val="FF0000"/>
                      <w:sz w:val="16"/>
                      <w:szCs w:val="16"/>
                    </w:rPr>
                    <w:t>291,51 €/ciclo</w:t>
                  </w:r>
                </w:p>
              </w:tc>
            </w:tr>
            <w:tr w:rsidR="009D49F2" w:rsidTr="0027454F">
              <w:trPr>
                <w:cantSplit/>
                <w:trHeight w:val="420"/>
              </w:trPr>
              <w:tc>
                <w:tcPr>
                  <w:tcW w:w="1555" w:type="dxa"/>
                  <w:tcBorders>
                    <w:top w:val="nil"/>
                    <w:left w:val="single" w:sz="8" w:space="0" w:color="000000"/>
                    <w:bottom w:val="nil"/>
                    <w:right w:val="single" w:sz="8" w:space="0" w:color="000000"/>
                  </w:tcBorders>
                  <w:vAlign w:val="center"/>
                </w:tcPr>
                <w:p w:rsidR="009D49F2" w:rsidRDefault="009D49F2" w:rsidP="0027454F">
                  <w:pPr>
                    <w:ind w:left="0" w:hanging="2"/>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Coste tratamiento completo</w:t>
                  </w:r>
                  <w:r>
                    <w:rPr>
                      <w:rFonts w:ascii="Arial Narrow" w:eastAsia="Arial Narrow" w:hAnsi="Arial Narrow" w:cs="Arial Narrow"/>
                      <w:color w:val="000000"/>
                      <w:sz w:val="16"/>
                      <w:szCs w:val="16"/>
                    </w:rPr>
                    <w:t>** o tratamiento/año</w:t>
                  </w:r>
                </w:p>
              </w:tc>
              <w:tc>
                <w:tcPr>
                  <w:tcW w:w="1417" w:type="dxa"/>
                  <w:vMerge w:val="restart"/>
                  <w:tcBorders>
                    <w:top w:val="nil"/>
                    <w:left w:val="single" w:sz="8" w:space="0" w:color="000000"/>
                    <w:bottom w:val="single" w:sz="8" w:space="0" w:color="000000"/>
                    <w:right w:val="single" w:sz="8" w:space="0" w:color="000000"/>
                  </w:tcBorders>
                  <w:vAlign w:val="center"/>
                </w:tcPr>
                <w:p w:rsidR="009D49F2" w:rsidRDefault="009D49F2" w:rsidP="0027454F">
                  <w:pPr>
                    <w:ind w:left="0" w:hanging="2"/>
                    <w:jc w:val="both"/>
                    <w:rPr>
                      <w:rFonts w:ascii="Arial Narrow" w:eastAsia="Arial Narrow" w:hAnsi="Arial Narrow" w:cs="Arial Narrow"/>
                      <w:color w:val="000000"/>
                      <w:sz w:val="16"/>
                      <w:szCs w:val="16"/>
                    </w:rPr>
                  </w:pPr>
                  <w:r>
                    <w:rPr>
                      <w:rFonts w:ascii="Arial Narrow" w:eastAsia="Arial Narrow" w:hAnsi="Arial Narrow" w:cs="Arial Narrow"/>
                      <w:color w:val="FF0000"/>
                      <w:sz w:val="16"/>
                      <w:szCs w:val="16"/>
                    </w:rPr>
                    <w:t>43 026,2 € /año</w:t>
                  </w:r>
                  <w:r>
                    <w:rPr>
                      <w:rFonts w:ascii="Arial Narrow" w:eastAsia="Arial Narrow" w:hAnsi="Arial Narrow" w:cs="Arial Narrow"/>
                      <w:color w:val="000000"/>
                      <w:sz w:val="16"/>
                      <w:szCs w:val="16"/>
                    </w:rPr>
                    <w:t>+ coste TDA</w:t>
                  </w:r>
                </w:p>
              </w:tc>
              <w:tc>
                <w:tcPr>
                  <w:tcW w:w="1418" w:type="dxa"/>
                  <w:vMerge w:val="restart"/>
                  <w:tcBorders>
                    <w:top w:val="nil"/>
                    <w:left w:val="single" w:sz="8" w:space="0" w:color="000000"/>
                    <w:bottom w:val="single" w:sz="8" w:space="0" w:color="000000"/>
                    <w:right w:val="single" w:sz="8" w:space="0" w:color="000000"/>
                  </w:tcBorders>
                  <w:vAlign w:val="center"/>
                </w:tcPr>
                <w:p w:rsidR="009D49F2" w:rsidRDefault="009D49F2" w:rsidP="0027454F">
                  <w:pPr>
                    <w:ind w:left="0" w:hanging="2"/>
                    <w:jc w:val="both"/>
                    <w:rPr>
                      <w:rFonts w:ascii="Arial Narrow" w:eastAsia="Arial Narrow" w:hAnsi="Arial Narrow" w:cs="Arial Narrow"/>
                      <w:color w:val="000000"/>
                      <w:sz w:val="16"/>
                      <w:szCs w:val="16"/>
                    </w:rPr>
                  </w:pPr>
                  <w:r>
                    <w:rPr>
                      <w:rFonts w:ascii="Arial Narrow" w:eastAsia="Arial Narrow" w:hAnsi="Arial Narrow" w:cs="Arial Narrow"/>
                      <w:color w:val="FF0000"/>
                      <w:sz w:val="16"/>
                      <w:szCs w:val="16"/>
                    </w:rPr>
                    <w:t>43026,2 € /año</w:t>
                  </w:r>
                  <w:r>
                    <w:rPr>
                      <w:rFonts w:ascii="Arial Narrow" w:eastAsia="Arial Narrow" w:hAnsi="Arial Narrow" w:cs="Arial Narrow"/>
                      <w:color w:val="000000"/>
                      <w:sz w:val="16"/>
                      <w:szCs w:val="16"/>
                    </w:rPr>
                    <w:t>+ coste TDA</w:t>
                  </w:r>
                </w:p>
              </w:tc>
              <w:tc>
                <w:tcPr>
                  <w:tcW w:w="1558" w:type="dxa"/>
                  <w:vMerge w:val="restart"/>
                  <w:tcBorders>
                    <w:top w:val="nil"/>
                    <w:left w:val="single" w:sz="8" w:space="0" w:color="000000"/>
                    <w:bottom w:val="single" w:sz="8" w:space="0" w:color="000000"/>
                    <w:right w:val="single" w:sz="8" w:space="0" w:color="000000"/>
                  </w:tcBorders>
                  <w:vAlign w:val="center"/>
                </w:tcPr>
                <w:p w:rsidR="009D49F2" w:rsidRDefault="009D49F2" w:rsidP="0027454F">
                  <w:pPr>
                    <w:ind w:left="0" w:hanging="2"/>
                    <w:jc w:val="both"/>
                    <w:rPr>
                      <w:rFonts w:ascii="Arial Narrow" w:eastAsia="Arial Narrow" w:hAnsi="Arial Narrow" w:cs="Arial Narrow"/>
                      <w:color w:val="000000"/>
                      <w:sz w:val="16"/>
                      <w:szCs w:val="16"/>
                    </w:rPr>
                  </w:pPr>
                  <w:r>
                    <w:rPr>
                      <w:rFonts w:ascii="Arial Narrow" w:eastAsia="Arial Narrow" w:hAnsi="Arial Narrow" w:cs="Arial Narrow"/>
                      <w:color w:val="FF0000"/>
                      <w:sz w:val="16"/>
                      <w:szCs w:val="16"/>
                    </w:rPr>
                    <w:t>43 026,2 €</w:t>
                  </w:r>
                  <w:r>
                    <w:rPr>
                      <w:rFonts w:ascii="Arial Narrow" w:eastAsia="Arial Narrow" w:hAnsi="Arial Narrow" w:cs="Arial Narrow"/>
                      <w:color w:val="000000"/>
                      <w:sz w:val="16"/>
                      <w:szCs w:val="16"/>
                    </w:rPr>
                    <w:t xml:space="preserve"> /año+ coste TDA</w:t>
                  </w:r>
                </w:p>
              </w:tc>
              <w:tc>
                <w:tcPr>
                  <w:tcW w:w="1905" w:type="dxa"/>
                  <w:vMerge w:val="restart"/>
                  <w:tcBorders>
                    <w:top w:val="nil"/>
                    <w:left w:val="single" w:sz="8" w:space="0" w:color="000000"/>
                    <w:bottom w:val="single" w:sz="8" w:space="0" w:color="000000"/>
                    <w:right w:val="single" w:sz="8" w:space="0" w:color="000000"/>
                  </w:tcBorders>
                  <w:vAlign w:val="center"/>
                </w:tcPr>
                <w:p w:rsidR="009D49F2" w:rsidRDefault="009D49F2" w:rsidP="0027454F">
                  <w:pPr>
                    <w:spacing w:after="240"/>
                    <w:ind w:left="0" w:hanging="2"/>
                    <w:jc w:val="both"/>
                    <w:rPr>
                      <w:rFonts w:ascii="Arial Narrow" w:eastAsia="Arial Narrow" w:hAnsi="Arial Narrow" w:cs="Arial Narrow"/>
                      <w:color w:val="000000"/>
                      <w:sz w:val="16"/>
                      <w:szCs w:val="16"/>
                    </w:rPr>
                  </w:pPr>
                  <w:r>
                    <w:rPr>
                      <w:rFonts w:ascii="Arial Narrow" w:eastAsia="Arial Narrow" w:hAnsi="Arial Narrow" w:cs="Arial Narrow"/>
                      <w:color w:val="FF0000"/>
                      <w:sz w:val="16"/>
                      <w:szCs w:val="16"/>
                    </w:rPr>
                    <w:t xml:space="preserve">1749,06 € </w:t>
                  </w:r>
                  <w:r>
                    <w:rPr>
                      <w:rFonts w:ascii="Arial Narrow" w:eastAsia="Arial Narrow" w:hAnsi="Arial Narrow" w:cs="Arial Narrow"/>
                      <w:color w:val="000000"/>
                      <w:sz w:val="16"/>
                      <w:szCs w:val="16"/>
                    </w:rPr>
                    <w:t>+ coste TDA</w:t>
                  </w:r>
                </w:p>
              </w:tc>
            </w:tr>
            <w:tr w:rsidR="009D49F2" w:rsidTr="0027454F">
              <w:trPr>
                <w:cantSplit/>
                <w:trHeight w:val="30"/>
              </w:trPr>
              <w:tc>
                <w:tcPr>
                  <w:tcW w:w="1555" w:type="dxa"/>
                  <w:tcBorders>
                    <w:top w:val="nil"/>
                    <w:left w:val="single" w:sz="8" w:space="0" w:color="000000"/>
                    <w:bottom w:val="single" w:sz="8" w:space="0" w:color="000000"/>
                    <w:right w:val="single" w:sz="8" w:space="0" w:color="000000"/>
                  </w:tcBorders>
                  <w:vAlign w:val="center"/>
                </w:tcPr>
                <w:p w:rsidR="009D49F2" w:rsidRDefault="009D49F2" w:rsidP="0027454F">
                  <w:pPr>
                    <w:ind w:left="0" w:hanging="2"/>
                    <w:rPr>
                      <w:rFonts w:ascii="Arial Narrow" w:eastAsia="Arial Narrow" w:hAnsi="Arial Narrow" w:cs="Arial Narrow"/>
                      <w:color w:val="000000"/>
                      <w:sz w:val="16"/>
                      <w:szCs w:val="16"/>
                    </w:rPr>
                  </w:pPr>
                </w:p>
              </w:tc>
              <w:tc>
                <w:tcPr>
                  <w:tcW w:w="1417" w:type="dxa"/>
                  <w:vMerge/>
                  <w:tcBorders>
                    <w:top w:val="nil"/>
                    <w:left w:val="single" w:sz="8" w:space="0" w:color="000000"/>
                    <w:bottom w:val="single" w:sz="8" w:space="0" w:color="000000"/>
                    <w:right w:val="single" w:sz="8" w:space="0" w:color="000000"/>
                  </w:tcBorders>
                  <w:vAlign w:val="center"/>
                </w:tcPr>
                <w:p w:rsidR="009D49F2" w:rsidRDefault="009D49F2" w:rsidP="0027454F">
                  <w:pPr>
                    <w:widowControl w:val="0"/>
                    <w:pBdr>
                      <w:top w:val="nil"/>
                      <w:left w:val="nil"/>
                      <w:bottom w:val="nil"/>
                      <w:right w:val="nil"/>
                      <w:between w:val="nil"/>
                    </w:pBdr>
                    <w:spacing w:line="276" w:lineRule="auto"/>
                    <w:ind w:left="0" w:hanging="2"/>
                    <w:rPr>
                      <w:rFonts w:ascii="Arial Narrow" w:eastAsia="Arial Narrow" w:hAnsi="Arial Narrow" w:cs="Arial Narrow"/>
                      <w:color w:val="000000"/>
                      <w:sz w:val="16"/>
                      <w:szCs w:val="16"/>
                    </w:rPr>
                  </w:pPr>
                </w:p>
              </w:tc>
              <w:tc>
                <w:tcPr>
                  <w:tcW w:w="1418" w:type="dxa"/>
                  <w:vMerge/>
                  <w:tcBorders>
                    <w:top w:val="nil"/>
                    <w:left w:val="single" w:sz="8" w:space="0" w:color="000000"/>
                    <w:bottom w:val="single" w:sz="8" w:space="0" w:color="000000"/>
                    <w:right w:val="single" w:sz="8" w:space="0" w:color="000000"/>
                  </w:tcBorders>
                  <w:vAlign w:val="center"/>
                </w:tcPr>
                <w:p w:rsidR="009D49F2" w:rsidRDefault="009D49F2" w:rsidP="0027454F">
                  <w:pPr>
                    <w:widowControl w:val="0"/>
                    <w:pBdr>
                      <w:top w:val="nil"/>
                      <w:left w:val="nil"/>
                      <w:bottom w:val="nil"/>
                      <w:right w:val="nil"/>
                      <w:between w:val="nil"/>
                    </w:pBdr>
                    <w:spacing w:line="276" w:lineRule="auto"/>
                    <w:ind w:left="0" w:hanging="2"/>
                    <w:rPr>
                      <w:rFonts w:ascii="Arial Narrow" w:eastAsia="Arial Narrow" w:hAnsi="Arial Narrow" w:cs="Arial Narrow"/>
                      <w:color w:val="000000"/>
                      <w:sz w:val="16"/>
                      <w:szCs w:val="16"/>
                    </w:rPr>
                  </w:pPr>
                </w:p>
              </w:tc>
              <w:tc>
                <w:tcPr>
                  <w:tcW w:w="1558" w:type="dxa"/>
                  <w:vMerge/>
                  <w:tcBorders>
                    <w:top w:val="nil"/>
                    <w:left w:val="single" w:sz="8" w:space="0" w:color="000000"/>
                    <w:bottom w:val="single" w:sz="8" w:space="0" w:color="000000"/>
                    <w:right w:val="single" w:sz="8" w:space="0" w:color="000000"/>
                  </w:tcBorders>
                  <w:vAlign w:val="center"/>
                </w:tcPr>
                <w:p w:rsidR="009D49F2" w:rsidRDefault="009D49F2" w:rsidP="0027454F">
                  <w:pPr>
                    <w:widowControl w:val="0"/>
                    <w:pBdr>
                      <w:top w:val="nil"/>
                      <w:left w:val="nil"/>
                      <w:bottom w:val="nil"/>
                      <w:right w:val="nil"/>
                      <w:between w:val="nil"/>
                    </w:pBdr>
                    <w:spacing w:line="276" w:lineRule="auto"/>
                    <w:ind w:left="0" w:hanging="2"/>
                    <w:rPr>
                      <w:rFonts w:ascii="Arial Narrow" w:eastAsia="Arial Narrow" w:hAnsi="Arial Narrow" w:cs="Arial Narrow"/>
                      <w:color w:val="000000"/>
                      <w:sz w:val="16"/>
                      <w:szCs w:val="16"/>
                    </w:rPr>
                  </w:pPr>
                </w:p>
              </w:tc>
              <w:tc>
                <w:tcPr>
                  <w:tcW w:w="1905" w:type="dxa"/>
                  <w:vMerge/>
                  <w:tcBorders>
                    <w:top w:val="nil"/>
                    <w:left w:val="single" w:sz="8" w:space="0" w:color="000000"/>
                    <w:bottom w:val="single" w:sz="8" w:space="0" w:color="000000"/>
                    <w:right w:val="single" w:sz="8" w:space="0" w:color="000000"/>
                  </w:tcBorders>
                  <w:vAlign w:val="center"/>
                </w:tcPr>
                <w:p w:rsidR="009D49F2" w:rsidRDefault="009D49F2" w:rsidP="0027454F">
                  <w:pPr>
                    <w:widowControl w:val="0"/>
                    <w:pBdr>
                      <w:top w:val="nil"/>
                      <w:left w:val="nil"/>
                      <w:bottom w:val="nil"/>
                      <w:right w:val="nil"/>
                      <w:between w:val="nil"/>
                    </w:pBdr>
                    <w:spacing w:line="276" w:lineRule="auto"/>
                    <w:ind w:left="0" w:hanging="2"/>
                    <w:rPr>
                      <w:rFonts w:ascii="Arial Narrow" w:eastAsia="Arial Narrow" w:hAnsi="Arial Narrow" w:cs="Arial Narrow"/>
                      <w:color w:val="000000"/>
                      <w:sz w:val="16"/>
                      <w:szCs w:val="16"/>
                    </w:rPr>
                  </w:pPr>
                </w:p>
              </w:tc>
            </w:tr>
            <w:tr w:rsidR="009D49F2" w:rsidTr="0027454F">
              <w:trPr>
                <w:trHeight w:val="300"/>
              </w:trPr>
              <w:tc>
                <w:tcPr>
                  <w:tcW w:w="1555" w:type="dxa"/>
                  <w:tcBorders>
                    <w:top w:val="nil"/>
                    <w:left w:val="single" w:sz="8" w:space="0" w:color="000000"/>
                    <w:bottom w:val="single" w:sz="8" w:space="0" w:color="000000"/>
                    <w:right w:val="single" w:sz="8" w:space="0" w:color="000000"/>
                  </w:tcBorders>
                  <w:vAlign w:val="center"/>
                </w:tcPr>
                <w:p w:rsidR="009D49F2" w:rsidRDefault="009D49F2" w:rsidP="0027454F">
                  <w:pPr>
                    <w:ind w:left="0" w:hanging="2"/>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Costes directos asociados***</w:t>
                  </w:r>
                </w:p>
              </w:tc>
              <w:tc>
                <w:tcPr>
                  <w:tcW w:w="1417" w:type="dxa"/>
                  <w:tcBorders>
                    <w:top w:val="nil"/>
                    <w:left w:val="nil"/>
                    <w:bottom w:val="single" w:sz="8" w:space="0" w:color="000000"/>
                    <w:right w:val="single" w:sz="8" w:space="0" w:color="000000"/>
                  </w:tcBorders>
                  <w:vAlign w:val="center"/>
                </w:tcPr>
                <w:p w:rsidR="009D49F2" w:rsidRDefault="009D49F2" w:rsidP="0027454F">
                  <w:pPr>
                    <w:ind w:left="0" w:hanging="2"/>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No procede</w:t>
                  </w:r>
                </w:p>
              </w:tc>
              <w:tc>
                <w:tcPr>
                  <w:tcW w:w="1418" w:type="dxa"/>
                  <w:tcBorders>
                    <w:top w:val="nil"/>
                    <w:left w:val="nil"/>
                    <w:bottom w:val="single" w:sz="8" w:space="0" w:color="000000"/>
                    <w:right w:val="single" w:sz="8" w:space="0" w:color="000000"/>
                  </w:tcBorders>
                  <w:vAlign w:val="center"/>
                </w:tcPr>
                <w:p w:rsidR="009D49F2" w:rsidRDefault="009D49F2" w:rsidP="0027454F">
                  <w:pPr>
                    <w:ind w:left="0" w:hanging="2"/>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No procede</w:t>
                  </w:r>
                </w:p>
              </w:tc>
              <w:tc>
                <w:tcPr>
                  <w:tcW w:w="1558" w:type="dxa"/>
                  <w:tcBorders>
                    <w:top w:val="nil"/>
                    <w:left w:val="nil"/>
                    <w:bottom w:val="single" w:sz="8" w:space="0" w:color="000000"/>
                    <w:right w:val="single" w:sz="8" w:space="0" w:color="000000"/>
                  </w:tcBorders>
                  <w:vAlign w:val="center"/>
                </w:tcPr>
                <w:p w:rsidR="009D49F2" w:rsidRDefault="009D49F2" w:rsidP="0027454F">
                  <w:pPr>
                    <w:ind w:left="0" w:hanging="2"/>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No procede</w:t>
                  </w:r>
                </w:p>
              </w:tc>
              <w:tc>
                <w:tcPr>
                  <w:tcW w:w="1905" w:type="dxa"/>
                  <w:tcBorders>
                    <w:top w:val="nil"/>
                    <w:left w:val="nil"/>
                    <w:bottom w:val="single" w:sz="8" w:space="0" w:color="000000"/>
                    <w:right w:val="single" w:sz="8" w:space="0" w:color="000000"/>
                  </w:tcBorders>
                  <w:vAlign w:val="center"/>
                </w:tcPr>
                <w:p w:rsidR="009D49F2" w:rsidRDefault="009D49F2" w:rsidP="0027454F">
                  <w:pPr>
                    <w:ind w:left="0" w:hanging="2"/>
                    <w:jc w:val="both"/>
                    <w:rPr>
                      <w:rFonts w:ascii="Arial Narrow" w:eastAsia="Arial Narrow" w:hAnsi="Arial Narrow" w:cs="Arial Narrow"/>
                      <w:color w:val="000000"/>
                      <w:sz w:val="16"/>
                      <w:szCs w:val="16"/>
                    </w:rPr>
                  </w:pPr>
                </w:p>
              </w:tc>
            </w:tr>
            <w:tr w:rsidR="009D49F2" w:rsidTr="0027454F">
              <w:trPr>
                <w:cantSplit/>
                <w:trHeight w:val="290"/>
              </w:trPr>
              <w:tc>
                <w:tcPr>
                  <w:tcW w:w="1555" w:type="dxa"/>
                  <w:tcBorders>
                    <w:top w:val="nil"/>
                    <w:left w:val="single" w:sz="8" w:space="0" w:color="000000"/>
                    <w:bottom w:val="nil"/>
                    <w:right w:val="single" w:sz="8" w:space="0" w:color="000000"/>
                  </w:tcBorders>
                  <w:vAlign w:val="center"/>
                </w:tcPr>
                <w:p w:rsidR="009D49F2" w:rsidRDefault="009D49F2" w:rsidP="0027454F">
                  <w:pPr>
                    <w:ind w:left="0" w:hanging="2"/>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Coste global</w:t>
                  </w:r>
                  <w:r>
                    <w:rPr>
                      <w:rFonts w:ascii="Arial Narrow" w:eastAsia="Arial Narrow" w:hAnsi="Arial Narrow" w:cs="Arial Narrow"/>
                      <w:color w:val="000000"/>
                      <w:sz w:val="16"/>
                      <w:szCs w:val="16"/>
                    </w:rPr>
                    <w:t>**** o coste global tratamiento/año</w:t>
                  </w:r>
                </w:p>
              </w:tc>
              <w:tc>
                <w:tcPr>
                  <w:tcW w:w="1417" w:type="dxa"/>
                  <w:vMerge w:val="restart"/>
                  <w:tcBorders>
                    <w:top w:val="nil"/>
                    <w:left w:val="single" w:sz="8" w:space="0" w:color="000000"/>
                    <w:bottom w:val="single" w:sz="8" w:space="0" w:color="000000"/>
                    <w:right w:val="single" w:sz="8" w:space="0" w:color="000000"/>
                  </w:tcBorders>
                  <w:vAlign w:val="center"/>
                </w:tcPr>
                <w:p w:rsidR="009D49F2" w:rsidRDefault="009D49F2" w:rsidP="0027454F">
                  <w:pPr>
                    <w:ind w:left="0" w:hanging="2"/>
                    <w:jc w:val="both"/>
                    <w:rPr>
                      <w:rFonts w:ascii="Arial Narrow" w:eastAsia="Arial Narrow" w:hAnsi="Arial Narrow" w:cs="Arial Narrow"/>
                      <w:color w:val="000000"/>
                      <w:sz w:val="16"/>
                      <w:szCs w:val="16"/>
                    </w:rPr>
                  </w:pPr>
                  <w:r>
                    <w:rPr>
                      <w:rFonts w:ascii="Arial Narrow" w:eastAsia="Arial Narrow" w:hAnsi="Arial Narrow" w:cs="Arial Narrow"/>
                      <w:color w:val="FF0000"/>
                      <w:sz w:val="16"/>
                      <w:szCs w:val="16"/>
                    </w:rPr>
                    <w:t>43 026,2 € /año</w:t>
                  </w:r>
                </w:p>
              </w:tc>
              <w:tc>
                <w:tcPr>
                  <w:tcW w:w="1418" w:type="dxa"/>
                  <w:tcBorders>
                    <w:top w:val="nil"/>
                    <w:left w:val="nil"/>
                    <w:bottom w:val="nil"/>
                    <w:right w:val="single" w:sz="8" w:space="0" w:color="000000"/>
                  </w:tcBorders>
                  <w:vAlign w:val="center"/>
                </w:tcPr>
                <w:p w:rsidR="009D49F2" w:rsidRDefault="009D49F2" w:rsidP="0027454F">
                  <w:pPr>
                    <w:ind w:left="0" w:hanging="2"/>
                    <w:rPr>
                      <w:rFonts w:ascii="Arial Narrow" w:eastAsia="Arial Narrow" w:hAnsi="Arial Narrow" w:cs="Arial Narrow"/>
                      <w:color w:val="000000"/>
                      <w:sz w:val="16"/>
                      <w:szCs w:val="16"/>
                    </w:rPr>
                  </w:pPr>
                  <w:r>
                    <w:rPr>
                      <w:rFonts w:ascii="Arial Narrow" w:eastAsia="Arial Narrow" w:hAnsi="Arial Narrow" w:cs="Arial Narrow"/>
                      <w:color w:val="FF0000"/>
                      <w:sz w:val="16"/>
                      <w:szCs w:val="16"/>
                    </w:rPr>
                    <w:t>43 026,2 € /año</w:t>
                  </w:r>
                </w:p>
              </w:tc>
              <w:tc>
                <w:tcPr>
                  <w:tcW w:w="1558" w:type="dxa"/>
                  <w:vMerge w:val="restart"/>
                  <w:tcBorders>
                    <w:top w:val="nil"/>
                    <w:left w:val="single" w:sz="8" w:space="0" w:color="000000"/>
                    <w:bottom w:val="single" w:sz="8" w:space="0" w:color="000000"/>
                    <w:right w:val="single" w:sz="8" w:space="0" w:color="000000"/>
                  </w:tcBorders>
                  <w:vAlign w:val="center"/>
                </w:tcPr>
                <w:p w:rsidR="009D49F2" w:rsidRDefault="009D49F2" w:rsidP="0027454F">
                  <w:pPr>
                    <w:ind w:left="0" w:hanging="2"/>
                    <w:jc w:val="both"/>
                    <w:rPr>
                      <w:rFonts w:ascii="Arial Narrow" w:eastAsia="Arial Narrow" w:hAnsi="Arial Narrow" w:cs="Arial Narrow"/>
                      <w:color w:val="000000"/>
                      <w:sz w:val="16"/>
                      <w:szCs w:val="16"/>
                    </w:rPr>
                  </w:pPr>
                  <w:r>
                    <w:rPr>
                      <w:rFonts w:ascii="Arial Narrow" w:eastAsia="Arial Narrow" w:hAnsi="Arial Narrow" w:cs="Arial Narrow"/>
                      <w:color w:val="FF0000"/>
                      <w:sz w:val="16"/>
                      <w:szCs w:val="16"/>
                    </w:rPr>
                    <w:t>43 026,2 € /año</w:t>
                  </w:r>
                </w:p>
              </w:tc>
              <w:tc>
                <w:tcPr>
                  <w:tcW w:w="1905" w:type="dxa"/>
                  <w:vMerge w:val="restart"/>
                  <w:tcBorders>
                    <w:top w:val="nil"/>
                    <w:left w:val="single" w:sz="8" w:space="0" w:color="000000"/>
                    <w:bottom w:val="single" w:sz="8" w:space="0" w:color="000000"/>
                    <w:right w:val="single" w:sz="8" w:space="0" w:color="000000"/>
                  </w:tcBorders>
                  <w:vAlign w:val="center"/>
                </w:tcPr>
                <w:p w:rsidR="009D49F2" w:rsidRDefault="009D49F2" w:rsidP="0027454F">
                  <w:pPr>
                    <w:ind w:left="0" w:hanging="2"/>
                    <w:jc w:val="both"/>
                    <w:rPr>
                      <w:rFonts w:ascii="Arial Narrow" w:eastAsia="Arial Narrow" w:hAnsi="Arial Narrow" w:cs="Arial Narrow"/>
                      <w:color w:val="000000"/>
                      <w:sz w:val="16"/>
                      <w:szCs w:val="16"/>
                    </w:rPr>
                  </w:pPr>
                </w:p>
              </w:tc>
            </w:tr>
            <w:tr w:rsidR="009D49F2" w:rsidTr="0027454F">
              <w:trPr>
                <w:cantSplit/>
                <w:trHeight w:val="30"/>
              </w:trPr>
              <w:tc>
                <w:tcPr>
                  <w:tcW w:w="1555" w:type="dxa"/>
                  <w:tcBorders>
                    <w:top w:val="nil"/>
                    <w:left w:val="single" w:sz="8" w:space="0" w:color="000000"/>
                    <w:bottom w:val="single" w:sz="8" w:space="0" w:color="000000"/>
                    <w:right w:val="single" w:sz="8" w:space="0" w:color="000000"/>
                  </w:tcBorders>
                  <w:vAlign w:val="center"/>
                </w:tcPr>
                <w:p w:rsidR="009D49F2" w:rsidRDefault="009D49F2" w:rsidP="0027454F">
                  <w:pPr>
                    <w:ind w:left="0" w:hanging="2"/>
                    <w:rPr>
                      <w:rFonts w:ascii="Arial Narrow" w:eastAsia="Arial Narrow" w:hAnsi="Arial Narrow" w:cs="Arial Narrow"/>
                      <w:color w:val="000000"/>
                      <w:sz w:val="16"/>
                      <w:szCs w:val="16"/>
                    </w:rPr>
                  </w:pPr>
                </w:p>
              </w:tc>
              <w:tc>
                <w:tcPr>
                  <w:tcW w:w="1417" w:type="dxa"/>
                  <w:vMerge/>
                  <w:tcBorders>
                    <w:top w:val="nil"/>
                    <w:left w:val="single" w:sz="8" w:space="0" w:color="000000"/>
                    <w:bottom w:val="single" w:sz="8" w:space="0" w:color="000000"/>
                    <w:right w:val="single" w:sz="8" w:space="0" w:color="000000"/>
                  </w:tcBorders>
                  <w:vAlign w:val="center"/>
                </w:tcPr>
                <w:p w:rsidR="009D49F2" w:rsidRDefault="009D49F2" w:rsidP="0027454F">
                  <w:pPr>
                    <w:widowControl w:val="0"/>
                    <w:pBdr>
                      <w:top w:val="nil"/>
                      <w:left w:val="nil"/>
                      <w:bottom w:val="nil"/>
                      <w:right w:val="nil"/>
                      <w:between w:val="nil"/>
                    </w:pBdr>
                    <w:spacing w:line="276" w:lineRule="auto"/>
                    <w:ind w:left="0" w:hanging="2"/>
                    <w:rPr>
                      <w:rFonts w:ascii="Arial Narrow" w:eastAsia="Arial Narrow" w:hAnsi="Arial Narrow" w:cs="Arial Narrow"/>
                      <w:color w:val="000000"/>
                      <w:sz w:val="16"/>
                      <w:szCs w:val="16"/>
                    </w:rPr>
                  </w:pPr>
                </w:p>
              </w:tc>
              <w:tc>
                <w:tcPr>
                  <w:tcW w:w="1418" w:type="dxa"/>
                  <w:tcBorders>
                    <w:top w:val="nil"/>
                    <w:left w:val="nil"/>
                    <w:bottom w:val="single" w:sz="8" w:space="0" w:color="000000"/>
                    <w:right w:val="single" w:sz="8" w:space="0" w:color="000000"/>
                  </w:tcBorders>
                  <w:vAlign w:val="center"/>
                </w:tcPr>
                <w:p w:rsidR="009D49F2" w:rsidRDefault="009D49F2" w:rsidP="0027454F">
                  <w:pPr>
                    <w:ind w:left="0" w:hanging="2"/>
                    <w:rPr>
                      <w:rFonts w:ascii="Arial Narrow" w:eastAsia="Arial Narrow" w:hAnsi="Arial Narrow" w:cs="Arial Narrow"/>
                      <w:color w:val="FF0000"/>
                      <w:sz w:val="16"/>
                      <w:szCs w:val="16"/>
                    </w:rPr>
                  </w:pPr>
                </w:p>
              </w:tc>
              <w:tc>
                <w:tcPr>
                  <w:tcW w:w="1558" w:type="dxa"/>
                  <w:vMerge/>
                  <w:tcBorders>
                    <w:top w:val="nil"/>
                    <w:left w:val="single" w:sz="8" w:space="0" w:color="000000"/>
                    <w:bottom w:val="single" w:sz="8" w:space="0" w:color="000000"/>
                    <w:right w:val="single" w:sz="8" w:space="0" w:color="000000"/>
                  </w:tcBorders>
                  <w:vAlign w:val="center"/>
                </w:tcPr>
                <w:p w:rsidR="009D49F2" w:rsidRDefault="009D49F2" w:rsidP="0027454F">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16"/>
                      <w:szCs w:val="16"/>
                    </w:rPr>
                  </w:pPr>
                </w:p>
              </w:tc>
              <w:tc>
                <w:tcPr>
                  <w:tcW w:w="1905" w:type="dxa"/>
                  <w:vMerge/>
                  <w:tcBorders>
                    <w:top w:val="nil"/>
                    <w:left w:val="single" w:sz="8" w:space="0" w:color="000000"/>
                    <w:bottom w:val="single" w:sz="8" w:space="0" w:color="000000"/>
                    <w:right w:val="single" w:sz="8" w:space="0" w:color="000000"/>
                  </w:tcBorders>
                  <w:vAlign w:val="center"/>
                </w:tcPr>
                <w:p w:rsidR="009D49F2" w:rsidRDefault="009D49F2" w:rsidP="0027454F">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16"/>
                      <w:szCs w:val="16"/>
                    </w:rPr>
                  </w:pPr>
                </w:p>
              </w:tc>
            </w:tr>
          </w:tbl>
          <w:p w:rsidR="009D49F2" w:rsidRDefault="009D49F2" w:rsidP="0027454F">
            <w:pPr>
              <w:ind w:left="0" w:hanging="2"/>
              <w:jc w:val="both"/>
              <w:rPr>
                <w:rFonts w:ascii="Arial Narrow" w:eastAsia="Arial Narrow" w:hAnsi="Arial Narrow" w:cs="Arial Narrow"/>
                <w:color w:val="000080"/>
                <w:sz w:val="20"/>
                <w:szCs w:val="20"/>
              </w:rPr>
            </w:pPr>
          </w:p>
        </w:tc>
        <w:tc>
          <w:tcPr>
            <w:tcW w:w="5953"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Actualmente, los precios son los siguientes (consultando Nomenclátor a fecha 07/12/2022):</w:t>
            </w: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ENZALUTAMIDA</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PVL notificado del envase de 112 comprimidos (tras aplicar RDL 8/2010 e IVA) es de 3.052,74€. El PVL unitario queda en 27,26 €.</w:t>
            </w: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APALUTAMIDA</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PVL notificado del envase de 112 comprimidos (tras aplicar RDL 8/2010 e IVA) es de 3.052,74€. El PVL unitario queda en 27,26 €.</w:t>
            </w: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ABIRATERONA (genérico)</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PVL notificado del envase de 60 comprimidos es de 1.309,72€. El PVL unitario queda en 21,83 €.</w:t>
            </w: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DOCETAXEL</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El precio del vial (tras aplicar IVA) es de 182,92€.</w:t>
            </w: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No consideramos necesario rehacer todos los cálculos, pues la diferencia con el dato incluido en la tabla 10 es mínima, a excepción de </w:t>
            </w:r>
            <w:r w:rsidR="00E52F17">
              <w:rPr>
                <w:rFonts w:ascii="Arial Narrow" w:eastAsia="Arial Narrow" w:hAnsi="Arial Narrow" w:cs="Arial Narrow"/>
                <w:color w:val="000080"/>
                <w:sz w:val="20"/>
                <w:szCs w:val="20"/>
              </w:rPr>
              <w:t>abaratarona</w:t>
            </w:r>
            <w:r>
              <w:rPr>
                <w:rFonts w:ascii="Arial Narrow" w:eastAsia="Arial Narrow" w:hAnsi="Arial Narrow" w:cs="Arial Narrow"/>
                <w:color w:val="000080"/>
                <w:sz w:val="20"/>
                <w:szCs w:val="20"/>
              </w:rPr>
              <w:t xml:space="preserve">, que ya dispone de genérico. Se modifica la tabla con esta consideración. </w:t>
            </w:r>
          </w:p>
          <w:p w:rsidR="009D49F2" w:rsidRDefault="009D49F2" w:rsidP="0027454F">
            <w:pPr>
              <w:ind w:left="0" w:hanging="2"/>
              <w:jc w:val="both"/>
              <w:rPr>
                <w:rFonts w:ascii="Arial Narrow" w:eastAsia="Arial Narrow" w:hAnsi="Arial Narrow" w:cs="Arial Narrow"/>
                <w:color w:val="000080"/>
                <w:sz w:val="20"/>
                <w:szCs w:val="20"/>
              </w:rPr>
            </w:pP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Belén Corbacho</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HEOR Astellas Ph</w:t>
            </w:r>
          </w:p>
        </w:tc>
        <w:tc>
          <w:tcPr>
            <w:tcW w:w="8004"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Apartado 7.1 Costes. Coste incremental</w:t>
            </w:r>
          </w:p>
          <w:p w:rsidR="009D49F2" w:rsidRDefault="009D49F2" w:rsidP="0027454F">
            <w:pPr>
              <w:ind w:left="0" w:hanging="2"/>
              <w:jc w:val="both"/>
              <w:rPr>
                <w:rFonts w:ascii="Arial Narrow" w:eastAsia="Arial Narrow" w:hAnsi="Arial Narrow" w:cs="Arial Narrow"/>
                <w:color w:val="FF0000"/>
                <w:sz w:val="20"/>
                <w:szCs w:val="20"/>
              </w:rPr>
            </w:pPr>
            <w:r>
              <w:rPr>
                <w:rFonts w:ascii="Arial Narrow" w:eastAsia="Arial Narrow" w:hAnsi="Arial Narrow" w:cs="Arial Narrow"/>
                <w:b/>
                <w:color w:val="000080"/>
                <w:sz w:val="20"/>
                <w:szCs w:val="20"/>
              </w:rPr>
              <w:t xml:space="preserve">Tabla 11, Tabla 7.4.d.1, Tabla 7.5.1.2 </w:t>
            </w:r>
            <w:r>
              <w:rPr>
                <w:rFonts w:ascii="Arial Narrow" w:eastAsia="Arial Narrow" w:hAnsi="Arial Narrow" w:cs="Arial Narrow"/>
                <w:b/>
                <w:color w:val="FF0000"/>
                <w:sz w:val="20"/>
                <w:szCs w:val="20"/>
              </w:rPr>
              <w:t xml:space="preserve">, </w:t>
            </w:r>
            <w:r>
              <w:rPr>
                <w:rFonts w:ascii="Arial Narrow" w:eastAsia="Arial Narrow" w:hAnsi="Arial Narrow" w:cs="Arial Narrow"/>
                <w:b/>
                <w:color w:val="000080"/>
                <w:sz w:val="20"/>
                <w:szCs w:val="20"/>
              </w:rPr>
              <w:t>Apartado 9.1.B Área de conclusiones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Sugerencia</w:t>
            </w:r>
            <w:r>
              <w:rPr>
                <w:rFonts w:ascii="Arial Narrow" w:eastAsia="Arial Narrow" w:hAnsi="Arial Narrow" w:cs="Arial Narrow"/>
                <w:color w:val="000080"/>
                <w:sz w:val="20"/>
                <w:szCs w:val="20"/>
              </w:rPr>
              <w:t>: revisar las tablas anteriores y el área de conclusiones en base a los precios corregidos en la tabla 10</w:t>
            </w:r>
          </w:p>
        </w:tc>
        <w:tc>
          <w:tcPr>
            <w:tcW w:w="5953"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Ver respuesta a la alegación anterior.</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Belén Corbacho</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HEOR Astellas Ph</w:t>
            </w:r>
          </w:p>
        </w:tc>
        <w:tc>
          <w:tcPr>
            <w:tcW w:w="8004"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7.2.a Búsqueda de evaluaciones económicas publicadas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Comentario</w:t>
            </w:r>
            <w:r>
              <w:rPr>
                <w:rFonts w:ascii="Arial Narrow" w:eastAsia="Arial Narrow" w:hAnsi="Arial Narrow" w:cs="Arial Narrow"/>
                <w:color w:val="000080"/>
                <w:sz w:val="20"/>
                <w:szCs w:val="20"/>
              </w:rPr>
              <w:t xml:space="preserve">: en relación a la CADTH DRUG REIMBURSEMENT REVIEW, en las conclusiones se dice que “la combinación de apalutamida más TDA continuaba siendo dominada. Y también la combinación de abiraterona con TDA”. Esto último no sería del todo correcto. La CADTH considera que la combinación abiraterona más TDA es extensamente dominada (extendly dominated).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Sugerimos</w:t>
            </w:r>
            <w:r>
              <w:rPr>
                <w:rFonts w:ascii="Arial Narrow" w:eastAsia="Arial Narrow" w:hAnsi="Arial Narrow" w:cs="Arial Narrow"/>
                <w:color w:val="000080"/>
                <w:sz w:val="20"/>
                <w:szCs w:val="20"/>
              </w:rPr>
              <w:t xml:space="preserve"> corregir el texto para reflejar este principio de dominancia extendida, ya que tiene un significado diferente a la dominancia, y, por tanto, puede llevar a conclusiones erróneas en la toma de decisiones. El </w:t>
            </w:r>
            <w:r>
              <w:rPr>
                <w:rFonts w:ascii="Arial Narrow" w:eastAsia="Arial Narrow" w:hAnsi="Arial Narrow" w:cs="Arial Narrow"/>
                <w:color w:val="000080"/>
                <w:sz w:val="20"/>
                <w:szCs w:val="20"/>
              </w:rPr>
              <w:lastRenderedPageBreak/>
              <w:t xml:space="preserve">texto sugerido desde Astellas sería: “la combinación de apalutamida más TDA continuaba siendo dominada. Y la combinación de abiraterona más TDA extensamente dominada.” </w:t>
            </w: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FF0000"/>
                <w:sz w:val="20"/>
                <w:szCs w:val="20"/>
              </w:rPr>
            </w:pPr>
            <w:bookmarkStart w:id="68" w:name="_heading=h.4d34og8" w:colFirst="0" w:colLast="0"/>
            <w:bookmarkEnd w:id="68"/>
            <w:r>
              <w:rPr>
                <w:rFonts w:ascii="Arial Narrow" w:eastAsia="Arial Narrow" w:hAnsi="Arial Narrow" w:cs="Arial Narrow"/>
                <w:b/>
                <w:color w:val="000080"/>
                <w:sz w:val="20"/>
                <w:szCs w:val="20"/>
              </w:rPr>
              <w:t>Comentario</w:t>
            </w:r>
            <w:r>
              <w:rPr>
                <w:rFonts w:ascii="Arial Narrow" w:eastAsia="Arial Narrow" w:hAnsi="Arial Narrow" w:cs="Arial Narrow"/>
                <w:color w:val="000080"/>
                <w:sz w:val="20"/>
                <w:szCs w:val="20"/>
              </w:rPr>
              <w:t xml:space="preserve">: el estudio canadiense también destaca en su decisión que “no existe evidencia robusta para verificar qué fármacos (enzalutamida, otros TDAs o decetaxel) tienen una eficacia superior. Por tanto, concluyeron guiar la sección del tratamiento en base a los siguientes criterios adicionales: preferencias y valores de los pacientes, comorbilidades, perfiles de toxicidad y criterios de reembolso regionales. Es decir, la CADTH reconoce otros elementos de relevancia para facilitar la toma de decisiones. Así mismo, los resultados preliminares del estudio DECIDER </w:t>
            </w:r>
            <w:r>
              <w:rPr>
                <w:rFonts w:ascii="Arial Narrow" w:eastAsia="Arial Narrow" w:hAnsi="Arial Narrow" w:cs="Arial Narrow"/>
                <w:i/>
                <w:color w:val="000080"/>
                <w:sz w:val="20"/>
                <w:szCs w:val="20"/>
              </w:rPr>
              <w:t>(Discrete choice experiment in prostate cancer</w:t>
            </w:r>
            <w:r>
              <w:rPr>
                <w:rFonts w:ascii="Arial Narrow" w:eastAsia="Arial Narrow" w:hAnsi="Arial Narrow" w:cs="Arial Narrow"/>
                <w:color w:val="000080"/>
                <w:sz w:val="20"/>
                <w:szCs w:val="20"/>
              </w:rPr>
              <w:t xml:space="preserve">) publicados en ASCO 2022 (Abstract Number: 366890) apuntan en la misma línea, destacando que la eficacia junto con la conveniencia y la tolerabilidad son los aspectos más apreciados por estos pacientes a la hora de decidir su tratamiento; priorizando la eficacia a pesar de los efectos adversos asociados.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Sugerencia:</w:t>
            </w:r>
            <w:r>
              <w:rPr>
                <w:rFonts w:ascii="Arial Narrow" w:eastAsia="Arial Narrow" w:hAnsi="Arial Narrow" w:cs="Arial Narrow"/>
                <w:color w:val="000080"/>
                <w:sz w:val="20"/>
                <w:szCs w:val="20"/>
              </w:rPr>
              <w:t xml:space="preserve"> este aspecto debería mencionarse en el informe Génesis, ya que se trata de una conclusión relevante. </w:t>
            </w:r>
            <w:r>
              <w:rPr>
                <w:rFonts w:ascii="Arial Narrow" w:eastAsia="Arial Narrow" w:hAnsi="Arial Narrow" w:cs="Arial Narrow"/>
                <w:b/>
                <w:color w:val="00B050"/>
                <w:sz w:val="20"/>
                <w:szCs w:val="20"/>
              </w:rPr>
              <w:t>Ref.</w:t>
            </w:r>
            <w:r>
              <w:rPr>
                <w:rFonts w:ascii="Arial Narrow" w:eastAsia="Arial Narrow" w:hAnsi="Arial Narrow" w:cs="Arial Narrow"/>
                <w:color w:val="000080"/>
                <w:sz w:val="20"/>
                <w:szCs w:val="20"/>
              </w:rPr>
              <w:t xml:space="preserve"> </w:t>
            </w:r>
            <w:r>
              <w:rPr>
                <w:rFonts w:ascii="Arial Narrow" w:eastAsia="Arial Narrow" w:hAnsi="Arial Narrow" w:cs="Arial Narrow"/>
                <w:b/>
                <w:color w:val="00B050"/>
                <w:sz w:val="20"/>
                <w:szCs w:val="20"/>
              </w:rPr>
              <w:t>46</w:t>
            </w: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Comentario:</w:t>
            </w:r>
            <w:r>
              <w:rPr>
                <w:rFonts w:ascii="Arial Narrow" w:eastAsia="Arial Narrow" w:hAnsi="Arial Narrow" w:cs="Arial Narrow"/>
                <w:color w:val="000080"/>
                <w:sz w:val="20"/>
                <w:szCs w:val="20"/>
              </w:rPr>
              <w:t xml:space="preserve"> En cuento a los costes de tratamiento, el hecho de que enzalutamida sea la terapia más costosa en el modelo canadiense se debe en parte al mayor tiempo libre de progresión que proporciona enzalutamida, lo que conlleva una mayor duración del tratamiento en el estado de salud mCSPC, y a su vez más años de vida ganados. Algo que es favorable para el paciente.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Sugerencia:</w:t>
            </w:r>
            <w:r>
              <w:rPr>
                <w:rFonts w:ascii="Arial Narrow" w:eastAsia="Arial Narrow" w:hAnsi="Arial Narrow" w:cs="Arial Narrow"/>
                <w:color w:val="000080"/>
                <w:sz w:val="20"/>
                <w:szCs w:val="20"/>
              </w:rPr>
              <w:t xml:space="preserve"> añadir el texto “el hecho de que enzalutamida sea la terapia más costosa en el modelo canadiense, se debe en parte al mayor tiempo libre de progresión que proporciona enzalutamida, lo que conlleva una mayor duración del tratamiento en el estado de salud mCSPC, y a su vez, más años de vida ganados. Algo que juega en favor del paciente más allá de los costes”</w:t>
            </w:r>
          </w:p>
        </w:tc>
        <w:tc>
          <w:tcPr>
            <w:tcW w:w="5953"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Se añade esta consideración.</w:t>
            </w: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Se añade comentario</w:t>
            </w: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Según los resultados de la CADTH “Por lo que no puede concluirse que existan diferencias sustancialmente significativas en relación a la eficacia al comparar enzalutamida vs. apalutamida”. </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lastRenderedPageBreak/>
              <w:t>Marta Mateo Rodenas.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Oncology Lead.</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Astellas Ph.</w:t>
            </w:r>
          </w:p>
        </w:tc>
        <w:tc>
          <w:tcPr>
            <w:tcW w:w="8004"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7.2 Evaluaciones económicas publicadas. 7.2.a Búsqueda de evaluaciones económicas publicadas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 xml:space="preserve">Comentario: </w:t>
            </w:r>
            <w:r>
              <w:rPr>
                <w:rFonts w:ascii="Arial Narrow" w:eastAsia="Arial Narrow" w:hAnsi="Arial Narrow" w:cs="Arial Narrow"/>
                <w:color w:val="000080"/>
                <w:sz w:val="20"/>
                <w:szCs w:val="20"/>
              </w:rPr>
              <w:t>Recientemente se ha publicado</w:t>
            </w:r>
            <w:r>
              <w:rPr>
                <w:rFonts w:ascii="Arial Narrow" w:eastAsia="Arial Narrow" w:hAnsi="Arial Narrow" w:cs="Arial Narrow"/>
                <w:sz w:val="20"/>
                <w:szCs w:val="20"/>
              </w:rPr>
              <w:t xml:space="preserve"> </w:t>
            </w:r>
            <w:r>
              <w:rPr>
                <w:rFonts w:ascii="Arial Narrow" w:eastAsia="Arial Narrow" w:hAnsi="Arial Narrow" w:cs="Arial Narrow"/>
                <w:color w:val="000080"/>
                <w:sz w:val="20"/>
                <w:szCs w:val="20"/>
              </w:rPr>
              <w:t>en la revista Española de Economía de la Salud</w:t>
            </w:r>
            <w:r>
              <w:rPr>
                <w:rFonts w:ascii="Arial Narrow" w:eastAsia="Arial Narrow" w:hAnsi="Arial Narrow" w:cs="Arial Narrow"/>
                <w:b/>
                <w:color w:val="000080"/>
                <w:sz w:val="20"/>
                <w:szCs w:val="20"/>
              </w:rPr>
              <w:t xml:space="preserve"> </w:t>
            </w:r>
            <w:r>
              <w:rPr>
                <w:rFonts w:ascii="Arial Narrow" w:eastAsia="Arial Narrow" w:hAnsi="Arial Narrow" w:cs="Arial Narrow"/>
                <w:color w:val="000080"/>
                <w:sz w:val="20"/>
                <w:szCs w:val="20"/>
              </w:rPr>
              <w:t xml:space="preserve">el artículo </w:t>
            </w:r>
            <w:r>
              <w:rPr>
                <w:rFonts w:ascii="Arial Narrow" w:eastAsia="Arial Narrow" w:hAnsi="Arial Narrow" w:cs="Arial Narrow"/>
                <w:b/>
                <w:color w:val="000080"/>
                <w:sz w:val="20"/>
                <w:szCs w:val="20"/>
              </w:rPr>
              <w:t>Coste de los efectos adversos asociados a enzalutamida o apalutamida en el tratamiento del cáncer de próstata hormonosensible metastásico en España</w:t>
            </w:r>
            <w:r>
              <w:rPr>
                <w:rFonts w:ascii="Arial Narrow" w:eastAsia="Arial Narrow" w:hAnsi="Arial Narrow" w:cs="Arial Narrow"/>
                <w:color w:val="000080"/>
                <w:sz w:val="20"/>
                <w:szCs w:val="20"/>
              </w:rPr>
              <w:t>, a partir de los EA observados en los ensayos clínicos ARCHES y TITAN.</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El artículo concluye que el mejor perfil de seguridad del tratamiento con enzalutamida en comparación con apalutamida, tendría un impacto económico favorable sobre el presupuesto que el Sistema Nacional de Salud dedica al tratamiento de los pacientes con CPHSm, con un ahorro medio por paciente por encima de los mil euros.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2F5496"/>
                <w:sz w:val="20"/>
                <w:szCs w:val="20"/>
              </w:rPr>
              <w:t xml:space="preserve">Sugerimos incluirlo en este apartado. </w:t>
            </w:r>
            <w:r>
              <w:rPr>
                <w:rFonts w:ascii="Arial Narrow" w:eastAsia="Arial Narrow" w:hAnsi="Arial Narrow" w:cs="Arial Narrow"/>
                <w:b/>
                <w:color w:val="00B050"/>
                <w:sz w:val="20"/>
                <w:szCs w:val="20"/>
              </w:rPr>
              <w:t>Ref. 38</w:t>
            </w:r>
          </w:p>
        </w:tc>
        <w:tc>
          <w:tcPr>
            <w:tcW w:w="5953"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Se añade este estudio en el apartado de Evaluaciones económicas publicadas a pesar de haberse publicado tras finalizar el informe.</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Belén Corbacho</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lastRenderedPageBreak/>
              <w:t>HEOR Astellas Ph</w:t>
            </w:r>
          </w:p>
        </w:tc>
        <w:tc>
          <w:tcPr>
            <w:tcW w:w="8004"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lastRenderedPageBreak/>
              <w:t>7.3.2 Coste-efectividad. Estudios propios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lastRenderedPageBreak/>
              <w:t>Comentario</w:t>
            </w:r>
            <w:r>
              <w:rPr>
                <w:rFonts w:ascii="Arial Narrow" w:eastAsia="Arial Narrow" w:hAnsi="Arial Narrow" w:cs="Arial Narrow"/>
                <w:color w:val="000080"/>
                <w:sz w:val="20"/>
                <w:szCs w:val="20"/>
              </w:rPr>
              <w:t xml:space="preserve">: El informe menciona que “Ni en el estudio ARCHES ni ENZAMET se alcanzaron las medianas de SG ni SLP”. </w:t>
            </w:r>
            <w:r>
              <w:rPr>
                <w:rFonts w:ascii="Arial Narrow" w:eastAsia="Arial Narrow" w:hAnsi="Arial Narrow" w:cs="Arial Narrow"/>
                <w:b/>
                <w:color w:val="000080"/>
                <w:sz w:val="20"/>
                <w:szCs w:val="20"/>
              </w:rPr>
              <w:t>Sin embargo, la publicación de datos más maduros de los estudios ARCHES y ENZAMET contribuyen a reducir la incertidumbre del análisis coste-efectividad del CADTH</w:t>
            </w:r>
            <w:r>
              <w:rPr>
                <w:rFonts w:ascii="Arial Narrow" w:eastAsia="Arial Narrow" w:hAnsi="Arial Narrow" w:cs="Arial Narrow"/>
                <w:color w:val="000080"/>
                <w:sz w:val="20"/>
                <w:szCs w:val="20"/>
              </w:rPr>
              <w:t xml:space="preserve">. Por ejemplo, una de las razones claves por las que los AVAC disminuían en el modelo, era por la diminución en el efecto de tratamiento al asumir que tras el periodo de seguimiento se reduciría este efecto. El análisis final de ARCHES demuestra que la SG pasa de ser no estadísticamente significativa a ser estadísticamente significativa, lo cual, a su vez, modificaría la asunción del modelo inicial. Consideramos que esto es un aspecto relevante a tener en cuenta, ya que el modelo coste-efectividad de elaboración propia toma los AVACs del modelo canadiense. Por tanto, sugerimos mencionarlo explícitamente en el texto.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Sugerencia:</w:t>
            </w:r>
            <w:r>
              <w:rPr>
                <w:rFonts w:ascii="Arial Narrow" w:eastAsia="Arial Narrow" w:hAnsi="Arial Narrow" w:cs="Arial Narrow"/>
                <w:color w:val="000080"/>
                <w:sz w:val="20"/>
                <w:szCs w:val="20"/>
              </w:rPr>
              <w:t xml:space="preserve"> incluir la frase</w:t>
            </w:r>
            <w:r>
              <w:rPr>
                <w:rFonts w:ascii="Arial Narrow" w:eastAsia="Arial Narrow" w:hAnsi="Arial Narrow" w:cs="Arial Narrow"/>
                <w:b/>
                <w:color w:val="000080"/>
                <w:sz w:val="20"/>
                <w:szCs w:val="20"/>
              </w:rPr>
              <w:t xml:space="preserve"> “la publicación de datos más maduros de los estudios ARCHES y ENZAMET contribuirían a reducir la incertidumbre del análisis coste-efectividad del CADTH</w:t>
            </w:r>
            <w:r>
              <w:rPr>
                <w:rFonts w:ascii="Arial Narrow" w:eastAsia="Arial Narrow" w:hAnsi="Arial Narrow" w:cs="Arial Narrow"/>
                <w:color w:val="000080"/>
                <w:sz w:val="20"/>
                <w:szCs w:val="20"/>
              </w:rPr>
              <w:t xml:space="preserve">. Una de las razones claves por las que los AVAC disminuían en el modelo, era por la diminución en el efecto de tratamiento al asumir que tras el periodo de seguimiento se reduciría este efecto. El análisis final de ARCHES demuestra que la SG pasa de ser no estadísticamente significativa a ser estadísticamente significativa, lo cual, a su vez, modificaría la asunción del modelo inicial”. </w:t>
            </w: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Comentario:</w:t>
            </w:r>
            <w:r>
              <w:rPr>
                <w:rFonts w:ascii="Arial Narrow" w:eastAsia="Arial Narrow" w:hAnsi="Arial Narrow" w:cs="Arial Narrow"/>
                <w:color w:val="000080"/>
                <w:sz w:val="20"/>
                <w:szCs w:val="20"/>
              </w:rPr>
              <w:t xml:space="preserve"> se menciona que “no se dispone de los AVAC para la comparación con abiraterona ni apalutamida”. Pensamos que esto es una errata, ya que el modelo canadiense proporciona estos datos.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Sugerencia: eliminar la frase.</w:t>
            </w:r>
          </w:p>
        </w:tc>
        <w:tc>
          <w:tcPr>
            <w:tcW w:w="5953"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Se acepta.</w:t>
            </w: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No se ha localizado la información de los AVAC de enzalutamida en relación a abiraterona y enzalutamida en relación a apalutamida.</w:t>
            </w:r>
          </w:p>
          <w:p w:rsidR="009D49F2" w:rsidRDefault="009D49F2" w:rsidP="0027454F">
            <w:pPr>
              <w:ind w:left="0" w:hanging="2"/>
              <w:jc w:val="both"/>
              <w:rPr>
                <w:rFonts w:ascii="Arial Narrow" w:eastAsia="Arial Narrow" w:hAnsi="Arial Narrow" w:cs="Arial Narrow"/>
                <w:color w:val="000080"/>
                <w:sz w:val="20"/>
                <w:szCs w:val="20"/>
              </w:rPr>
            </w:pP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lastRenderedPageBreak/>
              <w:t>Marta Mateo Rodenas.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Oncology Lead.</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Astellas Ph.</w:t>
            </w:r>
          </w:p>
        </w:tc>
        <w:tc>
          <w:tcPr>
            <w:tcW w:w="8004"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 xml:space="preserve">8.1 Descripción de la conveniencia y 8.2 Influencia de la conveniencia en la efectividad del tratamiento.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Comentario/sugerencia</w:t>
            </w:r>
            <w:r>
              <w:rPr>
                <w:rFonts w:ascii="Arial Narrow" w:eastAsia="Arial Narrow" w:hAnsi="Arial Narrow" w:cs="Arial Narrow"/>
                <w:sz w:val="20"/>
                <w:szCs w:val="20"/>
              </w:rPr>
              <w:t xml:space="preserve">: </w:t>
            </w:r>
            <w:r>
              <w:rPr>
                <w:rFonts w:ascii="Arial Narrow" w:eastAsia="Arial Narrow" w:hAnsi="Arial Narrow" w:cs="Arial Narrow"/>
                <w:color w:val="000080"/>
                <w:sz w:val="20"/>
                <w:szCs w:val="20"/>
              </w:rPr>
              <w:t xml:space="preserve">No se han completado estos apartados y proponemos el siguiente texto basado en </w:t>
            </w:r>
            <w:r>
              <w:rPr>
                <w:rFonts w:ascii="Arial Narrow" w:eastAsia="Arial Narrow" w:hAnsi="Arial Narrow" w:cs="Arial Narrow"/>
                <w:b/>
                <w:color w:val="00B050"/>
                <w:sz w:val="20"/>
                <w:szCs w:val="20"/>
              </w:rPr>
              <w:t>Ref. 39, 40, 41</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8.1 Descripción de la conveniencia.</w:t>
            </w:r>
            <w:r>
              <w:rPr>
                <w:rFonts w:ascii="Arial Narrow" w:eastAsia="Arial Narrow" w:hAnsi="Arial Narrow" w:cs="Arial Narrow"/>
                <w:color w:val="000080"/>
                <w:sz w:val="20"/>
                <w:szCs w:val="20"/>
              </w:rPr>
              <w:t xml:space="preserve"> </w:t>
            </w:r>
          </w:p>
          <w:p w:rsidR="009D49F2" w:rsidRDefault="009D49F2" w:rsidP="0027454F">
            <w:pPr>
              <w:ind w:left="0" w:hanging="2"/>
              <w:jc w:val="both"/>
              <w:rPr>
                <w:rFonts w:ascii="Arial Narrow" w:eastAsia="Arial Narrow" w:hAnsi="Arial Narrow" w:cs="Arial Narrow"/>
                <w:color w:val="000080"/>
                <w:sz w:val="20"/>
                <w:szCs w:val="20"/>
                <w:u w:val="single"/>
              </w:rPr>
            </w:pPr>
            <w:r>
              <w:rPr>
                <w:rFonts w:ascii="Arial Narrow" w:eastAsia="Arial Narrow" w:hAnsi="Arial Narrow" w:cs="Arial Narrow"/>
                <w:color w:val="000080"/>
                <w:sz w:val="20"/>
                <w:szCs w:val="20"/>
              </w:rPr>
              <w:t>Como ventaja, enzalutamida puede administrarse con o sin alimentos, y a diferencia de abiraterona, no requiere la administración concomitante de corticoides, lo que reduce los posibles efectos adversos asociados</w:t>
            </w:r>
            <w:r>
              <w:rPr>
                <w:rFonts w:ascii="Arial Narrow" w:eastAsia="Arial Narrow" w:hAnsi="Arial Narrow" w:cs="Arial Narrow"/>
                <w:color w:val="000080"/>
                <w:sz w:val="20"/>
                <w:szCs w:val="20"/>
                <w:u w:val="single"/>
              </w:rPr>
              <w:t xml:space="preserve">.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8.2 Influencia de la conveniencia en la efectividad del tratamiento.</w:t>
            </w:r>
            <w:r>
              <w:rPr>
                <w:rFonts w:ascii="Arial Narrow" w:eastAsia="Arial Narrow" w:hAnsi="Arial Narrow" w:cs="Arial Narrow"/>
                <w:color w:val="000080"/>
                <w:sz w:val="20"/>
                <w:szCs w:val="20"/>
              </w:rPr>
              <w:t xml:space="preserve">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El menor tamaño de los comprimidos de enzalutamida podría facilitar la administración del fármaco, sobre todo en pacientes con dificultades de deglución. Esta diferencia podría tener un impacto en la adherencia y el cumplimiento del tratamiento.  </w:t>
            </w:r>
          </w:p>
        </w:tc>
        <w:tc>
          <w:tcPr>
            <w:tcW w:w="5953"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Se incluyen comentarios en las secciones mencionadas.</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Marta Mateo Rodenas.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lastRenderedPageBreak/>
              <w:t>Oncology Lead.</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Astellas Ph.</w:t>
            </w:r>
          </w:p>
        </w:tc>
        <w:tc>
          <w:tcPr>
            <w:tcW w:w="8004"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lastRenderedPageBreak/>
              <w:t>Apartado 9. AREA DE CONCLUSIONES. 9.1 Resumen de los aspectos más significativos respecto a la alternativa y propuestas. A) Aspectos clínico-terapéuticos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 xml:space="preserve">Comentario: </w:t>
            </w:r>
            <w:r>
              <w:rPr>
                <w:rFonts w:ascii="Arial Narrow" w:eastAsia="Arial Narrow" w:hAnsi="Arial Narrow" w:cs="Arial Narrow"/>
                <w:color w:val="000080"/>
                <w:sz w:val="20"/>
                <w:szCs w:val="20"/>
              </w:rPr>
              <w:t>En el 2º párrafo ENZAMET, se mencionan los resultados del primer análisis y sugerimos actualizar los datos de la SG del análisis final que se presentaron durante el congreso de ASCO 2022.</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lastRenderedPageBreak/>
              <w:t xml:space="preserve">Sugerimos </w:t>
            </w:r>
            <w:r>
              <w:rPr>
                <w:rFonts w:ascii="Arial Narrow" w:eastAsia="Arial Narrow" w:hAnsi="Arial Narrow" w:cs="Arial Narrow"/>
                <w:color w:val="000080"/>
                <w:sz w:val="20"/>
                <w:szCs w:val="20"/>
              </w:rPr>
              <w:t>actualizar la conclusión con los datos finales: “</w:t>
            </w:r>
            <w:r>
              <w:rPr>
                <w:rFonts w:ascii="Arial Narrow" w:eastAsia="Arial Narrow" w:hAnsi="Arial Narrow" w:cs="Arial Narrow"/>
                <w:b/>
                <w:color w:val="000080"/>
                <w:sz w:val="20"/>
                <w:szCs w:val="20"/>
              </w:rPr>
              <w:t>Con una mediana de seguimiento de 68 meses se observó un beneficio estadísticamente significativo en favor de enzalutamida con un HR de 0.70 (IC95% 0,58 a 0,84)</w:t>
            </w:r>
            <w:r>
              <w:rPr>
                <w:rFonts w:ascii="Arial Narrow" w:eastAsia="Arial Narrow" w:hAnsi="Arial Narrow" w:cs="Arial Narrow"/>
                <w:color w:val="000080"/>
                <w:sz w:val="20"/>
                <w:szCs w:val="20"/>
              </w:rPr>
              <w:t xml:space="preserve">” </w:t>
            </w:r>
            <w:r>
              <w:rPr>
                <w:rFonts w:ascii="Arial Narrow" w:eastAsia="Arial Narrow" w:hAnsi="Arial Narrow" w:cs="Arial Narrow"/>
                <w:b/>
                <w:color w:val="00B050"/>
                <w:sz w:val="20"/>
                <w:szCs w:val="20"/>
              </w:rPr>
              <w:t>Ref. 35</w:t>
            </w:r>
          </w:p>
        </w:tc>
        <w:tc>
          <w:tcPr>
            <w:tcW w:w="5953"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Se incluyen datos actualizados.</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lastRenderedPageBreak/>
              <w:t xml:space="preserve">Marta Mateo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Oncology Lead.</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Astellas Ph.</w:t>
            </w:r>
          </w:p>
        </w:tc>
        <w:tc>
          <w:tcPr>
            <w:tcW w:w="8004"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Apartado 4.3 Posología, forma de preparación y administración.</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Cometario:</w:t>
            </w:r>
            <w:r>
              <w:rPr>
                <w:rFonts w:ascii="Arial Narrow" w:eastAsia="Arial Narrow" w:hAnsi="Arial Narrow" w:cs="Arial Narrow"/>
                <w:color w:val="000080"/>
                <w:sz w:val="20"/>
                <w:szCs w:val="20"/>
              </w:rPr>
              <w:t xml:space="preserve"> la frase “Las cápsulas blandas no se deben masticar, disolver ni abrir, se deben tragar enteras con agua y se pueden tomar con o sin alimentos”.  Solo aplica a capsulas blandas, no a comprimidos.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Sugerimos</w:t>
            </w:r>
            <w:r>
              <w:rPr>
                <w:rFonts w:ascii="Arial Narrow" w:eastAsia="Arial Narrow" w:hAnsi="Arial Narrow" w:cs="Arial Narrow"/>
                <w:color w:val="000080"/>
                <w:sz w:val="20"/>
                <w:szCs w:val="20"/>
              </w:rPr>
              <w:t xml:space="preserve"> eliminar el comentario ya que las capsulas blandas ya no se comercializan.</w:t>
            </w:r>
          </w:p>
        </w:tc>
        <w:tc>
          <w:tcPr>
            <w:tcW w:w="5953"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Se acepta</w:t>
            </w:r>
          </w:p>
          <w:p w:rsidR="009D49F2" w:rsidRDefault="009D49F2" w:rsidP="0027454F">
            <w:pPr>
              <w:ind w:left="0" w:hanging="2"/>
              <w:rPr>
                <w:rFonts w:ascii="Arial Narrow" w:eastAsia="Arial Narrow" w:hAnsi="Arial Narrow" w:cs="Arial Narrow"/>
                <w:sz w:val="20"/>
                <w:szCs w:val="20"/>
              </w:rPr>
            </w:pP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Marta Mateo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Oncology Lead.</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Astellas Ph.</w:t>
            </w:r>
          </w:p>
        </w:tc>
        <w:tc>
          <w:tcPr>
            <w:tcW w:w="8004"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Apartado 4.5 Farmacocinética.</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 xml:space="preserve">Comentario:  </w:t>
            </w:r>
            <w:sdt>
              <w:sdtPr>
                <w:tag w:val="goog_rdk_0"/>
                <w:id w:val="-331138327"/>
              </w:sdtPr>
              <w:sdtEndPr/>
              <w:sdtContent>
                <w:r>
                  <w:rPr>
                    <w:rFonts w:ascii="Arial" w:eastAsia="Arial" w:hAnsi="Arial" w:cs="Arial"/>
                    <w:color w:val="000080"/>
                    <w:sz w:val="20"/>
                    <w:szCs w:val="20"/>
                  </w:rPr>
                  <w:t xml:space="preserve">La concentración plasmática para comprimidos no es la misma que para la de cápsulas. La frase “La concentración plasmática máxima (Cmáx) de enzalutamida en los pacientes se observa entre 1 y 2 horas después de la administración.” viene de la FT de Xtandi cápsulas. </w:t>
                </w:r>
              </w:sdtContent>
            </w:sdt>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Sugerencia:</w:t>
            </w:r>
            <w:r>
              <w:rPr>
                <w:rFonts w:ascii="Arial Narrow" w:eastAsia="Arial Narrow" w:hAnsi="Arial Narrow" w:cs="Arial Narrow"/>
                <w:color w:val="000080"/>
                <w:sz w:val="20"/>
                <w:szCs w:val="20"/>
              </w:rPr>
              <w:t xml:space="preserve"> Sustituir por “La mediana del tiempo hasta alcanzar las concentraciones plasmáticas máximas de enzalutamida es de 2 horas (intervalo de 0,5 a 6 horas)” de la FT de comprimidos. </w:t>
            </w:r>
            <w:r>
              <w:rPr>
                <w:rFonts w:ascii="Arial Narrow" w:eastAsia="Arial Narrow" w:hAnsi="Arial Narrow" w:cs="Arial Narrow"/>
                <w:b/>
                <w:color w:val="00B050"/>
                <w:sz w:val="20"/>
                <w:szCs w:val="20"/>
              </w:rPr>
              <w:t>Ref.42</w:t>
            </w:r>
          </w:p>
        </w:tc>
        <w:tc>
          <w:tcPr>
            <w:tcW w:w="5953"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Se acepta</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Marta Mateo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Oncology Lead.</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Astellas Ph.</w:t>
            </w:r>
          </w:p>
        </w:tc>
        <w:tc>
          <w:tcPr>
            <w:tcW w:w="8004"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Apartado 4.2 Indicaciones clínicas formalmente aprobadas y fecha de aprobación.</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 xml:space="preserve">Comentario: </w:t>
            </w:r>
            <w:r>
              <w:rPr>
                <w:rFonts w:ascii="Arial Narrow" w:eastAsia="Arial Narrow" w:hAnsi="Arial Narrow" w:cs="Arial Narrow"/>
                <w:color w:val="000080"/>
                <w:sz w:val="20"/>
                <w:szCs w:val="20"/>
              </w:rPr>
              <w:t>La FDA aprobó enzalutamida para el tratamiento del cáncer de próstata hormonosensible metastásico y el primer bullet entendemos que corresponde a CPRCnm</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Sugerencia en el apartado de la FDA:</w:t>
            </w:r>
            <w:r>
              <w:rPr>
                <w:rFonts w:ascii="Arial Narrow" w:eastAsia="Arial Narrow" w:hAnsi="Arial Narrow" w:cs="Arial Narrow"/>
                <w:color w:val="000080"/>
                <w:sz w:val="20"/>
                <w:szCs w:val="20"/>
              </w:rPr>
              <w:t xml:space="preserve"> </w:t>
            </w:r>
            <w:r>
              <w:rPr>
                <w:rFonts w:ascii="Arial Narrow" w:eastAsia="Arial Narrow" w:hAnsi="Arial Narrow" w:cs="Arial Narrow"/>
                <w:b/>
                <w:color w:val="000080"/>
                <w:sz w:val="20"/>
                <w:szCs w:val="20"/>
              </w:rPr>
              <w:t>Modificar</w:t>
            </w:r>
            <w:r>
              <w:rPr>
                <w:rFonts w:ascii="Arial Narrow" w:eastAsia="Arial Narrow" w:hAnsi="Arial Narrow" w:cs="Arial Narrow"/>
                <w:color w:val="000080"/>
                <w:sz w:val="20"/>
                <w:szCs w:val="20"/>
              </w:rPr>
              <w:t xml:space="preserve">: El tratamiento de pacientes con CPRCnm. Fecha aprobación: 13/07/2018. </w:t>
            </w:r>
            <w:r>
              <w:rPr>
                <w:rFonts w:ascii="Arial Narrow" w:eastAsia="Arial Narrow" w:hAnsi="Arial Narrow" w:cs="Arial Narrow"/>
                <w:b/>
                <w:color w:val="000080"/>
                <w:sz w:val="20"/>
                <w:szCs w:val="20"/>
              </w:rPr>
              <w:t>Añadir:</w:t>
            </w:r>
            <w:r>
              <w:rPr>
                <w:rFonts w:ascii="Arial Narrow" w:eastAsia="Arial Narrow" w:hAnsi="Arial Narrow" w:cs="Arial Narrow"/>
                <w:color w:val="000080"/>
                <w:sz w:val="20"/>
                <w:szCs w:val="20"/>
              </w:rPr>
              <w:t xml:space="preserve"> El tratamiento de pacientes con CPHSm. Fecha aprobación: 16/12/2019</w:t>
            </w:r>
          </w:p>
        </w:tc>
        <w:tc>
          <w:tcPr>
            <w:tcW w:w="5953"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Se acepta</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Marta Mateo Rodenas.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Oncology Lead.</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Astellas Ph.</w:t>
            </w:r>
          </w:p>
        </w:tc>
        <w:tc>
          <w:tcPr>
            <w:tcW w:w="8004"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Apartado 5.2.a Resultados de los ensayos clínicos. Figura 7 del EPAR. Estudio ENZAMET</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 xml:space="preserve">Comentario: </w:t>
            </w:r>
            <w:r>
              <w:rPr>
                <w:rFonts w:ascii="Arial Narrow" w:eastAsia="Arial Narrow" w:hAnsi="Arial Narrow" w:cs="Arial Narrow"/>
                <w:color w:val="000080"/>
                <w:sz w:val="20"/>
                <w:szCs w:val="20"/>
              </w:rPr>
              <w:t>La tabla 31 a pesar de estar extraída del EPAR de enzalutamida, no incluye los datos finales de los estudios ARCHES y ENZAMET.</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 xml:space="preserve">Sugerimos </w:t>
            </w:r>
            <w:r>
              <w:rPr>
                <w:rFonts w:ascii="Arial Narrow" w:eastAsia="Arial Narrow" w:hAnsi="Arial Narrow" w:cs="Arial Narrow"/>
                <w:color w:val="000080"/>
                <w:sz w:val="20"/>
                <w:szCs w:val="20"/>
              </w:rPr>
              <w:t xml:space="preserve">actualizar el link al EPAR con la última versión donde se incluyen los resultados del análisis final SG de ARCHES aunque se mantenga la tabla en el documento con los análisis interinos. </w:t>
            </w:r>
            <w:r>
              <w:rPr>
                <w:rFonts w:ascii="Arial Narrow" w:eastAsia="Arial Narrow" w:hAnsi="Arial Narrow" w:cs="Arial Narrow"/>
                <w:b/>
                <w:color w:val="00B050"/>
                <w:sz w:val="20"/>
                <w:szCs w:val="20"/>
              </w:rPr>
              <w:t>Ref.10 actualizada</w:t>
            </w:r>
          </w:p>
        </w:tc>
        <w:tc>
          <w:tcPr>
            <w:tcW w:w="5953"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Se incluyen datos actualizados de los ensayos.</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Marta Mateo Rodenas.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Oncology Lead.</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Astellas Ph.</w:t>
            </w:r>
          </w:p>
        </w:tc>
        <w:tc>
          <w:tcPr>
            <w:tcW w:w="8004"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Apartado 5.2.b Evaluación de la validez y de la utilidad práctica de los resultados.</w:t>
            </w:r>
            <w:r>
              <w:rPr>
                <w:rFonts w:ascii="Arial Narrow" w:eastAsia="Arial Narrow" w:hAnsi="Arial Narrow" w:cs="Arial Narrow"/>
                <w:sz w:val="20"/>
                <w:szCs w:val="20"/>
              </w:rPr>
              <w:t xml:space="preserve"> </w:t>
            </w:r>
            <w:r>
              <w:rPr>
                <w:rFonts w:ascii="Arial Narrow" w:eastAsia="Arial Narrow" w:hAnsi="Arial Narrow" w:cs="Arial Narrow"/>
                <w:b/>
                <w:color w:val="000080"/>
                <w:sz w:val="20"/>
                <w:szCs w:val="20"/>
              </w:rPr>
              <w:t>C. Relevancia clínica de los resultados. C.1 Valorar si la magnitud del efecto del tratamiento es de relevancia clínica. ARCHES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 xml:space="preserve">Comentario: </w:t>
            </w:r>
            <w:r>
              <w:rPr>
                <w:rFonts w:ascii="Arial Narrow" w:eastAsia="Arial Narrow" w:hAnsi="Arial Narrow" w:cs="Arial Narrow"/>
                <w:color w:val="000080"/>
                <w:sz w:val="20"/>
                <w:szCs w:val="20"/>
              </w:rPr>
              <w:t>Se menciona que</w:t>
            </w:r>
            <w:r>
              <w:rPr>
                <w:rFonts w:ascii="Arial Narrow" w:eastAsia="Arial Narrow" w:hAnsi="Arial Narrow" w:cs="Arial Narrow"/>
                <w:sz w:val="20"/>
                <w:szCs w:val="20"/>
              </w:rPr>
              <w:t xml:space="preserve"> “</w:t>
            </w:r>
            <w:r>
              <w:rPr>
                <w:rFonts w:ascii="Arial Narrow" w:eastAsia="Arial Narrow" w:hAnsi="Arial Narrow" w:cs="Arial Narrow"/>
                <w:color w:val="000080"/>
                <w:sz w:val="20"/>
                <w:szCs w:val="20"/>
              </w:rPr>
              <w:t>Según los resultados del ensayo ARCHES, la valoración por parte de la escala ESMO es una puntuación de tres puntos“ y nos gustaría matizar que ese resultado se debió a que la escala ESMO no utilizó los datos finales de ARCHES para la SG ya publicados.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Sugerimos</w:t>
            </w:r>
            <w:r>
              <w:rPr>
                <w:rFonts w:ascii="Arial Narrow" w:eastAsia="Arial Narrow" w:hAnsi="Arial Narrow" w:cs="Arial Narrow"/>
                <w:color w:val="000080"/>
                <w:sz w:val="20"/>
                <w:szCs w:val="20"/>
              </w:rPr>
              <w:t>: mencionarlo “la evaluación de enzalutamida en la escala ESMO se realizó cuando aún no se conocían los resultados finales del estudio ARCHES”</w:t>
            </w:r>
          </w:p>
        </w:tc>
        <w:tc>
          <w:tcPr>
            <w:tcW w:w="5953"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No se acepta. La valoración de la ESMO se hace con el resultado en SG de HR 0.66 (0.53-0.81), correspondientes al análisis final publicado (ver URL</w:t>
            </w:r>
            <w:r>
              <w:rPr>
                <w:rFonts w:ascii="Arial Narrow" w:eastAsia="Arial Narrow" w:hAnsi="Arial Narrow" w:cs="Arial Narrow"/>
                <w:sz w:val="20"/>
                <w:szCs w:val="20"/>
                <w:highlight w:val="white"/>
              </w:rPr>
              <w:t xml:space="preserve"> </w:t>
            </w:r>
            <w:hyperlink r:id="rId77">
              <w:r>
                <w:rPr>
                  <w:rFonts w:ascii="Arial Narrow" w:eastAsia="Arial Narrow" w:hAnsi="Arial Narrow" w:cs="Arial Narrow"/>
                  <w:color w:val="0000FF"/>
                  <w:sz w:val="20"/>
                  <w:szCs w:val="20"/>
                  <w:highlight w:val="white"/>
                  <w:u w:val="single"/>
                </w:rPr>
                <w:t>https://www.esmo.org/guidelines/esmo-mcbs/esmo-mcbs-scorecards/scorecard-269-1</w:t>
              </w:r>
            </w:hyperlink>
            <w:r>
              <w:rPr>
                <w:rFonts w:ascii="Arial Narrow" w:eastAsia="Arial Narrow" w:hAnsi="Arial Narrow" w:cs="Arial Narrow"/>
                <w:sz w:val="20"/>
                <w:szCs w:val="20"/>
                <w:highlight w:val="white"/>
              </w:rPr>
              <w:t>)</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lastRenderedPageBreak/>
              <w:t>Marta Mateo Rodenas.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Oncology Lead.</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Astellas Ph.</w:t>
            </w:r>
          </w:p>
        </w:tc>
        <w:tc>
          <w:tcPr>
            <w:tcW w:w="8004"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5.3.b.2 Comparaciones indirectas de elaboración propia. Alternativas Terapéuticas Equivalentes (ATEs)</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 xml:space="preserve">Comentario: </w:t>
            </w:r>
            <w:r>
              <w:rPr>
                <w:rFonts w:ascii="Arial Narrow" w:eastAsia="Arial Narrow" w:hAnsi="Arial Narrow" w:cs="Arial Narrow"/>
                <w:color w:val="000080"/>
                <w:sz w:val="20"/>
                <w:szCs w:val="20"/>
              </w:rPr>
              <w:t>Se comenta que se ha analizado la posibilidad de considerar enzalutamida, apalutamida y darolutamida como alternativas terapéuticas equivalentes, pero debe ser una errata para este documento ya que darolutamida no está aprobado en este escenario por la EMA.</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Sugerimos</w:t>
            </w:r>
            <w:r>
              <w:rPr>
                <w:rFonts w:ascii="Arial Narrow" w:eastAsia="Arial Narrow" w:hAnsi="Arial Narrow" w:cs="Arial Narrow"/>
                <w:color w:val="000080"/>
                <w:sz w:val="20"/>
                <w:szCs w:val="20"/>
              </w:rPr>
              <w:t xml:space="preserve"> quitar darolutamida.</w:t>
            </w:r>
          </w:p>
        </w:tc>
        <w:tc>
          <w:tcPr>
            <w:tcW w:w="5953"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Se modifica en el texto darolutamida por docetaxel, se trata de un error. </w:t>
            </w:r>
          </w:p>
        </w:tc>
      </w:tr>
      <w:tr w:rsidR="009D49F2" w:rsidTr="0027454F">
        <w:tc>
          <w:tcPr>
            <w:tcW w:w="1080"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 xml:space="preserve">Marta Mateo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Oncology Lead.</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Astellas Ph.</w:t>
            </w:r>
          </w:p>
        </w:tc>
        <w:tc>
          <w:tcPr>
            <w:tcW w:w="8004"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 xml:space="preserve">Apartado 6.2. Ensayos clínicos comparativos. Referencia: ENZAMET (11).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 xml:space="preserve">Comentario: </w:t>
            </w:r>
            <w:r>
              <w:rPr>
                <w:rFonts w:ascii="Arial Narrow" w:eastAsia="Arial Narrow" w:hAnsi="Arial Narrow" w:cs="Arial Narrow"/>
                <w:color w:val="000080"/>
                <w:sz w:val="20"/>
                <w:szCs w:val="20"/>
              </w:rPr>
              <w:t xml:space="preserve">En el estudio ENZAMET enzalutamida se compara con NSAA. </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color w:val="000080"/>
                <w:sz w:val="20"/>
                <w:szCs w:val="20"/>
              </w:rPr>
              <w:t>Sugerencia:</w:t>
            </w:r>
            <w:r>
              <w:rPr>
                <w:rFonts w:ascii="Arial Narrow" w:eastAsia="Arial Narrow" w:hAnsi="Arial Narrow" w:cs="Arial Narrow"/>
                <w:color w:val="000080"/>
                <w:sz w:val="20"/>
                <w:szCs w:val="20"/>
              </w:rPr>
              <w:t xml:space="preserve"> Actualizar en el título de la tabla y en la 3ª columna, placebo por NSAA. “Ensayo Fase III, abierto, aleatorizado, controlado con NSAA”.</w:t>
            </w:r>
          </w:p>
        </w:tc>
        <w:tc>
          <w:tcPr>
            <w:tcW w:w="5953" w:type="dxa"/>
          </w:tcPr>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Se acepta.</w:t>
            </w:r>
          </w:p>
        </w:tc>
      </w:tr>
    </w:tbl>
    <w:p w:rsidR="009D49F2" w:rsidRDefault="009D49F2" w:rsidP="009D49F2">
      <w:pPr>
        <w:ind w:left="0" w:hanging="2"/>
        <w:rPr>
          <w:rFonts w:ascii="Arial Narrow" w:eastAsia="Arial Narrow" w:hAnsi="Arial Narrow" w:cs="Arial Narrow"/>
          <w:sz w:val="20"/>
          <w:szCs w:val="20"/>
        </w:rPr>
      </w:pPr>
    </w:p>
    <w:p w:rsidR="009D49F2" w:rsidRDefault="009D49F2" w:rsidP="009D49F2">
      <w:pPr>
        <w:ind w:left="0" w:hanging="2"/>
        <w:rPr>
          <w:rFonts w:ascii="Arial Narrow" w:eastAsia="Arial Narrow" w:hAnsi="Arial Narrow" w:cs="Arial Narrow"/>
          <w:sz w:val="20"/>
          <w:szCs w:val="20"/>
        </w:rPr>
      </w:pPr>
      <w:r>
        <w:rPr>
          <w:rFonts w:ascii="Arial Narrow" w:eastAsia="Arial Narrow" w:hAnsi="Arial Narrow" w:cs="Arial Narrow"/>
          <w:b/>
          <w:sz w:val="20"/>
          <w:szCs w:val="20"/>
        </w:rPr>
        <w:t>BIBLIOGRAFÍA:</w:t>
      </w:r>
    </w:p>
    <w:p w:rsidR="009D49F2" w:rsidRPr="00174F4D" w:rsidRDefault="009D49F2" w:rsidP="009D49F2">
      <w:pPr>
        <w:ind w:left="0" w:hanging="2"/>
        <w:rPr>
          <w:rFonts w:ascii="Arial Narrow" w:eastAsia="Arial Narrow" w:hAnsi="Arial Narrow" w:cs="Arial Narrow"/>
          <w:sz w:val="20"/>
          <w:szCs w:val="20"/>
          <w:lang w:val="en-GB"/>
        </w:rPr>
      </w:pPr>
      <w:r w:rsidRPr="00174F4D">
        <w:rPr>
          <w:rFonts w:ascii="Arial Narrow" w:eastAsia="Arial Narrow" w:hAnsi="Arial Narrow" w:cs="Arial Narrow"/>
          <w:b/>
          <w:sz w:val="20"/>
          <w:szCs w:val="20"/>
          <w:lang w:val="en-GB"/>
        </w:rPr>
        <w:t>Actualizar Ref. 16</w:t>
      </w:r>
      <w:r w:rsidRPr="00174F4D">
        <w:rPr>
          <w:rFonts w:ascii="Arial Narrow" w:eastAsia="Arial Narrow" w:hAnsi="Arial Narrow" w:cs="Arial Narrow"/>
          <w:sz w:val="20"/>
          <w:szCs w:val="20"/>
          <w:lang w:val="en-GB"/>
        </w:rPr>
        <w:t xml:space="preserve"> Armstrong, A.J., et al.; Improved Survival With Enzalutamide in Patients With Metastatic Hormone-Sensitive Prostate Cancer. J Clin Oncol 2022 May 20;40(15): 1616-1622. doi: 10.1200/JCO.22.00193. Epub 2022 Apr 14. PMID: 35420921; PMCID: PMC9113211</w:t>
      </w:r>
    </w:p>
    <w:p w:rsidR="009D49F2" w:rsidRDefault="009D49F2" w:rsidP="009D49F2">
      <w:pPr>
        <w:ind w:left="0" w:hanging="2"/>
        <w:rPr>
          <w:rFonts w:ascii="Arial Narrow" w:eastAsia="Arial Narrow" w:hAnsi="Arial Narrow" w:cs="Arial Narrow"/>
          <w:sz w:val="20"/>
          <w:szCs w:val="20"/>
        </w:rPr>
      </w:pPr>
      <w:r>
        <w:rPr>
          <w:rFonts w:ascii="Arial Narrow" w:eastAsia="Arial Narrow" w:hAnsi="Arial Narrow" w:cs="Arial Narrow"/>
          <w:b/>
          <w:sz w:val="20"/>
          <w:szCs w:val="20"/>
        </w:rPr>
        <w:t>Actualizar Ref.10</w:t>
      </w:r>
      <w:r>
        <w:rPr>
          <w:rFonts w:ascii="Arial Narrow" w:eastAsia="Arial Narrow" w:hAnsi="Arial Narrow" w:cs="Arial Narrow"/>
          <w:sz w:val="20"/>
          <w:szCs w:val="20"/>
        </w:rPr>
        <w:t xml:space="preserve">. </w:t>
      </w:r>
      <w:hyperlink r:id="rId78">
        <w:r>
          <w:rPr>
            <w:rFonts w:ascii="Arial Narrow" w:eastAsia="Arial Narrow" w:hAnsi="Arial Narrow" w:cs="Arial Narrow"/>
            <w:color w:val="0000FF"/>
            <w:sz w:val="20"/>
            <w:szCs w:val="20"/>
            <w:u w:val="single"/>
          </w:rPr>
          <w:t>https://www.ema.europa.eu/en/documents/procedural-steps-after/xtandi-epar-procedural-steps-taken-scientific-information-after-authorisation_en.pdf</w:t>
        </w:r>
      </w:hyperlink>
    </w:p>
    <w:p w:rsidR="009D49F2" w:rsidRPr="009D49F2" w:rsidRDefault="009D49F2" w:rsidP="009D49F2">
      <w:pPr>
        <w:ind w:left="0" w:hanging="2"/>
        <w:rPr>
          <w:rFonts w:ascii="Arial Narrow" w:eastAsia="Arial Narrow" w:hAnsi="Arial Narrow" w:cs="Arial Narrow"/>
          <w:sz w:val="20"/>
          <w:szCs w:val="20"/>
          <w:lang w:val="en-GB"/>
        </w:rPr>
      </w:pPr>
      <w:r w:rsidRPr="009D49F2">
        <w:rPr>
          <w:rFonts w:ascii="Arial Narrow" w:eastAsia="Arial Narrow" w:hAnsi="Arial Narrow" w:cs="Arial Narrow"/>
          <w:sz w:val="20"/>
          <w:szCs w:val="20"/>
          <w:lang w:val="en-GB"/>
        </w:rPr>
        <w:t xml:space="preserve">34.  Stenzl, A. et al.; Effect of Enzalutamide plus Androgen Deprivation Therapy on Health-related Quality of Life in Patients with Metastatic Hormone-sensitive Prostate Cancer: An Analysis of the ARCHES Randomised, Placebo-controlled, Phase 3 Study. Eur Urol 2020 Oct;78(4):603-614. </w:t>
      </w:r>
    </w:p>
    <w:p w:rsidR="009D49F2" w:rsidRPr="009D49F2" w:rsidRDefault="009D49F2" w:rsidP="009D49F2">
      <w:pPr>
        <w:ind w:left="0" w:hanging="2"/>
        <w:rPr>
          <w:rFonts w:ascii="Arial Narrow" w:eastAsia="Arial Narrow" w:hAnsi="Arial Narrow" w:cs="Arial Narrow"/>
          <w:sz w:val="20"/>
          <w:szCs w:val="20"/>
          <w:lang w:val="en-GB"/>
        </w:rPr>
      </w:pPr>
      <w:r w:rsidRPr="009D49F2">
        <w:rPr>
          <w:rFonts w:ascii="Arial Narrow" w:eastAsia="Arial Narrow" w:hAnsi="Arial Narrow" w:cs="Arial Narrow"/>
          <w:sz w:val="20"/>
          <w:szCs w:val="20"/>
          <w:lang w:val="en-GB"/>
        </w:rPr>
        <w:t>35.  Abstract #5006 Presented by Ian Davis during the 2022 American Society of Clinical Oncology (ASCO) Annual Meeting, Chicago, IL, Fri, June 3 – Mon, June 7, 2022.</w:t>
      </w:r>
    </w:p>
    <w:p w:rsidR="009D49F2" w:rsidRPr="009D49F2" w:rsidRDefault="009D49F2" w:rsidP="009D49F2">
      <w:pPr>
        <w:ind w:left="0" w:hanging="2"/>
        <w:rPr>
          <w:rFonts w:ascii="Arial Narrow" w:eastAsia="Arial Narrow" w:hAnsi="Arial Narrow" w:cs="Arial Narrow"/>
          <w:sz w:val="20"/>
          <w:szCs w:val="20"/>
          <w:lang w:val="en-GB"/>
        </w:rPr>
      </w:pPr>
      <w:r w:rsidRPr="009D49F2">
        <w:rPr>
          <w:rFonts w:ascii="Arial Narrow" w:eastAsia="Arial Narrow" w:hAnsi="Arial Narrow" w:cs="Arial Narrow"/>
          <w:sz w:val="20"/>
          <w:szCs w:val="20"/>
          <w:lang w:val="en-GB"/>
        </w:rPr>
        <w:t>36.  Sydes, M.R. et al.; Adding abiraterone or docetaxel to long-term hormone therapy for prostate cancer: directly randomised data from the STAMPEDE multi-arm, multi-stage platform protocol. Ann Oncol 2018 May 1;29(5):1235-1248</w:t>
      </w:r>
    </w:p>
    <w:p w:rsidR="009D49F2" w:rsidRPr="00174F4D" w:rsidRDefault="009D49F2" w:rsidP="009D49F2">
      <w:pPr>
        <w:ind w:left="0" w:hanging="2"/>
        <w:rPr>
          <w:rFonts w:ascii="Arial Narrow" w:eastAsia="Arial Narrow" w:hAnsi="Arial Narrow" w:cs="Arial Narrow"/>
          <w:sz w:val="20"/>
          <w:szCs w:val="20"/>
          <w:lang w:val="en-GB"/>
        </w:rPr>
      </w:pPr>
      <w:r w:rsidRPr="009D49F2">
        <w:rPr>
          <w:rFonts w:ascii="Arial Narrow" w:eastAsia="Arial Narrow" w:hAnsi="Arial Narrow" w:cs="Arial Narrow"/>
          <w:sz w:val="20"/>
          <w:szCs w:val="20"/>
          <w:lang w:val="en-GB"/>
        </w:rPr>
        <w:t xml:space="preserve">37.  U. Swami et al. ASCO GU Feb 22, Abstract 183. </w:t>
      </w:r>
      <w:r w:rsidRPr="00174F4D">
        <w:rPr>
          <w:rFonts w:ascii="Arial Narrow" w:eastAsia="Arial Narrow" w:hAnsi="Arial Narrow" w:cs="Arial Narrow"/>
          <w:sz w:val="20"/>
          <w:szCs w:val="20"/>
          <w:lang w:val="en-GB"/>
        </w:rPr>
        <w:t>Underutilization of standard of care treatment intensification in patients with metastatic castration-sensitive prostate cancer by speciality,</w:t>
      </w:r>
    </w:p>
    <w:p w:rsidR="009D49F2" w:rsidRPr="009D49F2" w:rsidRDefault="009D49F2" w:rsidP="009D49F2">
      <w:pPr>
        <w:ind w:left="0" w:hanging="2"/>
        <w:rPr>
          <w:rFonts w:ascii="Arial Narrow" w:eastAsia="Arial Narrow" w:hAnsi="Arial Narrow" w:cs="Arial Narrow"/>
          <w:sz w:val="20"/>
          <w:szCs w:val="20"/>
          <w:lang w:val="en-GB"/>
        </w:rPr>
      </w:pPr>
      <w:r w:rsidRPr="009D49F2">
        <w:rPr>
          <w:rFonts w:ascii="Arial Narrow" w:eastAsia="Arial Narrow" w:hAnsi="Arial Narrow" w:cs="Arial Narrow"/>
          <w:sz w:val="20"/>
          <w:szCs w:val="20"/>
          <w:lang w:val="en-GB"/>
        </w:rPr>
        <w:t xml:space="preserve">38.  </w:t>
      </w:r>
      <w:hyperlink r:id="rId79">
        <w:r w:rsidRPr="009D49F2">
          <w:rPr>
            <w:rFonts w:ascii="Arial Narrow" w:eastAsia="Arial Narrow" w:hAnsi="Arial Narrow" w:cs="Arial Narrow"/>
            <w:color w:val="0000FF"/>
            <w:sz w:val="20"/>
            <w:szCs w:val="20"/>
            <w:u w:val="single"/>
            <w:lang w:val="en-GB"/>
          </w:rPr>
          <w:t>https://economiadelasalud.com/wp-content/uploads/2022/07/RevEspEconSalud.V17N3.47-56_Coste-EA-Enza-y-Apa-en-mHSPC.pdf</w:t>
        </w:r>
      </w:hyperlink>
    </w:p>
    <w:p w:rsidR="009D49F2" w:rsidRPr="009D49F2" w:rsidRDefault="009D49F2" w:rsidP="009D49F2">
      <w:pPr>
        <w:ind w:left="0" w:hanging="2"/>
        <w:rPr>
          <w:rFonts w:ascii="Arial Narrow" w:eastAsia="Arial Narrow" w:hAnsi="Arial Narrow" w:cs="Arial Narrow"/>
          <w:sz w:val="20"/>
          <w:szCs w:val="20"/>
          <w:lang w:val="en-GB"/>
        </w:rPr>
      </w:pPr>
      <w:r w:rsidRPr="009D49F2">
        <w:rPr>
          <w:rFonts w:ascii="Arial Narrow" w:eastAsia="Arial Narrow" w:hAnsi="Arial Narrow" w:cs="Arial Narrow"/>
          <w:sz w:val="20"/>
          <w:szCs w:val="20"/>
          <w:lang w:val="en-GB"/>
        </w:rPr>
        <w:t xml:space="preserve">39.  Fields J, Go JT, Schulze KS. </w:t>
      </w:r>
      <w:r w:rsidRPr="00174F4D">
        <w:rPr>
          <w:rFonts w:ascii="Arial Narrow" w:eastAsia="Arial Narrow" w:hAnsi="Arial Narrow" w:cs="Arial Narrow"/>
          <w:sz w:val="20"/>
          <w:szCs w:val="20"/>
          <w:lang w:val="en-GB"/>
        </w:rPr>
        <w:t xml:space="preserve">Pill Properties that Cause Dysphagia and Treatment Failure. </w:t>
      </w:r>
      <w:r w:rsidRPr="009D49F2">
        <w:rPr>
          <w:rFonts w:ascii="Arial Narrow" w:eastAsia="Arial Narrow" w:hAnsi="Arial Narrow" w:cs="Arial Narrow"/>
          <w:sz w:val="20"/>
          <w:szCs w:val="20"/>
          <w:lang w:val="en-GB"/>
        </w:rPr>
        <w:t xml:space="preserve">Curr Ther Res Clin Exp. 2015 Aug 20;77:79-82. </w:t>
      </w:r>
    </w:p>
    <w:p w:rsidR="009D49F2" w:rsidRPr="009D49F2" w:rsidRDefault="009D49F2" w:rsidP="009D49F2">
      <w:pPr>
        <w:ind w:left="0" w:hanging="2"/>
        <w:rPr>
          <w:rFonts w:ascii="Arial Narrow" w:eastAsia="Arial Narrow" w:hAnsi="Arial Narrow" w:cs="Arial Narrow"/>
          <w:sz w:val="20"/>
          <w:szCs w:val="20"/>
          <w:lang w:val="en-GB"/>
        </w:rPr>
      </w:pPr>
      <w:r w:rsidRPr="009D49F2">
        <w:rPr>
          <w:rFonts w:ascii="Arial Narrow" w:eastAsia="Arial Narrow" w:hAnsi="Arial Narrow" w:cs="Arial Narrow"/>
          <w:sz w:val="20"/>
          <w:szCs w:val="20"/>
          <w:lang w:val="en-GB"/>
        </w:rPr>
        <w:t xml:space="preserve">40.  Schiele JT, Quinzler R, Klimm HD, Pruszydlo MG, Haefeli WE. </w:t>
      </w:r>
      <w:r w:rsidRPr="00174F4D">
        <w:rPr>
          <w:rFonts w:ascii="Arial Narrow" w:eastAsia="Arial Narrow" w:hAnsi="Arial Narrow" w:cs="Arial Narrow"/>
          <w:sz w:val="20"/>
          <w:szCs w:val="20"/>
          <w:lang w:val="en-GB"/>
        </w:rPr>
        <w:t xml:space="preserve">Difficulties swallowing solid oral dosage forms in a general practice population: prevalence, causes, and relationship to dosage forms. </w:t>
      </w:r>
      <w:r w:rsidRPr="009D49F2">
        <w:rPr>
          <w:rFonts w:ascii="Arial Narrow" w:eastAsia="Arial Narrow" w:hAnsi="Arial Narrow" w:cs="Arial Narrow"/>
          <w:sz w:val="20"/>
          <w:szCs w:val="20"/>
          <w:lang w:val="en-GB"/>
        </w:rPr>
        <w:t xml:space="preserve">Eur J Clin Pharmacol. 2013 Apr;69(4):937-48. </w:t>
      </w:r>
    </w:p>
    <w:p w:rsidR="009D49F2" w:rsidRDefault="009D49F2" w:rsidP="009D49F2">
      <w:pPr>
        <w:ind w:left="0" w:hanging="2"/>
        <w:rPr>
          <w:rFonts w:ascii="Arial Narrow" w:eastAsia="Arial Narrow" w:hAnsi="Arial Narrow" w:cs="Arial Narrow"/>
          <w:sz w:val="20"/>
          <w:szCs w:val="20"/>
        </w:rPr>
      </w:pPr>
      <w:r w:rsidRPr="009D49F2">
        <w:rPr>
          <w:rFonts w:ascii="Arial Narrow" w:eastAsia="Arial Narrow" w:hAnsi="Arial Narrow" w:cs="Arial Narrow"/>
          <w:sz w:val="20"/>
          <w:szCs w:val="20"/>
          <w:lang w:val="en-GB"/>
        </w:rPr>
        <w:t xml:space="preserve">41.  Kawahara T, Ninomiya S, Miyoshi Y, Yao M, Uemura H. Changing the enzalutamide form from a capsule to a tablet improves the adherence of medicine intake: A case of a significant decrease in the prostate-specific antigen level and improvement in radiographic findings. </w:t>
      </w:r>
      <w:r>
        <w:rPr>
          <w:rFonts w:ascii="Arial Narrow" w:eastAsia="Arial Narrow" w:hAnsi="Arial Narrow" w:cs="Arial Narrow"/>
          <w:sz w:val="20"/>
          <w:szCs w:val="20"/>
        </w:rPr>
        <w:t xml:space="preserve">IJU Case Rep. 2019 Mar 18;2(3):143-145. </w:t>
      </w:r>
    </w:p>
    <w:p w:rsidR="009D49F2" w:rsidRDefault="009D49F2" w:rsidP="009D49F2">
      <w:pPr>
        <w:ind w:left="0" w:hanging="2"/>
        <w:rPr>
          <w:rFonts w:ascii="Arial Narrow" w:eastAsia="Arial Narrow" w:hAnsi="Arial Narrow" w:cs="Arial Narrow"/>
          <w:sz w:val="20"/>
          <w:szCs w:val="20"/>
        </w:rPr>
      </w:pPr>
      <w:r>
        <w:rPr>
          <w:rFonts w:ascii="Arial Narrow" w:eastAsia="Arial Narrow" w:hAnsi="Arial Narrow" w:cs="Arial Narrow"/>
          <w:sz w:val="20"/>
          <w:szCs w:val="20"/>
        </w:rPr>
        <w:t xml:space="preserve">42. Ficha técnica de enzalutamida: </w:t>
      </w:r>
      <w:hyperlink r:id="rId80">
        <w:r>
          <w:rPr>
            <w:rFonts w:ascii="Arial Narrow" w:eastAsia="Arial Narrow" w:hAnsi="Arial Narrow" w:cs="Arial Narrow"/>
            <w:color w:val="0000FF"/>
            <w:sz w:val="20"/>
            <w:szCs w:val="20"/>
            <w:u w:val="single"/>
          </w:rPr>
          <w:t>https://cima.aemps.es/cima/publico/detalle.html?nregistro=113846002</w:t>
        </w:r>
      </w:hyperlink>
    </w:p>
    <w:p w:rsidR="009D49F2" w:rsidRDefault="00883B7B" w:rsidP="009D49F2">
      <w:pPr>
        <w:ind w:left="0" w:hanging="2"/>
        <w:rPr>
          <w:rFonts w:ascii="Arial Narrow" w:eastAsia="Arial Narrow" w:hAnsi="Arial Narrow" w:cs="Arial Narrow"/>
          <w:sz w:val="20"/>
          <w:szCs w:val="20"/>
        </w:rPr>
      </w:pPr>
      <w:hyperlink r:id="rId81">
        <w:r w:rsidR="009D49F2">
          <w:rPr>
            <w:rFonts w:ascii="Arial Narrow" w:eastAsia="Arial Narrow" w:hAnsi="Arial Narrow" w:cs="Arial Narrow"/>
            <w:color w:val="0000FF"/>
            <w:sz w:val="20"/>
            <w:szCs w:val="20"/>
            <w:u w:val="single"/>
          </w:rPr>
          <w:t>https://cima.aemps.es/cima/fotos/full/formafarmac/113846002/113846002_formafarmac.jpg</w:t>
        </w:r>
      </w:hyperlink>
    </w:p>
    <w:p w:rsidR="009D49F2" w:rsidRDefault="009D49F2" w:rsidP="009D49F2">
      <w:pPr>
        <w:ind w:left="0" w:hanging="2"/>
        <w:rPr>
          <w:rFonts w:ascii="Arial Narrow" w:eastAsia="Arial Narrow" w:hAnsi="Arial Narrow" w:cs="Arial Narrow"/>
          <w:sz w:val="20"/>
          <w:szCs w:val="20"/>
        </w:rPr>
      </w:pPr>
      <w:r>
        <w:rPr>
          <w:rFonts w:ascii="Arial Narrow" w:eastAsia="Arial Narrow" w:hAnsi="Arial Narrow" w:cs="Arial Narrow"/>
          <w:sz w:val="20"/>
          <w:szCs w:val="20"/>
        </w:rPr>
        <w:t xml:space="preserve">43. Ficha técnica de apalutamida:  </w:t>
      </w:r>
      <w:hyperlink r:id="rId82" w:anchor="6-datos-farmac-uticos">
        <w:r>
          <w:rPr>
            <w:rFonts w:ascii="Arial Narrow" w:eastAsia="Arial Narrow" w:hAnsi="Arial Narrow" w:cs="Arial Narrow"/>
            <w:color w:val="0000FF"/>
            <w:sz w:val="20"/>
            <w:szCs w:val="20"/>
            <w:u w:val="single"/>
          </w:rPr>
          <w:t>https://cima.aemps.es/cima/dochtml/ft/1181342001/FT_1181342001.html#6-datos-farmac-uticos</w:t>
        </w:r>
      </w:hyperlink>
    </w:p>
    <w:p w:rsidR="009D49F2" w:rsidRDefault="009D49F2" w:rsidP="009D49F2">
      <w:pPr>
        <w:ind w:left="0" w:hanging="2"/>
        <w:rPr>
          <w:rFonts w:ascii="Arial Narrow" w:eastAsia="Arial Narrow" w:hAnsi="Arial Narrow" w:cs="Arial Narrow"/>
          <w:sz w:val="20"/>
          <w:szCs w:val="20"/>
        </w:rPr>
      </w:pPr>
      <w:r>
        <w:rPr>
          <w:rFonts w:ascii="Arial Narrow" w:eastAsia="Arial Narrow" w:hAnsi="Arial Narrow" w:cs="Arial Narrow"/>
          <w:sz w:val="20"/>
          <w:szCs w:val="20"/>
        </w:rPr>
        <w:t xml:space="preserve">44. Ficha técnica de abiraterona: </w:t>
      </w:r>
    </w:p>
    <w:p w:rsidR="009D49F2" w:rsidRDefault="00883B7B" w:rsidP="009D49F2">
      <w:pPr>
        <w:ind w:left="0" w:hanging="2"/>
        <w:rPr>
          <w:rFonts w:ascii="Arial Narrow" w:eastAsia="Arial Narrow" w:hAnsi="Arial Narrow" w:cs="Arial Narrow"/>
          <w:sz w:val="20"/>
          <w:szCs w:val="20"/>
        </w:rPr>
      </w:pPr>
      <w:hyperlink r:id="rId83">
        <w:r w:rsidR="009D49F2">
          <w:rPr>
            <w:rFonts w:ascii="Arial Narrow" w:eastAsia="Arial Narrow" w:hAnsi="Arial Narrow" w:cs="Arial Narrow"/>
            <w:color w:val="0000FF"/>
            <w:sz w:val="20"/>
            <w:szCs w:val="20"/>
            <w:u w:val="single"/>
          </w:rPr>
          <w:t>https://cima.aemps.es/cima/pdfs/ft/111714003/FT_111714003.pdf</w:t>
        </w:r>
      </w:hyperlink>
    </w:p>
    <w:p w:rsidR="009D49F2" w:rsidRDefault="009D49F2" w:rsidP="009D49F2">
      <w:pPr>
        <w:ind w:left="0" w:hanging="2"/>
        <w:rPr>
          <w:rFonts w:ascii="Arial Narrow" w:eastAsia="Arial Narrow" w:hAnsi="Arial Narrow" w:cs="Arial Narrow"/>
          <w:sz w:val="20"/>
          <w:szCs w:val="20"/>
        </w:rPr>
      </w:pPr>
      <w:r>
        <w:rPr>
          <w:rFonts w:ascii="Arial Narrow" w:eastAsia="Arial Narrow" w:hAnsi="Arial Narrow" w:cs="Arial Narrow"/>
          <w:sz w:val="20"/>
          <w:szCs w:val="20"/>
        </w:rPr>
        <w:t xml:space="preserve">45. Ficha técnica de docetaxel: </w:t>
      </w:r>
      <w:hyperlink r:id="rId84">
        <w:r>
          <w:rPr>
            <w:rFonts w:ascii="Arial Narrow" w:eastAsia="Arial Narrow" w:hAnsi="Arial Narrow" w:cs="Arial Narrow"/>
            <w:color w:val="0000FF"/>
            <w:sz w:val="20"/>
            <w:szCs w:val="20"/>
            <w:u w:val="single"/>
          </w:rPr>
          <w:t>https://cima.aemps.es/cima/dochtml/ft/71799/FT_71799.html</w:t>
        </w:r>
      </w:hyperlink>
    </w:p>
    <w:p w:rsidR="009D49F2" w:rsidRPr="00174F4D" w:rsidRDefault="009D49F2" w:rsidP="009D49F2">
      <w:pPr>
        <w:ind w:left="0" w:hanging="2"/>
        <w:rPr>
          <w:rFonts w:ascii="Arial Narrow" w:eastAsia="Arial Narrow" w:hAnsi="Arial Narrow" w:cs="Arial Narrow"/>
          <w:sz w:val="20"/>
          <w:szCs w:val="20"/>
          <w:lang w:val="en-GB"/>
        </w:rPr>
      </w:pPr>
      <w:r w:rsidRPr="00174F4D">
        <w:rPr>
          <w:rFonts w:ascii="Arial Narrow" w:eastAsia="Arial Narrow" w:hAnsi="Arial Narrow" w:cs="Arial Narrow"/>
          <w:sz w:val="20"/>
          <w:szCs w:val="20"/>
          <w:lang w:val="en-GB"/>
        </w:rPr>
        <w:lastRenderedPageBreak/>
        <w:t xml:space="preserve">46. George, D. J., Ganguli, A., Morgans, A. K., Tombal, B. F., Hotte, S. J., Suzuki, H., ... </w:t>
      </w:r>
      <w:r w:rsidRPr="009D49F2">
        <w:rPr>
          <w:rFonts w:ascii="Arial Narrow" w:eastAsia="Arial Narrow" w:hAnsi="Arial Narrow" w:cs="Arial Narrow"/>
          <w:sz w:val="20"/>
          <w:szCs w:val="20"/>
          <w:lang w:val="en-GB"/>
        </w:rPr>
        <w:t xml:space="preserve">&amp; Gonzalez, J. M. (ASCO 2022. </w:t>
      </w:r>
      <w:r w:rsidRPr="00174F4D">
        <w:rPr>
          <w:rFonts w:ascii="Arial Narrow" w:eastAsia="Arial Narrow" w:hAnsi="Arial Narrow" w:cs="Arial Narrow"/>
          <w:sz w:val="20"/>
          <w:szCs w:val="20"/>
          <w:lang w:val="en-GB"/>
        </w:rPr>
        <w:t>Abstract Number: 366890). Patient preferences for treatment and outcomes in hormone-sensitive prostate cancer (HSPC).</w:t>
      </w:r>
    </w:p>
    <w:p w:rsidR="009D49F2" w:rsidRPr="00174F4D" w:rsidRDefault="009D49F2" w:rsidP="009D49F2">
      <w:pPr>
        <w:ind w:left="0" w:hanging="2"/>
        <w:rPr>
          <w:lang w:val="en-GB"/>
        </w:rPr>
      </w:pPr>
    </w:p>
    <w:p w:rsidR="00F00D20" w:rsidRDefault="00F00D20">
      <w:pPr>
        <w:spacing w:line="240" w:lineRule="auto"/>
        <w:ind w:leftChars="0" w:firstLineChars="0"/>
        <w:textAlignment w:val="auto"/>
        <w:outlineLvl w:val="9"/>
        <w:rPr>
          <w:lang w:val="en-GB"/>
        </w:rPr>
      </w:pPr>
      <w:r>
        <w:rPr>
          <w:lang w:val="en-GB"/>
        </w:rPr>
        <w:br w:type="page"/>
      </w:r>
    </w:p>
    <w:p w:rsidR="00F00D20" w:rsidRPr="00AF2224" w:rsidRDefault="00F00D20" w:rsidP="00F00D20">
      <w:pPr>
        <w:ind w:left="0" w:hanging="2"/>
        <w:jc w:val="both"/>
        <w:rPr>
          <w:rFonts w:ascii="Arial" w:hAnsi="Arial" w:cs="Arial"/>
          <w:color w:val="000080"/>
          <w:sz w:val="20"/>
          <w:szCs w:val="20"/>
        </w:rPr>
      </w:pPr>
      <w:r w:rsidRPr="00AF2224">
        <w:rPr>
          <w:rFonts w:ascii="Arial" w:hAnsi="Arial" w:cs="Arial"/>
          <w:color w:val="000080"/>
          <w:sz w:val="20"/>
          <w:szCs w:val="20"/>
        </w:rPr>
        <w:lastRenderedPageBreak/>
        <w:t xml:space="preserve">Nombre persona que hace la alegación propuesta: </w:t>
      </w:r>
      <w:r>
        <w:rPr>
          <w:rFonts w:ascii="Arial" w:hAnsi="Arial" w:cs="Arial"/>
          <w:color w:val="000080"/>
          <w:sz w:val="20"/>
          <w:szCs w:val="20"/>
        </w:rPr>
        <w:t>JUAN FRANCISCO MARIN POZO</w:t>
      </w:r>
    </w:p>
    <w:p w:rsidR="00F00D20" w:rsidRPr="00AF2224" w:rsidRDefault="00F00D20" w:rsidP="00F00D20">
      <w:pPr>
        <w:ind w:left="0" w:hanging="2"/>
        <w:jc w:val="both"/>
        <w:rPr>
          <w:rFonts w:ascii="Arial" w:hAnsi="Arial" w:cs="Arial"/>
          <w:color w:val="000080"/>
          <w:sz w:val="20"/>
          <w:szCs w:val="20"/>
        </w:rPr>
      </w:pPr>
      <w:r w:rsidRPr="00AF2224">
        <w:rPr>
          <w:rFonts w:ascii="Arial" w:hAnsi="Arial" w:cs="Arial"/>
          <w:color w:val="000080"/>
          <w:sz w:val="20"/>
          <w:szCs w:val="20"/>
        </w:rPr>
        <w:t>Cargo que ocupa:</w:t>
      </w:r>
      <w:r>
        <w:rPr>
          <w:rFonts w:ascii="Arial" w:hAnsi="Arial" w:cs="Arial"/>
          <w:color w:val="000080"/>
          <w:sz w:val="20"/>
          <w:szCs w:val="20"/>
        </w:rPr>
        <w:t xml:space="preserve"> GEDEFO</w:t>
      </w:r>
    </w:p>
    <w:p w:rsidR="00F00D20" w:rsidRPr="00AF2224" w:rsidRDefault="00F00D20" w:rsidP="00F00D20">
      <w:pPr>
        <w:ind w:left="0" w:hanging="2"/>
        <w:jc w:val="both"/>
        <w:rPr>
          <w:rFonts w:ascii="Arial" w:hAnsi="Arial" w:cs="Arial"/>
          <w:color w:val="000080"/>
          <w:sz w:val="20"/>
          <w:szCs w:val="20"/>
        </w:rPr>
      </w:pPr>
      <w:r w:rsidRPr="00AF2224">
        <w:rPr>
          <w:rFonts w:ascii="Arial" w:hAnsi="Arial" w:cs="Arial"/>
          <w:color w:val="000080"/>
          <w:sz w:val="20"/>
          <w:szCs w:val="20"/>
        </w:rPr>
        <w:t xml:space="preserve">Centro, sociedad o empresa: </w:t>
      </w:r>
    </w:p>
    <w:p w:rsidR="00F00D20" w:rsidRDefault="00F00D20" w:rsidP="00F00D20">
      <w:pPr>
        <w:ind w:left="0" w:hanging="2"/>
        <w:jc w:val="both"/>
        <w:rPr>
          <w:rFonts w:ascii="Arial" w:hAnsi="Arial" w:cs="Arial"/>
          <w:color w:val="000080"/>
          <w:sz w:val="20"/>
          <w:szCs w:val="20"/>
        </w:rPr>
      </w:pPr>
      <w:r w:rsidRPr="00AF2224">
        <w:rPr>
          <w:rFonts w:ascii="Arial" w:hAnsi="Arial" w:cs="Arial"/>
          <w:color w:val="000080"/>
          <w:sz w:val="20"/>
          <w:szCs w:val="20"/>
        </w:rPr>
        <w:t>Teléfono de contacto:</w:t>
      </w:r>
    </w:p>
    <w:p w:rsidR="00F00D20" w:rsidRDefault="00F00D20" w:rsidP="00F00D20">
      <w:pPr>
        <w:ind w:left="0" w:hanging="2"/>
        <w:jc w:val="both"/>
        <w:rPr>
          <w:rFonts w:ascii="Arial" w:hAnsi="Arial" w:cs="Arial"/>
          <w:color w:val="000080"/>
          <w:sz w:val="20"/>
          <w:szCs w:val="20"/>
        </w:rPr>
      </w:pPr>
    </w:p>
    <w:p w:rsidR="00F00D20" w:rsidRDefault="00F00D20" w:rsidP="00F00D20">
      <w:pPr>
        <w:ind w:left="0" w:hanging="2"/>
        <w:jc w:val="both"/>
        <w:rPr>
          <w:rFonts w:ascii="Arial" w:hAnsi="Arial" w:cs="Arial"/>
          <w:b/>
          <w:bCs/>
          <w:sz w:val="20"/>
          <w:szCs w:val="20"/>
        </w:rPr>
      </w:pPr>
      <w:r>
        <w:rPr>
          <w:rFonts w:ascii="Arial" w:hAnsi="Arial" w:cs="Arial"/>
          <w:color w:val="000080"/>
          <w:sz w:val="20"/>
          <w:szCs w:val="20"/>
        </w:rPr>
        <w:t>FÁRMACO</w:t>
      </w:r>
      <w:r w:rsidRPr="009A50FF">
        <w:rPr>
          <w:rFonts w:ascii="Arial" w:hAnsi="Arial" w:cs="Arial"/>
          <w:color w:val="000080"/>
          <w:sz w:val="20"/>
          <w:szCs w:val="20"/>
        </w:rPr>
        <w:t xml:space="preserve">: </w:t>
      </w:r>
      <w:r>
        <w:rPr>
          <w:rFonts w:ascii="Arial" w:hAnsi="Arial" w:cs="Arial"/>
          <w:color w:val="000080"/>
          <w:sz w:val="20"/>
          <w:szCs w:val="20"/>
        </w:rPr>
        <w:t>ENZALUTAMIDA</w:t>
      </w:r>
    </w:p>
    <w:p w:rsidR="00F00D20" w:rsidRDefault="00F00D20" w:rsidP="00F00D20">
      <w:pPr>
        <w:ind w:left="0" w:hanging="2"/>
        <w:jc w:val="both"/>
        <w:rPr>
          <w:rFonts w:ascii="Arial" w:hAnsi="Arial" w:cs="Arial"/>
          <w:b/>
          <w:bCs/>
          <w:sz w:val="20"/>
          <w:szCs w:val="20"/>
        </w:rPr>
      </w:pPr>
    </w:p>
    <w:p w:rsidR="00F00D20" w:rsidRPr="00D04BE1" w:rsidRDefault="00F00D20" w:rsidP="00F00D20">
      <w:pPr>
        <w:ind w:left="0" w:hanging="2"/>
        <w:jc w:val="both"/>
        <w:rPr>
          <w:rFonts w:ascii="Arial" w:hAnsi="Arial" w:cs="Arial"/>
          <w:b/>
          <w:bCs/>
          <w:sz w:val="20"/>
          <w:szCs w:val="20"/>
        </w:rPr>
      </w:pPr>
      <w:r>
        <w:rPr>
          <w:rFonts w:ascii="Arial" w:hAnsi="Arial" w:cs="Arial"/>
          <w:color w:val="000080"/>
          <w:sz w:val="20"/>
          <w:szCs w:val="20"/>
        </w:rPr>
        <w:t>INDICACIÓN/ES: E</w:t>
      </w:r>
      <w:r w:rsidRPr="00BC655E">
        <w:rPr>
          <w:rFonts w:ascii="Arial" w:hAnsi="Arial" w:cs="Arial"/>
          <w:color w:val="000080"/>
          <w:sz w:val="20"/>
          <w:szCs w:val="20"/>
        </w:rPr>
        <w:t>n combinación con terapia de deprivación de andrógenos en el tratamiento del cáncer de próstata hormonosensible metastásico (CPHSm)</w:t>
      </w:r>
    </w:p>
    <w:p w:rsidR="00F00D20" w:rsidRDefault="00F00D20" w:rsidP="00F00D20">
      <w:pPr>
        <w:ind w:left="0" w:hanging="2"/>
        <w:jc w:val="both"/>
        <w:rPr>
          <w:rFonts w:ascii="Arial" w:hAnsi="Arial" w:cs="Arial"/>
        </w:rPr>
      </w:pPr>
    </w:p>
    <w:p w:rsidR="00F00D20" w:rsidRPr="00F00D20" w:rsidRDefault="00F00D20" w:rsidP="00F00D20">
      <w:pPr>
        <w:ind w:leftChars="0" w:left="0" w:firstLineChars="0" w:firstLine="0"/>
      </w:pPr>
    </w:p>
    <w:p w:rsidR="00F00D20" w:rsidRPr="00F00D20" w:rsidRDefault="00F00D20" w:rsidP="009D49F2">
      <w:pPr>
        <w:ind w:left="0" w:hanging="2"/>
      </w:pPr>
    </w:p>
    <w:tbl>
      <w:tblPr>
        <w:tblW w:w="15026" w:type="dxa"/>
        <w:tblInd w:w="-709"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1075"/>
        <w:gridCol w:w="7998"/>
        <w:gridCol w:w="5953"/>
      </w:tblGrid>
      <w:tr w:rsidR="009D49F2" w:rsidTr="0027454F">
        <w:tc>
          <w:tcPr>
            <w:tcW w:w="15026" w:type="dxa"/>
            <w:gridSpan w:val="3"/>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Alegaciones al borrador público (MAXIMO 3 IMPRESOS)</w:t>
            </w:r>
          </w:p>
        </w:tc>
      </w:tr>
      <w:tr w:rsidR="009D49F2" w:rsidTr="0027454F">
        <w:tc>
          <w:tcPr>
            <w:tcW w:w="1075"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Juan Fco Marín Pozo. GEDEFO.</w:t>
            </w:r>
          </w:p>
        </w:tc>
        <w:tc>
          <w:tcPr>
            <w:tcW w:w="7998" w:type="dxa"/>
          </w:tcPr>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Texto de la alegación</w:t>
            </w:r>
          </w:p>
          <w:p w:rsidR="009D49F2" w:rsidRDefault="009D49F2" w:rsidP="0027454F">
            <w:pPr>
              <w:ind w:left="0" w:hanging="2"/>
              <w:jc w:val="both"/>
              <w:rPr>
                <w:rFonts w:ascii="Arial Narrow" w:eastAsia="Arial Narrow" w:hAnsi="Arial Narrow" w:cs="Arial Narrow"/>
                <w:color w:val="000080"/>
                <w:sz w:val="20"/>
                <w:szCs w:val="20"/>
              </w:rPr>
            </w:pPr>
          </w:p>
          <w:p w:rsidR="009D49F2" w:rsidRDefault="009D49F2" w:rsidP="0027454F">
            <w:pPr>
              <w:ind w:left="0" w:hanging="2"/>
              <w:jc w:val="both"/>
              <w:rPr>
                <w:rFonts w:ascii="Arial Narrow" w:eastAsia="Arial Narrow" w:hAnsi="Arial Narrow" w:cs="Arial Narrow"/>
                <w:sz w:val="20"/>
                <w:szCs w:val="20"/>
              </w:rPr>
            </w:pPr>
            <w:r>
              <w:rPr>
                <w:rFonts w:ascii="Arial Narrow" w:eastAsia="Arial Narrow" w:hAnsi="Arial Narrow" w:cs="Arial Narrow"/>
                <w:color w:val="000080"/>
                <w:sz w:val="20"/>
                <w:szCs w:val="20"/>
              </w:rPr>
              <w:t xml:space="preserve">Tabla: 10. </w:t>
            </w:r>
            <w:r>
              <w:rPr>
                <w:rFonts w:ascii="Arial Narrow" w:eastAsia="Arial Narrow" w:hAnsi="Arial Narrow" w:cs="Arial Narrow"/>
                <w:b/>
                <w:sz w:val="20"/>
                <w:szCs w:val="20"/>
              </w:rPr>
              <w:t>Costes de la terapia con el medicamento y con las distintas alternativas</w:t>
            </w:r>
          </w:p>
          <w:p w:rsidR="009D49F2" w:rsidRDefault="009D49F2" w:rsidP="0027454F">
            <w:pPr>
              <w:ind w:left="0" w:hanging="2"/>
              <w:jc w:val="both"/>
              <w:rPr>
                <w:rFonts w:ascii="Arial Narrow" w:eastAsia="Arial Narrow" w:hAnsi="Arial Narrow" w:cs="Arial Narrow"/>
                <w:sz w:val="20"/>
                <w:szCs w:val="20"/>
              </w:rPr>
            </w:pPr>
            <w:r>
              <w:rPr>
                <w:rFonts w:ascii="Arial Narrow" w:eastAsia="Arial Narrow" w:hAnsi="Arial Narrow" w:cs="Arial Narrow"/>
                <w:b/>
                <w:sz w:val="20"/>
                <w:szCs w:val="20"/>
              </w:rPr>
              <w:t>Hay un error en la expresión del coste diferencial de Abiraterona:</w:t>
            </w: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r>
              <w:rPr>
                <w:rFonts w:ascii="Arial Narrow" w:eastAsia="Arial Narrow" w:hAnsi="Arial Narrow" w:cs="Arial Narrow"/>
                <w:b/>
                <w:sz w:val="20"/>
                <w:szCs w:val="20"/>
              </w:rPr>
              <w:t>Sería un valor negativo el coste del tratamiento con Abiraterona es interior al de Enzalutamida: (-7.673€) si el precio de referencia es el de Enzalutamida</w:t>
            </w:r>
          </w:p>
          <w:p w:rsidR="009D49F2" w:rsidRDefault="009D49F2" w:rsidP="0027454F">
            <w:pPr>
              <w:ind w:left="0" w:hanging="2"/>
              <w:jc w:val="both"/>
              <w:rPr>
                <w:rFonts w:ascii="Arial Narrow" w:eastAsia="Arial Narrow" w:hAnsi="Arial Narrow" w:cs="Arial Narrow"/>
                <w:color w:val="000080"/>
                <w:sz w:val="20"/>
                <w:szCs w:val="20"/>
              </w:rPr>
            </w:pPr>
            <w:r>
              <w:rPr>
                <w:rFonts w:ascii="Arial Narrow" w:eastAsia="Arial Narrow" w:hAnsi="Arial Narrow" w:cs="Arial Narrow"/>
                <w:b/>
                <w:sz w:val="20"/>
                <w:szCs w:val="20"/>
              </w:rPr>
              <w:t>Si el fármaco objeto de estudio es Enzalutamida, serie usar como referencia los fármacos con los ques e compara como referencia y expresar el dato como coste adicional del tratamiento con Enzalutamida, es decir 7.673€ para Abiraterona y 38.570,4€ para Docetaxel.</w:t>
            </w:r>
          </w:p>
        </w:tc>
        <w:tc>
          <w:tcPr>
            <w:tcW w:w="5953" w:type="dxa"/>
          </w:tcPr>
          <w:p w:rsidR="009D49F2" w:rsidRDefault="009D49F2" w:rsidP="0027454F">
            <w:pPr>
              <w:shd w:val="clear" w:color="auto" w:fill="FFFFFF"/>
              <w:ind w:left="0" w:hanging="2"/>
              <w:jc w:val="both"/>
              <w:rPr>
                <w:rFonts w:ascii="Arial Narrow" w:eastAsia="Arial Narrow" w:hAnsi="Arial Narrow" w:cs="Arial Narrow"/>
                <w:color w:val="000080"/>
                <w:sz w:val="20"/>
                <w:szCs w:val="20"/>
              </w:rPr>
            </w:pPr>
          </w:p>
          <w:p w:rsidR="009D49F2" w:rsidRDefault="009D49F2" w:rsidP="0027454F">
            <w:pPr>
              <w:shd w:val="clear" w:color="auto" w:fill="FFFFFF"/>
              <w:ind w:left="0" w:hanging="2"/>
              <w:jc w:val="both"/>
              <w:rPr>
                <w:rFonts w:ascii="Arial Narrow" w:eastAsia="Arial Narrow" w:hAnsi="Arial Narrow" w:cs="Arial Narrow"/>
                <w:color w:val="000080"/>
                <w:sz w:val="20"/>
                <w:szCs w:val="20"/>
              </w:rPr>
            </w:pPr>
          </w:p>
          <w:p w:rsidR="009D49F2" w:rsidRDefault="009D49F2" w:rsidP="0027454F">
            <w:pPr>
              <w:shd w:val="clear" w:color="auto" w:fill="FFFFFF"/>
              <w:ind w:left="0" w:hanging="2"/>
              <w:jc w:val="both"/>
              <w:rPr>
                <w:rFonts w:ascii="Arial Narrow" w:eastAsia="Arial Narrow" w:hAnsi="Arial Narrow" w:cs="Arial Narrow"/>
                <w:color w:val="000080"/>
                <w:sz w:val="20"/>
                <w:szCs w:val="20"/>
              </w:rPr>
            </w:pPr>
            <w:r>
              <w:rPr>
                <w:rFonts w:ascii="Arial Narrow" w:eastAsia="Arial Narrow" w:hAnsi="Arial Narrow" w:cs="Arial Narrow"/>
                <w:color w:val="000080"/>
                <w:sz w:val="20"/>
                <w:szCs w:val="20"/>
              </w:rPr>
              <w:t>Se modifica el signo y se revisan precios incluidos en la tabla.</w:t>
            </w:r>
          </w:p>
        </w:tc>
      </w:tr>
    </w:tbl>
    <w:p w:rsidR="009D49F2" w:rsidRDefault="009D49F2" w:rsidP="009D49F2">
      <w:pPr>
        <w:ind w:left="0" w:hanging="2"/>
      </w:pPr>
    </w:p>
    <w:p w:rsidR="0027454F" w:rsidRDefault="0027454F">
      <w:pPr>
        <w:spacing w:line="240" w:lineRule="auto"/>
        <w:ind w:leftChars="0" w:firstLineChars="0"/>
        <w:textAlignment w:val="auto"/>
        <w:outlineLvl w:val="9"/>
      </w:pPr>
      <w:r>
        <w:br w:type="page"/>
      </w:r>
    </w:p>
    <w:p w:rsidR="0027454F" w:rsidRPr="00AF2224" w:rsidRDefault="0027454F" w:rsidP="0027454F">
      <w:pPr>
        <w:ind w:left="0" w:hanging="2"/>
        <w:jc w:val="both"/>
        <w:rPr>
          <w:rFonts w:ascii="Arial" w:hAnsi="Arial" w:cs="Arial"/>
          <w:color w:val="000080"/>
          <w:sz w:val="20"/>
          <w:szCs w:val="20"/>
        </w:rPr>
      </w:pPr>
      <w:r w:rsidRPr="00AF2224">
        <w:rPr>
          <w:rFonts w:ascii="Arial" w:hAnsi="Arial" w:cs="Arial"/>
          <w:color w:val="000080"/>
          <w:sz w:val="20"/>
          <w:szCs w:val="20"/>
        </w:rPr>
        <w:lastRenderedPageBreak/>
        <w:t xml:space="preserve">Nombre persona que hace la alegación propuesta: </w:t>
      </w:r>
      <w:r w:rsidRPr="0027454F">
        <w:rPr>
          <w:rFonts w:ascii="Arial" w:hAnsi="Arial" w:cs="Arial"/>
          <w:color w:val="000080"/>
          <w:sz w:val="20"/>
          <w:szCs w:val="20"/>
        </w:rPr>
        <w:t>Marta Egea García</w:t>
      </w:r>
    </w:p>
    <w:p w:rsidR="0027454F" w:rsidRPr="00AF2224" w:rsidRDefault="0027454F" w:rsidP="0027454F">
      <w:pPr>
        <w:ind w:left="0" w:hanging="2"/>
        <w:jc w:val="both"/>
        <w:rPr>
          <w:rFonts w:ascii="Arial" w:hAnsi="Arial" w:cs="Arial"/>
          <w:color w:val="000080"/>
          <w:sz w:val="20"/>
          <w:szCs w:val="20"/>
        </w:rPr>
      </w:pPr>
      <w:r w:rsidRPr="00AF2224">
        <w:rPr>
          <w:rFonts w:ascii="Arial" w:hAnsi="Arial" w:cs="Arial"/>
          <w:color w:val="000080"/>
          <w:sz w:val="20"/>
          <w:szCs w:val="20"/>
        </w:rPr>
        <w:t>Cargo que ocupa:</w:t>
      </w:r>
      <w:r>
        <w:rPr>
          <w:rFonts w:ascii="Arial" w:hAnsi="Arial" w:cs="Arial"/>
          <w:color w:val="000080"/>
          <w:sz w:val="20"/>
          <w:szCs w:val="20"/>
        </w:rPr>
        <w:t xml:space="preserve"> GEDEFO:</w:t>
      </w:r>
      <w:r w:rsidRPr="0027454F">
        <w:rPr>
          <w:rFonts w:ascii="Arial" w:hAnsi="Arial" w:cs="Arial"/>
          <w:color w:val="000080"/>
          <w:sz w:val="20"/>
          <w:szCs w:val="20"/>
        </w:rPr>
        <w:t xml:space="preserve"> Market Access Manager</w:t>
      </w:r>
    </w:p>
    <w:p w:rsidR="0027454F" w:rsidRPr="00AF2224" w:rsidRDefault="0027454F" w:rsidP="0027454F">
      <w:pPr>
        <w:ind w:left="0" w:hanging="2"/>
        <w:jc w:val="both"/>
        <w:rPr>
          <w:rFonts w:ascii="Arial" w:hAnsi="Arial" w:cs="Arial"/>
          <w:color w:val="000080"/>
          <w:sz w:val="20"/>
          <w:szCs w:val="20"/>
        </w:rPr>
      </w:pPr>
      <w:r w:rsidRPr="00AF2224">
        <w:rPr>
          <w:rFonts w:ascii="Arial" w:hAnsi="Arial" w:cs="Arial"/>
          <w:color w:val="000080"/>
          <w:sz w:val="20"/>
          <w:szCs w:val="20"/>
        </w:rPr>
        <w:t xml:space="preserve">Centro, sociedad o empresa: </w:t>
      </w:r>
      <w:r>
        <w:rPr>
          <w:rFonts w:ascii="Arial" w:hAnsi="Arial" w:cs="Arial"/>
          <w:color w:val="000080"/>
          <w:sz w:val="20"/>
          <w:szCs w:val="20"/>
        </w:rPr>
        <w:t>J</w:t>
      </w:r>
      <w:r w:rsidRPr="0027454F">
        <w:rPr>
          <w:rFonts w:ascii="Arial" w:hAnsi="Arial" w:cs="Arial"/>
          <w:color w:val="000080"/>
          <w:sz w:val="20"/>
          <w:szCs w:val="20"/>
        </w:rPr>
        <w:t>anssen</w:t>
      </w:r>
    </w:p>
    <w:p w:rsidR="0027454F" w:rsidRDefault="0027454F" w:rsidP="0027454F">
      <w:pPr>
        <w:ind w:left="0" w:hanging="2"/>
        <w:jc w:val="both"/>
        <w:rPr>
          <w:rFonts w:ascii="Arial" w:hAnsi="Arial" w:cs="Arial"/>
          <w:color w:val="000080"/>
          <w:sz w:val="20"/>
          <w:szCs w:val="20"/>
        </w:rPr>
      </w:pPr>
      <w:r w:rsidRPr="00AF2224">
        <w:rPr>
          <w:rFonts w:ascii="Arial" w:hAnsi="Arial" w:cs="Arial"/>
          <w:color w:val="000080"/>
          <w:sz w:val="20"/>
          <w:szCs w:val="20"/>
        </w:rPr>
        <w:t>Teléfono de contacto:</w:t>
      </w:r>
      <w:r w:rsidR="005D5739" w:rsidRPr="005D5739">
        <w:rPr>
          <w:rFonts w:ascii="Arial" w:hAnsi="Arial" w:cs="Arial"/>
          <w:color w:val="000080"/>
          <w:sz w:val="20"/>
          <w:szCs w:val="20"/>
        </w:rPr>
        <w:t xml:space="preserve"> 649520920</w:t>
      </w:r>
    </w:p>
    <w:p w:rsidR="0027454F" w:rsidRDefault="0027454F" w:rsidP="0027454F">
      <w:pPr>
        <w:ind w:left="0" w:hanging="2"/>
        <w:jc w:val="both"/>
        <w:rPr>
          <w:rFonts w:ascii="Arial" w:hAnsi="Arial" w:cs="Arial"/>
          <w:color w:val="000080"/>
          <w:sz w:val="20"/>
          <w:szCs w:val="20"/>
        </w:rPr>
      </w:pPr>
    </w:p>
    <w:p w:rsidR="0027454F" w:rsidRDefault="0027454F" w:rsidP="0027454F">
      <w:pPr>
        <w:ind w:left="0" w:hanging="2"/>
        <w:jc w:val="both"/>
        <w:rPr>
          <w:rFonts w:ascii="Arial" w:hAnsi="Arial" w:cs="Arial"/>
          <w:b/>
          <w:bCs/>
          <w:sz w:val="20"/>
          <w:szCs w:val="20"/>
        </w:rPr>
      </w:pPr>
      <w:r>
        <w:rPr>
          <w:rFonts w:ascii="Arial" w:hAnsi="Arial" w:cs="Arial"/>
          <w:color w:val="000080"/>
          <w:sz w:val="20"/>
          <w:szCs w:val="20"/>
        </w:rPr>
        <w:t>FÁRMACO</w:t>
      </w:r>
      <w:r w:rsidRPr="009A50FF">
        <w:rPr>
          <w:rFonts w:ascii="Arial" w:hAnsi="Arial" w:cs="Arial"/>
          <w:color w:val="000080"/>
          <w:sz w:val="20"/>
          <w:szCs w:val="20"/>
        </w:rPr>
        <w:t xml:space="preserve">: </w:t>
      </w:r>
      <w:r>
        <w:rPr>
          <w:rFonts w:ascii="Arial" w:hAnsi="Arial" w:cs="Arial"/>
          <w:color w:val="000080"/>
          <w:sz w:val="20"/>
          <w:szCs w:val="20"/>
        </w:rPr>
        <w:t>ENZALUTAMIDA</w:t>
      </w:r>
    </w:p>
    <w:p w:rsidR="0027454F" w:rsidRDefault="0027454F" w:rsidP="0027454F">
      <w:pPr>
        <w:ind w:left="0" w:hanging="2"/>
        <w:jc w:val="both"/>
        <w:rPr>
          <w:rFonts w:ascii="Arial" w:hAnsi="Arial" w:cs="Arial"/>
          <w:b/>
          <w:bCs/>
          <w:sz w:val="20"/>
          <w:szCs w:val="20"/>
        </w:rPr>
      </w:pPr>
    </w:p>
    <w:p w:rsidR="0027454F" w:rsidRPr="00D04BE1" w:rsidRDefault="0027454F" w:rsidP="0027454F">
      <w:pPr>
        <w:ind w:left="0" w:hanging="2"/>
        <w:jc w:val="both"/>
        <w:rPr>
          <w:rFonts w:ascii="Arial" w:hAnsi="Arial" w:cs="Arial"/>
          <w:b/>
          <w:bCs/>
          <w:sz w:val="20"/>
          <w:szCs w:val="20"/>
        </w:rPr>
      </w:pPr>
      <w:r>
        <w:rPr>
          <w:rFonts w:ascii="Arial" w:hAnsi="Arial" w:cs="Arial"/>
          <w:color w:val="000080"/>
          <w:sz w:val="20"/>
          <w:szCs w:val="20"/>
        </w:rPr>
        <w:t>INDICACIÓN/ES: E</w:t>
      </w:r>
      <w:r w:rsidRPr="00BC655E">
        <w:rPr>
          <w:rFonts w:ascii="Arial" w:hAnsi="Arial" w:cs="Arial"/>
          <w:color w:val="000080"/>
          <w:sz w:val="20"/>
          <w:szCs w:val="20"/>
        </w:rPr>
        <w:t>n combinación con terapia de deprivación de andrógenos en el tratamiento del cáncer de próstata hormonosensible metastásico (CPHSm)</w:t>
      </w:r>
    </w:p>
    <w:p w:rsidR="0027454F" w:rsidRDefault="0027454F" w:rsidP="005D5739">
      <w:pPr>
        <w:ind w:leftChars="0" w:left="0" w:firstLineChars="0" w:firstLine="0"/>
      </w:pPr>
    </w:p>
    <w:p w:rsidR="0027454F" w:rsidRDefault="0027454F" w:rsidP="009D49F2">
      <w:pPr>
        <w:ind w:left="0" w:hanging="2"/>
      </w:pPr>
    </w:p>
    <w:tbl>
      <w:tblPr>
        <w:tblW w:w="15026"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8"/>
        <w:gridCol w:w="7985"/>
        <w:gridCol w:w="5953"/>
      </w:tblGrid>
      <w:tr w:rsidR="009D49F2" w:rsidTr="0027454F">
        <w:tc>
          <w:tcPr>
            <w:tcW w:w="15026" w:type="dxa"/>
            <w:gridSpan w:val="3"/>
          </w:tcPr>
          <w:p w:rsidR="009D49F2" w:rsidRDefault="009D49F2" w:rsidP="0027454F">
            <w:pPr>
              <w:ind w:left="0" w:hanging="2"/>
              <w:jc w:val="both"/>
              <w:rPr>
                <w:rFonts w:ascii="Arial Narrow" w:eastAsia="Arial Narrow" w:hAnsi="Arial Narrow" w:cs="Arial Narrow"/>
                <w:sz w:val="20"/>
                <w:szCs w:val="20"/>
              </w:rPr>
            </w:pPr>
            <w:r>
              <w:rPr>
                <w:rFonts w:ascii="Arial Narrow" w:eastAsia="Arial Narrow" w:hAnsi="Arial Narrow" w:cs="Arial Narrow"/>
                <w:sz w:val="20"/>
                <w:szCs w:val="20"/>
              </w:rPr>
              <w:t>Alegaciones al borrador público (MAXIMO 3 IMPRESOS)</w:t>
            </w:r>
          </w:p>
        </w:tc>
      </w:tr>
      <w:tr w:rsidR="009D49F2" w:rsidTr="0027454F">
        <w:tc>
          <w:tcPr>
            <w:tcW w:w="1088" w:type="dxa"/>
          </w:tcPr>
          <w:p w:rsidR="009D49F2" w:rsidRPr="00174F4D" w:rsidRDefault="009D49F2" w:rsidP="0027454F">
            <w:pPr>
              <w:ind w:left="0" w:hanging="2"/>
              <w:jc w:val="both"/>
              <w:rPr>
                <w:rFonts w:ascii="Arial Narrow" w:eastAsia="Arial Narrow" w:hAnsi="Arial Narrow" w:cs="Arial Narrow"/>
                <w:sz w:val="20"/>
                <w:szCs w:val="20"/>
                <w:lang w:val="en-GB"/>
              </w:rPr>
            </w:pPr>
            <w:r w:rsidRPr="00174F4D">
              <w:rPr>
                <w:rFonts w:ascii="Arial Narrow" w:eastAsia="Arial Narrow" w:hAnsi="Arial Narrow" w:cs="Arial Narrow"/>
                <w:sz w:val="20"/>
                <w:szCs w:val="20"/>
                <w:lang w:val="en-GB"/>
              </w:rPr>
              <w:t xml:space="preserve">Marta Egea, </w:t>
            </w:r>
          </w:p>
          <w:p w:rsidR="009D49F2" w:rsidRPr="00174F4D" w:rsidRDefault="009D49F2" w:rsidP="0027454F">
            <w:pPr>
              <w:ind w:left="0" w:hanging="2"/>
              <w:jc w:val="both"/>
              <w:rPr>
                <w:rFonts w:ascii="Arial Narrow" w:eastAsia="Arial Narrow" w:hAnsi="Arial Narrow" w:cs="Arial Narrow"/>
                <w:sz w:val="20"/>
                <w:szCs w:val="20"/>
                <w:lang w:val="en-GB"/>
              </w:rPr>
            </w:pPr>
            <w:r w:rsidRPr="00174F4D">
              <w:rPr>
                <w:rFonts w:ascii="Arial Narrow" w:eastAsia="Arial Narrow" w:hAnsi="Arial Narrow" w:cs="Arial Narrow"/>
                <w:sz w:val="20"/>
                <w:szCs w:val="20"/>
                <w:lang w:val="en-GB"/>
              </w:rPr>
              <w:t>Market Access Manager,</w:t>
            </w:r>
          </w:p>
          <w:p w:rsidR="009D49F2" w:rsidRDefault="009D49F2" w:rsidP="0027454F">
            <w:pPr>
              <w:ind w:left="0" w:hanging="2"/>
              <w:jc w:val="both"/>
              <w:rPr>
                <w:rFonts w:ascii="Arial Narrow" w:eastAsia="Arial Narrow" w:hAnsi="Arial Narrow" w:cs="Arial Narrow"/>
                <w:sz w:val="20"/>
                <w:szCs w:val="20"/>
              </w:rPr>
            </w:pPr>
            <w:r>
              <w:rPr>
                <w:rFonts w:ascii="Arial Narrow" w:eastAsia="Arial Narrow" w:hAnsi="Arial Narrow" w:cs="Arial Narrow"/>
                <w:sz w:val="20"/>
                <w:szCs w:val="20"/>
              </w:rPr>
              <w:t>Janssen.</w:t>
            </w:r>
          </w:p>
        </w:tc>
        <w:tc>
          <w:tcPr>
            <w:tcW w:w="7985" w:type="dxa"/>
          </w:tcPr>
          <w:p w:rsidR="009D49F2" w:rsidRPr="009D49F2" w:rsidRDefault="009D49F2" w:rsidP="0027454F">
            <w:pPr>
              <w:pBdr>
                <w:top w:val="nil"/>
                <w:left w:val="nil"/>
                <w:bottom w:val="nil"/>
                <w:right w:val="nil"/>
                <w:between w:val="nil"/>
              </w:pBdr>
              <w:spacing w:line="240" w:lineRule="auto"/>
              <w:ind w:left="0" w:hanging="2"/>
              <w:rPr>
                <w:rFonts w:ascii="Arial Narrow" w:eastAsia="Arial Narrow" w:hAnsi="Arial Narrow" w:cs="Arial Narrow"/>
                <w:color w:val="000000"/>
                <w:sz w:val="20"/>
                <w:szCs w:val="20"/>
                <w:lang w:val="en-GB"/>
              </w:rPr>
            </w:pPr>
            <w:r>
              <w:rPr>
                <w:rFonts w:ascii="Arial Narrow" w:eastAsia="Arial Narrow" w:hAnsi="Arial Narrow" w:cs="Arial Narrow"/>
                <w:b/>
                <w:color w:val="000000"/>
                <w:sz w:val="20"/>
                <w:szCs w:val="20"/>
              </w:rPr>
              <w:t xml:space="preserve">Metaanálisis de </w:t>
            </w:r>
            <w:r>
              <w:rPr>
                <w:rFonts w:ascii="Arial Narrow" w:eastAsia="Arial Narrow" w:hAnsi="Arial Narrow" w:cs="Arial Narrow"/>
                <w:b/>
                <w:i/>
                <w:color w:val="000000"/>
                <w:sz w:val="20"/>
                <w:szCs w:val="20"/>
              </w:rPr>
              <w:t xml:space="preserve">Sathianathen et al. </w:t>
            </w:r>
            <w:r w:rsidRPr="009D49F2">
              <w:rPr>
                <w:rFonts w:ascii="Arial Narrow" w:eastAsia="Arial Narrow" w:hAnsi="Arial Narrow" w:cs="Arial Narrow"/>
                <w:b/>
                <w:i/>
                <w:color w:val="000000"/>
                <w:sz w:val="20"/>
                <w:szCs w:val="20"/>
                <w:lang w:val="en-GB"/>
              </w:rPr>
              <w:t xml:space="preserve">Indirect Comparisons of Efficacy between Combination Approaches in Metastatic Hormone-sensitive Prostate Cancer: A Systematic Review and Network Meta- analysis </w:t>
            </w:r>
            <w:r w:rsidRPr="009D49F2">
              <w:rPr>
                <w:rFonts w:ascii="Arial Narrow" w:eastAsia="Arial Narrow" w:hAnsi="Arial Narrow" w:cs="Arial Narrow"/>
                <w:b/>
                <w:color w:val="000000"/>
                <w:sz w:val="20"/>
                <w:szCs w:val="20"/>
                <w:lang w:val="en-GB"/>
              </w:rPr>
              <w:t xml:space="preserve">(14). </w:t>
            </w:r>
          </w:p>
          <w:p w:rsidR="009D49F2" w:rsidRPr="009D49F2" w:rsidRDefault="009D49F2" w:rsidP="0027454F">
            <w:pPr>
              <w:pBdr>
                <w:top w:val="nil"/>
                <w:left w:val="nil"/>
                <w:bottom w:val="nil"/>
                <w:right w:val="nil"/>
                <w:between w:val="nil"/>
              </w:pBdr>
              <w:spacing w:line="240" w:lineRule="auto"/>
              <w:ind w:left="0" w:hanging="2"/>
              <w:rPr>
                <w:rFonts w:ascii="Arial Narrow" w:eastAsia="Arial Narrow" w:hAnsi="Arial Narrow" w:cs="Arial Narrow"/>
                <w:color w:val="000000"/>
                <w:sz w:val="20"/>
                <w:szCs w:val="20"/>
                <w:u w:val="single"/>
                <w:lang w:val="en-GB"/>
              </w:rPr>
            </w:pPr>
          </w:p>
          <w:p w:rsidR="009D49F2" w:rsidRDefault="009D49F2" w:rsidP="0027454F">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u w:val="single"/>
              </w:rPr>
            </w:pPr>
            <w:r>
              <w:rPr>
                <w:rFonts w:ascii="Arial Narrow" w:eastAsia="Arial Narrow" w:hAnsi="Arial Narrow" w:cs="Arial Narrow"/>
                <w:color w:val="000000"/>
                <w:sz w:val="20"/>
                <w:szCs w:val="20"/>
                <w:u w:val="single"/>
              </w:rPr>
              <w:t xml:space="preserve">El motivo de la alegación en la Sección 5.3.b.1, págs. 30-32, son las limitaciones que presenta el metaanálisis de </w:t>
            </w:r>
            <w:r>
              <w:rPr>
                <w:rFonts w:ascii="Arial Narrow" w:eastAsia="Arial Narrow" w:hAnsi="Arial Narrow" w:cs="Arial Narrow"/>
                <w:i/>
                <w:color w:val="000000"/>
                <w:sz w:val="20"/>
                <w:szCs w:val="20"/>
                <w:u w:val="single"/>
              </w:rPr>
              <w:t xml:space="preserve">Sathianathen et al. </w:t>
            </w:r>
            <w:r>
              <w:rPr>
                <w:rFonts w:ascii="Arial Narrow" w:eastAsia="Arial Narrow" w:hAnsi="Arial Narrow" w:cs="Arial Narrow"/>
                <w:color w:val="000000"/>
                <w:sz w:val="20"/>
                <w:szCs w:val="20"/>
                <w:u w:val="single"/>
              </w:rPr>
              <w:t>(14), empleado en este documento para la comparación de enzalutamida con apalutamida, abiraterona y docetaxel, por las que las conclusiones de los resultados no deberían ser tenidos en cuenta.</w:t>
            </w:r>
          </w:p>
          <w:p w:rsidR="009D49F2" w:rsidRDefault="009D49F2" w:rsidP="0027454F">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u w:val="single"/>
              </w:rPr>
            </w:pPr>
          </w:p>
          <w:p w:rsidR="009D49F2" w:rsidRDefault="009D49F2" w:rsidP="0027454F">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Se sugiere que no se tenga en cuenta el metaanálisis en este documento de evaluación y, por tanto, se elimine, o al menos se eliminen aquellas conclusiones de los resultados que hacen referencia a las comparaciones con enzalutamida en base al estudio ENZAMET.</w:t>
            </w:r>
          </w:p>
          <w:p w:rsidR="009D49F2" w:rsidRDefault="009D49F2" w:rsidP="0027454F">
            <w:pPr>
              <w:pBdr>
                <w:top w:val="nil"/>
                <w:left w:val="nil"/>
                <w:bottom w:val="nil"/>
                <w:right w:val="nil"/>
                <w:between w:val="nil"/>
              </w:pBdr>
              <w:spacing w:line="240" w:lineRule="auto"/>
              <w:ind w:left="0" w:hanging="2"/>
              <w:rPr>
                <w:rFonts w:ascii="Arial Narrow" w:eastAsia="Arial Narrow" w:hAnsi="Arial Narrow" w:cs="Arial Narrow"/>
                <w:color w:val="000000"/>
                <w:sz w:val="20"/>
                <w:szCs w:val="20"/>
                <w:u w:val="single"/>
              </w:rPr>
            </w:pPr>
          </w:p>
          <w:p w:rsidR="009D49F2" w:rsidRDefault="009D49F2" w:rsidP="009D49F2">
            <w:pPr>
              <w:widowControl w:val="0"/>
              <w:numPr>
                <w:ilvl w:val="0"/>
                <w:numId w:val="9"/>
              </w:numPr>
              <w:pBdr>
                <w:top w:val="nil"/>
                <w:left w:val="nil"/>
                <w:bottom w:val="nil"/>
                <w:right w:val="nil"/>
                <w:between w:val="nil"/>
              </w:pBdr>
              <w:suppressAutoHyphens/>
              <w:spacing w:line="240" w:lineRule="auto"/>
              <w:ind w:left="0" w:hanging="2"/>
              <w:jc w:val="both"/>
              <w:textDirection w:val="btL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El uso del estudio ENZAMET para el análisis de eficacia de enzalutamida en pacientes CPHSm, cuyo brazo control es TPA + antiandrógeno no esteroideo (bicalutamida, flutamida o nilutamida) representa un sesgo importante en el análisis.</w:t>
            </w:r>
          </w:p>
          <w:p w:rsidR="009D49F2" w:rsidRDefault="009D49F2" w:rsidP="0027454F">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Con respecto al brazo control, en los otros ensayos clínicos empleados en este metaanálisis, LATITUDE, STAMPEDE y TITAN, éste fue TPA en monoterapia y, por tanto, diferente al de ENZAMET cuyo brazo control fue TPA+ antiandrógeno no esteroideo. En este sentido, el estudio ENZAMET, al no tener el mismo control que el resto de los ensayos clínicos comparados y, por tanto, no presentar un comparador común, no debería ser empleado para comparar la eficacia de enzalutamida. </w:t>
            </w:r>
          </w:p>
          <w:p w:rsidR="009D49F2" w:rsidRDefault="00883B7B" w:rsidP="0027454F">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sdt>
              <w:sdtPr>
                <w:tag w:val="goog_rdk_1"/>
                <w:id w:val="1065841214"/>
              </w:sdtPr>
              <w:sdtEndPr/>
              <w:sdtContent>
                <w:r w:rsidR="009D49F2">
                  <w:rPr>
                    <w:rFonts w:ascii="Arial Unicode MS" w:eastAsia="Arial Unicode MS" w:hAnsi="Arial Unicode MS" w:cs="Arial Unicode MS"/>
                    <w:color w:val="000000"/>
                    <w:sz w:val="20"/>
                    <w:szCs w:val="20"/>
                  </w:rPr>
                  <w:t xml:space="preserve">Con respecto a las características de los pacientes, en el caso del estudio ENZAMET, para realizar el metaanálisis se excluyeron los pacientes que habían recibido docetaxel de </w:t>
                </w:r>
                <w:r w:rsidR="009D49F2">
                  <w:rPr>
                    <w:rFonts w:ascii="Arial Unicode MS" w:eastAsia="Arial Unicode MS" w:hAnsi="Arial Unicode MS" w:cs="Arial Unicode MS"/>
                    <w:color w:val="000000"/>
                    <w:sz w:val="20"/>
                    <w:szCs w:val="20"/>
                  </w:rPr>
                  <w:lastRenderedPageBreak/>
                  <w:t>manera concomitante, lo cual supone aproximadamente ≈50% de la población total del ensayo. Sin embargo, no se hizo lo mismo con los pacientes tratados previamente con docetaxel, incluidos en el estudio TITAN (≈10% de los pacientes).</w:t>
                </w:r>
                <w:r w:rsidR="009D49F2">
                  <w:rPr>
                    <w:rFonts w:ascii="Arial Unicode MS" w:eastAsia="Arial Unicode MS" w:hAnsi="Arial Unicode MS" w:cs="Arial Unicode MS"/>
                    <w:color w:val="000000"/>
                    <w:sz w:val="20"/>
                    <w:szCs w:val="20"/>
                  </w:rPr>
                  <w:br/>
                </w:r>
              </w:sdtContent>
            </w:sdt>
          </w:p>
          <w:p w:rsidR="009D49F2" w:rsidRDefault="009D49F2" w:rsidP="0027454F">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p>
          <w:p w:rsidR="009D49F2" w:rsidRDefault="009D49F2" w:rsidP="0027454F">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Por todo esto, consideramos que no se deben tener en cuenta los resultados del metaanálisis, o que al menos se eliminen las conclusiones que hacen referencia al estudio ENZAMET, tal y como se puso de manifiesto en la GFT de Hospitales de Andalucía de apalutamida:  </w:t>
            </w:r>
          </w:p>
          <w:p w:rsidR="009D49F2" w:rsidRDefault="009D49F2" w:rsidP="0027454F">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p>
          <w:p w:rsidR="009D49F2" w:rsidRDefault="009D49F2" w:rsidP="0027454F">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i/>
                <w:color w:val="000000"/>
                <w:sz w:val="20"/>
                <w:szCs w:val="20"/>
              </w:rPr>
              <w:t>“Debido a las diferencias y sesgos que presenta el ensayo ENZAMET con respecto al resto de estudios (diferente comparador, diferente variable de SLP, etc), se considera que dicho estudio no debió incluirse en el metaanálisis y por tanto no será tenido en cuenta a la hora de analizar los resultados.”</w:t>
            </w:r>
            <w:r>
              <w:rPr>
                <w:rFonts w:ascii="Arial Narrow" w:eastAsia="Arial Narrow" w:hAnsi="Arial Narrow" w:cs="Arial Narrow"/>
                <w:i/>
                <w:color w:val="000000"/>
                <w:sz w:val="20"/>
                <w:szCs w:val="20"/>
              </w:rPr>
              <w:br/>
            </w:r>
          </w:p>
          <w:p w:rsidR="009D49F2" w:rsidRDefault="009D49F2" w:rsidP="0027454F">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p>
          <w:p w:rsidR="009D49F2" w:rsidRDefault="009D49F2" w:rsidP="0027454F">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u w:val="single"/>
              </w:rPr>
              <w:t>Referencia</w:t>
            </w:r>
            <w:r>
              <w:rPr>
                <w:rFonts w:ascii="Arial Narrow" w:eastAsia="Arial Narrow" w:hAnsi="Arial Narrow" w:cs="Arial Narrow"/>
                <w:color w:val="000000"/>
                <w:sz w:val="20"/>
                <w:szCs w:val="20"/>
              </w:rPr>
              <w:t>:</w:t>
            </w:r>
          </w:p>
          <w:p w:rsidR="009D49F2" w:rsidRDefault="009D49F2" w:rsidP="0027454F">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http://www.sspa.juntadeandalucia.es/servicioandaluzdesalud/contenidos/publicaciones/datos/321/html/APALUTAMIDA_CPHSm_GHEMA.pdf</w:t>
            </w:r>
          </w:p>
          <w:p w:rsidR="009D49F2" w:rsidRDefault="009D49F2" w:rsidP="0027454F">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p>
          <w:p w:rsidR="009D49F2" w:rsidRDefault="009D49F2" w:rsidP="0027454F">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p>
          <w:p w:rsidR="009D49F2" w:rsidRDefault="009D49F2" w:rsidP="0027454F">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p>
          <w:p w:rsidR="009D49F2" w:rsidRDefault="009D49F2" w:rsidP="0027454F">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p>
          <w:p w:rsidR="009D49F2" w:rsidRDefault="009D49F2" w:rsidP="0027454F">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p>
          <w:p w:rsidR="009D49F2" w:rsidRDefault="009D49F2" w:rsidP="0027454F">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p>
          <w:p w:rsidR="009D49F2" w:rsidRDefault="009D49F2" w:rsidP="0027454F">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p>
        </w:tc>
        <w:tc>
          <w:tcPr>
            <w:tcW w:w="5953" w:type="dxa"/>
          </w:tcPr>
          <w:p w:rsidR="009D49F2" w:rsidRDefault="009D49F2" w:rsidP="0027454F">
            <w:pPr>
              <w:ind w:left="0" w:hanging="2"/>
              <w:jc w:val="both"/>
              <w:rPr>
                <w:rFonts w:ascii="Arial Narrow" w:eastAsia="Arial Narrow" w:hAnsi="Arial Narrow" w:cs="Arial Narrow"/>
                <w:sz w:val="20"/>
                <w:szCs w:val="20"/>
              </w:rPr>
            </w:pPr>
            <w:r>
              <w:rPr>
                <w:rFonts w:ascii="Arial Narrow" w:eastAsia="Arial Narrow" w:hAnsi="Arial Narrow" w:cs="Arial Narrow"/>
                <w:sz w:val="20"/>
                <w:szCs w:val="20"/>
              </w:rPr>
              <w:lastRenderedPageBreak/>
              <w:t>Respuesta Tutor</w:t>
            </w: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r>
              <w:rPr>
                <w:rFonts w:ascii="Arial Narrow" w:eastAsia="Arial Narrow" w:hAnsi="Arial Narrow" w:cs="Arial Narrow"/>
                <w:sz w:val="20"/>
                <w:szCs w:val="20"/>
              </w:rPr>
              <w:t xml:space="preserve">Se incluye comentario en el informe. </w:t>
            </w:r>
          </w:p>
        </w:tc>
      </w:tr>
      <w:tr w:rsidR="009D49F2" w:rsidTr="0027454F">
        <w:tc>
          <w:tcPr>
            <w:tcW w:w="1088" w:type="dxa"/>
          </w:tcPr>
          <w:p w:rsidR="009D49F2" w:rsidRPr="00174F4D" w:rsidRDefault="009D49F2" w:rsidP="0027454F">
            <w:pPr>
              <w:ind w:left="0" w:hanging="2"/>
              <w:jc w:val="both"/>
              <w:rPr>
                <w:rFonts w:ascii="Arial Narrow" w:eastAsia="Arial Narrow" w:hAnsi="Arial Narrow" w:cs="Arial Narrow"/>
                <w:sz w:val="20"/>
                <w:szCs w:val="20"/>
                <w:lang w:val="en-GB"/>
              </w:rPr>
            </w:pPr>
            <w:r w:rsidRPr="00174F4D">
              <w:rPr>
                <w:rFonts w:ascii="Arial Narrow" w:eastAsia="Arial Narrow" w:hAnsi="Arial Narrow" w:cs="Arial Narrow"/>
                <w:sz w:val="20"/>
                <w:szCs w:val="20"/>
                <w:lang w:val="en-GB"/>
              </w:rPr>
              <w:lastRenderedPageBreak/>
              <w:t xml:space="preserve">Marta Egea, </w:t>
            </w:r>
            <w:r w:rsidRPr="00174F4D">
              <w:rPr>
                <w:rFonts w:ascii="Arial Narrow" w:eastAsia="Arial Narrow" w:hAnsi="Arial Narrow" w:cs="Arial Narrow"/>
                <w:sz w:val="20"/>
                <w:szCs w:val="20"/>
                <w:lang w:val="en-GB"/>
              </w:rPr>
              <w:br/>
            </w:r>
          </w:p>
          <w:p w:rsidR="009D49F2" w:rsidRPr="00174F4D" w:rsidRDefault="009D49F2" w:rsidP="0027454F">
            <w:pPr>
              <w:ind w:left="0" w:hanging="2"/>
              <w:jc w:val="both"/>
              <w:rPr>
                <w:rFonts w:ascii="Arial Narrow" w:eastAsia="Arial Narrow" w:hAnsi="Arial Narrow" w:cs="Arial Narrow"/>
                <w:sz w:val="20"/>
                <w:szCs w:val="20"/>
                <w:lang w:val="en-GB"/>
              </w:rPr>
            </w:pPr>
            <w:r w:rsidRPr="00174F4D">
              <w:rPr>
                <w:rFonts w:ascii="Arial Narrow" w:eastAsia="Arial Narrow" w:hAnsi="Arial Narrow" w:cs="Arial Narrow"/>
                <w:sz w:val="20"/>
                <w:szCs w:val="20"/>
                <w:lang w:val="en-GB"/>
              </w:rPr>
              <w:t>Market Access Manager,</w:t>
            </w:r>
          </w:p>
          <w:p w:rsidR="009D49F2" w:rsidRDefault="009D49F2" w:rsidP="0027454F">
            <w:pPr>
              <w:ind w:left="0" w:hanging="2"/>
              <w:jc w:val="both"/>
              <w:rPr>
                <w:rFonts w:ascii="Arial Narrow" w:eastAsia="Arial Narrow" w:hAnsi="Arial Narrow" w:cs="Arial Narrow"/>
                <w:sz w:val="20"/>
                <w:szCs w:val="20"/>
              </w:rPr>
            </w:pPr>
            <w:r>
              <w:rPr>
                <w:rFonts w:ascii="Arial Narrow" w:eastAsia="Arial Narrow" w:hAnsi="Arial Narrow" w:cs="Arial Narrow"/>
                <w:sz w:val="20"/>
                <w:szCs w:val="20"/>
              </w:rPr>
              <w:t>Janssen</w:t>
            </w:r>
          </w:p>
        </w:tc>
        <w:tc>
          <w:tcPr>
            <w:tcW w:w="7985" w:type="dxa"/>
          </w:tcPr>
          <w:p w:rsidR="009D49F2" w:rsidRDefault="009D49F2" w:rsidP="0027454F">
            <w:pPr>
              <w:spacing w:after="60"/>
              <w:ind w:left="0" w:hanging="2"/>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Uso de abiraterona como comparador. </w:t>
            </w:r>
          </w:p>
          <w:p w:rsidR="009D49F2" w:rsidRDefault="009D49F2" w:rsidP="0027454F">
            <w:pPr>
              <w:spacing w:after="60"/>
              <w:ind w:left="0" w:hanging="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El motivo de la alegación se refiere a la necesidad de especificar la población en la que está indicada abiraterona, cuando se utiliza como comparador del resto de alternativas a lo largo del documento, dado que abiraterona sólo tiene indicación para un subgrupo de pacientes CPHSm: CPHSm de nuevo diagnóstico y alto riesgo, como refleja su ficha técnica:</w:t>
            </w:r>
          </w:p>
          <w:p w:rsidR="009D49F2" w:rsidRDefault="009D49F2" w:rsidP="0027454F">
            <w:pPr>
              <w:ind w:left="0" w:hanging="2"/>
              <w:jc w:val="both"/>
              <w:rPr>
                <w:rFonts w:ascii="Arial Narrow" w:eastAsia="Arial Narrow" w:hAnsi="Arial Narrow" w:cs="Arial Narrow"/>
                <w:color w:val="000000"/>
                <w:sz w:val="20"/>
                <w:szCs w:val="20"/>
              </w:rPr>
            </w:pPr>
            <w:r>
              <w:rPr>
                <w:rFonts w:ascii="Arial Narrow" w:eastAsia="Arial Narrow" w:hAnsi="Arial Narrow" w:cs="Arial Narrow"/>
                <w:i/>
                <w:color w:val="000000"/>
                <w:sz w:val="20"/>
                <w:szCs w:val="20"/>
              </w:rPr>
              <w:t>“el tratamiento en hombres adultos del cáncer de próstata hormonosensible metastásico de nuevo diagnóstico de alto riesgo (CPHSm) en combinación con tratamiento de deprivación de andrógenos (TDA) (ver sección 5.1)”</w:t>
            </w:r>
          </w:p>
          <w:p w:rsidR="009D49F2" w:rsidRDefault="009D49F2" w:rsidP="0027454F">
            <w:pPr>
              <w:ind w:left="0" w:hanging="2"/>
              <w:jc w:val="both"/>
              <w:rPr>
                <w:rFonts w:ascii="Arial Narrow" w:eastAsia="Arial Narrow" w:hAnsi="Arial Narrow" w:cs="Arial Narrow"/>
                <w:color w:val="000000"/>
                <w:sz w:val="20"/>
                <w:szCs w:val="20"/>
              </w:rPr>
            </w:pPr>
          </w:p>
          <w:p w:rsidR="009D49F2" w:rsidRDefault="009D49F2" w:rsidP="0027454F">
            <w:pPr>
              <w:spacing w:after="60"/>
              <w:ind w:left="0" w:hanging="2"/>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lastRenderedPageBreak/>
              <w:t>Se sugiere modificación en los siguientes apartados del documento:</w:t>
            </w:r>
          </w:p>
          <w:p w:rsidR="009D49F2" w:rsidRDefault="009D49F2" w:rsidP="009D49F2">
            <w:pPr>
              <w:numPr>
                <w:ilvl w:val="0"/>
                <w:numId w:val="10"/>
              </w:numPr>
              <w:pBdr>
                <w:top w:val="nil"/>
                <w:left w:val="nil"/>
                <w:bottom w:val="nil"/>
                <w:right w:val="nil"/>
                <w:between w:val="nil"/>
              </w:pBdr>
              <w:suppressAutoHyphens/>
              <w:spacing w:after="60" w:line="240" w:lineRule="auto"/>
              <w:ind w:left="0" w:hanging="2"/>
              <w:jc w:val="both"/>
              <w:textDirection w:val="btL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u w:val="single"/>
              </w:rPr>
              <w:t>En la Sección 5.2.b,</w:t>
            </w:r>
            <w:r>
              <w:rPr>
                <w:rFonts w:ascii="Arial Narrow" w:eastAsia="Arial Narrow" w:hAnsi="Arial Narrow" w:cs="Arial Narrow"/>
                <w:color w:val="000000"/>
                <w:sz w:val="20"/>
                <w:szCs w:val="20"/>
              </w:rPr>
              <w:t xml:space="preserve"> Evaluación de la validez y de la utilidad práctica de los resultados, Comparadores (pág.20) se menciona: </w:t>
            </w:r>
            <w:r>
              <w:rPr>
                <w:rFonts w:ascii="Arial Narrow" w:eastAsia="Arial Narrow" w:hAnsi="Arial Narrow" w:cs="Arial Narrow"/>
                <w:i/>
                <w:color w:val="000000"/>
                <w:sz w:val="20"/>
                <w:szCs w:val="20"/>
              </w:rPr>
              <w:t>“En este caso, docetaxel podría haber sido el comparador más adecuado en el momento de estudio, teniendo en cuenta que ya fue utilizado como comparador en la evaluación de la indicación de abiraterona en cáncer de próstata hormono-sensible.</w:t>
            </w:r>
            <w:r>
              <w:rPr>
                <w:rFonts w:ascii="Arial Narrow" w:eastAsia="Arial Narrow" w:hAnsi="Arial Narrow" w:cs="Arial Narrow"/>
                <w:color w:val="000000"/>
                <w:sz w:val="20"/>
                <w:szCs w:val="20"/>
              </w:rPr>
              <w:t xml:space="preserve"> </w:t>
            </w:r>
            <w:r>
              <w:rPr>
                <w:rFonts w:ascii="Arial Narrow" w:eastAsia="Arial Narrow" w:hAnsi="Arial Narrow" w:cs="Arial Narrow"/>
                <w:i/>
                <w:color w:val="000000"/>
                <w:sz w:val="20"/>
                <w:szCs w:val="20"/>
              </w:rPr>
              <w:t>Por otro lado, la aprobación de esta indicación para abiraterona el pasado noviembre de 2018, hace plantear la necesidad de una comparación directa de enzalutamida frente a abiraterona</w:t>
            </w:r>
            <w:r>
              <w:rPr>
                <w:rFonts w:ascii="Arial Narrow" w:eastAsia="Arial Narrow" w:hAnsi="Arial Narrow" w:cs="Arial Narrow"/>
                <w:color w:val="000000"/>
                <w:sz w:val="20"/>
                <w:szCs w:val="20"/>
              </w:rPr>
              <w:t>”.</w:t>
            </w:r>
          </w:p>
          <w:p w:rsidR="009D49F2" w:rsidRDefault="009D49F2" w:rsidP="0027454F">
            <w:pPr>
              <w:spacing w:after="60"/>
              <w:ind w:left="0" w:hanging="2"/>
              <w:jc w:val="both"/>
              <w:rPr>
                <w:rFonts w:ascii="Arial Narrow" w:eastAsia="Arial Narrow" w:hAnsi="Arial Narrow" w:cs="Arial Narrow"/>
                <w:sz w:val="20"/>
                <w:szCs w:val="20"/>
              </w:rPr>
            </w:pPr>
            <w:r>
              <w:rPr>
                <w:rFonts w:ascii="Arial Narrow" w:eastAsia="Arial Narrow" w:hAnsi="Arial Narrow" w:cs="Arial Narrow"/>
                <w:b/>
                <w:sz w:val="20"/>
                <w:szCs w:val="20"/>
              </w:rPr>
              <w:t>Se sugiere</w:t>
            </w:r>
            <w:r>
              <w:rPr>
                <w:rFonts w:ascii="Arial Narrow" w:eastAsia="Arial Narrow" w:hAnsi="Arial Narrow" w:cs="Arial Narrow"/>
                <w:sz w:val="20"/>
                <w:szCs w:val="20"/>
              </w:rPr>
              <w:t xml:space="preserve"> aclarar que la indicación aprobada por la Comisión Europea para abiraterona en 2018, no es en pacientes con CPHSm, sino en pacientes con CPHSm de alto riesgo y de nuevo diagnóstico (ver Ficha técnica de abiraterona). Por tanto, en el caso de una comparación tanto entre enzalutamida como docetaxel y abiraterona, ésta debería realizarse en pacientes con CPHSm de alto riesgo y nuevo diagnóstico, donde los tres fármacos tienen indicación aprobada por la EMA. </w:t>
            </w:r>
          </w:p>
          <w:p w:rsidR="009D49F2" w:rsidRDefault="009D49F2" w:rsidP="0027454F">
            <w:pPr>
              <w:spacing w:after="40"/>
              <w:ind w:left="0" w:hanging="2"/>
              <w:jc w:val="both"/>
              <w:rPr>
                <w:rFonts w:ascii="Arial Narrow" w:eastAsia="Arial Narrow" w:hAnsi="Arial Narrow" w:cs="Arial Narrow"/>
                <w:sz w:val="20"/>
                <w:szCs w:val="20"/>
              </w:rPr>
            </w:pPr>
            <w:r>
              <w:rPr>
                <w:rFonts w:ascii="Arial Narrow" w:eastAsia="Arial Narrow" w:hAnsi="Arial Narrow" w:cs="Arial Narrow"/>
                <w:sz w:val="20"/>
                <w:szCs w:val="20"/>
              </w:rPr>
              <w:t>Por lo expuesto se sugiere aclarar y modificar el texto (texto propuesto):</w:t>
            </w:r>
          </w:p>
          <w:p w:rsidR="009D49F2" w:rsidRDefault="009D49F2" w:rsidP="0027454F">
            <w:pPr>
              <w:spacing w:after="120"/>
              <w:ind w:left="0" w:hanging="2"/>
              <w:jc w:val="both"/>
              <w:rPr>
                <w:rFonts w:ascii="Arial Narrow" w:eastAsia="Arial Narrow" w:hAnsi="Arial Narrow" w:cs="Arial Narrow"/>
                <w:sz w:val="20"/>
                <w:szCs w:val="20"/>
              </w:rPr>
            </w:pPr>
            <w:r>
              <w:rPr>
                <w:rFonts w:ascii="Arial Narrow" w:eastAsia="Arial Narrow" w:hAnsi="Arial Narrow" w:cs="Arial Narrow"/>
                <w:i/>
                <w:sz w:val="20"/>
                <w:szCs w:val="20"/>
              </w:rPr>
              <w:t xml:space="preserve">“En este caso, docetaxel podría haber sido el comparador más adecuado en el momento del estudio, teniendo en cuenta que ya fue utilizado como comparador </w:t>
            </w:r>
            <w:r>
              <w:rPr>
                <w:rFonts w:ascii="Arial Narrow" w:eastAsia="Arial Narrow" w:hAnsi="Arial Narrow" w:cs="Arial Narrow"/>
                <w:i/>
                <w:sz w:val="20"/>
                <w:szCs w:val="20"/>
                <w:u w:val="single"/>
              </w:rPr>
              <w:t>en la evaluación de la indicación de abiraterona en cáncer de próstata hormono-sensible de alto riesgo y nuevo diagnóstico</w:t>
            </w:r>
            <w:r>
              <w:rPr>
                <w:rFonts w:ascii="Arial Narrow" w:eastAsia="Arial Narrow" w:hAnsi="Arial Narrow" w:cs="Arial Narrow"/>
                <w:i/>
                <w:sz w:val="20"/>
                <w:szCs w:val="20"/>
              </w:rPr>
              <w:t>.</w:t>
            </w:r>
            <w:r>
              <w:rPr>
                <w:rFonts w:ascii="Arial Narrow" w:eastAsia="Arial Narrow" w:hAnsi="Arial Narrow" w:cs="Arial Narrow"/>
                <w:sz w:val="20"/>
                <w:szCs w:val="20"/>
              </w:rPr>
              <w:t xml:space="preserve"> </w:t>
            </w:r>
            <w:r>
              <w:rPr>
                <w:rFonts w:ascii="Arial Narrow" w:eastAsia="Arial Narrow" w:hAnsi="Arial Narrow" w:cs="Arial Narrow"/>
                <w:i/>
                <w:sz w:val="20"/>
                <w:szCs w:val="20"/>
              </w:rPr>
              <w:t>Por otro lado, la aprobación de esta indicación para abiraterona el pasado noviembre de 2018, hace plantear la necesidad de una comparación directa de enzalutamida frente a abiraterona en pacientes con CPHSm de nuevo diagnóstico y alto riesgo</w:t>
            </w:r>
            <w:r>
              <w:rPr>
                <w:rFonts w:ascii="Arial Narrow" w:eastAsia="Arial Narrow" w:hAnsi="Arial Narrow" w:cs="Arial Narrow"/>
                <w:sz w:val="20"/>
                <w:szCs w:val="20"/>
              </w:rPr>
              <w:t>”.</w:t>
            </w:r>
          </w:p>
          <w:p w:rsidR="009D49F2" w:rsidRDefault="009D49F2" w:rsidP="009D49F2">
            <w:pPr>
              <w:numPr>
                <w:ilvl w:val="0"/>
                <w:numId w:val="8"/>
              </w:numPr>
              <w:pBdr>
                <w:top w:val="nil"/>
                <w:left w:val="nil"/>
                <w:bottom w:val="nil"/>
                <w:right w:val="nil"/>
                <w:between w:val="nil"/>
              </w:pBdr>
              <w:suppressAutoHyphens/>
              <w:spacing w:after="60" w:line="240" w:lineRule="auto"/>
              <w:ind w:left="0" w:hanging="2"/>
              <w:jc w:val="both"/>
              <w:textDirection w:val="btL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u w:val="single"/>
              </w:rPr>
              <w:t>En la Sección 5.3.b.2</w:t>
            </w:r>
            <w:r>
              <w:rPr>
                <w:rFonts w:ascii="Arial Narrow" w:eastAsia="Arial Narrow" w:hAnsi="Arial Narrow" w:cs="Arial Narrow"/>
                <w:color w:val="000000"/>
                <w:sz w:val="20"/>
                <w:szCs w:val="20"/>
              </w:rPr>
              <w:t xml:space="preserve">, comparaciones indirectas de elaboración propia (pág.34-36), en la que se incluye el estudio LATITUDE. </w:t>
            </w:r>
          </w:p>
          <w:p w:rsidR="009D49F2" w:rsidRDefault="009D49F2" w:rsidP="0027454F">
            <w:pPr>
              <w:spacing w:after="120"/>
              <w:ind w:left="0" w:hanging="2"/>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Se sugiere</w:t>
            </w:r>
            <w:r>
              <w:rPr>
                <w:rFonts w:ascii="Arial Narrow" w:eastAsia="Arial Narrow" w:hAnsi="Arial Narrow" w:cs="Arial Narrow"/>
                <w:color w:val="000000"/>
                <w:sz w:val="20"/>
                <w:szCs w:val="20"/>
              </w:rPr>
              <w:t>, o bien realizar un ajuste de las poblaciones de cada estudio, dado que en el estudio LATITUDE el 100% de los pacientes eran de nuevo diagnóstico y alto riesgo, mientras que en el estudio ARCHES sólo un 70% eran de nuevo diagnóstico y un 62% eran de alto volumen; o bien puntualizar que hay que analizar con cautela los resultados obtenidos debido a las limitaciones que presenta la comparación por la diferencia en las características de los pacientes.</w:t>
            </w:r>
            <w:r>
              <w:rPr>
                <w:rFonts w:ascii="Arial Narrow" w:eastAsia="Arial Narrow" w:hAnsi="Arial Narrow" w:cs="Arial Narrow"/>
                <w:color w:val="000000"/>
                <w:sz w:val="20"/>
                <w:szCs w:val="20"/>
              </w:rPr>
              <w:br/>
            </w:r>
          </w:p>
          <w:p w:rsidR="009D49F2" w:rsidRDefault="009D49F2" w:rsidP="009D49F2">
            <w:pPr>
              <w:numPr>
                <w:ilvl w:val="0"/>
                <w:numId w:val="8"/>
              </w:numPr>
              <w:pBdr>
                <w:top w:val="nil"/>
                <w:left w:val="nil"/>
                <w:bottom w:val="nil"/>
                <w:right w:val="nil"/>
                <w:between w:val="nil"/>
              </w:pBdr>
              <w:suppressAutoHyphens/>
              <w:spacing w:after="60" w:line="240" w:lineRule="auto"/>
              <w:ind w:left="0" w:hanging="2"/>
              <w:jc w:val="both"/>
              <w:textDirection w:val="btL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u w:val="single"/>
              </w:rPr>
              <w:t>En la Sección 7</w:t>
            </w:r>
            <w:r>
              <w:rPr>
                <w:rFonts w:ascii="Arial Narrow" w:eastAsia="Arial Narrow" w:hAnsi="Arial Narrow" w:cs="Arial Narrow"/>
                <w:color w:val="000000"/>
                <w:sz w:val="20"/>
                <w:szCs w:val="20"/>
              </w:rPr>
              <w:t xml:space="preserve">. Área económica (pág. 48), se incluye abiraterona como “alternativa”, tanto en el punto 7.1, Tabla 10, como en el 7.4.2, para la estimación del impacto presupuestario. Sin embargo, en el punto 7.3.3, Coste-utilidad, estudios propios, se emplea docetaxel+TPA como comparador. </w:t>
            </w:r>
          </w:p>
          <w:p w:rsidR="009D49F2" w:rsidRDefault="009D49F2" w:rsidP="0027454F">
            <w:pPr>
              <w:spacing w:after="120"/>
              <w:ind w:left="0" w:hanging="2"/>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Se sugiere</w:t>
            </w:r>
            <w:r>
              <w:rPr>
                <w:rFonts w:ascii="Arial Narrow" w:eastAsia="Arial Narrow" w:hAnsi="Arial Narrow" w:cs="Arial Narrow"/>
                <w:color w:val="000000"/>
                <w:sz w:val="20"/>
                <w:szCs w:val="20"/>
              </w:rPr>
              <w:t xml:space="preserve"> eliminar abiraterona como comparador en la estimación del impacto presupuestario para los pacientes con CPHSm y aclarar las diferencias de indicación de cada uno de los fármacos.</w:t>
            </w:r>
          </w:p>
          <w:p w:rsidR="009D49F2" w:rsidRDefault="009D49F2" w:rsidP="009D49F2">
            <w:pPr>
              <w:numPr>
                <w:ilvl w:val="0"/>
                <w:numId w:val="12"/>
              </w:numPr>
              <w:pBdr>
                <w:top w:val="nil"/>
                <w:left w:val="nil"/>
                <w:bottom w:val="nil"/>
                <w:right w:val="nil"/>
                <w:between w:val="nil"/>
              </w:pBdr>
              <w:suppressAutoHyphens/>
              <w:spacing w:after="60" w:line="240" w:lineRule="auto"/>
              <w:ind w:left="0" w:hanging="2"/>
              <w:jc w:val="both"/>
              <w:textDirection w:val="btL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u w:val="single"/>
              </w:rPr>
              <w:lastRenderedPageBreak/>
              <w:t>En la Sección 9.1</w:t>
            </w:r>
            <w:r>
              <w:rPr>
                <w:rFonts w:ascii="Arial Narrow" w:eastAsia="Arial Narrow" w:hAnsi="Arial Narrow" w:cs="Arial Narrow"/>
                <w:color w:val="000000"/>
                <w:sz w:val="20"/>
                <w:szCs w:val="20"/>
              </w:rPr>
              <w:t xml:space="preserve"> a) Aspectos clínico-terapéuticos (pág. 55) se hace referencia a abiraterona como comparador. </w:t>
            </w:r>
            <w:r>
              <w:rPr>
                <w:rFonts w:ascii="Arial Narrow" w:eastAsia="Arial Narrow" w:hAnsi="Arial Narrow" w:cs="Arial Narrow"/>
                <w:i/>
                <w:color w:val="000000"/>
                <w:sz w:val="20"/>
                <w:szCs w:val="20"/>
              </w:rPr>
              <w:t>“En relación a los comparadores docetaxel, apalutamida y abiraterona, para SLPr, mediante metanálisis en red, se observan resultados no del todo homogéneos”</w:t>
            </w:r>
          </w:p>
          <w:p w:rsidR="009D49F2" w:rsidRDefault="009D49F2" w:rsidP="0027454F">
            <w:pPr>
              <w:ind w:left="0" w:hanging="2"/>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Se sugiere</w:t>
            </w:r>
            <w:r>
              <w:rPr>
                <w:rFonts w:ascii="Arial Narrow" w:eastAsia="Arial Narrow" w:hAnsi="Arial Narrow" w:cs="Arial Narrow"/>
                <w:color w:val="000000"/>
                <w:sz w:val="20"/>
                <w:szCs w:val="20"/>
              </w:rPr>
              <w:t xml:space="preserve"> aclarar que abiraterona sólo está indicado en una parte de la población con CPHSm: CPHSm de alto riesgo y de nuevo diagnóstico.</w:t>
            </w:r>
          </w:p>
          <w:p w:rsidR="009D49F2" w:rsidRDefault="009D49F2" w:rsidP="0027454F">
            <w:pPr>
              <w:ind w:left="0" w:hanging="2"/>
              <w:jc w:val="both"/>
              <w:rPr>
                <w:rFonts w:ascii="Arial Narrow" w:eastAsia="Arial Narrow" w:hAnsi="Arial Narrow" w:cs="Arial Narrow"/>
                <w:color w:val="000000"/>
                <w:sz w:val="20"/>
                <w:szCs w:val="20"/>
              </w:rPr>
            </w:pPr>
          </w:p>
          <w:p w:rsidR="009D49F2" w:rsidRDefault="009D49F2" w:rsidP="0027454F">
            <w:pPr>
              <w:pBdr>
                <w:top w:val="nil"/>
                <w:left w:val="nil"/>
                <w:bottom w:val="nil"/>
                <w:right w:val="nil"/>
                <w:between w:val="nil"/>
              </w:pBdr>
              <w:spacing w:after="120" w:line="240"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Se sugiere especificar en todos aquellos apartados en los que se cita abiraterona como comparador, que este fármaco es comparador sólo en los pacientes donde tiene indicación aprobada por la Comisión Europea: pacientes con CPHSm de alto riesgo y nuevo diagnóstico, lo que supone un subgrupo del total de pacientes CPHSm; lo contrario supondría utilizar como comparador un fármaco no aprobado por parte de la CE</w:t>
            </w:r>
            <w:r>
              <w:rPr>
                <w:rFonts w:ascii="Arial Narrow" w:eastAsia="Arial Narrow" w:hAnsi="Arial Narrow" w:cs="Arial Narrow"/>
                <w:color w:val="000000"/>
                <w:sz w:val="20"/>
                <w:szCs w:val="20"/>
              </w:rPr>
              <w:t>.</w:t>
            </w:r>
          </w:p>
          <w:p w:rsidR="009D49F2" w:rsidRDefault="009D49F2" w:rsidP="0027454F">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u w:val="single"/>
              </w:rPr>
              <w:t>Referencia</w:t>
            </w:r>
            <w:r>
              <w:rPr>
                <w:rFonts w:ascii="Arial Narrow" w:eastAsia="Arial Narrow" w:hAnsi="Arial Narrow" w:cs="Arial Narrow"/>
                <w:color w:val="000000"/>
                <w:sz w:val="20"/>
                <w:szCs w:val="20"/>
              </w:rPr>
              <w:t>:</w:t>
            </w:r>
            <w:hyperlink r:id="rId85">
              <w:r>
                <w:rPr>
                  <w:rFonts w:ascii="Arial Narrow" w:eastAsia="Arial Narrow" w:hAnsi="Arial Narrow" w:cs="Arial Narrow"/>
                  <w:color w:val="0000FF"/>
                  <w:sz w:val="20"/>
                  <w:szCs w:val="20"/>
                  <w:u w:val="single"/>
                </w:rPr>
                <w:t>https://www.ema.europa.eu/en/documents/product-information/zytiga-epar-product-information_es.pdf</w:t>
              </w:r>
            </w:hyperlink>
          </w:p>
        </w:tc>
        <w:tc>
          <w:tcPr>
            <w:tcW w:w="5953" w:type="dxa"/>
          </w:tcPr>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r>
              <w:rPr>
                <w:rFonts w:ascii="Arial Narrow" w:eastAsia="Arial Narrow" w:hAnsi="Arial Narrow" w:cs="Arial Narrow"/>
                <w:sz w:val="20"/>
                <w:szCs w:val="20"/>
              </w:rPr>
              <w:t>Se añade comentario.</w:t>
            </w: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r>
              <w:rPr>
                <w:rFonts w:ascii="Arial Narrow" w:eastAsia="Arial Narrow" w:hAnsi="Arial Narrow" w:cs="Arial Narrow"/>
                <w:sz w:val="20"/>
                <w:szCs w:val="20"/>
              </w:rPr>
              <w:t>Se incluye comentario</w:t>
            </w: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r>
              <w:rPr>
                <w:rFonts w:ascii="Arial Narrow" w:eastAsia="Arial Narrow" w:hAnsi="Arial Narrow" w:cs="Arial Narrow"/>
                <w:sz w:val="20"/>
                <w:szCs w:val="20"/>
              </w:rPr>
              <w:t>Se incluye comentario en relación a la indicación de abiraterona.</w:t>
            </w: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tc>
      </w:tr>
      <w:tr w:rsidR="009D49F2" w:rsidTr="0027454F">
        <w:tc>
          <w:tcPr>
            <w:tcW w:w="1088" w:type="dxa"/>
          </w:tcPr>
          <w:p w:rsidR="009D49F2" w:rsidRPr="00174F4D" w:rsidRDefault="009D49F2" w:rsidP="0027454F">
            <w:pPr>
              <w:ind w:left="0" w:hanging="2"/>
              <w:jc w:val="both"/>
              <w:rPr>
                <w:rFonts w:ascii="Arial Narrow" w:eastAsia="Arial Narrow" w:hAnsi="Arial Narrow" w:cs="Arial Narrow"/>
                <w:sz w:val="20"/>
                <w:szCs w:val="20"/>
                <w:lang w:val="en-GB"/>
              </w:rPr>
            </w:pPr>
            <w:bookmarkStart w:id="69" w:name="_heading=h.35nkun2" w:colFirst="0" w:colLast="0"/>
            <w:bookmarkEnd w:id="69"/>
            <w:r w:rsidRPr="00174F4D">
              <w:rPr>
                <w:rFonts w:ascii="Arial Narrow" w:eastAsia="Arial Narrow" w:hAnsi="Arial Narrow" w:cs="Arial Narrow"/>
                <w:sz w:val="20"/>
                <w:szCs w:val="20"/>
                <w:lang w:val="en-GB"/>
              </w:rPr>
              <w:lastRenderedPageBreak/>
              <w:t xml:space="preserve">Marta Egea, </w:t>
            </w:r>
            <w:r w:rsidRPr="00174F4D">
              <w:rPr>
                <w:rFonts w:ascii="Arial Narrow" w:eastAsia="Arial Narrow" w:hAnsi="Arial Narrow" w:cs="Arial Narrow"/>
                <w:sz w:val="20"/>
                <w:szCs w:val="20"/>
                <w:lang w:val="en-GB"/>
              </w:rPr>
              <w:br/>
            </w:r>
          </w:p>
          <w:p w:rsidR="009D49F2" w:rsidRPr="00174F4D" w:rsidRDefault="009D49F2" w:rsidP="0027454F">
            <w:pPr>
              <w:ind w:left="0" w:hanging="2"/>
              <w:jc w:val="both"/>
              <w:rPr>
                <w:rFonts w:ascii="Arial Narrow" w:eastAsia="Arial Narrow" w:hAnsi="Arial Narrow" w:cs="Arial Narrow"/>
                <w:sz w:val="20"/>
                <w:szCs w:val="20"/>
                <w:lang w:val="en-GB"/>
              </w:rPr>
            </w:pPr>
            <w:r w:rsidRPr="00174F4D">
              <w:rPr>
                <w:rFonts w:ascii="Arial Narrow" w:eastAsia="Arial Narrow" w:hAnsi="Arial Narrow" w:cs="Arial Narrow"/>
                <w:sz w:val="20"/>
                <w:szCs w:val="20"/>
                <w:lang w:val="en-GB"/>
              </w:rPr>
              <w:t>Market Access Manager,</w:t>
            </w:r>
          </w:p>
          <w:p w:rsidR="009D49F2" w:rsidRDefault="009D49F2" w:rsidP="0027454F">
            <w:pPr>
              <w:ind w:left="0" w:hanging="2"/>
              <w:jc w:val="both"/>
              <w:rPr>
                <w:rFonts w:ascii="Arial Narrow" w:eastAsia="Arial Narrow" w:hAnsi="Arial Narrow" w:cs="Arial Narrow"/>
                <w:sz w:val="20"/>
                <w:szCs w:val="20"/>
              </w:rPr>
            </w:pPr>
            <w:r>
              <w:rPr>
                <w:rFonts w:ascii="Arial Narrow" w:eastAsia="Arial Narrow" w:hAnsi="Arial Narrow" w:cs="Arial Narrow"/>
                <w:sz w:val="20"/>
                <w:szCs w:val="20"/>
              </w:rPr>
              <w:t>Janssen.</w:t>
            </w:r>
          </w:p>
        </w:tc>
        <w:tc>
          <w:tcPr>
            <w:tcW w:w="7985" w:type="dxa"/>
          </w:tcPr>
          <w:p w:rsidR="009D49F2" w:rsidRDefault="009D49F2" w:rsidP="0027454F">
            <w:pPr>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PUNTUALIZACIONES</w:t>
            </w:r>
          </w:p>
          <w:p w:rsidR="009D49F2" w:rsidRDefault="009D49F2" w:rsidP="009D49F2">
            <w:pPr>
              <w:numPr>
                <w:ilvl w:val="0"/>
                <w:numId w:val="12"/>
              </w:numPr>
              <w:pBdr>
                <w:top w:val="nil"/>
                <w:left w:val="nil"/>
                <w:bottom w:val="nil"/>
                <w:right w:val="nil"/>
                <w:between w:val="nil"/>
              </w:pBdr>
              <w:suppressAutoHyphens/>
              <w:spacing w:line="240" w:lineRule="auto"/>
              <w:ind w:left="0" w:hanging="2"/>
              <w:jc w:val="both"/>
              <w:textDirection w:val="btL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u w:val="single"/>
              </w:rPr>
              <w:t>En la Sección 5.4.1 Guías de Práctica clínica (pág. 40)</w:t>
            </w:r>
            <w:r>
              <w:rPr>
                <w:rFonts w:ascii="Arial Narrow" w:eastAsia="Arial Narrow" w:hAnsi="Arial Narrow" w:cs="Arial Narrow"/>
                <w:b/>
                <w:color w:val="000000"/>
                <w:sz w:val="20"/>
                <w:szCs w:val="20"/>
              </w:rPr>
              <w:t xml:space="preserve"> </w:t>
            </w:r>
            <w:r>
              <w:rPr>
                <w:rFonts w:ascii="Arial Narrow" w:eastAsia="Arial Narrow" w:hAnsi="Arial Narrow" w:cs="Arial Narrow"/>
                <w:color w:val="000000"/>
                <w:sz w:val="20"/>
                <w:szCs w:val="20"/>
              </w:rPr>
              <w:t xml:space="preserve">se menciona que: </w:t>
            </w:r>
            <w:r>
              <w:rPr>
                <w:rFonts w:ascii="Arial Narrow" w:eastAsia="Arial Narrow" w:hAnsi="Arial Narrow" w:cs="Arial Narrow"/>
                <w:i/>
                <w:color w:val="000000"/>
                <w:sz w:val="20"/>
                <w:szCs w:val="20"/>
              </w:rPr>
              <w:t>“recomiendan como tratamiento estándar la TPA en combinación con docetaxel para hombres con CPHSm que son candidatos para la quimioterapia, particularmente aquellos con una carga metastásica alta”.</w:t>
            </w:r>
          </w:p>
          <w:p w:rsidR="009D49F2" w:rsidRDefault="009D49F2" w:rsidP="0027454F">
            <w:pPr>
              <w:pBdr>
                <w:top w:val="nil"/>
                <w:left w:val="nil"/>
                <w:bottom w:val="nil"/>
                <w:right w:val="nil"/>
                <w:between w:val="nil"/>
              </w:pBdr>
              <w:spacing w:after="60" w:line="240"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Sin embargo, la guía NCCN, aunque recomienda el uso de docetaxel en pacientes con CPHSm con categoría 1, especifica que </w:t>
            </w:r>
            <w:r>
              <w:rPr>
                <w:rFonts w:ascii="Arial Narrow" w:eastAsia="Arial Narrow" w:hAnsi="Arial Narrow" w:cs="Arial Narrow"/>
                <w:color w:val="000000"/>
                <w:sz w:val="20"/>
                <w:szCs w:val="20"/>
                <w:u w:val="single"/>
              </w:rPr>
              <w:t>el beneficio de docetaxel no está asegurado</w:t>
            </w:r>
            <w:r>
              <w:rPr>
                <w:rFonts w:ascii="Arial Narrow" w:eastAsia="Arial Narrow" w:hAnsi="Arial Narrow" w:cs="Arial Narrow"/>
                <w:color w:val="000000"/>
                <w:sz w:val="20"/>
                <w:szCs w:val="20"/>
              </w:rPr>
              <w:t xml:space="preserve"> en pacientes de bajo volumen y no debe ofrecerse a este perfil de paciente: </w:t>
            </w:r>
          </w:p>
          <w:p w:rsidR="009D49F2" w:rsidRPr="00174F4D" w:rsidRDefault="009D49F2" w:rsidP="0027454F">
            <w:pPr>
              <w:pBdr>
                <w:top w:val="nil"/>
                <w:left w:val="nil"/>
                <w:bottom w:val="nil"/>
                <w:right w:val="nil"/>
                <w:between w:val="nil"/>
              </w:pBdr>
              <w:spacing w:after="60" w:line="240" w:lineRule="auto"/>
              <w:ind w:left="0" w:hanging="2"/>
              <w:jc w:val="both"/>
              <w:rPr>
                <w:rFonts w:ascii="Arial Narrow" w:eastAsia="Arial Narrow" w:hAnsi="Arial Narrow" w:cs="Arial Narrow"/>
                <w:color w:val="000000"/>
                <w:sz w:val="20"/>
                <w:szCs w:val="20"/>
                <w:lang w:val="en-GB"/>
              </w:rPr>
            </w:pPr>
            <w:r w:rsidRPr="00174F4D">
              <w:rPr>
                <w:rFonts w:ascii="Arial Narrow" w:eastAsia="Arial Narrow" w:hAnsi="Arial Narrow" w:cs="Arial Narrow"/>
                <w:i/>
                <w:color w:val="000000"/>
                <w:sz w:val="20"/>
                <w:szCs w:val="20"/>
                <w:lang w:val="en-GB"/>
              </w:rPr>
              <w:t>“Patients with low-volumen disease have less certain benefit from early treatment with docetaxel combined with ADT”</w:t>
            </w:r>
            <w:r w:rsidRPr="00174F4D">
              <w:rPr>
                <w:rFonts w:ascii="Arial Narrow" w:eastAsia="Arial Narrow" w:hAnsi="Arial Narrow" w:cs="Arial Narrow"/>
                <w:color w:val="000000"/>
                <w:sz w:val="20"/>
                <w:szCs w:val="20"/>
                <w:lang w:val="en-GB"/>
              </w:rPr>
              <w:t xml:space="preserve"> (Pág. 27). </w:t>
            </w:r>
            <w:r w:rsidRPr="00174F4D">
              <w:rPr>
                <w:rFonts w:ascii="Arial Narrow" w:eastAsia="Arial Narrow" w:hAnsi="Arial Narrow" w:cs="Arial Narrow"/>
                <w:i/>
                <w:color w:val="000000"/>
                <w:sz w:val="20"/>
                <w:szCs w:val="20"/>
                <w:lang w:val="en-GB"/>
              </w:rPr>
              <w:t xml:space="preserve">“Docetaxel should not be offered to patients with low-volume metastatic prostate cancer, since this subgroup was not shown to have improved survival in either the ECOG study or a similar European (GETUG-AFU 15) trial” </w:t>
            </w:r>
            <w:r w:rsidRPr="00174F4D">
              <w:rPr>
                <w:rFonts w:ascii="Arial Narrow" w:eastAsia="Arial Narrow" w:hAnsi="Arial Narrow" w:cs="Arial Narrow"/>
                <w:color w:val="000000"/>
                <w:sz w:val="20"/>
                <w:szCs w:val="20"/>
                <w:lang w:val="en-GB"/>
              </w:rPr>
              <w:t>(Pág. 59)</w:t>
            </w:r>
          </w:p>
          <w:p w:rsidR="009D49F2" w:rsidRDefault="009D49F2" w:rsidP="0027454F">
            <w:pPr>
              <w:pBdr>
                <w:top w:val="nil"/>
                <w:left w:val="nil"/>
                <w:bottom w:val="nil"/>
                <w:right w:val="nil"/>
                <w:between w:val="nil"/>
              </w:pBdr>
              <w:spacing w:after="120" w:line="240"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u w:val="single"/>
              </w:rPr>
              <w:t>Referencia</w:t>
            </w:r>
            <w:r>
              <w:rPr>
                <w:rFonts w:ascii="Arial Narrow" w:eastAsia="Arial Narrow" w:hAnsi="Arial Narrow" w:cs="Arial Narrow"/>
                <w:color w:val="000000"/>
                <w:sz w:val="20"/>
                <w:szCs w:val="20"/>
              </w:rPr>
              <w:t xml:space="preserve">: </w:t>
            </w:r>
            <w:hyperlink r:id="rId86">
              <w:r>
                <w:rPr>
                  <w:rFonts w:ascii="Arial Narrow" w:eastAsia="Arial Narrow" w:hAnsi="Arial Narrow" w:cs="Arial Narrow"/>
                  <w:color w:val="0000FF"/>
                  <w:sz w:val="20"/>
                  <w:szCs w:val="20"/>
                </w:rPr>
                <w:t>https://www.nccn.org/professionals/physician_gls/pdf/prostate.pdf</w:t>
              </w:r>
            </w:hyperlink>
          </w:p>
          <w:p w:rsidR="009D49F2" w:rsidRDefault="009D49F2" w:rsidP="0027454F">
            <w:pPr>
              <w:pBdr>
                <w:top w:val="nil"/>
                <w:left w:val="nil"/>
                <w:bottom w:val="nil"/>
                <w:right w:val="nil"/>
                <w:between w:val="nil"/>
              </w:pBdr>
              <w:spacing w:after="120" w:line="240"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Se sugiere</w:t>
            </w:r>
            <w:r>
              <w:rPr>
                <w:rFonts w:ascii="Arial Narrow" w:eastAsia="Arial Narrow" w:hAnsi="Arial Narrow" w:cs="Arial Narrow"/>
                <w:color w:val="000000"/>
                <w:sz w:val="20"/>
                <w:szCs w:val="20"/>
              </w:rPr>
              <w:t xml:space="preserve"> clarificar que las guías de práctica clínica consideran que el beneficio de docetaxel en pacientes de bajo volumen no está asegurado y no se debe ofrecer a estos pacientes.</w:t>
            </w:r>
          </w:p>
          <w:p w:rsidR="009D49F2" w:rsidRDefault="009D49F2" w:rsidP="0027454F">
            <w:pPr>
              <w:pBdr>
                <w:top w:val="nil"/>
                <w:left w:val="nil"/>
                <w:bottom w:val="nil"/>
                <w:right w:val="nil"/>
                <w:between w:val="nil"/>
              </w:pBdr>
              <w:spacing w:after="120" w:line="240" w:lineRule="auto"/>
              <w:ind w:left="0" w:hanging="2"/>
              <w:jc w:val="both"/>
              <w:rPr>
                <w:rFonts w:ascii="Arial Narrow" w:eastAsia="Arial Narrow" w:hAnsi="Arial Narrow" w:cs="Arial Narrow"/>
                <w:color w:val="000000"/>
                <w:sz w:val="20"/>
                <w:szCs w:val="20"/>
              </w:rPr>
            </w:pPr>
          </w:p>
          <w:p w:rsidR="009D49F2" w:rsidRDefault="009D49F2" w:rsidP="0027454F">
            <w:pPr>
              <w:pBdr>
                <w:top w:val="nil"/>
                <w:left w:val="nil"/>
                <w:bottom w:val="nil"/>
                <w:right w:val="nil"/>
                <w:between w:val="nil"/>
              </w:pBdr>
              <w:spacing w:before="60" w:after="60" w:line="240"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En esta misma línea, </w:t>
            </w:r>
            <w:r>
              <w:rPr>
                <w:rFonts w:ascii="Arial Narrow" w:eastAsia="Arial Narrow" w:hAnsi="Arial Narrow" w:cs="Arial Narrow"/>
                <w:b/>
                <w:color w:val="000000"/>
                <w:sz w:val="20"/>
                <w:szCs w:val="20"/>
              </w:rPr>
              <w:t>se sugiere</w:t>
            </w:r>
            <w:r>
              <w:rPr>
                <w:rFonts w:ascii="Arial Narrow" w:eastAsia="Arial Narrow" w:hAnsi="Arial Narrow" w:cs="Arial Narrow"/>
                <w:color w:val="000000"/>
                <w:sz w:val="20"/>
                <w:szCs w:val="20"/>
              </w:rPr>
              <w:t xml:space="preserve"> añadir las recomendaciones de las guías ASCO (</w:t>
            </w:r>
            <w:r>
              <w:rPr>
                <w:rFonts w:ascii="Arial Narrow" w:eastAsia="Arial Narrow" w:hAnsi="Arial Narrow" w:cs="Arial Narrow"/>
                <w:i/>
                <w:color w:val="000000"/>
                <w:sz w:val="20"/>
                <w:szCs w:val="20"/>
              </w:rPr>
              <w:t>Initial Management of Noncastrate Advanced, Recurrent, or Metastatic Prostate Cancer: ASCO Guideline Update</w:t>
            </w:r>
            <w:r>
              <w:rPr>
                <w:rFonts w:ascii="Arial Narrow" w:eastAsia="Arial Narrow" w:hAnsi="Arial Narrow" w:cs="Arial Narrow"/>
                <w:color w:val="000000"/>
                <w:sz w:val="20"/>
                <w:szCs w:val="20"/>
              </w:rPr>
              <w:t xml:space="preserve">) en la que se menciona que no se debe ofrecer docetaxel a pacientes con CPHSm de bajo volumen, aunque sean candidatos a tratamiento con quimioterapia. </w:t>
            </w:r>
          </w:p>
          <w:p w:rsidR="009D49F2" w:rsidRPr="00174F4D" w:rsidRDefault="009D49F2" w:rsidP="0027454F">
            <w:pPr>
              <w:spacing w:after="60"/>
              <w:ind w:left="0" w:hanging="2"/>
              <w:jc w:val="both"/>
              <w:rPr>
                <w:rFonts w:ascii="Arial Narrow" w:eastAsia="Arial Narrow" w:hAnsi="Arial Narrow" w:cs="Arial Narrow"/>
                <w:sz w:val="20"/>
                <w:szCs w:val="20"/>
                <w:lang w:val="en-GB"/>
              </w:rPr>
            </w:pPr>
            <w:r w:rsidRPr="00174F4D">
              <w:rPr>
                <w:rFonts w:ascii="Arial Narrow" w:eastAsia="Arial Narrow" w:hAnsi="Arial Narrow" w:cs="Arial Narrow"/>
                <w:i/>
                <w:sz w:val="20"/>
                <w:szCs w:val="20"/>
                <w:u w:val="single"/>
                <w:lang w:val="en-GB"/>
              </w:rPr>
              <w:lastRenderedPageBreak/>
              <w:t>“Recommendation 1.2.</w:t>
            </w:r>
            <w:r w:rsidRPr="00174F4D">
              <w:rPr>
                <w:rFonts w:ascii="Arial Narrow" w:eastAsia="Arial Narrow" w:hAnsi="Arial Narrow" w:cs="Arial Narrow"/>
                <w:i/>
                <w:sz w:val="20"/>
                <w:szCs w:val="20"/>
                <w:lang w:val="en-GB"/>
              </w:rPr>
              <w:t xml:space="preserve"> For patients with low-volume metastatic disease (LVD) as defined per CHAARTED</w:t>
            </w:r>
            <w:r w:rsidRPr="00174F4D">
              <w:rPr>
                <w:rFonts w:ascii="Arial Narrow" w:eastAsia="Arial Narrow" w:hAnsi="Arial Narrow" w:cs="Arial Narrow"/>
                <w:i/>
                <w:sz w:val="20"/>
                <w:szCs w:val="20"/>
                <w:vertAlign w:val="superscript"/>
                <w:lang w:val="en-GB"/>
              </w:rPr>
              <w:t>7</w:t>
            </w:r>
            <w:r w:rsidRPr="00174F4D">
              <w:rPr>
                <w:rFonts w:ascii="Arial Narrow" w:eastAsia="Arial Narrow" w:hAnsi="Arial Narrow" w:cs="Arial Narrow"/>
                <w:i/>
                <w:sz w:val="20"/>
                <w:szCs w:val="20"/>
                <w:lang w:val="en-GB"/>
              </w:rPr>
              <w:t xml:space="preserve"> who are candidates for chemotherapy, docetaxel plus ADT should not be offered (Type: evidence-based, benefits outweigh harms; Evidence quality: high; Strength of recommendation: strong for patients with LVD)”. (Pág. 2)</w:t>
            </w:r>
          </w:p>
          <w:p w:rsidR="009D49F2" w:rsidRPr="009D49F2" w:rsidRDefault="009D49F2" w:rsidP="0027454F">
            <w:pPr>
              <w:spacing w:after="60"/>
              <w:ind w:left="0" w:hanging="2"/>
              <w:jc w:val="both"/>
              <w:rPr>
                <w:rFonts w:ascii="Arial Narrow" w:eastAsia="Arial Narrow" w:hAnsi="Arial Narrow" w:cs="Arial Narrow"/>
                <w:sz w:val="20"/>
                <w:szCs w:val="20"/>
                <w:lang w:val="en-GB"/>
              </w:rPr>
            </w:pPr>
            <w:r w:rsidRPr="00174F4D">
              <w:rPr>
                <w:rFonts w:ascii="Arial Narrow" w:eastAsia="Arial Narrow" w:hAnsi="Arial Narrow" w:cs="Arial Narrow"/>
                <w:i/>
                <w:sz w:val="20"/>
                <w:szCs w:val="20"/>
                <w:lang w:val="en-GB"/>
              </w:rPr>
              <w:t xml:space="preserve">“Men with metastatic disease who do not fit into these categories should not be offered docetaxel. The strength of the evidence to support an overall survival (OS) benefit is not compelling for men who do not have de novo metastatic disease and/or who do not meet the HVD criteria.” </w:t>
            </w:r>
            <w:r w:rsidRPr="009D49F2">
              <w:rPr>
                <w:rFonts w:ascii="Arial Narrow" w:eastAsia="Arial Narrow" w:hAnsi="Arial Narrow" w:cs="Arial Narrow"/>
                <w:i/>
                <w:sz w:val="20"/>
                <w:szCs w:val="20"/>
                <w:lang w:val="en-GB"/>
              </w:rPr>
              <w:t>(Pág. 2)</w:t>
            </w:r>
          </w:p>
          <w:p w:rsidR="009D49F2" w:rsidRDefault="009D49F2" w:rsidP="0027454F">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r w:rsidRPr="009D49F2">
              <w:rPr>
                <w:rFonts w:ascii="Arial Narrow" w:eastAsia="Arial Narrow" w:hAnsi="Arial Narrow" w:cs="Arial Narrow"/>
                <w:color w:val="000000"/>
                <w:sz w:val="20"/>
                <w:szCs w:val="20"/>
                <w:u w:val="single"/>
                <w:lang w:val="en-GB"/>
              </w:rPr>
              <w:t>Referencia</w:t>
            </w:r>
            <w:r w:rsidRPr="009D49F2">
              <w:rPr>
                <w:rFonts w:ascii="Arial Narrow" w:eastAsia="Arial Narrow" w:hAnsi="Arial Narrow" w:cs="Arial Narrow"/>
                <w:color w:val="000000"/>
                <w:sz w:val="20"/>
                <w:szCs w:val="20"/>
                <w:lang w:val="en-GB"/>
              </w:rPr>
              <w:t xml:space="preserve">: Virgo KS </w:t>
            </w:r>
            <w:r w:rsidRPr="009D49F2">
              <w:rPr>
                <w:rFonts w:ascii="Arial Narrow" w:eastAsia="Arial Narrow" w:hAnsi="Arial Narrow" w:cs="Arial Narrow"/>
                <w:i/>
                <w:color w:val="000000"/>
                <w:sz w:val="20"/>
                <w:szCs w:val="20"/>
                <w:lang w:val="en-GB"/>
              </w:rPr>
              <w:t>et al</w:t>
            </w:r>
            <w:r w:rsidRPr="009D49F2">
              <w:rPr>
                <w:rFonts w:ascii="Arial Narrow" w:eastAsia="Arial Narrow" w:hAnsi="Arial Narrow" w:cs="Arial Narrow"/>
                <w:color w:val="000000"/>
                <w:sz w:val="20"/>
                <w:szCs w:val="20"/>
                <w:lang w:val="en-GB"/>
              </w:rPr>
              <w:t xml:space="preserve">. Initial Management of Noncastrate Advanced, Recurrent, or Metastatic Prostate Cancer: ASCO Guideline Update. </w:t>
            </w:r>
            <w:r>
              <w:rPr>
                <w:rFonts w:ascii="Arial Narrow" w:eastAsia="Arial Narrow" w:hAnsi="Arial Narrow" w:cs="Arial Narrow"/>
                <w:color w:val="000000"/>
                <w:sz w:val="20"/>
                <w:szCs w:val="20"/>
              </w:rPr>
              <w:t>J Clin Oncol. 2021 Apr 10;39(11):1274-1305.</w:t>
            </w:r>
          </w:p>
          <w:p w:rsidR="009D49F2" w:rsidRDefault="009D49F2" w:rsidP="0027454F">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p>
        </w:tc>
        <w:tc>
          <w:tcPr>
            <w:tcW w:w="5953" w:type="dxa"/>
          </w:tcPr>
          <w:p w:rsidR="009D49F2" w:rsidRDefault="009D49F2" w:rsidP="0027454F">
            <w:pPr>
              <w:ind w:left="0" w:hanging="2"/>
              <w:jc w:val="both"/>
              <w:rPr>
                <w:rFonts w:ascii="Arial Narrow" w:eastAsia="Arial Narrow" w:hAnsi="Arial Narrow" w:cs="Arial Narrow"/>
                <w:sz w:val="20"/>
                <w:szCs w:val="20"/>
              </w:rPr>
            </w:pPr>
            <w:r>
              <w:rPr>
                <w:rFonts w:ascii="Arial Narrow" w:eastAsia="Arial Narrow" w:hAnsi="Arial Narrow" w:cs="Arial Narrow"/>
                <w:sz w:val="20"/>
                <w:szCs w:val="20"/>
              </w:rPr>
              <w:lastRenderedPageBreak/>
              <w:t>Respuesta Tutor</w:t>
            </w: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r>
              <w:rPr>
                <w:rFonts w:ascii="Arial Narrow" w:eastAsia="Arial Narrow" w:hAnsi="Arial Narrow" w:cs="Arial Narrow"/>
                <w:sz w:val="20"/>
                <w:szCs w:val="20"/>
              </w:rPr>
              <w:t xml:space="preserve">Se ha dado respuesta a una alegación similar más arriba. Con los datos disponibles, no se puede concluir que docetaxel no sea eficaz en pacientes con bajo volumen.  </w:t>
            </w:r>
          </w:p>
        </w:tc>
      </w:tr>
      <w:tr w:rsidR="009D49F2" w:rsidTr="0027454F">
        <w:trPr>
          <w:trHeight w:val="6662"/>
        </w:trPr>
        <w:tc>
          <w:tcPr>
            <w:tcW w:w="1088" w:type="dxa"/>
          </w:tcPr>
          <w:p w:rsidR="009D49F2" w:rsidRPr="00174F4D" w:rsidRDefault="009D49F2" w:rsidP="0027454F">
            <w:pPr>
              <w:ind w:left="0" w:hanging="2"/>
              <w:jc w:val="both"/>
              <w:rPr>
                <w:rFonts w:ascii="Arial Narrow" w:eastAsia="Arial Narrow" w:hAnsi="Arial Narrow" w:cs="Arial Narrow"/>
                <w:sz w:val="20"/>
                <w:szCs w:val="20"/>
                <w:lang w:val="en-GB"/>
              </w:rPr>
            </w:pPr>
            <w:r w:rsidRPr="00174F4D">
              <w:rPr>
                <w:rFonts w:ascii="Arial Narrow" w:eastAsia="Arial Narrow" w:hAnsi="Arial Narrow" w:cs="Arial Narrow"/>
                <w:sz w:val="20"/>
                <w:szCs w:val="20"/>
                <w:lang w:val="en-GB"/>
              </w:rPr>
              <w:lastRenderedPageBreak/>
              <w:t xml:space="preserve">Marta Egea, </w:t>
            </w:r>
          </w:p>
          <w:p w:rsidR="009D49F2" w:rsidRPr="00174F4D" w:rsidRDefault="009D49F2" w:rsidP="0027454F">
            <w:pPr>
              <w:ind w:left="0" w:hanging="2"/>
              <w:jc w:val="both"/>
              <w:rPr>
                <w:rFonts w:ascii="Arial Narrow" w:eastAsia="Arial Narrow" w:hAnsi="Arial Narrow" w:cs="Arial Narrow"/>
                <w:sz w:val="20"/>
                <w:szCs w:val="20"/>
                <w:lang w:val="en-GB"/>
              </w:rPr>
            </w:pPr>
            <w:r w:rsidRPr="00174F4D">
              <w:rPr>
                <w:rFonts w:ascii="Arial Narrow" w:eastAsia="Arial Narrow" w:hAnsi="Arial Narrow" w:cs="Arial Narrow"/>
                <w:sz w:val="20"/>
                <w:szCs w:val="20"/>
                <w:lang w:val="en-GB"/>
              </w:rPr>
              <w:t>Market Access Manager,</w:t>
            </w:r>
          </w:p>
          <w:p w:rsidR="009D49F2" w:rsidRDefault="009D49F2" w:rsidP="0027454F">
            <w:pPr>
              <w:ind w:left="0" w:hanging="2"/>
              <w:jc w:val="both"/>
              <w:rPr>
                <w:rFonts w:ascii="Arial Narrow" w:eastAsia="Arial Narrow" w:hAnsi="Arial Narrow" w:cs="Arial Narrow"/>
                <w:sz w:val="20"/>
                <w:szCs w:val="20"/>
              </w:rPr>
            </w:pPr>
            <w:r>
              <w:rPr>
                <w:rFonts w:ascii="Arial Narrow" w:eastAsia="Arial Narrow" w:hAnsi="Arial Narrow" w:cs="Arial Narrow"/>
                <w:sz w:val="20"/>
                <w:szCs w:val="20"/>
              </w:rPr>
              <w:t>Janssen</w:t>
            </w:r>
          </w:p>
        </w:tc>
        <w:tc>
          <w:tcPr>
            <w:tcW w:w="7985" w:type="dxa"/>
          </w:tcPr>
          <w:p w:rsidR="009D49F2" w:rsidRDefault="009D49F2" w:rsidP="0027454F">
            <w:pPr>
              <w:spacing w:before="120"/>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FE DE ERRATAS</w:t>
            </w:r>
          </w:p>
          <w:p w:rsidR="009D49F2" w:rsidRDefault="009D49F2" w:rsidP="009D49F2">
            <w:pPr>
              <w:numPr>
                <w:ilvl w:val="0"/>
                <w:numId w:val="12"/>
              </w:numPr>
              <w:pBdr>
                <w:top w:val="nil"/>
                <w:left w:val="nil"/>
                <w:bottom w:val="nil"/>
                <w:right w:val="nil"/>
                <w:between w:val="nil"/>
              </w:pBdr>
              <w:suppressAutoHyphens/>
              <w:spacing w:line="240" w:lineRule="auto"/>
              <w:ind w:left="0" w:hanging="2"/>
              <w:jc w:val="both"/>
              <w:textDirection w:val="btL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u w:val="single"/>
              </w:rPr>
              <w:t>Sección 5.2.a Resultados de los ensayos clínicos</w:t>
            </w:r>
            <w:r>
              <w:rPr>
                <w:rFonts w:ascii="Arial Narrow" w:eastAsia="Arial Narrow" w:hAnsi="Arial Narrow" w:cs="Arial Narrow"/>
                <w:b/>
                <w:color w:val="000000"/>
                <w:sz w:val="20"/>
                <w:szCs w:val="20"/>
              </w:rPr>
              <w:t xml:space="preserve">. </w:t>
            </w:r>
            <w:r>
              <w:rPr>
                <w:rFonts w:ascii="Arial Narrow" w:eastAsia="Arial Narrow" w:hAnsi="Arial Narrow" w:cs="Arial Narrow"/>
                <w:color w:val="000000"/>
                <w:sz w:val="20"/>
                <w:szCs w:val="20"/>
              </w:rPr>
              <w:t>Resultados del estudio ENZAMET (pág. 14).</w:t>
            </w:r>
          </w:p>
          <w:p w:rsidR="009D49F2" w:rsidRDefault="009D49F2" w:rsidP="0027454F">
            <w:pPr>
              <w:ind w:left="0" w:hanging="2"/>
              <w:jc w:val="both"/>
              <w:rPr>
                <w:rFonts w:ascii="Arial Narrow" w:eastAsia="Arial Narrow" w:hAnsi="Arial Narrow" w:cs="Arial Narrow"/>
                <w:sz w:val="20"/>
                <w:szCs w:val="20"/>
              </w:rPr>
            </w:pPr>
            <w:r>
              <w:rPr>
                <w:rFonts w:ascii="Arial Narrow" w:eastAsia="Arial Narrow" w:hAnsi="Arial Narrow" w:cs="Arial Narrow"/>
                <w:b/>
                <w:sz w:val="20"/>
                <w:szCs w:val="20"/>
              </w:rPr>
              <w:t xml:space="preserve">Se sugiere </w:t>
            </w:r>
            <w:r>
              <w:rPr>
                <w:rFonts w:ascii="Arial Narrow" w:eastAsia="Arial Narrow" w:hAnsi="Arial Narrow" w:cs="Arial Narrow"/>
                <w:sz w:val="20"/>
                <w:szCs w:val="20"/>
              </w:rPr>
              <w:t>la modificación de la mediana de seguimiento de 37 a 34 meses.</w:t>
            </w:r>
          </w:p>
          <w:p w:rsidR="009D49F2" w:rsidRDefault="009D49F2" w:rsidP="0027454F">
            <w:pPr>
              <w:ind w:left="0" w:hanging="2"/>
              <w:jc w:val="both"/>
              <w:rPr>
                <w:rFonts w:ascii="Arial Narrow" w:eastAsia="Arial Narrow" w:hAnsi="Arial Narrow" w:cs="Arial Narrow"/>
                <w:sz w:val="20"/>
                <w:szCs w:val="20"/>
              </w:rPr>
            </w:pPr>
            <w:r>
              <w:rPr>
                <w:rFonts w:ascii="Arial Narrow" w:eastAsia="Arial Narrow" w:hAnsi="Arial Narrow" w:cs="Arial Narrow"/>
                <w:sz w:val="20"/>
                <w:szCs w:val="20"/>
              </w:rPr>
              <w:t xml:space="preserve">Texto original: </w:t>
            </w:r>
            <w:r>
              <w:rPr>
                <w:rFonts w:ascii="Arial Narrow" w:eastAsia="Arial Narrow" w:hAnsi="Arial Narrow" w:cs="Arial Narrow"/>
                <w:i/>
                <w:sz w:val="20"/>
                <w:szCs w:val="20"/>
              </w:rPr>
              <w:t xml:space="preserve">“La mediana de seguimiento fue de 37 meses.” </w:t>
            </w:r>
          </w:p>
          <w:p w:rsidR="009D49F2" w:rsidRDefault="009D49F2" w:rsidP="0027454F">
            <w:pPr>
              <w:ind w:left="0" w:hanging="2"/>
              <w:jc w:val="both"/>
              <w:rPr>
                <w:rFonts w:ascii="Arial Narrow" w:eastAsia="Arial Narrow" w:hAnsi="Arial Narrow" w:cs="Arial Narrow"/>
                <w:sz w:val="20"/>
                <w:szCs w:val="20"/>
              </w:rPr>
            </w:pPr>
            <w:r>
              <w:rPr>
                <w:rFonts w:ascii="Arial Narrow" w:eastAsia="Arial Narrow" w:hAnsi="Arial Narrow" w:cs="Arial Narrow"/>
                <w:sz w:val="20"/>
                <w:szCs w:val="20"/>
              </w:rPr>
              <w:t xml:space="preserve">Sugerencia: </w:t>
            </w:r>
            <w:r>
              <w:rPr>
                <w:rFonts w:ascii="Arial Narrow" w:eastAsia="Arial Narrow" w:hAnsi="Arial Narrow" w:cs="Arial Narrow"/>
                <w:i/>
                <w:sz w:val="20"/>
                <w:szCs w:val="20"/>
              </w:rPr>
              <w:t>“La mediana de seguimiento fue de 34 meses”.</w:t>
            </w:r>
          </w:p>
          <w:p w:rsidR="009D49F2" w:rsidRDefault="009D49F2" w:rsidP="0027454F">
            <w:pPr>
              <w:spacing w:after="60"/>
              <w:ind w:left="0" w:hanging="2"/>
              <w:jc w:val="both"/>
              <w:rPr>
                <w:rFonts w:ascii="Arial Narrow" w:eastAsia="Arial Narrow" w:hAnsi="Arial Narrow" w:cs="Arial Narrow"/>
                <w:sz w:val="20"/>
                <w:szCs w:val="20"/>
              </w:rPr>
            </w:pPr>
            <w:r w:rsidRPr="00174F4D">
              <w:rPr>
                <w:rFonts w:ascii="Arial Narrow" w:eastAsia="Arial Narrow" w:hAnsi="Arial Narrow" w:cs="Arial Narrow"/>
                <w:sz w:val="20"/>
                <w:szCs w:val="20"/>
                <w:u w:val="single"/>
                <w:lang w:val="en-GB"/>
              </w:rPr>
              <w:t>Referencia:</w:t>
            </w:r>
            <w:r w:rsidRPr="00174F4D">
              <w:rPr>
                <w:rFonts w:ascii="Arial Narrow" w:eastAsia="Arial Narrow" w:hAnsi="Arial Narrow" w:cs="Arial Narrow"/>
                <w:sz w:val="20"/>
                <w:szCs w:val="20"/>
                <w:lang w:val="en-GB"/>
              </w:rPr>
              <w:t xml:space="preserve"> Davis ID, Martin AJ, Stockler MR, et al. </w:t>
            </w:r>
            <w:r w:rsidRPr="009D49F2">
              <w:rPr>
                <w:rFonts w:ascii="Arial Narrow" w:eastAsia="Arial Narrow" w:hAnsi="Arial Narrow" w:cs="Arial Narrow"/>
                <w:sz w:val="20"/>
                <w:szCs w:val="20"/>
                <w:lang w:val="en-GB"/>
              </w:rPr>
              <w:t xml:space="preserve">ENZAMET Trial Investigators and the Australian and New Zealand Urogenital and Prostate Cancer Trials Group. </w:t>
            </w:r>
            <w:r w:rsidRPr="00174F4D">
              <w:rPr>
                <w:rFonts w:ascii="Arial Narrow" w:eastAsia="Arial Narrow" w:hAnsi="Arial Narrow" w:cs="Arial Narrow"/>
                <w:sz w:val="20"/>
                <w:szCs w:val="20"/>
                <w:lang w:val="en-GB"/>
              </w:rPr>
              <w:t xml:space="preserve">Enzalutamide with Standard First-Line Therapy in Metastatic Prostate Cancer. </w:t>
            </w:r>
            <w:r>
              <w:rPr>
                <w:rFonts w:ascii="Arial Narrow" w:eastAsia="Arial Narrow" w:hAnsi="Arial Narrow" w:cs="Arial Narrow"/>
                <w:sz w:val="20"/>
                <w:szCs w:val="20"/>
              </w:rPr>
              <w:t>N Engl J Med. 2019 Jul 11;381(2):121-131. doi: 10.1056/NEJMoa1903835.</w:t>
            </w:r>
          </w:p>
          <w:p w:rsidR="009D49F2" w:rsidRDefault="009D49F2" w:rsidP="009D49F2">
            <w:pPr>
              <w:numPr>
                <w:ilvl w:val="0"/>
                <w:numId w:val="12"/>
              </w:numPr>
              <w:pBdr>
                <w:top w:val="nil"/>
                <w:left w:val="nil"/>
                <w:bottom w:val="nil"/>
                <w:right w:val="nil"/>
                <w:between w:val="nil"/>
              </w:pBdr>
              <w:suppressAutoHyphens/>
              <w:spacing w:after="60" w:line="240" w:lineRule="auto"/>
              <w:ind w:left="0" w:hanging="2"/>
              <w:jc w:val="both"/>
              <w:textDirection w:val="btLr"/>
              <w:rPr>
                <w:rFonts w:ascii="Arial Narrow" w:eastAsia="Arial Narrow" w:hAnsi="Arial Narrow" w:cs="Arial Narrow"/>
                <w:color w:val="000000"/>
                <w:sz w:val="20"/>
                <w:szCs w:val="20"/>
                <w:u w:val="single"/>
              </w:rPr>
            </w:pPr>
            <w:r>
              <w:rPr>
                <w:rFonts w:ascii="Arial Narrow" w:eastAsia="Arial Narrow" w:hAnsi="Arial Narrow" w:cs="Arial Narrow"/>
                <w:b/>
                <w:color w:val="000000"/>
                <w:sz w:val="20"/>
                <w:szCs w:val="20"/>
                <w:u w:val="single"/>
              </w:rPr>
              <w:t>Sección 5.2.a Resultados de los ensayos clínicos</w:t>
            </w:r>
            <w:r>
              <w:rPr>
                <w:rFonts w:ascii="Arial Narrow" w:eastAsia="Arial Narrow" w:hAnsi="Arial Narrow" w:cs="Arial Narrow"/>
                <w:b/>
                <w:color w:val="000000"/>
                <w:sz w:val="20"/>
                <w:szCs w:val="20"/>
              </w:rPr>
              <w:t xml:space="preserve">. </w:t>
            </w:r>
            <w:r>
              <w:rPr>
                <w:rFonts w:ascii="Arial Narrow" w:eastAsia="Arial Narrow" w:hAnsi="Arial Narrow" w:cs="Arial Narrow"/>
                <w:color w:val="000000"/>
                <w:sz w:val="20"/>
                <w:szCs w:val="20"/>
              </w:rPr>
              <w:t>Resultados del estudio ENZAMET (pág. 15)</w:t>
            </w:r>
          </w:p>
          <w:p w:rsidR="009D49F2" w:rsidRDefault="009D49F2" w:rsidP="0027454F">
            <w:pPr>
              <w:spacing w:after="60"/>
              <w:ind w:left="0" w:hanging="2"/>
              <w:jc w:val="both"/>
              <w:rPr>
                <w:rFonts w:ascii="Arial Narrow" w:eastAsia="Arial Narrow" w:hAnsi="Arial Narrow" w:cs="Arial Narrow"/>
                <w:sz w:val="20"/>
                <w:szCs w:val="20"/>
              </w:rPr>
            </w:pPr>
            <w:r>
              <w:rPr>
                <w:rFonts w:ascii="Arial Narrow" w:eastAsia="Arial Narrow" w:hAnsi="Arial Narrow" w:cs="Arial Narrow"/>
                <w:sz w:val="20"/>
                <w:szCs w:val="20"/>
              </w:rPr>
              <w:t xml:space="preserve">En relación con el análisis de subgrupos, cuando se analiza la consistencia/coherencia, se menciona </w:t>
            </w:r>
            <w:r>
              <w:rPr>
                <w:rFonts w:ascii="Arial Narrow" w:eastAsia="Arial Narrow" w:hAnsi="Arial Narrow" w:cs="Arial Narrow"/>
                <w:i/>
                <w:sz w:val="20"/>
                <w:szCs w:val="20"/>
              </w:rPr>
              <w:t xml:space="preserve">“Existe consistencia interna para los subgrupos de volumen de enfermedad y uso temprano de docetaxel ya que los resultados de SLPr son concordantes”. </w:t>
            </w:r>
          </w:p>
          <w:p w:rsidR="009D49F2" w:rsidRDefault="009D49F2" w:rsidP="0027454F">
            <w:pPr>
              <w:spacing w:after="120"/>
              <w:ind w:left="0" w:hanging="2"/>
              <w:jc w:val="both"/>
              <w:rPr>
                <w:rFonts w:ascii="Arial Narrow" w:eastAsia="Arial Narrow" w:hAnsi="Arial Narrow" w:cs="Arial Narrow"/>
                <w:sz w:val="20"/>
                <w:szCs w:val="20"/>
              </w:rPr>
            </w:pPr>
            <w:r>
              <w:rPr>
                <w:rFonts w:ascii="Arial Narrow" w:eastAsia="Arial Narrow" w:hAnsi="Arial Narrow" w:cs="Arial Narrow"/>
                <w:sz w:val="20"/>
                <w:szCs w:val="20"/>
              </w:rPr>
              <w:t xml:space="preserve">En el estudio ENZAMET no se incluyó la Supervivencia Libre de Progresión Radiográfica como variable, sino que se midió la supervivencia libre de progresión clínica, por lo que </w:t>
            </w:r>
            <w:r>
              <w:rPr>
                <w:rFonts w:ascii="Arial Narrow" w:eastAsia="Arial Narrow" w:hAnsi="Arial Narrow" w:cs="Arial Narrow"/>
                <w:b/>
                <w:sz w:val="20"/>
                <w:szCs w:val="20"/>
              </w:rPr>
              <w:t xml:space="preserve">se sugiere </w:t>
            </w:r>
            <w:r>
              <w:rPr>
                <w:rFonts w:ascii="Arial Narrow" w:eastAsia="Arial Narrow" w:hAnsi="Arial Narrow" w:cs="Arial Narrow"/>
                <w:sz w:val="20"/>
                <w:szCs w:val="20"/>
              </w:rPr>
              <w:t xml:space="preserve">sustituir SLPr por SLPc. </w:t>
            </w:r>
          </w:p>
          <w:p w:rsidR="009D49F2" w:rsidRDefault="009D49F2" w:rsidP="0027454F">
            <w:pPr>
              <w:spacing w:after="60"/>
              <w:ind w:left="0" w:hanging="2"/>
              <w:jc w:val="both"/>
              <w:rPr>
                <w:rFonts w:ascii="Arial Narrow" w:eastAsia="Arial Narrow" w:hAnsi="Arial Narrow" w:cs="Arial Narrow"/>
                <w:sz w:val="20"/>
                <w:szCs w:val="20"/>
              </w:rPr>
            </w:pPr>
            <w:r w:rsidRPr="00174F4D">
              <w:rPr>
                <w:rFonts w:ascii="Arial Narrow" w:eastAsia="Arial Narrow" w:hAnsi="Arial Narrow" w:cs="Arial Narrow"/>
                <w:sz w:val="20"/>
                <w:szCs w:val="20"/>
                <w:u w:val="single"/>
                <w:lang w:val="en-GB"/>
              </w:rPr>
              <w:t>Referencia:</w:t>
            </w:r>
            <w:r w:rsidRPr="00174F4D">
              <w:rPr>
                <w:rFonts w:ascii="Arial Narrow" w:eastAsia="Arial Narrow" w:hAnsi="Arial Narrow" w:cs="Arial Narrow"/>
                <w:sz w:val="20"/>
                <w:szCs w:val="20"/>
                <w:lang w:val="en-GB"/>
              </w:rPr>
              <w:t xml:space="preserve"> Davis ID, Martin AJ, Stockler MR, et al. </w:t>
            </w:r>
            <w:r w:rsidRPr="009D49F2">
              <w:rPr>
                <w:rFonts w:ascii="Arial Narrow" w:eastAsia="Arial Narrow" w:hAnsi="Arial Narrow" w:cs="Arial Narrow"/>
                <w:sz w:val="20"/>
                <w:szCs w:val="20"/>
                <w:lang w:val="en-GB"/>
              </w:rPr>
              <w:t xml:space="preserve">ENZAMET Trial Investigators and the Australian and New Zealand Urogenital and Prostate Cancer Trials Group. </w:t>
            </w:r>
            <w:r w:rsidRPr="00174F4D">
              <w:rPr>
                <w:rFonts w:ascii="Arial Narrow" w:eastAsia="Arial Narrow" w:hAnsi="Arial Narrow" w:cs="Arial Narrow"/>
                <w:sz w:val="20"/>
                <w:szCs w:val="20"/>
                <w:lang w:val="en-GB"/>
              </w:rPr>
              <w:t xml:space="preserve">Enzalutamide with Standard First-Line Therapy in Metastatic Prostate Cancer. </w:t>
            </w:r>
            <w:r>
              <w:rPr>
                <w:rFonts w:ascii="Arial Narrow" w:eastAsia="Arial Narrow" w:hAnsi="Arial Narrow" w:cs="Arial Narrow"/>
                <w:sz w:val="20"/>
                <w:szCs w:val="20"/>
              </w:rPr>
              <w:t>N Engl J Med. 2019 Jul 11;381(2):121-131. doi: 10.1056/NEJMoa1903835</w:t>
            </w:r>
          </w:p>
          <w:p w:rsidR="009D49F2" w:rsidRDefault="009D49F2" w:rsidP="009D49F2">
            <w:pPr>
              <w:numPr>
                <w:ilvl w:val="0"/>
                <w:numId w:val="12"/>
              </w:numPr>
              <w:pBdr>
                <w:top w:val="nil"/>
                <w:left w:val="nil"/>
                <w:bottom w:val="nil"/>
                <w:right w:val="nil"/>
                <w:between w:val="nil"/>
              </w:pBdr>
              <w:suppressAutoHyphens/>
              <w:spacing w:after="60" w:line="240" w:lineRule="auto"/>
              <w:ind w:left="0" w:hanging="2"/>
              <w:jc w:val="both"/>
              <w:textDirection w:val="btL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u w:val="single"/>
              </w:rPr>
              <w:t>Sección 5.3.b.2 Comparaciones indirectas de elaboración propia</w:t>
            </w:r>
            <w:r>
              <w:rPr>
                <w:rFonts w:ascii="Arial Narrow" w:eastAsia="Arial Narrow" w:hAnsi="Arial Narrow" w:cs="Arial Narrow"/>
                <w:b/>
                <w:color w:val="000000"/>
                <w:sz w:val="20"/>
                <w:szCs w:val="20"/>
              </w:rPr>
              <w:t>.</w:t>
            </w:r>
            <w:r>
              <w:rPr>
                <w:rFonts w:ascii="Arial Narrow" w:eastAsia="Arial Narrow" w:hAnsi="Arial Narrow" w:cs="Arial Narrow"/>
                <w:color w:val="000000"/>
                <w:sz w:val="20"/>
                <w:szCs w:val="20"/>
              </w:rPr>
              <w:t xml:space="preserve"> Tabla 6. Comparación indirecta (características de los estudios seleccionados). Enzalutamida, estudio ARCHES (pág. 35) </w:t>
            </w:r>
            <w:r>
              <w:rPr>
                <w:rFonts w:ascii="Arial Narrow" w:eastAsia="Arial Narrow" w:hAnsi="Arial Narrow" w:cs="Arial Narrow"/>
                <w:b/>
                <w:color w:val="000000"/>
                <w:sz w:val="20"/>
                <w:szCs w:val="20"/>
              </w:rPr>
              <w:t xml:space="preserve">Se sugiere </w:t>
            </w:r>
            <w:r>
              <w:rPr>
                <w:rFonts w:ascii="Arial Narrow" w:eastAsia="Arial Narrow" w:hAnsi="Arial Narrow" w:cs="Arial Narrow"/>
                <w:color w:val="000000"/>
                <w:sz w:val="20"/>
                <w:szCs w:val="20"/>
              </w:rPr>
              <w:t xml:space="preserve">modificar en la columna de resultados de eficacia, el </w:t>
            </w:r>
            <w:r>
              <w:rPr>
                <w:rFonts w:ascii="Arial Narrow" w:eastAsia="Arial Narrow" w:hAnsi="Arial Narrow" w:cs="Arial Narrow"/>
                <w:i/>
                <w:color w:val="000000"/>
                <w:sz w:val="20"/>
                <w:szCs w:val="20"/>
              </w:rPr>
              <w:t>p valor</w:t>
            </w:r>
            <w:r>
              <w:rPr>
                <w:rFonts w:ascii="Arial Narrow" w:eastAsia="Arial Narrow" w:hAnsi="Arial Narrow" w:cs="Arial Narrow"/>
                <w:color w:val="000000"/>
                <w:sz w:val="20"/>
                <w:szCs w:val="20"/>
              </w:rPr>
              <w:t xml:space="preserve"> de la variable supervivencia global HR 0,66 (IC 95% 0,53-0,81) </w:t>
            </w:r>
            <w:r>
              <w:rPr>
                <w:rFonts w:ascii="Arial Narrow" w:eastAsia="Arial Narrow" w:hAnsi="Arial Narrow" w:cs="Arial Narrow"/>
                <w:i/>
                <w:color w:val="000000"/>
                <w:sz w:val="20"/>
                <w:szCs w:val="20"/>
              </w:rPr>
              <w:t>p&lt;0.0001</w:t>
            </w:r>
            <w:r>
              <w:rPr>
                <w:rFonts w:ascii="Arial Narrow" w:eastAsia="Arial Narrow" w:hAnsi="Arial Narrow" w:cs="Arial Narrow"/>
                <w:color w:val="000000"/>
                <w:sz w:val="20"/>
                <w:szCs w:val="20"/>
              </w:rPr>
              <w:t xml:space="preserve">, por </w:t>
            </w:r>
            <w:r>
              <w:rPr>
                <w:rFonts w:ascii="Arial Narrow" w:eastAsia="Arial Narrow" w:hAnsi="Arial Narrow" w:cs="Arial Narrow"/>
                <w:i/>
                <w:color w:val="000000"/>
                <w:sz w:val="20"/>
                <w:szCs w:val="20"/>
              </w:rPr>
              <w:t>p&lt;0.001</w:t>
            </w:r>
            <w:r>
              <w:rPr>
                <w:rFonts w:ascii="Arial Narrow" w:eastAsia="Arial Narrow" w:hAnsi="Arial Narrow" w:cs="Arial Narrow"/>
                <w:color w:val="000000"/>
                <w:sz w:val="20"/>
                <w:szCs w:val="20"/>
              </w:rPr>
              <w:t>, tal y como aparece en la referencia correspondiente al estudio de registro.</w:t>
            </w:r>
          </w:p>
          <w:p w:rsidR="009D49F2" w:rsidRDefault="009D49F2" w:rsidP="0027454F">
            <w:pPr>
              <w:ind w:left="0" w:hanging="2"/>
              <w:jc w:val="both"/>
              <w:rPr>
                <w:rFonts w:ascii="Arial Narrow" w:eastAsia="Arial Narrow" w:hAnsi="Arial Narrow" w:cs="Arial Narrow"/>
                <w:sz w:val="20"/>
                <w:szCs w:val="20"/>
              </w:rPr>
            </w:pPr>
            <w:r w:rsidRPr="009D49F2">
              <w:rPr>
                <w:rFonts w:ascii="Arial Narrow" w:eastAsia="Arial Narrow" w:hAnsi="Arial Narrow" w:cs="Arial Narrow"/>
                <w:sz w:val="20"/>
                <w:szCs w:val="20"/>
                <w:u w:val="single"/>
                <w:lang w:val="en-GB"/>
              </w:rPr>
              <w:t>Referencia</w:t>
            </w:r>
            <w:r w:rsidRPr="009D49F2">
              <w:rPr>
                <w:rFonts w:ascii="Arial Narrow" w:eastAsia="Arial Narrow" w:hAnsi="Arial Narrow" w:cs="Arial Narrow"/>
                <w:sz w:val="20"/>
                <w:szCs w:val="20"/>
                <w:lang w:val="en-GB"/>
              </w:rPr>
              <w:t xml:space="preserve">: Armstrong AJ et al. Improved Survival With Enzalutamide in Patients With Metastatic Hormone-Sensitive Prostate Cancer. </w:t>
            </w:r>
            <w:r>
              <w:rPr>
                <w:rFonts w:ascii="Arial Narrow" w:eastAsia="Arial Narrow" w:hAnsi="Arial Narrow" w:cs="Arial Narrow"/>
                <w:sz w:val="20"/>
                <w:szCs w:val="20"/>
              </w:rPr>
              <w:t>J Clin Oncol. 2022 May 20;40(15):1616-1622.</w:t>
            </w:r>
          </w:p>
        </w:tc>
        <w:tc>
          <w:tcPr>
            <w:tcW w:w="5953" w:type="dxa"/>
          </w:tcPr>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r>
              <w:rPr>
                <w:rFonts w:ascii="Arial Narrow" w:eastAsia="Arial Narrow" w:hAnsi="Arial Narrow" w:cs="Arial Narrow"/>
                <w:sz w:val="20"/>
                <w:szCs w:val="20"/>
              </w:rPr>
              <w:t>Se acepta</w:t>
            </w: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r>
              <w:rPr>
                <w:rFonts w:ascii="Arial Narrow" w:eastAsia="Arial Narrow" w:hAnsi="Arial Narrow" w:cs="Arial Narrow"/>
                <w:sz w:val="20"/>
                <w:szCs w:val="20"/>
              </w:rPr>
              <w:t>Se acepta</w:t>
            </w: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r>
              <w:rPr>
                <w:rFonts w:ascii="Arial Narrow" w:eastAsia="Arial Narrow" w:hAnsi="Arial Narrow" w:cs="Arial Narrow"/>
                <w:sz w:val="20"/>
                <w:szCs w:val="20"/>
              </w:rPr>
              <w:t>Se acepta</w:t>
            </w: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p w:rsidR="009D49F2" w:rsidRDefault="009D49F2" w:rsidP="0027454F">
            <w:pPr>
              <w:ind w:left="0" w:hanging="2"/>
              <w:jc w:val="both"/>
              <w:rPr>
                <w:rFonts w:ascii="Arial Narrow" w:eastAsia="Arial Narrow" w:hAnsi="Arial Narrow" w:cs="Arial Narrow"/>
                <w:sz w:val="20"/>
                <w:szCs w:val="20"/>
              </w:rPr>
            </w:pPr>
          </w:p>
        </w:tc>
      </w:tr>
    </w:tbl>
    <w:p w:rsidR="009D49F2" w:rsidRDefault="009D49F2" w:rsidP="009D49F2">
      <w:pPr>
        <w:ind w:left="0" w:hanging="2"/>
      </w:pPr>
    </w:p>
    <w:p w:rsidR="002C4AF7" w:rsidRDefault="002C4AF7">
      <w:pPr>
        <w:ind w:left="0" w:hanging="2"/>
        <w:rPr>
          <w:rFonts w:ascii="Arial" w:eastAsia="Arial" w:hAnsi="Arial" w:cs="Arial"/>
          <w:color w:val="000080"/>
          <w:sz w:val="20"/>
          <w:szCs w:val="20"/>
        </w:rPr>
      </w:pPr>
    </w:p>
    <w:sectPr w:rsidR="002C4AF7" w:rsidSect="00E576A6">
      <w:pgSz w:w="16838" w:h="11906" w:orient="landscape"/>
      <w:pgMar w:top="1701" w:right="1418" w:bottom="1701" w:left="1418"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505A" w:rsidRDefault="0058505A">
      <w:pPr>
        <w:spacing w:line="240" w:lineRule="auto"/>
        <w:ind w:left="0" w:hanging="2"/>
      </w:pPr>
      <w:r>
        <w:separator/>
      </w:r>
    </w:p>
  </w:endnote>
  <w:endnote w:type="continuationSeparator" w:id="0">
    <w:p w:rsidR="0058505A" w:rsidRDefault="0058505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ZYYKLI+TimesTen-Roman">
    <w:charset w:val="00"/>
    <w:family w:val="roman"/>
    <w:pitch w:val="default"/>
    <w:sig w:usb0="00000000"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NBIQZG+HelveticaNeue-Light">
    <w:charset w:val="00"/>
    <w:family w:val="swiss"/>
    <w:pitch w:val="default"/>
    <w:sig w:usb0="00000000" w:usb1="00000000" w:usb2="00000000" w:usb3="00000000" w:csb0="00000001" w:csb1="00000000"/>
  </w:font>
  <w:font w:name="GNQAFU+HelveticaNeue-Black">
    <w:charset w:val="00"/>
    <w:family w:val="swiss"/>
    <w:pitch w:val="default"/>
    <w:sig w:usb0="00000000" w:usb1="00000000" w:usb2="00000000" w:usb3="00000000" w:csb0="00000001" w:csb1="00000000"/>
  </w:font>
  <w:font w:name="DZMIPA+HelveticaNeue-Medium">
    <w:charset w:val="00"/>
    <w:family w:val="swiss"/>
    <w:pitch w:val="default"/>
    <w:sig w:usb0="00000000"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MT">
    <w:altName w:val="Arial"/>
    <w:charset w:val="00"/>
    <w:family w:val="auto"/>
    <w:pitch w:val="default"/>
  </w:font>
  <w:font w:name="Arial Unicode MS">
    <w:altName w:val="Malgun Gothic Semilight"/>
    <w:panose1 w:val="020B0604020202020204"/>
    <w:charset w:val="80"/>
    <w:family w:val="swiss"/>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Roboto">
    <w:altName w:val="Times New Roman"/>
    <w:charset w:val="00"/>
    <w:family w:val="auto"/>
    <w:pitch w:val="default"/>
  </w:font>
  <w:font w:name="Arimo">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54F" w:rsidRDefault="0027454F">
    <w:pPr>
      <w:pBdr>
        <w:top w:val="nil"/>
        <w:left w:val="nil"/>
        <w:bottom w:val="nil"/>
        <w:right w:val="nil"/>
        <w:between w:val="nil"/>
      </w:pBdr>
      <w:tabs>
        <w:tab w:val="center" w:pos="4252"/>
        <w:tab w:val="right" w:pos="8504"/>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54F" w:rsidRDefault="0027454F">
    <w:pPr>
      <w:tabs>
        <w:tab w:val="center" w:pos="4252"/>
        <w:tab w:val="right" w:pos="8504"/>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54F" w:rsidRDefault="0027454F">
    <w:pPr>
      <w:pBdr>
        <w:top w:val="nil"/>
        <w:left w:val="nil"/>
        <w:bottom w:val="nil"/>
        <w:right w:val="nil"/>
        <w:between w:val="nil"/>
      </w:pBdr>
      <w:tabs>
        <w:tab w:val="center" w:pos="4252"/>
        <w:tab w:val="right" w:pos="8504"/>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505A" w:rsidRDefault="0058505A">
      <w:pPr>
        <w:spacing w:line="240" w:lineRule="auto"/>
        <w:ind w:left="0" w:hanging="2"/>
      </w:pPr>
      <w:r>
        <w:separator/>
      </w:r>
    </w:p>
  </w:footnote>
  <w:footnote w:type="continuationSeparator" w:id="0">
    <w:p w:rsidR="0058505A" w:rsidRDefault="0058505A">
      <w:pPr>
        <w:spacing w:line="240" w:lineRule="auto"/>
        <w:ind w:left="0" w:hanging="2"/>
      </w:pPr>
      <w:r>
        <w:continuationSeparator/>
      </w:r>
    </w:p>
  </w:footnote>
  <w:footnote w:id="1">
    <w:p w:rsidR="0027454F" w:rsidRDefault="0027454F">
      <w:pPr>
        <w:widowControl w:val="0"/>
        <w:ind w:left="0" w:hanging="2"/>
        <w:jc w:val="both"/>
        <w:rPr>
          <w:rFonts w:ascii="Arial" w:eastAsia="Arial" w:hAnsi="Arial" w:cs="Arial"/>
          <w:sz w:val="16"/>
          <w:szCs w:val="16"/>
        </w:rPr>
      </w:pPr>
      <w:r>
        <w:rPr>
          <w:vertAlign w:val="superscript"/>
        </w:rPr>
        <w:footnoteRef/>
      </w:r>
      <w:r>
        <w:rPr>
          <w:rFonts w:ascii="Arial" w:eastAsia="Arial" w:hAnsi="Arial" w:cs="Arial"/>
          <w:b/>
          <w:i/>
          <w:sz w:val="16"/>
          <w:szCs w:val="16"/>
        </w:rPr>
        <w:t>Marín R, Puigventós F, Fraga MD, Ortega A, López-Briz E, Arocas V, Santos B.</w:t>
      </w:r>
      <w:r>
        <w:rPr>
          <w:rFonts w:ascii="Arial" w:eastAsia="Arial" w:hAnsi="Arial" w:cs="Arial"/>
          <w:sz w:val="16"/>
          <w:szCs w:val="16"/>
        </w:rPr>
        <w:t xml:space="preserve"> Grupo de Evaluación de Novedades y Estandarización e Investigación en Selección de Medicamentos (GENESIS)  de la Sociedad Española de Farmacia Hospitalaria (SEFH). Método de Ayuda para la toma de Decisiones y la Realización de Evaluaciones de medicamentos (MADRE). Versión 4.0. Madrid: SEFH (ed.), 2013. ISBN: 978-84-695-7629-8. Disponible en </w:t>
      </w:r>
      <w:hyperlink r:id="rId1">
        <w:r>
          <w:rPr>
            <w:rFonts w:ascii="Arial" w:eastAsia="Arial" w:hAnsi="Arial" w:cs="Arial"/>
            <w:color w:val="0000FF"/>
            <w:sz w:val="16"/>
            <w:szCs w:val="16"/>
            <w:u w:val="single"/>
          </w:rPr>
          <w:t>http://gruposdetrabajo.sefh.es/genesis/genesis/basesmetodologicas/programamadre/index.html</w:t>
        </w:r>
      </w:hyperlink>
    </w:p>
    <w:p w:rsidR="0027454F" w:rsidRDefault="0027454F">
      <w:pPr>
        <w:widowControl w:val="0"/>
        <w:ind w:left="0" w:hanging="2"/>
        <w:jc w:val="both"/>
      </w:pPr>
    </w:p>
  </w:footnote>
  <w:footnote w:id="2">
    <w:p w:rsidR="0027454F" w:rsidRDefault="0027454F">
      <w:pPr>
        <w:ind w:left="0" w:hanging="2"/>
        <w:jc w:val="both"/>
        <w:rPr>
          <w:sz w:val="22"/>
          <w:szCs w:val="22"/>
        </w:rPr>
      </w:pPr>
      <w:r>
        <w:rPr>
          <w:vertAlign w:val="superscript"/>
        </w:rPr>
        <w:footnoteRef/>
      </w:r>
      <w:r>
        <w:rPr>
          <w:rFonts w:ascii="Arial" w:eastAsia="Arial" w:hAnsi="Arial" w:cs="Arial"/>
          <w:b/>
          <w:i/>
          <w:sz w:val="16"/>
          <w:szCs w:val="16"/>
        </w:rPr>
        <w:t>Ortega Eslava A, Marín Gil R, Fraga Fuentes MD, López-Briz E, Puigventós Latorre F (GENESIS-SEFH</w:t>
      </w:r>
      <w:r>
        <w:rPr>
          <w:rFonts w:ascii="Arial" w:eastAsia="Arial" w:hAnsi="Arial" w:cs="Arial"/>
          <w:sz w:val="16"/>
          <w:szCs w:val="16"/>
        </w:rPr>
        <w:t>). Guía de evaluación económica e impacto presupuestario en los informes de evaluación de medicamentos. Guía práctica asociada al programa MADRE v4.0. Madrid: SEFH (e.), 2016 ISBN: 978-84-617-6757-1. Disponible en: http://gruposdetrabajo.sefh.es/genesis</w:t>
      </w:r>
    </w:p>
    <w:p w:rsidR="0027454F" w:rsidRDefault="0027454F">
      <w:pPr>
        <w:ind w:left="0" w:hanging="2"/>
        <w:jc w:val="both"/>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54F" w:rsidRDefault="0027454F">
    <w:pPr>
      <w:pBdr>
        <w:top w:val="nil"/>
        <w:left w:val="nil"/>
        <w:bottom w:val="nil"/>
        <w:right w:val="nil"/>
        <w:between w:val="nil"/>
      </w:pBdr>
      <w:tabs>
        <w:tab w:val="center" w:pos="4252"/>
        <w:tab w:val="right" w:pos="8504"/>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d"/>
      <w:tblW w:w="14170" w:type="dxa"/>
      <w:tblInd w:w="0" w:type="dxa"/>
      <w:tblLayout w:type="fixed"/>
      <w:tblLook w:val="0000" w:firstRow="0" w:lastRow="0" w:firstColumn="0" w:lastColumn="0" w:noHBand="0" w:noVBand="0"/>
    </w:tblPr>
    <w:tblGrid>
      <w:gridCol w:w="6300"/>
      <w:gridCol w:w="1080"/>
      <w:gridCol w:w="6790"/>
    </w:tblGrid>
    <w:tr w:rsidR="008C4F08" w:rsidTr="00375650">
      <w:trPr>
        <w:trHeight w:val="240"/>
      </w:trPr>
      <w:tc>
        <w:tcPr>
          <w:tcW w:w="6300" w:type="dxa"/>
          <w:vMerge w:val="restart"/>
          <w:tcBorders>
            <w:top w:val="single" w:sz="4" w:space="0" w:color="000000"/>
            <w:left w:val="single" w:sz="4" w:space="0" w:color="000000"/>
            <w:right w:val="single" w:sz="4" w:space="0" w:color="000000"/>
          </w:tcBorders>
          <w:shd w:val="clear" w:color="auto" w:fill="000080"/>
          <w:vAlign w:val="center"/>
        </w:tcPr>
        <w:p w:rsidR="008C4F08" w:rsidRDefault="008C4F08" w:rsidP="008C4F08">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FFFF"/>
              <w:sz w:val="20"/>
              <w:szCs w:val="20"/>
            </w:rPr>
          </w:pPr>
          <w:r>
            <w:rPr>
              <w:rFonts w:ascii="Arial" w:eastAsia="Arial" w:hAnsi="Arial" w:cs="Arial"/>
              <w:color w:val="FFFFFF"/>
              <w:sz w:val="20"/>
              <w:szCs w:val="20"/>
            </w:rPr>
            <w:t>GENESIS-SEFH</w:t>
          </w:r>
        </w:p>
        <w:p w:rsidR="008C4F08" w:rsidRDefault="008C4F08" w:rsidP="008C4F08">
          <w:pPr>
            <w:pBdr>
              <w:top w:val="nil"/>
              <w:left w:val="nil"/>
              <w:bottom w:val="nil"/>
              <w:right w:val="nil"/>
              <w:between w:val="nil"/>
            </w:pBdr>
            <w:tabs>
              <w:tab w:val="center" w:pos="4252"/>
              <w:tab w:val="right" w:pos="8504"/>
            </w:tabs>
            <w:spacing w:line="240" w:lineRule="auto"/>
            <w:ind w:left="0" w:hanging="2"/>
            <w:jc w:val="right"/>
            <w:rPr>
              <w:rFonts w:ascii="Arial" w:eastAsia="Arial" w:hAnsi="Arial" w:cs="Arial"/>
              <w:color w:val="FFFFFF"/>
              <w:sz w:val="20"/>
              <w:szCs w:val="20"/>
            </w:rPr>
          </w:pPr>
          <w:r>
            <w:rPr>
              <w:rFonts w:ascii="Arial" w:eastAsia="Arial" w:hAnsi="Arial" w:cs="Arial"/>
              <w:color w:val="FFFFFF"/>
              <w:sz w:val="20"/>
              <w:szCs w:val="20"/>
            </w:rPr>
            <w:t xml:space="preserve">Programa MADRE versión 4.1  </w:t>
          </w:r>
        </w:p>
        <w:p w:rsidR="008C4F08" w:rsidRDefault="008C4F08" w:rsidP="008C4F08">
          <w:pPr>
            <w:pBdr>
              <w:top w:val="nil"/>
              <w:left w:val="nil"/>
              <w:bottom w:val="nil"/>
              <w:right w:val="nil"/>
              <w:between w:val="nil"/>
            </w:pBdr>
            <w:tabs>
              <w:tab w:val="center" w:pos="4252"/>
              <w:tab w:val="right" w:pos="8504"/>
            </w:tabs>
            <w:spacing w:line="240" w:lineRule="auto"/>
            <w:ind w:left="0" w:hanging="2"/>
            <w:jc w:val="right"/>
            <w:rPr>
              <w:rFonts w:ascii="Arial" w:eastAsia="Arial" w:hAnsi="Arial" w:cs="Arial"/>
              <w:color w:val="FFFFFF"/>
              <w:sz w:val="22"/>
              <w:szCs w:val="22"/>
            </w:rPr>
          </w:pPr>
          <w:r>
            <w:rPr>
              <w:rFonts w:ascii="Arial" w:eastAsia="Arial" w:hAnsi="Arial" w:cs="Arial"/>
              <w:color w:val="FFFFFF"/>
              <w:sz w:val="20"/>
              <w:szCs w:val="20"/>
            </w:rPr>
            <w:t xml:space="preserve">Informe base actualizado 2020 </w:t>
          </w:r>
          <w:r>
            <w:rPr>
              <w:rFonts w:ascii="Arial" w:eastAsia="Arial" w:hAnsi="Arial" w:cs="Arial"/>
              <w:b/>
              <w:color w:val="FFFFFF"/>
              <w:sz w:val="22"/>
              <w:szCs w:val="22"/>
            </w:rPr>
            <w:t xml:space="preserve">  </w:t>
          </w:r>
        </w:p>
      </w:tc>
      <w:tc>
        <w:tcPr>
          <w:tcW w:w="1080" w:type="dxa"/>
          <w:tcBorders>
            <w:top w:val="single" w:sz="4" w:space="0" w:color="000000"/>
            <w:left w:val="nil"/>
          </w:tcBorders>
          <w:shd w:val="clear" w:color="auto" w:fill="000080"/>
        </w:tcPr>
        <w:p w:rsidR="008C4F08" w:rsidRDefault="008C4F08" w:rsidP="008C4F08">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FFFF"/>
              <w:sz w:val="18"/>
              <w:szCs w:val="18"/>
            </w:rPr>
          </w:pPr>
          <w:r>
            <w:rPr>
              <w:rFonts w:ascii="Arial" w:eastAsia="Arial" w:hAnsi="Arial" w:cs="Arial"/>
              <w:color w:val="FFFFFF"/>
              <w:sz w:val="18"/>
              <w:szCs w:val="18"/>
            </w:rPr>
            <w:t>Versión:</w:t>
          </w:r>
        </w:p>
      </w:tc>
      <w:tc>
        <w:tcPr>
          <w:tcW w:w="6790" w:type="dxa"/>
          <w:tcBorders>
            <w:top w:val="single" w:sz="4" w:space="0" w:color="000000"/>
            <w:right w:val="single" w:sz="4" w:space="0" w:color="000000"/>
          </w:tcBorders>
          <w:shd w:val="clear" w:color="auto" w:fill="000080"/>
        </w:tcPr>
        <w:p w:rsidR="008C4F08" w:rsidRDefault="008C4F08" w:rsidP="008C4F08">
          <w:pPr>
            <w:pBdr>
              <w:top w:val="nil"/>
              <w:left w:val="nil"/>
              <w:bottom w:val="nil"/>
              <w:right w:val="nil"/>
              <w:between w:val="nil"/>
            </w:pBdr>
            <w:tabs>
              <w:tab w:val="center" w:pos="4252"/>
              <w:tab w:val="right" w:pos="8504"/>
              <w:tab w:val="left" w:pos="1206"/>
            </w:tabs>
            <w:spacing w:line="240" w:lineRule="auto"/>
            <w:ind w:left="0" w:right="71" w:hanging="2"/>
            <w:jc w:val="right"/>
            <w:rPr>
              <w:rFonts w:ascii="Arial" w:eastAsia="Arial" w:hAnsi="Arial" w:cs="Arial"/>
              <w:color w:val="FFFFFF"/>
              <w:sz w:val="18"/>
              <w:szCs w:val="18"/>
            </w:rPr>
          </w:pPr>
          <w:r>
            <w:rPr>
              <w:rFonts w:ascii="Arial" w:eastAsia="Arial" w:hAnsi="Arial" w:cs="Arial"/>
              <w:color w:val="FFFFFF"/>
              <w:sz w:val="18"/>
              <w:szCs w:val="18"/>
            </w:rPr>
            <w:t>4.1</w:t>
          </w:r>
        </w:p>
      </w:tc>
    </w:tr>
    <w:tr w:rsidR="008C4F08" w:rsidTr="00375650">
      <w:trPr>
        <w:trHeight w:val="240"/>
      </w:trPr>
      <w:tc>
        <w:tcPr>
          <w:tcW w:w="6300" w:type="dxa"/>
          <w:vMerge/>
          <w:tcBorders>
            <w:top w:val="single" w:sz="4" w:space="0" w:color="000000"/>
            <w:left w:val="single" w:sz="4" w:space="0" w:color="000000"/>
            <w:right w:val="single" w:sz="4" w:space="0" w:color="000000"/>
          </w:tcBorders>
          <w:shd w:val="clear" w:color="auto" w:fill="000080"/>
          <w:vAlign w:val="center"/>
        </w:tcPr>
        <w:p w:rsidR="008C4F08" w:rsidRDefault="008C4F08" w:rsidP="008C4F08">
          <w:pPr>
            <w:widowControl w:val="0"/>
            <w:pBdr>
              <w:top w:val="nil"/>
              <w:left w:val="nil"/>
              <w:bottom w:val="nil"/>
              <w:right w:val="nil"/>
              <w:between w:val="nil"/>
            </w:pBdr>
            <w:spacing w:line="276" w:lineRule="auto"/>
            <w:ind w:left="0" w:hanging="2"/>
            <w:rPr>
              <w:rFonts w:ascii="Arial" w:eastAsia="Arial" w:hAnsi="Arial" w:cs="Arial"/>
              <w:color w:val="FFFFFF"/>
              <w:sz w:val="18"/>
              <w:szCs w:val="18"/>
            </w:rPr>
          </w:pPr>
        </w:p>
      </w:tc>
      <w:tc>
        <w:tcPr>
          <w:tcW w:w="1080" w:type="dxa"/>
          <w:tcBorders>
            <w:left w:val="nil"/>
          </w:tcBorders>
          <w:shd w:val="clear" w:color="auto" w:fill="000080"/>
        </w:tcPr>
        <w:p w:rsidR="008C4F08" w:rsidRDefault="008C4F08" w:rsidP="008C4F08">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FFFF"/>
              <w:sz w:val="18"/>
              <w:szCs w:val="18"/>
            </w:rPr>
          </w:pPr>
          <w:r>
            <w:rPr>
              <w:rFonts w:ascii="Arial" w:eastAsia="Arial" w:hAnsi="Arial" w:cs="Arial"/>
              <w:color w:val="FFFFFF"/>
              <w:sz w:val="18"/>
              <w:szCs w:val="18"/>
            </w:rPr>
            <w:t>Fecha:</w:t>
          </w:r>
        </w:p>
      </w:tc>
      <w:tc>
        <w:tcPr>
          <w:tcW w:w="6790" w:type="dxa"/>
          <w:tcBorders>
            <w:right w:val="single" w:sz="4" w:space="0" w:color="000000"/>
          </w:tcBorders>
          <w:shd w:val="clear" w:color="auto" w:fill="000080"/>
        </w:tcPr>
        <w:p w:rsidR="008C4F08" w:rsidRDefault="008C4F08" w:rsidP="008C4F08">
          <w:pPr>
            <w:pBdr>
              <w:top w:val="nil"/>
              <w:left w:val="nil"/>
              <w:bottom w:val="nil"/>
              <w:right w:val="nil"/>
              <w:between w:val="nil"/>
            </w:pBdr>
            <w:tabs>
              <w:tab w:val="center" w:pos="4252"/>
              <w:tab w:val="right" w:pos="8504"/>
              <w:tab w:val="left" w:pos="1206"/>
            </w:tabs>
            <w:spacing w:line="240" w:lineRule="auto"/>
            <w:ind w:left="0" w:right="71" w:hanging="2"/>
            <w:jc w:val="right"/>
            <w:rPr>
              <w:rFonts w:ascii="Arial" w:eastAsia="Arial" w:hAnsi="Arial" w:cs="Arial"/>
              <w:color w:val="FFFFFF"/>
              <w:sz w:val="18"/>
              <w:szCs w:val="18"/>
            </w:rPr>
          </w:pPr>
          <w:r>
            <w:rPr>
              <w:rFonts w:ascii="Arial" w:eastAsia="Arial" w:hAnsi="Arial" w:cs="Arial"/>
              <w:color w:val="FFFFFF"/>
              <w:sz w:val="18"/>
              <w:szCs w:val="18"/>
            </w:rPr>
            <w:t>19-12-2020</w:t>
          </w:r>
        </w:p>
      </w:tc>
    </w:tr>
    <w:tr w:rsidR="008C4F08" w:rsidTr="00375650">
      <w:tc>
        <w:tcPr>
          <w:tcW w:w="6300" w:type="dxa"/>
          <w:vMerge/>
          <w:tcBorders>
            <w:top w:val="single" w:sz="4" w:space="0" w:color="000000"/>
            <w:left w:val="single" w:sz="4" w:space="0" w:color="000000"/>
            <w:right w:val="single" w:sz="4" w:space="0" w:color="000000"/>
          </w:tcBorders>
          <w:shd w:val="clear" w:color="auto" w:fill="000080"/>
          <w:vAlign w:val="center"/>
        </w:tcPr>
        <w:p w:rsidR="008C4F08" w:rsidRDefault="008C4F08" w:rsidP="008C4F08">
          <w:pPr>
            <w:widowControl w:val="0"/>
            <w:pBdr>
              <w:top w:val="nil"/>
              <w:left w:val="nil"/>
              <w:bottom w:val="nil"/>
              <w:right w:val="nil"/>
              <w:between w:val="nil"/>
            </w:pBdr>
            <w:spacing w:line="276" w:lineRule="auto"/>
            <w:ind w:left="0" w:hanging="2"/>
            <w:rPr>
              <w:rFonts w:ascii="Arial" w:eastAsia="Arial" w:hAnsi="Arial" w:cs="Arial"/>
              <w:color w:val="FFFFFF"/>
              <w:sz w:val="18"/>
              <w:szCs w:val="18"/>
            </w:rPr>
          </w:pPr>
        </w:p>
      </w:tc>
      <w:tc>
        <w:tcPr>
          <w:tcW w:w="1080" w:type="dxa"/>
          <w:tcBorders>
            <w:left w:val="nil"/>
            <w:bottom w:val="single" w:sz="4" w:space="0" w:color="000000"/>
          </w:tcBorders>
          <w:shd w:val="clear" w:color="auto" w:fill="000080"/>
        </w:tcPr>
        <w:p w:rsidR="008C4F08" w:rsidRDefault="008C4F08" w:rsidP="008C4F08">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FFFF"/>
              <w:sz w:val="18"/>
              <w:szCs w:val="18"/>
            </w:rPr>
          </w:pPr>
          <w:r>
            <w:rPr>
              <w:rFonts w:ascii="Arial" w:eastAsia="Arial" w:hAnsi="Arial" w:cs="Arial"/>
              <w:color w:val="FFFFFF"/>
              <w:sz w:val="18"/>
              <w:szCs w:val="18"/>
            </w:rPr>
            <w:t>Página:</w:t>
          </w:r>
        </w:p>
      </w:tc>
      <w:tc>
        <w:tcPr>
          <w:tcW w:w="6790" w:type="dxa"/>
          <w:tcBorders>
            <w:bottom w:val="single" w:sz="4" w:space="0" w:color="000000"/>
            <w:right w:val="single" w:sz="4" w:space="0" w:color="000000"/>
          </w:tcBorders>
          <w:shd w:val="clear" w:color="auto" w:fill="000080"/>
        </w:tcPr>
        <w:p w:rsidR="008C4F08" w:rsidRDefault="008C4F08" w:rsidP="008C4F08">
          <w:pPr>
            <w:pBdr>
              <w:top w:val="nil"/>
              <w:left w:val="nil"/>
              <w:bottom w:val="nil"/>
              <w:right w:val="nil"/>
              <w:between w:val="nil"/>
            </w:pBdr>
            <w:tabs>
              <w:tab w:val="center" w:pos="4252"/>
              <w:tab w:val="right" w:pos="8504"/>
              <w:tab w:val="left" w:pos="1206"/>
            </w:tabs>
            <w:spacing w:line="240" w:lineRule="auto"/>
            <w:ind w:left="0" w:right="71" w:hanging="2"/>
            <w:jc w:val="right"/>
            <w:rPr>
              <w:rFonts w:ascii="Arial" w:eastAsia="Arial" w:hAnsi="Arial" w:cs="Arial"/>
              <w:color w:val="FFFFFF"/>
              <w:sz w:val="18"/>
              <w:szCs w:val="18"/>
            </w:rPr>
          </w:pPr>
          <w:r>
            <w:rPr>
              <w:rFonts w:ascii="Arial" w:eastAsia="Arial" w:hAnsi="Arial" w:cs="Arial"/>
              <w:noProof/>
              <w:color w:val="FFFFFF"/>
              <w:sz w:val="18"/>
              <w:szCs w:val="18"/>
            </w:rPr>
            <w:fldChar w:fldCharType="begin"/>
          </w:r>
          <w:r>
            <w:rPr>
              <w:rFonts w:ascii="Arial" w:eastAsia="Arial" w:hAnsi="Arial" w:cs="Arial"/>
              <w:noProof/>
              <w:color w:val="FFFFFF"/>
              <w:sz w:val="18"/>
              <w:szCs w:val="18"/>
            </w:rPr>
            <w:instrText>PAGE</w:instrText>
          </w:r>
          <w:r>
            <w:rPr>
              <w:rFonts w:ascii="Arial" w:eastAsia="Arial" w:hAnsi="Arial" w:cs="Arial"/>
              <w:noProof/>
              <w:color w:val="FFFFFF"/>
              <w:sz w:val="18"/>
              <w:szCs w:val="18"/>
            </w:rPr>
            <w:fldChar w:fldCharType="separate"/>
          </w:r>
          <w:r w:rsidR="00883B7B">
            <w:rPr>
              <w:rFonts w:ascii="Arial" w:eastAsia="Arial" w:hAnsi="Arial" w:cs="Arial"/>
              <w:noProof/>
              <w:color w:val="FFFFFF"/>
              <w:sz w:val="18"/>
              <w:szCs w:val="18"/>
            </w:rPr>
            <w:t>1</w:t>
          </w:r>
          <w:r>
            <w:rPr>
              <w:rFonts w:ascii="Arial" w:eastAsia="Arial" w:hAnsi="Arial" w:cs="Arial"/>
              <w:noProof/>
              <w:color w:val="FFFFFF"/>
              <w:sz w:val="18"/>
              <w:szCs w:val="18"/>
            </w:rPr>
            <w:fldChar w:fldCharType="end"/>
          </w:r>
        </w:p>
      </w:tc>
    </w:tr>
  </w:tbl>
  <w:p w:rsidR="0027454F" w:rsidRPr="008C4F08" w:rsidRDefault="0027454F" w:rsidP="008C4F08">
    <w:pPr>
      <w:pStyle w:val="Encabezado"/>
      <w:ind w:left="0" w:hanging="2"/>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54F" w:rsidRDefault="0027454F">
    <w:pPr>
      <w:pBdr>
        <w:top w:val="nil"/>
        <w:left w:val="nil"/>
        <w:bottom w:val="nil"/>
        <w:right w:val="nil"/>
        <w:between w:val="nil"/>
      </w:pBdr>
      <w:tabs>
        <w:tab w:val="center" w:pos="4252"/>
        <w:tab w:val="right" w:pos="8504"/>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63B10"/>
    <w:multiLevelType w:val="multilevel"/>
    <w:tmpl w:val="3DF2DC6A"/>
    <w:lvl w:ilvl="0">
      <w:start w:val="8"/>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7A21399"/>
    <w:multiLevelType w:val="multilevel"/>
    <w:tmpl w:val="F6C219A2"/>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2" w15:restartNumberingAfterBreak="0">
    <w:nsid w:val="0B112A04"/>
    <w:multiLevelType w:val="multilevel"/>
    <w:tmpl w:val="3B241E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CE73EA2"/>
    <w:multiLevelType w:val="multilevel"/>
    <w:tmpl w:val="3FE473E6"/>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4" w15:restartNumberingAfterBreak="0">
    <w:nsid w:val="0E921706"/>
    <w:multiLevelType w:val="multilevel"/>
    <w:tmpl w:val="C988D9A0"/>
    <w:lvl w:ilvl="0">
      <w:start w:val="1"/>
      <w:numFmt w:val="bullet"/>
      <w:lvlText w:val="●"/>
      <w:lvlJc w:val="left"/>
      <w:pPr>
        <w:ind w:left="862" w:hanging="360"/>
      </w:pPr>
      <w:rPr>
        <w:rFonts w:ascii="Noto Sans Symbols" w:eastAsia="Noto Sans Symbols" w:hAnsi="Noto Sans Symbols" w:cs="Noto Sans Symbols"/>
        <w:vertAlign w:val="baseline"/>
      </w:rPr>
    </w:lvl>
    <w:lvl w:ilvl="1">
      <w:start w:val="1"/>
      <w:numFmt w:val="bullet"/>
      <w:lvlText w:val="o"/>
      <w:lvlJc w:val="left"/>
      <w:pPr>
        <w:ind w:left="1582" w:hanging="360"/>
      </w:pPr>
      <w:rPr>
        <w:rFonts w:ascii="Courier New" w:eastAsia="Courier New" w:hAnsi="Courier New" w:cs="Courier New"/>
        <w:vertAlign w:val="baseline"/>
      </w:rPr>
    </w:lvl>
    <w:lvl w:ilvl="2">
      <w:start w:val="1"/>
      <w:numFmt w:val="bullet"/>
      <w:lvlText w:val="▪"/>
      <w:lvlJc w:val="left"/>
      <w:pPr>
        <w:ind w:left="2302" w:hanging="360"/>
      </w:pPr>
      <w:rPr>
        <w:rFonts w:ascii="Noto Sans Symbols" w:eastAsia="Noto Sans Symbols" w:hAnsi="Noto Sans Symbols" w:cs="Noto Sans Symbols"/>
        <w:vertAlign w:val="baseline"/>
      </w:rPr>
    </w:lvl>
    <w:lvl w:ilvl="3">
      <w:start w:val="1"/>
      <w:numFmt w:val="bullet"/>
      <w:lvlText w:val="●"/>
      <w:lvlJc w:val="left"/>
      <w:pPr>
        <w:ind w:left="3022" w:hanging="360"/>
      </w:pPr>
      <w:rPr>
        <w:rFonts w:ascii="Noto Sans Symbols" w:eastAsia="Noto Sans Symbols" w:hAnsi="Noto Sans Symbols" w:cs="Noto Sans Symbols"/>
        <w:vertAlign w:val="baseline"/>
      </w:rPr>
    </w:lvl>
    <w:lvl w:ilvl="4">
      <w:start w:val="1"/>
      <w:numFmt w:val="bullet"/>
      <w:lvlText w:val="o"/>
      <w:lvlJc w:val="left"/>
      <w:pPr>
        <w:ind w:left="3742" w:hanging="360"/>
      </w:pPr>
      <w:rPr>
        <w:rFonts w:ascii="Courier New" w:eastAsia="Courier New" w:hAnsi="Courier New" w:cs="Courier New"/>
        <w:vertAlign w:val="baseline"/>
      </w:rPr>
    </w:lvl>
    <w:lvl w:ilvl="5">
      <w:start w:val="1"/>
      <w:numFmt w:val="bullet"/>
      <w:lvlText w:val="▪"/>
      <w:lvlJc w:val="left"/>
      <w:pPr>
        <w:ind w:left="4462" w:hanging="360"/>
      </w:pPr>
      <w:rPr>
        <w:rFonts w:ascii="Noto Sans Symbols" w:eastAsia="Noto Sans Symbols" w:hAnsi="Noto Sans Symbols" w:cs="Noto Sans Symbols"/>
        <w:vertAlign w:val="baseline"/>
      </w:rPr>
    </w:lvl>
    <w:lvl w:ilvl="6">
      <w:start w:val="1"/>
      <w:numFmt w:val="bullet"/>
      <w:lvlText w:val="●"/>
      <w:lvlJc w:val="left"/>
      <w:pPr>
        <w:ind w:left="5182" w:hanging="360"/>
      </w:pPr>
      <w:rPr>
        <w:rFonts w:ascii="Noto Sans Symbols" w:eastAsia="Noto Sans Symbols" w:hAnsi="Noto Sans Symbols" w:cs="Noto Sans Symbols"/>
        <w:vertAlign w:val="baseline"/>
      </w:rPr>
    </w:lvl>
    <w:lvl w:ilvl="7">
      <w:start w:val="1"/>
      <w:numFmt w:val="bullet"/>
      <w:lvlText w:val="o"/>
      <w:lvlJc w:val="left"/>
      <w:pPr>
        <w:ind w:left="5902" w:hanging="360"/>
      </w:pPr>
      <w:rPr>
        <w:rFonts w:ascii="Courier New" w:eastAsia="Courier New" w:hAnsi="Courier New" w:cs="Courier New"/>
        <w:vertAlign w:val="baseline"/>
      </w:rPr>
    </w:lvl>
    <w:lvl w:ilvl="8">
      <w:start w:val="1"/>
      <w:numFmt w:val="bullet"/>
      <w:lvlText w:val="▪"/>
      <w:lvlJc w:val="left"/>
      <w:pPr>
        <w:ind w:left="6622" w:hanging="360"/>
      </w:pPr>
      <w:rPr>
        <w:rFonts w:ascii="Noto Sans Symbols" w:eastAsia="Noto Sans Symbols" w:hAnsi="Noto Sans Symbols" w:cs="Noto Sans Symbols"/>
        <w:vertAlign w:val="baseline"/>
      </w:rPr>
    </w:lvl>
  </w:abstractNum>
  <w:abstractNum w:abstractNumId="5" w15:restartNumberingAfterBreak="0">
    <w:nsid w:val="173B6B35"/>
    <w:multiLevelType w:val="multilevel"/>
    <w:tmpl w:val="5C4E82EA"/>
    <w:lvl w:ilvl="0">
      <w:numFmt w:val="bullet"/>
      <w:lvlText w:val="•"/>
      <w:lvlJc w:val="left"/>
      <w:pPr>
        <w:ind w:left="718" w:hanging="720"/>
      </w:pPr>
      <w:rPr>
        <w:rFonts w:ascii="Arial" w:eastAsia="Arial" w:hAnsi="Arial" w:cs="Arial"/>
        <w:vertAlign w:val="baseline"/>
      </w:rPr>
    </w:lvl>
    <w:lvl w:ilvl="1">
      <w:start w:val="1"/>
      <w:numFmt w:val="bullet"/>
      <w:lvlText w:val="o"/>
      <w:lvlJc w:val="left"/>
      <w:pPr>
        <w:ind w:left="1078" w:hanging="360"/>
      </w:pPr>
      <w:rPr>
        <w:rFonts w:ascii="Courier New" w:eastAsia="Courier New" w:hAnsi="Courier New" w:cs="Courier New"/>
        <w:vertAlign w:val="baseline"/>
      </w:rPr>
    </w:lvl>
    <w:lvl w:ilvl="2">
      <w:start w:val="1"/>
      <w:numFmt w:val="bullet"/>
      <w:lvlText w:val="▪"/>
      <w:lvlJc w:val="left"/>
      <w:pPr>
        <w:ind w:left="1798" w:hanging="360"/>
      </w:pPr>
      <w:rPr>
        <w:rFonts w:ascii="Noto Sans Symbols" w:eastAsia="Noto Sans Symbols" w:hAnsi="Noto Sans Symbols" w:cs="Noto Sans Symbols"/>
        <w:vertAlign w:val="baseline"/>
      </w:rPr>
    </w:lvl>
    <w:lvl w:ilvl="3">
      <w:start w:val="1"/>
      <w:numFmt w:val="bullet"/>
      <w:lvlText w:val="●"/>
      <w:lvlJc w:val="left"/>
      <w:pPr>
        <w:ind w:left="2518" w:hanging="360"/>
      </w:pPr>
      <w:rPr>
        <w:rFonts w:ascii="Noto Sans Symbols" w:eastAsia="Noto Sans Symbols" w:hAnsi="Noto Sans Symbols" w:cs="Noto Sans Symbols"/>
        <w:vertAlign w:val="baseline"/>
      </w:rPr>
    </w:lvl>
    <w:lvl w:ilvl="4">
      <w:start w:val="1"/>
      <w:numFmt w:val="bullet"/>
      <w:lvlText w:val="o"/>
      <w:lvlJc w:val="left"/>
      <w:pPr>
        <w:ind w:left="3238" w:hanging="360"/>
      </w:pPr>
      <w:rPr>
        <w:rFonts w:ascii="Courier New" w:eastAsia="Courier New" w:hAnsi="Courier New" w:cs="Courier New"/>
        <w:vertAlign w:val="baseline"/>
      </w:rPr>
    </w:lvl>
    <w:lvl w:ilvl="5">
      <w:start w:val="1"/>
      <w:numFmt w:val="bullet"/>
      <w:lvlText w:val="▪"/>
      <w:lvlJc w:val="left"/>
      <w:pPr>
        <w:ind w:left="3958" w:hanging="360"/>
      </w:pPr>
      <w:rPr>
        <w:rFonts w:ascii="Noto Sans Symbols" w:eastAsia="Noto Sans Symbols" w:hAnsi="Noto Sans Symbols" w:cs="Noto Sans Symbols"/>
        <w:vertAlign w:val="baseline"/>
      </w:rPr>
    </w:lvl>
    <w:lvl w:ilvl="6">
      <w:start w:val="1"/>
      <w:numFmt w:val="bullet"/>
      <w:lvlText w:val="●"/>
      <w:lvlJc w:val="left"/>
      <w:pPr>
        <w:ind w:left="4678" w:hanging="360"/>
      </w:pPr>
      <w:rPr>
        <w:rFonts w:ascii="Noto Sans Symbols" w:eastAsia="Noto Sans Symbols" w:hAnsi="Noto Sans Symbols" w:cs="Noto Sans Symbols"/>
        <w:vertAlign w:val="baseline"/>
      </w:rPr>
    </w:lvl>
    <w:lvl w:ilvl="7">
      <w:start w:val="1"/>
      <w:numFmt w:val="bullet"/>
      <w:lvlText w:val="o"/>
      <w:lvlJc w:val="left"/>
      <w:pPr>
        <w:ind w:left="5398" w:hanging="360"/>
      </w:pPr>
      <w:rPr>
        <w:rFonts w:ascii="Courier New" w:eastAsia="Courier New" w:hAnsi="Courier New" w:cs="Courier New"/>
        <w:vertAlign w:val="baseline"/>
      </w:rPr>
    </w:lvl>
    <w:lvl w:ilvl="8">
      <w:start w:val="1"/>
      <w:numFmt w:val="bullet"/>
      <w:lvlText w:val="▪"/>
      <w:lvlJc w:val="left"/>
      <w:pPr>
        <w:ind w:left="6118" w:hanging="360"/>
      </w:pPr>
      <w:rPr>
        <w:rFonts w:ascii="Noto Sans Symbols" w:eastAsia="Noto Sans Symbols" w:hAnsi="Noto Sans Symbols" w:cs="Noto Sans Symbols"/>
        <w:vertAlign w:val="baseline"/>
      </w:rPr>
    </w:lvl>
  </w:abstractNum>
  <w:abstractNum w:abstractNumId="6" w15:restartNumberingAfterBreak="0">
    <w:nsid w:val="21C4099A"/>
    <w:multiLevelType w:val="multilevel"/>
    <w:tmpl w:val="FF4A4D1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B65727A"/>
    <w:multiLevelType w:val="multilevel"/>
    <w:tmpl w:val="F092A69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D861A55"/>
    <w:multiLevelType w:val="multilevel"/>
    <w:tmpl w:val="DFA6A540"/>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9" w15:restartNumberingAfterBreak="0">
    <w:nsid w:val="3E73124F"/>
    <w:multiLevelType w:val="multilevel"/>
    <w:tmpl w:val="223CDE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50E77E99"/>
    <w:multiLevelType w:val="multilevel"/>
    <w:tmpl w:val="F5E84C40"/>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1" w15:restartNumberingAfterBreak="0">
    <w:nsid w:val="5FCE2939"/>
    <w:multiLevelType w:val="multilevel"/>
    <w:tmpl w:val="6492CDEA"/>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2" w15:restartNumberingAfterBreak="0">
    <w:nsid w:val="65D15706"/>
    <w:multiLevelType w:val="hybridMultilevel"/>
    <w:tmpl w:val="A29CD3AE"/>
    <w:lvl w:ilvl="0" w:tplc="00000002">
      <w:numFmt w:val="bullet"/>
      <w:lvlText w:val="-"/>
      <w:lvlJc w:val="left"/>
      <w:pPr>
        <w:ind w:left="720" w:hanging="360"/>
      </w:pPr>
      <w:rPr>
        <w:rFonts w:ascii="Times New Roman" w:hAnsi="Times New Roman" w:cs="Times New Roman" w:hint="default"/>
        <w:sz w:val="18"/>
        <w:szCs w:val="18"/>
        <w:lang w:eastAsia="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C571A40"/>
    <w:multiLevelType w:val="multilevel"/>
    <w:tmpl w:val="6D50292A"/>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num w:numId="1">
    <w:abstractNumId w:val="8"/>
  </w:num>
  <w:num w:numId="2">
    <w:abstractNumId w:val="5"/>
  </w:num>
  <w:num w:numId="3">
    <w:abstractNumId w:val="11"/>
  </w:num>
  <w:num w:numId="4">
    <w:abstractNumId w:val="3"/>
  </w:num>
  <w:num w:numId="5">
    <w:abstractNumId w:val="13"/>
  </w:num>
  <w:num w:numId="6">
    <w:abstractNumId w:val="6"/>
  </w:num>
  <w:num w:numId="7">
    <w:abstractNumId w:val="0"/>
  </w:num>
  <w:num w:numId="8">
    <w:abstractNumId w:val="9"/>
  </w:num>
  <w:num w:numId="9">
    <w:abstractNumId w:val="4"/>
  </w:num>
  <w:num w:numId="10">
    <w:abstractNumId w:val="7"/>
  </w:num>
  <w:num w:numId="11">
    <w:abstractNumId w:val="2"/>
  </w:num>
  <w:num w:numId="12">
    <w:abstractNumId w:val="1"/>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AF7"/>
    <w:rsid w:val="000D705C"/>
    <w:rsid w:val="001475C9"/>
    <w:rsid w:val="00151CD0"/>
    <w:rsid w:val="0015555D"/>
    <w:rsid w:val="001B5D64"/>
    <w:rsid w:val="0027454F"/>
    <w:rsid w:val="002C4AF7"/>
    <w:rsid w:val="00315719"/>
    <w:rsid w:val="00333AA4"/>
    <w:rsid w:val="00344EFD"/>
    <w:rsid w:val="00367227"/>
    <w:rsid w:val="00375650"/>
    <w:rsid w:val="003B6620"/>
    <w:rsid w:val="00461DAE"/>
    <w:rsid w:val="005036FF"/>
    <w:rsid w:val="00527548"/>
    <w:rsid w:val="00555C9A"/>
    <w:rsid w:val="00563E41"/>
    <w:rsid w:val="00570E2A"/>
    <w:rsid w:val="0058505A"/>
    <w:rsid w:val="005D5739"/>
    <w:rsid w:val="0061177D"/>
    <w:rsid w:val="006C2D5C"/>
    <w:rsid w:val="00747F3B"/>
    <w:rsid w:val="00761216"/>
    <w:rsid w:val="00796AC4"/>
    <w:rsid w:val="007C2686"/>
    <w:rsid w:val="007D014A"/>
    <w:rsid w:val="007E0101"/>
    <w:rsid w:val="00804DA3"/>
    <w:rsid w:val="00823B12"/>
    <w:rsid w:val="00883B7B"/>
    <w:rsid w:val="008A69C3"/>
    <w:rsid w:val="008C3520"/>
    <w:rsid w:val="008C4F08"/>
    <w:rsid w:val="008E7C3A"/>
    <w:rsid w:val="00912C50"/>
    <w:rsid w:val="00920418"/>
    <w:rsid w:val="00926C32"/>
    <w:rsid w:val="009758C0"/>
    <w:rsid w:val="009D49F2"/>
    <w:rsid w:val="009F0BD4"/>
    <w:rsid w:val="00A70AA4"/>
    <w:rsid w:val="00A73606"/>
    <w:rsid w:val="00A748FE"/>
    <w:rsid w:val="00B00C9F"/>
    <w:rsid w:val="00B52762"/>
    <w:rsid w:val="00B600EA"/>
    <w:rsid w:val="00B60B55"/>
    <w:rsid w:val="00B7245A"/>
    <w:rsid w:val="00C02FC5"/>
    <w:rsid w:val="00C14BFD"/>
    <w:rsid w:val="00C61EB7"/>
    <w:rsid w:val="00CD3970"/>
    <w:rsid w:val="00CE4D74"/>
    <w:rsid w:val="00DA1768"/>
    <w:rsid w:val="00DB7ADA"/>
    <w:rsid w:val="00E52F17"/>
    <w:rsid w:val="00E576A6"/>
    <w:rsid w:val="00ED4A88"/>
    <w:rsid w:val="00F00D20"/>
    <w:rsid w:val="00F266DD"/>
    <w:rsid w:val="00F53EF4"/>
    <w:rsid w:val="00F675AB"/>
    <w:rsid w:val="00FC60DC"/>
    <w:rsid w:val="00FC6E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1265FE6"/>
  <w15:docId w15:val="{63EC035F-6E3C-4660-927E-C5C57EB35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ES" w:bidi="ar-SA"/>
      </w:rPr>
    </w:rPrDefault>
    <w:pPrDefault>
      <w:pPr>
        <w:ind w:left="-1"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1" w:lineRule="atLeast"/>
      <w:ind w:leftChars="-1" w:hangingChars="1"/>
      <w:textAlignment w:val="top"/>
      <w:outlineLvl w:val="0"/>
    </w:pPr>
    <w:rPr>
      <w:position w:val="-1"/>
    </w:rPr>
  </w:style>
  <w:style w:type="paragraph" w:styleId="Ttulo1">
    <w:name w:val="heading 1"/>
    <w:basedOn w:val="Normal"/>
    <w:next w:val="Normal"/>
    <w:uiPriority w:val="9"/>
    <w:qFormat/>
    <w:pPr>
      <w:keepNext/>
      <w:autoSpaceDE w:val="0"/>
      <w:autoSpaceDN w:val="0"/>
      <w:adjustRightInd w:val="0"/>
    </w:pPr>
    <w:rPr>
      <w:rFonts w:ascii="Cambria" w:hAnsi="Cambria"/>
      <w:b/>
      <w:bCs/>
      <w:kern w:val="32"/>
      <w:sz w:val="32"/>
      <w:szCs w:val="32"/>
    </w:rPr>
  </w:style>
  <w:style w:type="paragraph" w:styleId="Ttulo2">
    <w:name w:val="heading 2"/>
    <w:basedOn w:val="Normal"/>
    <w:next w:val="Normal"/>
    <w:uiPriority w:val="9"/>
    <w:semiHidden/>
    <w:unhideWhenUsed/>
    <w:qFormat/>
    <w:pPr>
      <w:keepNext/>
      <w:shd w:val="clear" w:color="auto" w:fill="FFFFFF"/>
      <w:jc w:val="both"/>
      <w:outlineLvl w:val="1"/>
    </w:pPr>
    <w:rPr>
      <w:rFonts w:ascii="Cambria" w:hAnsi="Cambria"/>
      <w:b/>
      <w:bCs/>
      <w:i/>
      <w:iCs/>
      <w:sz w:val="28"/>
      <w:szCs w:val="28"/>
    </w:rPr>
  </w:style>
  <w:style w:type="paragraph" w:styleId="Ttulo3">
    <w:name w:val="heading 3"/>
    <w:basedOn w:val="Normal"/>
    <w:next w:val="Normal"/>
    <w:uiPriority w:val="9"/>
    <w:semiHidden/>
    <w:unhideWhenUsed/>
    <w:qFormat/>
    <w:pPr>
      <w:keepNext/>
      <w:jc w:val="center"/>
      <w:outlineLvl w:val="2"/>
    </w:pPr>
    <w:rPr>
      <w:rFonts w:ascii="Cambria" w:hAnsi="Cambria"/>
      <w:b/>
      <w:bCs/>
      <w:sz w:val="26"/>
      <w:szCs w:val="26"/>
    </w:rPr>
  </w:style>
  <w:style w:type="paragraph" w:styleId="Ttulo4">
    <w:name w:val="heading 4"/>
    <w:basedOn w:val="Normal"/>
    <w:next w:val="Normal"/>
    <w:uiPriority w:val="9"/>
    <w:semiHidden/>
    <w:unhideWhenUsed/>
    <w:qFormat/>
    <w:pPr>
      <w:keepNext/>
      <w:jc w:val="both"/>
      <w:outlineLvl w:val="3"/>
    </w:pPr>
    <w:rPr>
      <w:rFonts w:ascii="Calibri" w:hAnsi="Calibri"/>
      <w:b/>
      <w:bCs/>
      <w:sz w:val="28"/>
      <w:szCs w:val="28"/>
    </w:rPr>
  </w:style>
  <w:style w:type="paragraph" w:styleId="Ttulo5">
    <w:name w:val="heading 5"/>
    <w:basedOn w:val="Normal"/>
    <w:next w:val="Normal"/>
    <w:uiPriority w:val="9"/>
    <w:semiHidden/>
    <w:unhideWhenUsed/>
    <w:qFormat/>
    <w:pPr>
      <w:keepNext/>
      <w:shd w:val="clear" w:color="auto" w:fill="FFCC99"/>
      <w:outlineLvl w:val="4"/>
    </w:pPr>
    <w:rPr>
      <w:rFonts w:ascii="Calibri" w:hAnsi="Calibri"/>
      <w:b/>
      <w:bCs/>
      <w:i/>
      <w:iCs/>
      <w:sz w:val="26"/>
      <w:szCs w:val="26"/>
    </w:rPr>
  </w:style>
  <w:style w:type="paragraph" w:styleId="Ttulo6">
    <w:name w:val="heading 6"/>
    <w:basedOn w:val="Normal"/>
    <w:next w:val="Normal"/>
    <w:uiPriority w:val="9"/>
    <w:semiHidden/>
    <w:unhideWhenUsed/>
    <w:qFormat/>
    <w:pPr>
      <w:keepNext/>
      <w:autoSpaceDE w:val="0"/>
      <w:autoSpaceDN w:val="0"/>
      <w:adjustRightInd w:val="0"/>
      <w:outlineLvl w:val="5"/>
    </w:pPr>
    <w:rPr>
      <w:rFonts w:ascii="Calibri" w:hAnsi="Calibri"/>
      <w:b/>
      <w:bCs/>
      <w:sz w:val="22"/>
      <w:szCs w:val="22"/>
    </w:rPr>
  </w:style>
  <w:style w:type="paragraph" w:styleId="Ttulo7">
    <w:name w:val="heading 7"/>
    <w:basedOn w:val="Normal"/>
    <w:next w:val="Normal"/>
    <w:pPr>
      <w:keepNext/>
      <w:jc w:val="center"/>
      <w:outlineLvl w:val="6"/>
    </w:pPr>
    <w:rPr>
      <w:rFonts w:ascii="Calibri" w:hAnsi="Calibri"/>
    </w:rPr>
  </w:style>
  <w:style w:type="paragraph" w:styleId="Ttulo8">
    <w:name w:val="heading 8"/>
    <w:basedOn w:val="Normal"/>
    <w:next w:val="Normal"/>
    <w:pPr>
      <w:keepNext/>
      <w:jc w:val="both"/>
      <w:outlineLvl w:val="7"/>
    </w:pPr>
    <w:rPr>
      <w:rFonts w:ascii="Calibri" w:hAnsi="Calibri"/>
      <w:i/>
      <w:iCs/>
    </w:rPr>
  </w:style>
  <w:style w:type="paragraph" w:styleId="Ttulo9">
    <w:name w:val="heading 9"/>
    <w:basedOn w:val="Normal"/>
    <w:next w:val="Normal"/>
    <w:pPr>
      <w:keepNext/>
      <w:jc w:val="both"/>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autoSpaceDE w:val="0"/>
      <w:autoSpaceDN w:val="0"/>
      <w:adjustRightInd w:val="0"/>
      <w:jc w:val="center"/>
    </w:pPr>
    <w:rPr>
      <w:rFonts w:ascii="Cambria" w:hAnsi="Cambria"/>
      <w:b/>
      <w:bCs/>
      <w:kern w:val="28"/>
      <w:sz w:val="32"/>
      <w:szCs w:val="32"/>
    </w:rPr>
  </w:style>
  <w:style w:type="table" w:customStyle="1" w:styleId="TableNormal0">
    <w:name w:val="Table Normal"/>
    <w:next w:val="TableNormal"/>
    <w:pPr>
      <w:suppressAutoHyphens/>
      <w:spacing w:line="1" w:lineRule="atLeast"/>
      <w:ind w:leftChars="-1" w:hangingChars="1"/>
      <w:textDirection w:val="btLr"/>
      <w:textAlignment w:val="top"/>
      <w:outlineLvl w:val="0"/>
    </w:pPr>
    <w:rPr>
      <w:position w:val="-1"/>
    </w:rPr>
    <w:tblPr>
      <w:tblCellMar>
        <w:top w:w="0" w:type="dxa"/>
        <w:left w:w="0" w:type="dxa"/>
        <w:bottom w:w="0" w:type="dxa"/>
        <w:right w:w="0" w:type="dxa"/>
      </w:tblCellMar>
    </w:tblPr>
  </w:style>
  <w:style w:type="character" w:customStyle="1" w:styleId="Ttulo1Car1">
    <w:name w:val="Título 1 Car1"/>
    <w:basedOn w:val="Fuentedeprrafopredeter"/>
    <w:rPr>
      <w:rFonts w:ascii="Cambria" w:hAnsi="Cambria" w:cs="Times New Roman"/>
      <w:b/>
      <w:bCs/>
      <w:w w:val="100"/>
      <w:kern w:val="32"/>
      <w:position w:val="-1"/>
      <w:sz w:val="32"/>
      <w:szCs w:val="32"/>
      <w:effect w:val="none"/>
      <w:vertAlign w:val="baseline"/>
      <w:cs w:val="0"/>
      <w:em w:val="none"/>
    </w:rPr>
  </w:style>
  <w:style w:type="character" w:customStyle="1" w:styleId="Ttulo2Car1">
    <w:name w:val="Título 2 Car1"/>
    <w:basedOn w:val="Fuentedeprrafopredeter"/>
    <w:rPr>
      <w:rFonts w:ascii="Cambria" w:hAnsi="Cambria" w:cs="Times New Roman"/>
      <w:b/>
      <w:bCs/>
      <w:i/>
      <w:iCs/>
      <w:w w:val="100"/>
      <w:position w:val="-1"/>
      <w:sz w:val="28"/>
      <w:szCs w:val="28"/>
      <w:effect w:val="none"/>
      <w:vertAlign w:val="baseline"/>
      <w:cs w:val="0"/>
      <w:em w:val="none"/>
    </w:rPr>
  </w:style>
  <w:style w:type="character" w:customStyle="1" w:styleId="Ttulo3Car1">
    <w:name w:val="Título 3 Car1"/>
    <w:basedOn w:val="Fuentedeprrafopredeter"/>
    <w:rPr>
      <w:rFonts w:ascii="Cambria" w:hAnsi="Cambria" w:cs="Times New Roman"/>
      <w:b/>
      <w:bCs/>
      <w:w w:val="100"/>
      <w:position w:val="-1"/>
      <w:sz w:val="26"/>
      <w:szCs w:val="26"/>
      <w:effect w:val="none"/>
      <w:vertAlign w:val="baseline"/>
      <w:cs w:val="0"/>
      <w:em w:val="none"/>
    </w:rPr>
  </w:style>
  <w:style w:type="character" w:customStyle="1" w:styleId="Ttulo4Car1">
    <w:name w:val="Título 4 Car1"/>
    <w:basedOn w:val="Fuentedeprrafopredeter"/>
    <w:rPr>
      <w:rFonts w:ascii="Calibri" w:hAnsi="Calibri" w:cs="Times New Roman"/>
      <w:b/>
      <w:bCs/>
      <w:w w:val="100"/>
      <w:position w:val="-1"/>
      <w:sz w:val="28"/>
      <w:szCs w:val="28"/>
      <w:effect w:val="none"/>
      <w:vertAlign w:val="baseline"/>
      <w:cs w:val="0"/>
      <w:em w:val="none"/>
    </w:rPr>
  </w:style>
  <w:style w:type="character" w:customStyle="1" w:styleId="Ttulo5Car1">
    <w:name w:val="Título 5 Car1"/>
    <w:basedOn w:val="Fuentedeprrafopredeter"/>
    <w:rPr>
      <w:rFonts w:ascii="Calibri" w:hAnsi="Calibri" w:cs="Times New Roman"/>
      <w:b/>
      <w:bCs/>
      <w:i/>
      <w:iCs/>
      <w:w w:val="100"/>
      <w:position w:val="-1"/>
      <w:sz w:val="26"/>
      <w:szCs w:val="26"/>
      <w:effect w:val="none"/>
      <w:vertAlign w:val="baseline"/>
      <w:cs w:val="0"/>
      <w:em w:val="none"/>
    </w:rPr>
  </w:style>
  <w:style w:type="character" w:customStyle="1" w:styleId="Ttulo6Car1">
    <w:name w:val="Título 6 Car1"/>
    <w:basedOn w:val="Fuentedeprrafopredeter"/>
    <w:rPr>
      <w:rFonts w:ascii="Calibri" w:hAnsi="Calibri" w:cs="Times New Roman"/>
      <w:b/>
      <w:bCs/>
      <w:w w:val="100"/>
      <w:position w:val="-1"/>
      <w:effect w:val="none"/>
      <w:vertAlign w:val="baseline"/>
      <w:cs w:val="0"/>
      <w:em w:val="none"/>
    </w:rPr>
  </w:style>
  <w:style w:type="character" w:customStyle="1" w:styleId="Ttulo7Car1">
    <w:name w:val="Título 7 Car1"/>
    <w:basedOn w:val="Fuentedeprrafopredeter"/>
    <w:rPr>
      <w:rFonts w:ascii="Calibri" w:hAnsi="Calibri" w:cs="Times New Roman"/>
      <w:w w:val="100"/>
      <w:position w:val="-1"/>
      <w:sz w:val="24"/>
      <w:szCs w:val="24"/>
      <w:effect w:val="none"/>
      <w:vertAlign w:val="baseline"/>
      <w:cs w:val="0"/>
      <w:em w:val="none"/>
    </w:rPr>
  </w:style>
  <w:style w:type="character" w:customStyle="1" w:styleId="Ttulo8Car1">
    <w:name w:val="Título 8 Car1"/>
    <w:basedOn w:val="Fuentedeprrafopredeter"/>
    <w:rPr>
      <w:rFonts w:ascii="Calibri" w:hAnsi="Calibri" w:cs="Times New Roman"/>
      <w:i/>
      <w:iCs/>
      <w:w w:val="100"/>
      <w:position w:val="-1"/>
      <w:sz w:val="24"/>
      <w:szCs w:val="24"/>
      <w:effect w:val="none"/>
      <w:vertAlign w:val="baseline"/>
      <w:cs w:val="0"/>
      <w:em w:val="none"/>
    </w:rPr>
  </w:style>
  <w:style w:type="character" w:customStyle="1" w:styleId="Ttulo9Car1">
    <w:name w:val="Título 9 Car1"/>
    <w:basedOn w:val="Fuentedeprrafopredeter"/>
    <w:rPr>
      <w:rFonts w:ascii="Cambria" w:hAnsi="Cambria" w:cs="Times New Roman"/>
      <w:w w:val="100"/>
      <w:position w:val="-1"/>
      <w:effect w:val="none"/>
      <w:vertAlign w:val="baseline"/>
      <w:cs w:val="0"/>
      <w:em w:val="none"/>
    </w:rPr>
  </w:style>
  <w:style w:type="table" w:customStyle="1" w:styleId="TableNormal1">
    <w:name w:val="Table Normal1"/>
    <w:pPr>
      <w:suppressAutoHyphens/>
      <w:spacing w:line="1" w:lineRule="atLeast"/>
      <w:ind w:leftChars="-1" w:hangingChars="1"/>
      <w:textDirection w:val="btLr"/>
      <w:textAlignment w:val="top"/>
      <w:outlineLvl w:val="0"/>
    </w:pPr>
    <w:rPr>
      <w:position w:val="-1"/>
    </w:rPr>
    <w:tblPr>
      <w:tblCellMar>
        <w:top w:w="0" w:type="dxa"/>
        <w:left w:w="0" w:type="dxa"/>
        <w:bottom w:w="0" w:type="dxa"/>
        <w:right w:w="0" w:type="dxa"/>
      </w:tblCellMar>
    </w:tblPr>
  </w:style>
  <w:style w:type="character" w:customStyle="1" w:styleId="TtuloCar1">
    <w:name w:val="Título Car1"/>
    <w:basedOn w:val="Fuentedeprrafopredeter"/>
    <w:rPr>
      <w:rFonts w:ascii="Cambria" w:hAnsi="Cambria" w:cs="Times New Roman"/>
      <w:b/>
      <w:bCs/>
      <w:w w:val="100"/>
      <w:kern w:val="28"/>
      <w:position w:val="-1"/>
      <w:sz w:val="32"/>
      <w:szCs w:val="32"/>
      <w:effect w:val="none"/>
      <w:vertAlign w:val="baseline"/>
      <w:cs w:val="0"/>
      <w:em w:val="none"/>
    </w:rPr>
  </w:style>
  <w:style w:type="paragraph" w:customStyle="1" w:styleId="Normal1">
    <w:name w:val="Normal1"/>
    <w:pPr>
      <w:suppressAutoHyphens/>
      <w:spacing w:line="1" w:lineRule="atLeast"/>
      <w:ind w:leftChars="-1" w:hangingChars="1"/>
      <w:textDirection w:val="btLr"/>
      <w:textAlignment w:val="top"/>
      <w:outlineLvl w:val="0"/>
    </w:pPr>
    <w:rPr>
      <w:position w:val="-1"/>
    </w:rPr>
  </w:style>
  <w:style w:type="table" w:customStyle="1" w:styleId="TableNormal11">
    <w:name w:val="Table Normal11"/>
    <w:pPr>
      <w:suppressAutoHyphens/>
      <w:spacing w:line="1" w:lineRule="atLeast"/>
      <w:ind w:leftChars="-1" w:hangingChars="1"/>
      <w:textDirection w:val="btLr"/>
      <w:textAlignment w:val="top"/>
      <w:outlineLvl w:val="0"/>
    </w:pPr>
    <w:rPr>
      <w:position w:val="-1"/>
    </w:rPr>
    <w:tblPr>
      <w:tblCellMar>
        <w:top w:w="0" w:type="dxa"/>
        <w:left w:w="0" w:type="dxa"/>
        <w:bottom w:w="0" w:type="dxa"/>
        <w:right w:w="0" w:type="dxa"/>
      </w:tblCellMar>
    </w:tblPr>
  </w:style>
  <w:style w:type="character" w:customStyle="1" w:styleId="Ttulo1Car">
    <w:name w:val="Título 1 Car"/>
    <w:rPr>
      <w:rFonts w:ascii="Cambria" w:hAnsi="Cambria"/>
      <w:b/>
      <w:w w:val="100"/>
      <w:kern w:val="32"/>
      <w:position w:val="-1"/>
      <w:sz w:val="32"/>
      <w:effect w:val="none"/>
      <w:vertAlign w:val="baseline"/>
      <w:cs w:val="0"/>
      <w:em w:val="none"/>
    </w:rPr>
  </w:style>
  <w:style w:type="character" w:customStyle="1" w:styleId="Ttulo2Car">
    <w:name w:val="Título 2 Car"/>
    <w:rPr>
      <w:rFonts w:ascii="Cambria" w:hAnsi="Cambria"/>
      <w:b/>
      <w:i/>
      <w:w w:val="100"/>
      <w:position w:val="-1"/>
      <w:sz w:val="28"/>
      <w:effect w:val="none"/>
      <w:vertAlign w:val="baseline"/>
      <w:cs w:val="0"/>
      <w:em w:val="none"/>
    </w:rPr>
  </w:style>
  <w:style w:type="character" w:customStyle="1" w:styleId="Ttulo3Car">
    <w:name w:val="Título 3 Car"/>
    <w:rPr>
      <w:rFonts w:ascii="Cambria" w:hAnsi="Cambria"/>
      <w:b/>
      <w:w w:val="100"/>
      <w:position w:val="-1"/>
      <w:sz w:val="26"/>
      <w:effect w:val="none"/>
      <w:vertAlign w:val="baseline"/>
      <w:cs w:val="0"/>
      <w:em w:val="none"/>
    </w:rPr>
  </w:style>
  <w:style w:type="character" w:customStyle="1" w:styleId="Ttulo4Car">
    <w:name w:val="Título 4 Car"/>
    <w:rPr>
      <w:rFonts w:ascii="Calibri" w:hAnsi="Calibri"/>
      <w:b/>
      <w:w w:val="100"/>
      <w:position w:val="-1"/>
      <w:sz w:val="28"/>
      <w:effect w:val="none"/>
      <w:vertAlign w:val="baseline"/>
      <w:cs w:val="0"/>
      <w:em w:val="none"/>
    </w:rPr>
  </w:style>
  <w:style w:type="character" w:customStyle="1" w:styleId="Ttulo5Car">
    <w:name w:val="Título 5 Car"/>
    <w:rPr>
      <w:rFonts w:ascii="Calibri" w:hAnsi="Calibri"/>
      <w:b/>
      <w:i/>
      <w:w w:val="100"/>
      <w:position w:val="-1"/>
      <w:sz w:val="26"/>
      <w:effect w:val="none"/>
      <w:vertAlign w:val="baseline"/>
      <w:cs w:val="0"/>
      <w:em w:val="none"/>
    </w:rPr>
  </w:style>
  <w:style w:type="character" w:customStyle="1" w:styleId="Ttulo6Car">
    <w:name w:val="Título 6 Car"/>
    <w:rPr>
      <w:rFonts w:ascii="Calibri" w:hAnsi="Calibri"/>
      <w:b/>
      <w:w w:val="100"/>
      <w:position w:val="-1"/>
      <w:sz w:val="22"/>
      <w:effect w:val="none"/>
      <w:vertAlign w:val="baseline"/>
      <w:cs w:val="0"/>
      <w:em w:val="none"/>
    </w:rPr>
  </w:style>
  <w:style w:type="character" w:customStyle="1" w:styleId="Ttulo7Car">
    <w:name w:val="Título 7 Car"/>
    <w:rPr>
      <w:rFonts w:ascii="Calibri" w:hAnsi="Calibri"/>
      <w:w w:val="100"/>
      <w:position w:val="-1"/>
      <w:sz w:val="24"/>
      <w:effect w:val="none"/>
      <w:vertAlign w:val="baseline"/>
      <w:cs w:val="0"/>
      <w:em w:val="none"/>
    </w:rPr>
  </w:style>
  <w:style w:type="character" w:customStyle="1" w:styleId="Ttulo8Car">
    <w:name w:val="Título 8 Car"/>
    <w:rPr>
      <w:rFonts w:ascii="Calibri" w:hAnsi="Calibri"/>
      <w:i/>
      <w:w w:val="100"/>
      <w:position w:val="-1"/>
      <w:sz w:val="24"/>
      <w:effect w:val="none"/>
      <w:vertAlign w:val="baseline"/>
      <w:cs w:val="0"/>
      <w:em w:val="none"/>
    </w:rPr>
  </w:style>
  <w:style w:type="character" w:customStyle="1" w:styleId="Ttulo9Car">
    <w:name w:val="Título 9 Car"/>
    <w:rPr>
      <w:rFonts w:ascii="Cambria" w:hAnsi="Cambria"/>
      <w:w w:val="100"/>
      <w:position w:val="-1"/>
      <w:sz w:val="22"/>
      <w:effect w:val="none"/>
      <w:vertAlign w:val="baseline"/>
      <w:cs w:val="0"/>
      <w:em w:val="none"/>
    </w:rPr>
  </w:style>
  <w:style w:type="paragraph" w:styleId="Textodeglobo">
    <w:name w:val="Balloon Text"/>
    <w:basedOn w:val="Normal"/>
    <w:rPr>
      <w:sz w:val="16"/>
      <w:szCs w:val="20"/>
    </w:rPr>
  </w:style>
  <w:style w:type="character" w:customStyle="1" w:styleId="TextodegloboCar1">
    <w:name w:val="Texto de globo Car1"/>
    <w:basedOn w:val="Fuentedeprrafopredeter"/>
    <w:rPr>
      <w:w w:val="100"/>
      <w:position w:val="-1"/>
      <w:sz w:val="2"/>
      <w:effect w:val="none"/>
      <w:vertAlign w:val="baseline"/>
      <w:cs w:val="0"/>
      <w:em w:val="none"/>
    </w:rPr>
  </w:style>
  <w:style w:type="character" w:customStyle="1" w:styleId="TextodegloboCar">
    <w:name w:val="Texto de globo Car"/>
    <w:rPr>
      <w:w w:val="100"/>
      <w:position w:val="-1"/>
      <w:sz w:val="2"/>
      <w:effect w:val="none"/>
      <w:vertAlign w:val="baseline"/>
      <w:cs w:val="0"/>
      <w:em w:val="none"/>
    </w:rPr>
  </w:style>
  <w:style w:type="character" w:styleId="Hipervnculo">
    <w:name w:val="Hyperlink"/>
    <w:basedOn w:val="Fuentedeprrafopredeter"/>
    <w:rPr>
      <w:color w:val="0000FF"/>
      <w:w w:val="100"/>
      <w:position w:val="-1"/>
      <w:u w:val="single"/>
      <w:effect w:val="none"/>
      <w:vertAlign w:val="baseline"/>
      <w:cs w:val="0"/>
      <w:em w:val="none"/>
    </w:rPr>
  </w:style>
  <w:style w:type="character" w:customStyle="1" w:styleId="TtuloCar">
    <w:name w:val="Título Car"/>
    <w:rPr>
      <w:rFonts w:ascii="Cambria" w:hAnsi="Cambria"/>
      <w:b/>
      <w:w w:val="100"/>
      <w:kern w:val="28"/>
      <w:position w:val="-1"/>
      <w:sz w:val="32"/>
      <w:effect w:val="none"/>
      <w:vertAlign w:val="baseline"/>
      <w:cs w:val="0"/>
      <w:em w:val="none"/>
    </w:rPr>
  </w:style>
  <w:style w:type="paragraph" w:styleId="Sangradetextonormal">
    <w:name w:val="Body Text Indent"/>
    <w:basedOn w:val="Normal"/>
    <w:pPr>
      <w:shd w:val="clear" w:color="auto" w:fill="FFFFFF"/>
      <w:ind w:left="708"/>
      <w:jc w:val="both"/>
    </w:pPr>
  </w:style>
  <w:style w:type="character" w:customStyle="1" w:styleId="SangradetextonormalCar1">
    <w:name w:val="Sangría de texto normal Car1"/>
    <w:basedOn w:val="Fuentedeprrafopredeter"/>
    <w:rPr>
      <w:w w:val="100"/>
      <w:position w:val="-1"/>
      <w:sz w:val="24"/>
      <w:szCs w:val="24"/>
      <w:effect w:val="none"/>
      <w:vertAlign w:val="baseline"/>
      <w:cs w:val="0"/>
      <w:em w:val="none"/>
    </w:rPr>
  </w:style>
  <w:style w:type="character" w:customStyle="1" w:styleId="SangradetextonormalCar">
    <w:name w:val="Sangría de texto normal Car"/>
    <w:rPr>
      <w:w w:val="100"/>
      <w:position w:val="-1"/>
      <w:sz w:val="24"/>
      <w:effect w:val="none"/>
      <w:vertAlign w:val="baseline"/>
      <w:cs w:val="0"/>
      <w:em w:val="none"/>
    </w:rPr>
  </w:style>
  <w:style w:type="paragraph" w:styleId="Textoindependiente">
    <w:name w:val="Body Text"/>
    <w:basedOn w:val="Normal"/>
  </w:style>
  <w:style w:type="character" w:customStyle="1" w:styleId="TextoindependienteCar1">
    <w:name w:val="Texto independiente Car1"/>
    <w:basedOn w:val="Fuentedeprrafopredeter"/>
    <w:rPr>
      <w:w w:val="100"/>
      <w:position w:val="-1"/>
      <w:sz w:val="24"/>
      <w:szCs w:val="24"/>
      <w:effect w:val="none"/>
      <w:vertAlign w:val="baseline"/>
      <w:cs w:val="0"/>
      <w:em w:val="none"/>
    </w:rPr>
  </w:style>
  <w:style w:type="character" w:customStyle="1" w:styleId="TextoindependienteCar">
    <w:name w:val="Texto independiente Car"/>
    <w:rPr>
      <w:w w:val="100"/>
      <w:position w:val="-1"/>
      <w:sz w:val="24"/>
      <w:effect w:val="none"/>
      <w:vertAlign w:val="baseline"/>
      <w:cs w:val="0"/>
      <w:em w:val="none"/>
    </w:rPr>
  </w:style>
  <w:style w:type="paragraph" w:styleId="Encabezado">
    <w:name w:val="header"/>
    <w:basedOn w:val="Normal"/>
  </w:style>
  <w:style w:type="character" w:customStyle="1" w:styleId="EncabezadoCar1">
    <w:name w:val="Encabezado Car1"/>
    <w:basedOn w:val="Fuentedeprrafopredeter"/>
    <w:rPr>
      <w:w w:val="100"/>
      <w:position w:val="-1"/>
      <w:sz w:val="24"/>
      <w:effect w:val="none"/>
      <w:vertAlign w:val="baseline"/>
      <w:cs w:val="0"/>
      <w:em w:val="none"/>
    </w:rPr>
  </w:style>
  <w:style w:type="character" w:customStyle="1" w:styleId="EncabezadoCar">
    <w:name w:val="Encabezado Car"/>
    <w:rPr>
      <w:w w:val="100"/>
      <w:position w:val="-1"/>
      <w:sz w:val="24"/>
      <w:effect w:val="none"/>
      <w:vertAlign w:val="baseline"/>
      <w:cs w:val="0"/>
      <w:em w:val="none"/>
    </w:rPr>
  </w:style>
  <w:style w:type="paragraph" w:styleId="Piedepgina">
    <w:name w:val="footer"/>
    <w:basedOn w:val="Normal"/>
  </w:style>
  <w:style w:type="character" w:customStyle="1" w:styleId="PiedepginaCar1">
    <w:name w:val="Pie de página Car1"/>
    <w:basedOn w:val="Fuentedeprrafopredeter"/>
    <w:rPr>
      <w:w w:val="100"/>
      <w:position w:val="-1"/>
      <w:sz w:val="24"/>
      <w:szCs w:val="24"/>
      <w:effect w:val="none"/>
      <w:vertAlign w:val="baseline"/>
      <w:cs w:val="0"/>
      <w:em w:val="none"/>
    </w:rPr>
  </w:style>
  <w:style w:type="character" w:customStyle="1" w:styleId="PiedepginaCar">
    <w:name w:val="Pie de página Car"/>
    <w:rPr>
      <w:w w:val="100"/>
      <w:position w:val="-1"/>
      <w:sz w:val="24"/>
      <w:effect w:val="none"/>
      <w:vertAlign w:val="baseline"/>
      <w:cs w:val="0"/>
      <w:em w:val="none"/>
    </w:rPr>
  </w:style>
  <w:style w:type="character" w:styleId="Nmerodepgina">
    <w:name w:val="page number"/>
    <w:basedOn w:val="Fuentedeprrafopredeter"/>
    <w:rPr>
      <w:w w:val="100"/>
      <w:position w:val="-1"/>
      <w:effect w:val="none"/>
      <w:vertAlign w:val="baseline"/>
      <w:cs w:val="0"/>
      <w:em w:val="none"/>
    </w:rPr>
  </w:style>
  <w:style w:type="paragraph" w:styleId="Textoindependiente2">
    <w:name w:val="Body Text 2"/>
    <w:basedOn w:val="Normal"/>
    <w:pPr>
      <w:autoSpaceDE w:val="0"/>
      <w:autoSpaceDN w:val="0"/>
      <w:adjustRightInd w:val="0"/>
      <w:jc w:val="center"/>
    </w:pPr>
  </w:style>
  <w:style w:type="character" w:customStyle="1" w:styleId="Textoindependiente2Car1">
    <w:name w:val="Texto independiente 2 Car1"/>
    <w:basedOn w:val="Fuentedeprrafopredeter"/>
    <w:rPr>
      <w:w w:val="100"/>
      <w:position w:val="-1"/>
      <w:sz w:val="24"/>
      <w:szCs w:val="24"/>
      <w:effect w:val="none"/>
      <w:vertAlign w:val="baseline"/>
      <w:cs w:val="0"/>
      <w:em w:val="none"/>
    </w:rPr>
  </w:style>
  <w:style w:type="character" w:customStyle="1" w:styleId="Textoindependiente2Car">
    <w:name w:val="Texto independiente 2 Car"/>
    <w:rPr>
      <w:w w:val="100"/>
      <w:position w:val="-1"/>
      <w:sz w:val="24"/>
      <w:effect w:val="none"/>
      <w:vertAlign w:val="baseline"/>
      <w:cs w:val="0"/>
      <w:em w:val="none"/>
    </w:rPr>
  </w:style>
  <w:style w:type="paragraph" w:customStyle="1" w:styleId="Authors">
    <w:name w:val="Authors"/>
    <w:basedOn w:val="Normal"/>
    <w:pPr>
      <w:keepNext/>
      <w:spacing w:before="240"/>
    </w:pPr>
    <w:rPr>
      <w:rFonts w:ascii="Arial" w:hAnsi="Arial"/>
      <w:color w:val="000000"/>
      <w:sz w:val="22"/>
      <w:szCs w:val="20"/>
      <w:lang w:val="en-US" w:eastAsia="en-US"/>
    </w:rPr>
  </w:style>
  <w:style w:type="paragraph" w:customStyle="1" w:styleId="Encabezadobase">
    <w:name w:val="Encabezado base"/>
    <w:basedOn w:val="Normal"/>
    <w:pPr>
      <w:keepLines/>
      <w:spacing w:after="240"/>
      <w:ind w:firstLine="709"/>
      <w:jc w:val="both"/>
    </w:pPr>
    <w:rPr>
      <w:rFonts w:ascii="Arial" w:hAnsi="Arial"/>
      <w:spacing w:val="-4"/>
      <w:szCs w:val="20"/>
    </w:rPr>
  </w:style>
  <w:style w:type="character" w:styleId="Hipervnculovisitado">
    <w:name w:val="FollowedHyperlink"/>
    <w:basedOn w:val="Fuentedeprrafopredeter"/>
    <w:rPr>
      <w:color w:val="800080"/>
      <w:w w:val="100"/>
      <w:position w:val="-1"/>
      <w:u w:val="single"/>
      <w:effect w:val="none"/>
      <w:vertAlign w:val="baseline"/>
      <w:cs w:val="0"/>
      <w:em w:val="none"/>
    </w:rPr>
  </w:style>
  <w:style w:type="paragraph" w:styleId="NormalWeb">
    <w:name w:val="Normal (Web)"/>
    <w:basedOn w:val="Normal"/>
    <w:pPr>
      <w:spacing w:before="100" w:beforeAutospacing="1" w:after="100" w:afterAutospacing="1"/>
    </w:pPr>
  </w:style>
  <w:style w:type="paragraph" w:styleId="Textoindependiente3">
    <w:name w:val="Body Text 3"/>
    <w:basedOn w:val="Normal"/>
    <w:rPr>
      <w:sz w:val="16"/>
      <w:szCs w:val="16"/>
    </w:rPr>
  </w:style>
  <w:style w:type="character" w:customStyle="1" w:styleId="Textoindependiente3Car1">
    <w:name w:val="Texto independiente 3 Car1"/>
    <w:basedOn w:val="Fuentedeprrafopredeter"/>
    <w:rPr>
      <w:w w:val="100"/>
      <w:position w:val="-1"/>
      <w:sz w:val="16"/>
      <w:szCs w:val="16"/>
      <w:effect w:val="none"/>
      <w:vertAlign w:val="baseline"/>
      <w:cs w:val="0"/>
      <w:em w:val="none"/>
    </w:rPr>
  </w:style>
  <w:style w:type="character" w:customStyle="1" w:styleId="Textoindependiente3Car">
    <w:name w:val="Texto independiente 3 Car"/>
    <w:rPr>
      <w:w w:val="100"/>
      <w:position w:val="-1"/>
      <w:sz w:val="16"/>
      <w:effect w:val="none"/>
      <w:vertAlign w:val="baseline"/>
      <w:cs w:val="0"/>
      <w:em w:val="none"/>
    </w:rPr>
  </w:style>
  <w:style w:type="character" w:customStyle="1" w:styleId="t101">
    <w:name w:val="t101"/>
    <w:rPr>
      <w:rFonts w:ascii="Arial" w:hAnsi="Arial"/>
      <w:w w:val="100"/>
      <w:position w:val="-1"/>
      <w:sz w:val="24"/>
      <w:effect w:val="none"/>
      <w:vertAlign w:val="baseline"/>
      <w:cs w:val="0"/>
      <w:em w:val="none"/>
    </w:rPr>
  </w:style>
  <w:style w:type="character" w:styleId="Textoennegrita">
    <w:name w:val="Strong"/>
    <w:basedOn w:val="Fuentedeprrafopredeter"/>
    <w:rPr>
      <w:b/>
      <w:w w:val="100"/>
      <w:position w:val="-1"/>
      <w:effect w:val="none"/>
      <w:vertAlign w:val="baseline"/>
      <w:cs w:val="0"/>
      <w:em w:val="none"/>
    </w:rPr>
  </w:style>
  <w:style w:type="character" w:customStyle="1" w:styleId="para1">
    <w:name w:val="para1"/>
    <w:rPr>
      <w:rFonts w:ascii="Arial" w:hAnsi="Arial"/>
      <w:w w:val="100"/>
      <w:position w:val="-1"/>
      <w:sz w:val="19"/>
      <w:effect w:val="none"/>
      <w:vertAlign w:val="baseline"/>
      <w:cs w:val="0"/>
      <w:em w:val="none"/>
    </w:rPr>
  </w:style>
  <w:style w:type="paragraph" w:styleId="z-Principiodelformulario">
    <w:name w:val="HTML Top of Form"/>
    <w:basedOn w:val="Normal"/>
    <w:next w:val="Normal"/>
    <w:pPr>
      <w:pBdr>
        <w:bottom w:val="single" w:sz="6" w:space="1" w:color="auto"/>
      </w:pBdr>
      <w:jc w:val="center"/>
    </w:pPr>
    <w:rPr>
      <w:rFonts w:ascii="Arial" w:hAnsi="Arial"/>
      <w:vanish/>
      <w:sz w:val="16"/>
      <w:szCs w:val="16"/>
    </w:rPr>
  </w:style>
  <w:style w:type="character" w:customStyle="1" w:styleId="z-PrincipiodelformularioCar1">
    <w:name w:val="z-Principio del formulario Car1"/>
    <w:basedOn w:val="Fuentedeprrafopredeter"/>
    <w:rPr>
      <w:rFonts w:ascii="Arial" w:hAnsi="Arial" w:cs="Arial"/>
      <w:vanish/>
      <w:w w:val="100"/>
      <w:position w:val="-1"/>
      <w:sz w:val="16"/>
      <w:szCs w:val="16"/>
      <w:effect w:val="none"/>
      <w:vertAlign w:val="baseline"/>
      <w:cs w:val="0"/>
      <w:em w:val="none"/>
    </w:rPr>
  </w:style>
  <w:style w:type="character" w:customStyle="1" w:styleId="z-PrincipiodelformularioCar">
    <w:name w:val="z-Principio del formulario Car"/>
    <w:rPr>
      <w:rFonts w:ascii="Arial" w:hAnsi="Arial"/>
      <w:vanish/>
      <w:w w:val="100"/>
      <w:position w:val="-1"/>
      <w:sz w:val="16"/>
      <w:effect w:val="none"/>
      <w:vertAlign w:val="baseline"/>
      <w:cs w:val="0"/>
      <w:em w:val="none"/>
    </w:rPr>
  </w:style>
  <w:style w:type="paragraph" w:styleId="Sangra3detindependiente">
    <w:name w:val="Body Text Indent 3"/>
    <w:basedOn w:val="Normal"/>
    <w:pPr>
      <w:ind w:left="708"/>
      <w:jc w:val="both"/>
    </w:pPr>
    <w:rPr>
      <w:sz w:val="16"/>
      <w:szCs w:val="16"/>
    </w:rPr>
  </w:style>
  <w:style w:type="character" w:customStyle="1" w:styleId="Sangra3detindependienteCar1">
    <w:name w:val="Sangría 3 de t. independiente Car1"/>
    <w:basedOn w:val="Fuentedeprrafopredeter"/>
    <w:rPr>
      <w:w w:val="100"/>
      <w:position w:val="-1"/>
      <w:sz w:val="16"/>
      <w:szCs w:val="16"/>
      <w:effect w:val="none"/>
      <w:vertAlign w:val="baseline"/>
      <w:cs w:val="0"/>
      <w:em w:val="none"/>
    </w:rPr>
  </w:style>
  <w:style w:type="character" w:customStyle="1" w:styleId="Sangra3detindependienteCar">
    <w:name w:val="Sangría 3 de t. independiente Car"/>
    <w:rPr>
      <w:w w:val="100"/>
      <w:position w:val="-1"/>
      <w:sz w:val="16"/>
      <w:effect w:val="none"/>
      <w:vertAlign w:val="baseline"/>
      <w:cs w:val="0"/>
      <w:em w:val="none"/>
    </w:rPr>
  </w:style>
  <w:style w:type="paragraph" w:styleId="Textosinformato">
    <w:name w:val="Plain Text"/>
    <w:basedOn w:val="Normal"/>
    <w:rPr>
      <w:rFonts w:ascii="Courier New" w:hAnsi="Courier New"/>
      <w:sz w:val="20"/>
      <w:szCs w:val="20"/>
    </w:rPr>
  </w:style>
  <w:style w:type="character" w:customStyle="1" w:styleId="TextosinformatoCar1">
    <w:name w:val="Texto sin formato Car1"/>
    <w:basedOn w:val="Fuentedeprrafopredeter"/>
    <w:rPr>
      <w:rFonts w:ascii="Courier New" w:hAnsi="Courier New" w:cs="Courier New"/>
      <w:w w:val="100"/>
      <w:position w:val="-1"/>
      <w:sz w:val="20"/>
      <w:szCs w:val="20"/>
      <w:effect w:val="none"/>
      <w:vertAlign w:val="baseline"/>
      <w:cs w:val="0"/>
      <w:em w:val="none"/>
    </w:rPr>
  </w:style>
  <w:style w:type="character" w:customStyle="1" w:styleId="TextosinformatoCar">
    <w:name w:val="Texto sin formato Car"/>
    <w:rPr>
      <w:rFonts w:ascii="Courier New" w:hAnsi="Courier New"/>
      <w:w w:val="100"/>
      <w:position w:val="-1"/>
      <w:effect w:val="none"/>
      <w:vertAlign w:val="baseline"/>
      <w:cs w:val="0"/>
      <w:em w:val="none"/>
    </w:rPr>
  </w:style>
  <w:style w:type="paragraph" w:customStyle="1" w:styleId="Textoindependiente31">
    <w:name w:val="Texto independiente 31"/>
    <w:basedOn w:val="Normal"/>
    <w:pPr>
      <w:widowControl w:val="0"/>
      <w:suppressAutoHyphens/>
    </w:pPr>
    <w:rPr>
      <w:color w:val="0000FF"/>
      <w:kern w:val="1"/>
      <w:sz w:val="48"/>
    </w:rPr>
  </w:style>
  <w:style w:type="table" w:styleId="Tablaconcuadrcula">
    <w:name w:val="Table Grid"/>
    <w:basedOn w:val="Tablanormal"/>
    <w:uiPriority w:val="39"/>
    <w:pPr>
      <w:spacing w:line="1" w:lineRule="atLeast"/>
      <w:ind w:leftChars="-1" w:hangingChars="1"/>
      <w:textAlignment w:val="top"/>
      <w:outlineLvl w:val="0"/>
    </w:pPr>
    <w:rPr>
      <w:position w:val="-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rPr>
      <w:rFonts w:ascii="Arial" w:hAnsi="Arial"/>
      <w:sz w:val="20"/>
      <w:szCs w:val="20"/>
    </w:rPr>
  </w:style>
  <w:style w:type="character" w:customStyle="1" w:styleId="TextonotapieCar">
    <w:name w:val="Texto nota pie Car"/>
    <w:basedOn w:val="Fuentedeprrafopredeter"/>
    <w:rPr>
      <w:w w:val="100"/>
      <w:position w:val="-1"/>
      <w:sz w:val="20"/>
      <w:szCs w:val="20"/>
      <w:effect w:val="none"/>
      <w:vertAlign w:val="baseline"/>
      <w:cs w:val="0"/>
      <w:em w:val="none"/>
    </w:rPr>
  </w:style>
  <w:style w:type="paragraph" w:styleId="Textocomentario">
    <w:name w:val="annotation text"/>
    <w:basedOn w:val="Normal"/>
    <w:rPr>
      <w:sz w:val="20"/>
      <w:szCs w:val="20"/>
    </w:rPr>
  </w:style>
  <w:style w:type="character" w:customStyle="1" w:styleId="TextocomentarioCar">
    <w:name w:val="Texto comentario Car"/>
    <w:basedOn w:val="Fuentedeprrafopredeter"/>
    <w:rPr>
      <w:w w:val="100"/>
      <w:position w:val="-1"/>
      <w:sz w:val="20"/>
      <w:szCs w:val="20"/>
      <w:effect w:val="none"/>
      <w:vertAlign w:val="baseline"/>
      <w:cs w:val="0"/>
      <w:em w:val="none"/>
    </w:rPr>
  </w:style>
  <w:style w:type="paragraph" w:customStyle="1" w:styleId="Default">
    <w:name w:val="Default"/>
    <w:pPr>
      <w:autoSpaceDE w:val="0"/>
      <w:autoSpaceDN w:val="0"/>
      <w:adjustRightInd w:val="0"/>
      <w:spacing w:line="1" w:lineRule="atLeast"/>
      <w:ind w:leftChars="-1" w:hangingChars="1"/>
      <w:textAlignment w:val="top"/>
      <w:outlineLvl w:val="0"/>
    </w:pPr>
    <w:rPr>
      <w:rFonts w:ascii="ZYYKLI+TimesTen-Roman" w:eastAsia="MS Mincho" w:hAnsi="ZYYKLI+TimesTen-Roman" w:cs="ZYYKLI+TimesTen-Roman"/>
      <w:color w:val="000000"/>
      <w:position w:val="-1"/>
      <w:lang w:eastAsia="ja-JP"/>
    </w:rPr>
  </w:style>
  <w:style w:type="paragraph" w:customStyle="1" w:styleId="Pa17">
    <w:name w:val="Pa17"/>
    <w:basedOn w:val="Default"/>
    <w:next w:val="Default"/>
    <w:pPr>
      <w:spacing w:line="240" w:lineRule="atLeast"/>
    </w:pPr>
    <w:rPr>
      <w:rFonts w:cs="Times New Roman"/>
      <w:color w:val="auto"/>
    </w:rPr>
  </w:style>
  <w:style w:type="paragraph" w:customStyle="1" w:styleId="Pa50">
    <w:name w:val="Pa50"/>
    <w:basedOn w:val="Default"/>
    <w:next w:val="Default"/>
    <w:pPr>
      <w:spacing w:line="240" w:lineRule="atLeast"/>
    </w:pPr>
    <w:rPr>
      <w:rFonts w:cs="Times New Roman"/>
      <w:color w:val="auto"/>
    </w:rPr>
  </w:style>
  <w:style w:type="paragraph" w:customStyle="1" w:styleId="Pa51">
    <w:name w:val="Pa51"/>
    <w:basedOn w:val="Default"/>
    <w:next w:val="Default"/>
    <w:pPr>
      <w:spacing w:line="240" w:lineRule="atLeast"/>
    </w:pPr>
    <w:rPr>
      <w:rFonts w:cs="Times New Roman"/>
      <w:color w:val="auto"/>
    </w:rPr>
  </w:style>
  <w:style w:type="paragraph" w:customStyle="1" w:styleId="Pa53">
    <w:name w:val="Pa53"/>
    <w:basedOn w:val="Default"/>
    <w:next w:val="Default"/>
    <w:pPr>
      <w:spacing w:line="240" w:lineRule="atLeast"/>
    </w:pPr>
    <w:rPr>
      <w:rFonts w:cs="Times New Roman"/>
      <w:color w:val="auto"/>
    </w:rPr>
  </w:style>
  <w:style w:type="paragraph" w:customStyle="1" w:styleId="Pa14">
    <w:name w:val="Pa14"/>
    <w:basedOn w:val="Default"/>
    <w:next w:val="Default"/>
    <w:pPr>
      <w:spacing w:line="240" w:lineRule="atLeast"/>
    </w:pPr>
    <w:rPr>
      <w:rFonts w:cs="Times New Roman"/>
      <w:color w:val="auto"/>
    </w:rPr>
  </w:style>
  <w:style w:type="character" w:styleId="nfasis">
    <w:name w:val="Emphasis"/>
    <w:basedOn w:val="Fuentedeprrafopredeter"/>
    <w:rPr>
      <w:i/>
      <w:w w:val="100"/>
      <w:position w:val="-1"/>
      <w:effect w:val="none"/>
      <w:vertAlign w:val="baseline"/>
      <w:cs w:val="0"/>
      <w:em w:val="none"/>
    </w:rPr>
  </w:style>
  <w:style w:type="paragraph" w:customStyle="1" w:styleId="Citadestacada1">
    <w:name w:val="Cita destacada1"/>
    <w:basedOn w:val="Normal"/>
    <w:next w:val="Normal"/>
    <w:pPr>
      <w:pBdr>
        <w:bottom w:val="single" w:sz="4" w:space="4" w:color="4F81BD"/>
      </w:pBdr>
      <w:spacing w:before="200" w:after="280"/>
      <w:ind w:left="936" w:right="936"/>
    </w:pPr>
    <w:rPr>
      <w:b/>
      <w:bCs/>
      <w:i/>
      <w:iCs/>
      <w:color w:val="4F81BD"/>
    </w:rPr>
  </w:style>
  <w:style w:type="character" w:customStyle="1" w:styleId="CitadestacadaCar">
    <w:name w:val="Cita destacada Car"/>
    <w:rPr>
      <w:b/>
      <w:i/>
      <w:color w:val="4F81BD"/>
      <w:w w:val="100"/>
      <w:position w:val="-1"/>
      <w:sz w:val="24"/>
      <w:effect w:val="none"/>
      <w:vertAlign w:val="baseline"/>
      <w:cs w:val="0"/>
      <w:em w:val="none"/>
      <w:lang w:val="es-ES" w:eastAsia="es-ES"/>
    </w:rPr>
  </w:style>
  <w:style w:type="character" w:customStyle="1" w:styleId="st1">
    <w:name w:val="st1"/>
    <w:basedOn w:val="Fuentedeprrafopredeter"/>
    <w:rPr>
      <w:w w:val="100"/>
      <w:position w:val="-1"/>
      <w:effect w:val="none"/>
      <w:vertAlign w:val="baseline"/>
      <w:cs w:val="0"/>
      <w:em w:val="none"/>
    </w:rPr>
  </w:style>
  <w:style w:type="paragraph" w:styleId="HTMLconformatoprevio">
    <w:name w:val="HTML Preformatted"/>
    <w:basedOn w:val="Normal"/>
    <w:rPr>
      <w:rFonts w:ascii="Courier New" w:hAnsi="Courier New" w:cs="Courier New"/>
      <w:sz w:val="20"/>
      <w:szCs w:val="20"/>
    </w:rPr>
  </w:style>
  <w:style w:type="character" w:customStyle="1" w:styleId="HTMLconformatoprevioCar">
    <w:name w:val="HTML con formato previo Car"/>
    <w:basedOn w:val="Fuentedeprrafopredeter"/>
    <w:rPr>
      <w:rFonts w:ascii="Courier New" w:hAnsi="Courier New" w:cs="Courier New"/>
      <w:w w:val="100"/>
      <w:position w:val="-1"/>
      <w:sz w:val="20"/>
      <w:szCs w:val="20"/>
      <w:effect w:val="none"/>
      <w:vertAlign w:val="baseline"/>
      <w:cs w:val="0"/>
      <w:em w:val="none"/>
    </w:rPr>
  </w:style>
  <w:style w:type="paragraph" w:customStyle="1" w:styleId="Pa54">
    <w:name w:val="Pa54"/>
    <w:basedOn w:val="Normal"/>
    <w:next w:val="Normal"/>
    <w:pPr>
      <w:autoSpaceDE w:val="0"/>
      <w:autoSpaceDN w:val="0"/>
      <w:adjustRightInd w:val="0"/>
      <w:spacing w:line="240" w:lineRule="atLeast"/>
    </w:pPr>
    <w:rPr>
      <w:rFonts w:ascii="NBIQZG+HelveticaNeue-Light" w:hAnsi="NBIQZG+HelveticaNeue-Light"/>
    </w:rPr>
  </w:style>
  <w:style w:type="character" w:customStyle="1" w:styleId="A6">
    <w:name w:val="A6"/>
    <w:rPr>
      <w:color w:val="000000"/>
      <w:w w:val="100"/>
      <w:position w:val="-1"/>
      <w:sz w:val="18"/>
      <w:effect w:val="none"/>
      <w:vertAlign w:val="baseline"/>
      <w:cs w:val="0"/>
      <w:em w:val="none"/>
    </w:rPr>
  </w:style>
  <w:style w:type="paragraph" w:styleId="Sangra2detindependiente">
    <w:name w:val="Body Text Indent 2"/>
    <w:basedOn w:val="Normal"/>
    <w:pPr>
      <w:spacing w:after="120" w:line="480" w:lineRule="auto"/>
      <w:ind w:left="283"/>
    </w:pPr>
    <w:rPr>
      <w:sz w:val="20"/>
      <w:szCs w:val="20"/>
    </w:rPr>
  </w:style>
  <w:style w:type="character" w:customStyle="1" w:styleId="Sangra2detindependienteCar">
    <w:name w:val="Sangría 2 de t. independiente Car"/>
    <w:basedOn w:val="Fuentedeprrafopredeter"/>
    <w:rPr>
      <w:w w:val="100"/>
      <w:position w:val="-1"/>
      <w:sz w:val="24"/>
      <w:szCs w:val="24"/>
      <w:effect w:val="none"/>
      <w:vertAlign w:val="baseline"/>
      <w:cs w:val="0"/>
      <w:em w:val="none"/>
    </w:rPr>
  </w:style>
  <w:style w:type="paragraph" w:styleId="Textonotaalfinal">
    <w:name w:val="endnote text"/>
    <w:basedOn w:val="Normal"/>
    <w:rPr>
      <w:sz w:val="20"/>
      <w:szCs w:val="20"/>
    </w:rPr>
  </w:style>
  <w:style w:type="character" w:customStyle="1" w:styleId="TextonotaalfinalCar">
    <w:name w:val="Texto nota al final Car"/>
    <w:basedOn w:val="Fuentedeprrafopredeter"/>
    <w:rPr>
      <w:w w:val="100"/>
      <w:position w:val="-1"/>
      <w:sz w:val="20"/>
      <w:szCs w:val="20"/>
      <w:effect w:val="none"/>
      <w:vertAlign w:val="baseline"/>
      <w:cs w:val="0"/>
      <w:em w:val="none"/>
    </w:rPr>
  </w:style>
  <w:style w:type="character" w:styleId="Refdenotaalfinal">
    <w:name w:val="endnote reference"/>
    <w:basedOn w:val="Fuentedeprrafopredeter"/>
    <w:rPr>
      <w:w w:val="100"/>
      <w:position w:val="-1"/>
      <w:effect w:val="none"/>
      <w:vertAlign w:val="superscript"/>
      <w:cs w:val="0"/>
      <w:em w:val="none"/>
    </w:rPr>
  </w:style>
  <w:style w:type="character" w:customStyle="1" w:styleId="sel1348427992542">
    <w:name w:val="sel_1348427992542"/>
    <w:basedOn w:val="Fuentedeprrafopredeter"/>
    <w:rPr>
      <w:w w:val="100"/>
      <w:position w:val="-1"/>
      <w:effect w:val="none"/>
      <w:vertAlign w:val="baseline"/>
      <w:cs w:val="0"/>
      <w:em w:val="none"/>
    </w:rPr>
  </w:style>
  <w:style w:type="character" w:styleId="Refdecomentario">
    <w:name w:val="annotation reference"/>
    <w:basedOn w:val="Fuentedeprrafopredeter"/>
    <w:rPr>
      <w:w w:val="100"/>
      <w:position w:val="-1"/>
      <w:sz w:val="16"/>
      <w:effect w:val="none"/>
      <w:vertAlign w:val="baseline"/>
      <w:cs w:val="0"/>
      <w:em w:val="none"/>
    </w:rPr>
  </w:style>
  <w:style w:type="paragraph" w:styleId="Asuntodelcomentario">
    <w:name w:val="annotation subject"/>
    <w:basedOn w:val="Textocomentario"/>
    <w:next w:val="Textocomentario"/>
    <w:rPr>
      <w:b/>
      <w:bCs/>
    </w:rPr>
  </w:style>
  <w:style w:type="character" w:customStyle="1" w:styleId="AsuntodelcomentarioCar">
    <w:name w:val="Asunto del comentario Car"/>
    <w:basedOn w:val="TextocomentarioCar"/>
    <w:rPr>
      <w:b/>
      <w:bCs/>
      <w:w w:val="100"/>
      <w:position w:val="-1"/>
      <w:sz w:val="20"/>
      <w:szCs w:val="20"/>
      <w:effect w:val="none"/>
      <w:vertAlign w:val="baseline"/>
      <w:cs w:val="0"/>
      <w:em w:val="none"/>
    </w:rPr>
  </w:style>
  <w:style w:type="character" w:styleId="CitaHTML">
    <w:name w:val="HTML Cite"/>
    <w:basedOn w:val="Fuentedeprrafopredeter"/>
    <w:rPr>
      <w:color w:val="009933"/>
      <w:w w:val="100"/>
      <w:position w:val="-1"/>
      <w:effect w:val="none"/>
      <w:vertAlign w:val="baseline"/>
      <w:cs w:val="0"/>
      <w:em w:val="none"/>
    </w:rPr>
  </w:style>
  <w:style w:type="character" w:customStyle="1" w:styleId="yiv1702884738149114909-15062012">
    <w:name w:val="yiv1702884738149114909-15062012"/>
    <w:basedOn w:val="Fuentedeprrafopredeter"/>
    <w:rPr>
      <w:w w:val="100"/>
      <w:position w:val="-1"/>
      <w:effect w:val="none"/>
      <w:vertAlign w:val="baseline"/>
      <w:cs w:val="0"/>
      <w:em w:val="none"/>
    </w:rPr>
  </w:style>
  <w:style w:type="paragraph" w:customStyle="1" w:styleId="yiv1702884738msonormal">
    <w:name w:val="yiv1702884738msonormal"/>
    <w:basedOn w:val="Normal"/>
    <w:pPr>
      <w:spacing w:before="100" w:beforeAutospacing="1" w:after="100" w:afterAutospacing="1"/>
    </w:pPr>
  </w:style>
  <w:style w:type="paragraph" w:styleId="Prrafodelista">
    <w:name w:val="List Paragraph"/>
    <w:basedOn w:val="Normal"/>
    <w:qFormat/>
    <w:pPr>
      <w:ind w:left="708"/>
    </w:pPr>
  </w:style>
  <w:style w:type="character" w:customStyle="1" w:styleId="highlight">
    <w:name w:val="highlight"/>
    <w:basedOn w:val="Fuentedeprrafopredeter"/>
    <w:rPr>
      <w:w w:val="100"/>
      <w:position w:val="-1"/>
      <w:effect w:val="none"/>
      <w:vertAlign w:val="baseline"/>
      <w:cs w:val="0"/>
      <w:em w:val="none"/>
    </w:rPr>
  </w:style>
  <w:style w:type="paragraph" w:styleId="TDC1">
    <w:name w:val="toc 1"/>
    <w:basedOn w:val="Normal"/>
    <w:next w:val="Normal"/>
  </w:style>
  <w:style w:type="paragraph" w:styleId="TDC2">
    <w:name w:val="toc 2"/>
    <w:basedOn w:val="Normal"/>
    <w:next w:val="Normal"/>
    <w:pPr>
      <w:ind w:left="240"/>
    </w:pPr>
  </w:style>
  <w:style w:type="paragraph" w:styleId="TDC3">
    <w:name w:val="toc 3"/>
    <w:basedOn w:val="Normal"/>
    <w:next w:val="Normal"/>
    <w:pPr>
      <w:ind w:left="480"/>
    </w:pPr>
  </w:style>
  <w:style w:type="paragraph" w:customStyle="1" w:styleId="Pa7">
    <w:name w:val="Pa7"/>
    <w:basedOn w:val="Default"/>
    <w:next w:val="Default"/>
    <w:pPr>
      <w:spacing w:line="240" w:lineRule="atLeast"/>
    </w:pPr>
    <w:rPr>
      <w:rFonts w:ascii="GNQAFU+HelveticaNeue-Black" w:eastAsia="Times New Roman" w:hAnsi="GNQAFU+HelveticaNeue-Black" w:cs="Times New Roman"/>
      <w:color w:val="auto"/>
    </w:rPr>
  </w:style>
  <w:style w:type="paragraph" w:customStyle="1" w:styleId="Pa24">
    <w:name w:val="Pa24"/>
    <w:basedOn w:val="Default"/>
    <w:next w:val="Default"/>
    <w:pPr>
      <w:spacing w:line="240" w:lineRule="atLeast"/>
    </w:pPr>
    <w:rPr>
      <w:rFonts w:ascii="GNQAFU+HelveticaNeue-Black" w:eastAsia="Times New Roman" w:hAnsi="GNQAFU+HelveticaNeue-Black" w:cs="Times New Roman"/>
      <w:color w:val="auto"/>
    </w:rPr>
  </w:style>
  <w:style w:type="paragraph" w:customStyle="1" w:styleId="Pa4">
    <w:name w:val="Pa4"/>
    <w:basedOn w:val="Default"/>
    <w:next w:val="Default"/>
    <w:pPr>
      <w:spacing w:line="240" w:lineRule="atLeast"/>
    </w:pPr>
    <w:rPr>
      <w:rFonts w:ascii="GNQAFU+HelveticaNeue-Black" w:eastAsia="Times New Roman" w:hAnsi="GNQAFU+HelveticaNeue-Black" w:cs="Times New Roman"/>
      <w:color w:val="auto"/>
    </w:rPr>
  </w:style>
  <w:style w:type="paragraph" w:customStyle="1" w:styleId="Pa1">
    <w:name w:val="Pa1"/>
    <w:basedOn w:val="Default"/>
    <w:next w:val="Default"/>
    <w:pPr>
      <w:spacing w:line="240" w:lineRule="atLeast"/>
    </w:pPr>
    <w:rPr>
      <w:rFonts w:ascii="GNQAFU+HelveticaNeue-Black" w:eastAsia="Times New Roman" w:hAnsi="GNQAFU+HelveticaNeue-Black" w:cs="Times New Roman"/>
      <w:color w:val="auto"/>
    </w:rPr>
  </w:style>
  <w:style w:type="character" w:customStyle="1" w:styleId="CarCar22">
    <w:name w:val="Car Car22"/>
    <w:rPr>
      <w:rFonts w:ascii="Cambria" w:hAnsi="Cambria"/>
      <w:b/>
      <w:w w:val="100"/>
      <w:kern w:val="32"/>
      <w:position w:val="-1"/>
      <w:sz w:val="32"/>
      <w:effect w:val="none"/>
      <w:vertAlign w:val="baseline"/>
      <w:cs w:val="0"/>
      <w:em w:val="none"/>
    </w:rPr>
  </w:style>
  <w:style w:type="character" w:customStyle="1" w:styleId="A2">
    <w:name w:val="A2"/>
    <w:rPr>
      <w:rFonts w:ascii="DZMIPA+HelveticaNeue-Medium" w:hAnsi="DZMIPA+HelveticaNeue-Medium"/>
      <w:color w:val="000000"/>
      <w:w w:val="100"/>
      <w:position w:val="-1"/>
      <w:sz w:val="16"/>
      <w:effect w:val="none"/>
      <w:vertAlign w:val="baseline"/>
      <w:cs w:val="0"/>
      <w:em w:val="none"/>
    </w:rPr>
  </w:style>
  <w:style w:type="character" w:customStyle="1" w:styleId="longtext">
    <w:name w:val="long_text"/>
    <w:basedOn w:val="Fuentedeprrafopredeter"/>
    <w:rPr>
      <w:w w:val="100"/>
      <w:position w:val="-1"/>
      <w:effect w:val="none"/>
      <w:vertAlign w:val="baseline"/>
      <w:cs w:val="0"/>
      <w:em w:val="none"/>
    </w:rPr>
  </w:style>
  <w:style w:type="character" w:customStyle="1" w:styleId="hps">
    <w:name w:val="hps"/>
    <w:basedOn w:val="Fuentedeprrafopredeter"/>
    <w:rPr>
      <w:w w:val="100"/>
      <w:position w:val="-1"/>
      <w:effect w:val="none"/>
      <w:vertAlign w:val="baseline"/>
      <w:cs w:val="0"/>
      <w:em w:val="none"/>
    </w:rPr>
  </w:style>
  <w:style w:type="character" w:customStyle="1" w:styleId="hpsatn">
    <w:name w:val="hps atn"/>
    <w:basedOn w:val="Fuentedeprrafopredeter"/>
    <w:rPr>
      <w:w w:val="100"/>
      <w:position w:val="-1"/>
      <w:effect w:val="none"/>
      <w:vertAlign w:val="baseline"/>
      <w:cs w:val="0"/>
      <w:em w:val="none"/>
    </w:rPr>
  </w:style>
  <w:style w:type="character" w:styleId="Refdenotaalpie">
    <w:name w:val="footnote reference"/>
    <w:basedOn w:val="Fuentedeprrafopredeter"/>
    <w:rPr>
      <w:w w:val="100"/>
      <w:position w:val="-1"/>
      <w:effect w:val="none"/>
      <w:vertAlign w:val="superscript"/>
      <w:cs w:val="0"/>
      <w:em w:val="none"/>
    </w:rPr>
  </w:style>
  <w:style w:type="character" w:customStyle="1" w:styleId="A7">
    <w:name w:val="A7"/>
    <w:rPr>
      <w:color w:val="211D1E"/>
      <w:w w:val="100"/>
      <w:position w:val="-1"/>
      <w:sz w:val="16"/>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rPr>
      <w:rFonts w:ascii="Cambria" w:hAnsi="Cambria" w:cs="Times New Roman"/>
      <w:w w:val="100"/>
      <w:position w:val="-1"/>
      <w:sz w:val="24"/>
      <w:szCs w:val="24"/>
      <w:effect w:val="none"/>
      <w:vertAlign w:val="baseline"/>
      <w:cs w:val="0"/>
      <w:em w:val="none"/>
    </w:rPr>
  </w:style>
  <w:style w:type="table" w:customStyle="1" w:styleId="Estilo">
    <w:name w:val="Estilo"/>
    <w:basedOn w:val="TableNormal11"/>
    <w:tblPr>
      <w:tblStyleRowBandSize w:val="1"/>
      <w:tblStyleColBandSize w:val="1"/>
      <w:tblCellMar>
        <w:left w:w="70" w:type="dxa"/>
        <w:right w:w="70" w:type="dxa"/>
      </w:tblCellMar>
    </w:tblPr>
  </w:style>
  <w:style w:type="table" w:customStyle="1" w:styleId="Estilo88">
    <w:name w:val="Estilo88"/>
    <w:basedOn w:val="TableNormal11"/>
    <w:tblPr>
      <w:tblStyleRowBandSize w:val="1"/>
      <w:tblStyleColBandSize w:val="1"/>
      <w:tblCellMar>
        <w:left w:w="70" w:type="dxa"/>
        <w:right w:w="70" w:type="dxa"/>
      </w:tblCellMar>
    </w:tblPr>
  </w:style>
  <w:style w:type="table" w:customStyle="1" w:styleId="Estilo87">
    <w:name w:val="Estilo87"/>
    <w:basedOn w:val="TableNormal11"/>
    <w:tblPr>
      <w:tblStyleRowBandSize w:val="1"/>
      <w:tblStyleColBandSize w:val="1"/>
      <w:tblCellMar>
        <w:left w:w="70" w:type="dxa"/>
        <w:right w:w="70" w:type="dxa"/>
      </w:tblCellMar>
    </w:tblPr>
  </w:style>
  <w:style w:type="table" w:customStyle="1" w:styleId="Estilo86">
    <w:name w:val="Estilo86"/>
    <w:basedOn w:val="TableNormal11"/>
    <w:tblPr>
      <w:tblStyleRowBandSize w:val="1"/>
      <w:tblStyleColBandSize w:val="1"/>
      <w:tblCellMar>
        <w:left w:w="70" w:type="dxa"/>
        <w:right w:w="70" w:type="dxa"/>
      </w:tblCellMar>
    </w:tblPr>
  </w:style>
  <w:style w:type="table" w:customStyle="1" w:styleId="Estilo85">
    <w:name w:val="Estilo85"/>
    <w:basedOn w:val="TableNormal11"/>
    <w:tblPr>
      <w:tblStyleRowBandSize w:val="1"/>
      <w:tblStyleColBandSize w:val="1"/>
      <w:tblCellMar>
        <w:left w:w="70" w:type="dxa"/>
        <w:right w:w="70" w:type="dxa"/>
      </w:tblCellMar>
    </w:tblPr>
  </w:style>
  <w:style w:type="table" w:customStyle="1" w:styleId="Estilo84">
    <w:name w:val="Estilo84"/>
    <w:basedOn w:val="TableNormal11"/>
    <w:tblPr>
      <w:tblStyleRowBandSize w:val="1"/>
      <w:tblStyleColBandSize w:val="1"/>
      <w:tblCellMar>
        <w:left w:w="70" w:type="dxa"/>
        <w:right w:w="70" w:type="dxa"/>
      </w:tblCellMar>
    </w:tblPr>
  </w:style>
  <w:style w:type="table" w:customStyle="1" w:styleId="Estilo83">
    <w:name w:val="Estilo83"/>
    <w:basedOn w:val="TableNormal11"/>
    <w:tblPr>
      <w:tblStyleRowBandSize w:val="1"/>
      <w:tblStyleColBandSize w:val="1"/>
      <w:tblCellMar>
        <w:left w:w="70" w:type="dxa"/>
        <w:right w:w="70" w:type="dxa"/>
      </w:tblCellMar>
    </w:tblPr>
  </w:style>
  <w:style w:type="table" w:customStyle="1" w:styleId="Estilo82">
    <w:name w:val="Estilo82"/>
    <w:basedOn w:val="TableNormal11"/>
    <w:tblPr>
      <w:tblStyleRowBandSize w:val="1"/>
      <w:tblStyleColBandSize w:val="1"/>
      <w:tblCellMar>
        <w:top w:w="100" w:type="dxa"/>
        <w:left w:w="100" w:type="dxa"/>
        <w:bottom w:w="100" w:type="dxa"/>
        <w:right w:w="100" w:type="dxa"/>
      </w:tblCellMar>
    </w:tblPr>
  </w:style>
  <w:style w:type="table" w:customStyle="1" w:styleId="Estilo81">
    <w:name w:val="Estilo81"/>
    <w:basedOn w:val="TableNormal11"/>
    <w:tblPr>
      <w:tblStyleRowBandSize w:val="1"/>
      <w:tblStyleColBandSize w:val="1"/>
      <w:tblCellMar>
        <w:top w:w="100" w:type="dxa"/>
        <w:left w:w="100" w:type="dxa"/>
        <w:bottom w:w="100" w:type="dxa"/>
        <w:right w:w="100" w:type="dxa"/>
      </w:tblCellMar>
    </w:tblPr>
  </w:style>
  <w:style w:type="table" w:customStyle="1" w:styleId="Estilo80">
    <w:name w:val="Estilo80"/>
    <w:basedOn w:val="TableNormal11"/>
    <w:tblPr>
      <w:tblStyleRowBandSize w:val="1"/>
      <w:tblStyleColBandSize w:val="1"/>
      <w:tblCellMar>
        <w:left w:w="70" w:type="dxa"/>
        <w:right w:w="70" w:type="dxa"/>
      </w:tblCellMar>
    </w:tblPr>
  </w:style>
  <w:style w:type="table" w:customStyle="1" w:styleId="Estilo79">
    <w:name w:val="Estilo79"/>
    <w:basedOn w:val="TableNormal11"/>
    <w:tblPr>
      <w:tblStyleRowBandSize w:val="1"/>
      <w:tblStyleColBandSize w:val="1"/>
      <w:tblCellMar>
        <w:left w:w="70" w:type="dxa"/>
        <w:right w:w="70" w:type="dxa"/>
      </w:tblCellMar>
    </w:tblPr>
  </w:style>
  <w:style w:type="table" w:customStyle="1" w:styleId="Estilo78">
    <w:name w:val="Estilo78"/>
    <w:basedOn w:val="TableNormal11"/>
    <w:tblPr>
      <w:tblStyleRowBandSize w:val="1"/>
      <w:tblStyleColBandSize w:val="1"/>
      <w:tblCellMar>
        <w:left w:w="70" w:type="dxa"/>
        <w:right w:w="70" w:type="dxa"/>
      </w:tblCellMar>
    </w:tblPr>
  </w:style>
  <w:style w:type="table" w:customStyle="1" w:styleId="Estilo77">
    <w:name w:val="Estilo77"/>
    <w:basedOn w:val="TableNormal11"/>
    <w:tblPr>
      <w:tblStyleRowBandSize w:val="1"/>
      <w:tblStyleColBandSize w:val="1"/>
      <w:tblCellMar>
        <w:left w:w="70" w:type="dxa"/>
        <w:right w:w="70" w:type="dxa"/>
      </w:tblCellMar>
    </w:tblPr>
  </w:style>
  <w:style w:type="table" w:customStyle="1" w:styleId="Estilo76">
    <w:name w:val="Estilo76"/>
    <w:basedOn w:val="TableNormal11"/>
    <w:tblPr>
      <w:tblStyleRowBandSize w:val="1"/>
      <w:tblStyleColBandSize w:val="1"/>
      <w:tblCellMar>
        <w:left w:w="108" w:type="dxa"/>
        <w:right w:w="108" w:type="dxa"/>
      </w:tblCellMar>
    </w:tblPr>
  </w:style>
  <w:style w:type="table" w:customStyle="1" w:styleId="Estilo75">
    <w:name w:val="Estilo75"/>
    <w:basedOn w:val="TableNormal11"/>
    <w:tblPr>
      <w:tblStyleRowBandSize w:val="1"/>
      <w:tblStyleColBandSize w:val="1"/>
      <w:tblCellMar>
        <w:left w:w="70" w:type="dxa"/>
        <w:right w:w="70" w:type="dxa"/>
      </w:tblCellMar>
    </w:tblPr>
  </w:style>
  <w:style w:type="table" w:customStyle="1" w:styleId="Estilo74">
    <w:name w:val="Estilo74"/>
    <w:basedOn w:val="TableNormal11"/>
    <w:tblPr>
      <w:tblStyleRowBandSize w:val="1"/>
      <w:tblStyleColBandSize w:val="1"/>
      <w:tblCellMar>
        <w:left w:w="70" w:type="dxa"/>
        <w:right w:w="70" w:type="dxa"/>
      </w:tblCellMar>
    </w:tblPr>
  </w:style>
  <w:style w:type="table" w:customStyle="1" w:styleId="Estilo73">
    <w:name w:val="Estilo73"/>
    <w:basedOn w:val="TableNormal11"/>
    <w:tblPr>
      <w:tblStyleRowBandSize w:val="1"/>
      <w:tblStyleColBandSize w:val="1"/>
      <w:tblCellMar>
        <w:left w:w="70" w:type="dxa"/>
        <w:right w:w="70" w:type="dxa"/>
      </w:tblCellMar>
    </w:tblPr>
  </w:style>
  <w:style w:type="table" w:customStyle="1" w:styleId="Estilo72">
    <w:name w:val="Estilo72"/>
    <w:basedOn w:val="TableNormal11"/>
    <w:tblPr>
      <w:tblStyleRowBandSize w:val="1"/>
      <w:tblStyleColBandSize w:val="1"/>
      <w:tblCellMar>
        <w:left w:w="70" w:type="dxa"/>
        <w:right w:w="70" w:type="dxa"/>
      </w:tblCellMar>
    </w:tblPr>
  </w:style>
  <w:style w:type="table" w:customStyle="1" w:styleId="Estilo71">
    <w:name w:val="Estilo71"/>
    <w:basedOn w:val="TableNormal11"/>
    <w:tblPr>
      <w:tblStyleRowBandSize w:val="1"/>
      <w:tblStyleColBandSize w:val="1"/>
      <w:tblCellMar>
        <w:left w:w="70" w:type="dxa"/>
        <w:right w:w="70" w:type="dxa"/>
      </w:tblCellMar>
    </w:tblPr>
  </w:style>
  <w:style w:type="table" w:customStyle="1" w:styleId="Estilo70">
    <w:name w:val="Estilo70"/>
    <w:basedOn w:val="TableNormal11"/>
    <w:tblPr>
      <w:tblStyleRowBandSize w:val="1"/>
      <w:tblStyleColBandSize w:val="1"/>
      <w:tblCellMar>
        <w:left w:w="108" w:type="dxa"/>
        <w:right w:w="108" w:type="dxa"/>
      </w:tblCellMar>
    </w:tblPr>
  </w:style>
  <w:style w:type="table" w:customStyle="1" w:styleId="Estilo69">
    <w:name w:val="Estilo69"/>
    <w:basedOn w:val="TableNormal11"/>
    <w:tblPr>
      <w:tblStyleRowBandSize w:val="1"/>
      <w:tblStyleColBandSize w:val="1"/>
      <w:tblCellMar>
        <w:left w:w="70" w:type="dxa"/>
        <w:right w:w="70" w:type="dxa"/>
      </w:tblCellMar>
    </w:tblPr>
  </w:style>
  <w:style w:type="table" w:customStyle="1" w:styleId="Estilo68">
    <w:name w:val="Estilo68"/>
    <w:basedOn w:val="TableNormal11"/>
    <w:tblPr>
      <w:tblStyleRowBandSize w:val="1"/>
      <w:tblStyleColBandSize w:val="1"/>
      <w:tblCellMar>
        <w:left w:w="108" w:type="dxa"/>
        <w:right w:w="108" w:type="dxa"/>
      </w:tblCellMar>
    </w:tblPr>
  </w:style>
  <w:style w:type="table" w:customStyle="1" w:styleId="Estilo67">
    <w:name w:val="Estilo67"/>
    <w:basedOn w:val="TableNormal11"/>
    <w:tblPr>
      <w:tblStyleRowBandSize w:val="1"/>
      <w:tblStyleColBandSize w:val="1"/>
      <w:tblCellMar>
        <w:left w:w="70" w:type="dxa"/>
        <w:right w:w="70" w:type="dxa"/>
      </w:tblCellMar>
    </w:tblPr>
  </w:style>
  <w:style w:type="table" w:customStyle="1" w:styleId="Estilo66">
    <w:name w:val="Estilo66"/>
    <w:basedOn w:val="TableNormal11"/>
    <w:tblPr>
      <w:tblStyleRowBandSize w:val="1"/>
      <w:tblStyleColBandSize w:val="1"/>
      <w:tblCellMar>
        <w:left w:w="70" w:type="dxa"/>
        <w:right w:w="70" w:type="dxa"/>
      </w:tblCellMar>
    </w:tblPr>
  </w:style>
  <w:style w:type="table" w:customStyle="1" w:styleId="Estilo65">
    <w:name w:val="Estilo65"/>
    <w:basedOn w:val="TableNormal11"/>
    <w:tblPr>
      <w:tblStyleRowBandSize w:val="1"/>
      <w:tblStyleColBandSize w:val="1"/>
      <w:tblCellMar>
        <w:left w:w="70" w:type="dxa"/>
        <w:right w:w="70" w:type="dxa"/>
      </w:tblCellMar>
    </w:tblPr>
  </w:style>
  <w:style w:type="table" w:customStyle="1" w:styleId="Estilo64">
    <w:name w:val="Estilo64"/>
    <w:basedOn w:val="TableNormal11"/>
    <w:tblPr>
      <w:tblStyleRowBandSize w:val="1"/>
      <w:tblStyleColBandSize w:val="1"/>
      <w:tblCellMar>
        <w:left w:w="70" w:type="dxa"/>
        <w:right w:w="70" w:type="dxa"/>
      </w:tblCellMar>
    </w:tblPr>
  </w:style>
  <w:style w:type="table" w:customStyle="1" w:styleId="Estilo63">
    <w:name w:val="Estilo63"/>
    <w:basedOn w:val="TableNormal11"/>
    <w:tblPr>
      <w:tblStyleRowBandSize w:val="1"/>
      <w:tblStyleColBandSize w:val="1"/>
      <w:tblCellMar>
        <w:left w:w="108" w:type="dxa"/>
        <w:right w:w="108" w:type="dxa"/>
      </w:tblCellMar>
    </w:tblPr>
  </w:style>
  <w:style w:type="table" w:customStyle="1" w:styleId="Estilo62">
    <w:name w:val="Estilo62"/>
    <w:basedOn w:val="TableNormal11"/>
    <w:tblPr>
      <w:tblStyleRowBandSize w:val="1"/>
      <w:tblStyleColBandSize w:val="1"/>
      <w:tblCellMar>
        <w:left w:w="70" w:type="dxa"/>
        <w:right w:w="70" w:type="dxa"/>
      </w:tblCellMar>
    </w:tblPr>
  </w:style>
  <w:style w:type="table" w:customStyle="1" w:styleId="Estilo61">
    <w:name w:val="Estilo61"/>
    <w:basedOn w:val="TableNormal11"/>
    <w:tblPr>
      <w:tblStyleRowBandSize w:val="1"/>
      <w:tblStyleColBandSize w:val="1"/>
      <w:tblCellMar>
        <w:left w:w="108" w:type="dxa"/>
        <w:right w:w="108" w:type="dxa"/>
      </w:tblCellMar>
    </w:tblPr>
  </w:style>
  <w:style w:type="table" w:customStyle="1" w:styleId="Estilo60">
    <w:name w:val="Estilo60"/>
    <w:basedOn w:val="TableNormal11"/>
    <w:tblPr>
      <w:tblStyleRowBandSize w:val="1"/>
      <w:tblStyleColBandSize w:val="1"/>
      <w:tblCellMar>
        <w:left w:w="70" w:type="dxa"/>
        <w:right w:w="70" w:type="dxa"/>
      </w:tblCellMar>
    </w:tblPr>
  </w:style>
  <w:style w:type="table" w:customStyle="1" w:styleId="Estilo59">
    <w:name w:val="Estilo59"/>
    <w:basedOn w:val="TableNormal11"/>
    <w:tblPr>
      <w:tblStyleRowBandSize w:val="1"/>
      <w:tblStyleColBandSize w:val="1"/>
      <w:tblCellMar>
        <w:left w:w="70" w:type="dxa"/>
        <w:right w:w="70" w:type="dxa"/>
      </w:tblCellMar>
    </w:tblPr>
  </w:style>
  <w:style w:type="table" w:customStyle="1" w:styleId="Estilo58">
    <w:name w:val="Estilo58"/>
    <w:basedOn w:val="TableNormal11"/>
    <w:tblPr>
      <w:tblStyleRowBandSize w:val="1"/>
      <w:tblStyleColBandSize w:val="1"/>
      <w:tblCellMar>
        <w:left w:w="108" w:type="dxa"/>
        <w:right w:w="108" w:type="dxa"/>
      </w:tblCellMar>
    </w:tblPr>
  </w:style>
  <w:style w:type="table" w:customStyle="1" w:styleId="Estilo57">
    <w:name w:val="Estilo57"/>
    <w:basedOn w:val="TableNormal11"/>
    <w:tblPr>
      <w:tblStyleRowBandSize w:val="1"/>
      <w:tblStyleColBandSize w:val="1"/>
      <w:tblCellMar>
        <w:left w:w="108" w:type="dxa"/>
        <w:right w:w="108" w:type="dxa"/>
      </w:tblCellMar>
    </w:tblPr>
  </w:style>
  <w:style w:type="table" w:customStyle="1" w:styleId="Estilo56">
    <w:name w:val="Estilo56"/>
    <w:basedOn w:val="TableNormal11"/>
    <w:tblPr>
      <w:tblStyleRowBandSize w:val="1"/>
      <w:tblStyleColBandSize w:val="1"/>
      <w:tblCellMar>
        <w:left w:w="70" w:type="dxa"/>
        <w:right w:w="70" w:type="dxa"/>
      </w:tblCellMar>
    </w:tblPr>
  </w:style>
  <w:style w:type="table" w:customStyle="1" w:styleId="Estilo55">
    <w:name w:val="Estilo55"/>
    <w:basedOn w:val="TableNormal11"/>
    <w:tblPr>
      <w:tblStyleRowBandSize w:val="1"/>
      <w:tblStyleColBandSize w:val="1"/>
      <w:tblCellMar>
        <w:left w:w="108" w:type="dxa"/>
        <w:right w:w="108" w:type="dxa"/>
      </w:tblCellMar>
    </w:tblPr>
  </w:style>
  <w:style w:type="table" w:customStyle="1" w:styleId="Estilo54">
    <w:name w:val="Estilo54"/>
    <w:basedOn w:val="TableNormal11"/>
    <w:tblPr>
      <w:tblStyleRowBandSize w:val="1"/>
      <w:tblStyleColBandSize w:val="1"/>
      <w:tblCellMar>
        <w:left w:w="70" w:type="dxa"/>
        <w:right w:w="70" w:type="dxa"/>
      </w:tblCellMar>
    </w:tblPr>
  </w:style>
  <w:style w:type="table" w:customStyle="1" w:styleId="Estilo53">
    <w:name w:val="Estilo53"/>
    <w:basedOn w:val="TableNormal11"/>
    <w:tblPr>
      <w:tblStyleRowBandSize w:val="1"/>
      <w:tblStyleColBandSize w:val="1"/>
      <w:tblCellMar>
        <w:left w:w="70" w:type="dxa"/>
        <w:right w:w="70" w:type="dxa"/>
      </w:tblCellMar>
    </w:tblPr>
  </w:style>
  <w:style w:type="table" w:customStyle="1" w:styleId="Estilo52">
    <w:name w:val="Estilo52"/>
    <w:basedOn w:val="TableNormal11"/>
    <w:tblPr>
      <w:tblStyleRowBandSize w:val="1"/>
      <w:tblStyleColBandSize w:val="1"/>
      <w:tblCellMar>
        <w:left w:w="70" w:type="dxa"/>
        <w:right w:w="70" w:type="dxa"/>
      </w:tblCellMar>
    </w:tblPr>
  </w:style>
  <w:style w:type="table" w:customStyle="1" w:styleId="Estilo51">
    <w:name w:val="Estilo51"/>
    <w:basedOn w:val="TableNormal11"/>
    <w:tblPr>
      <w:tblStyleRowBandSize w:val="1"/>
      <w:tblStyleColBandSize w:val="1"/>
      <w:tblCellMar>
        <w:left w:w="108" w:type="dxa"/>
        <w:right w:w="108" w:type="dxa"/>
      </w:tblCellMar>
    </w:tblPr>
  </w:style>
  <w:style w:type="table" w:customStyle="1" w:styleId="Estilo50">
    <w:name w:val="Estilo50"/>
    <w:basedOn w:val="TableNormal11"/>
    <w:tblPr>
      <w:tblStyleRowBandSize w:val="1"/>
      <w:tblStyleColBandSize w:val="1"/>
      <w:tblCellMar>
        <w:left w:w="108" w:type="dxa"/>
        <w:right w:w="108" w:type="dxa"/>
      </w:tblCellMar>
    </w:tblPr>
  </w:style>
  <w:style w:type="table" w:customStyle="1" w:styleId="Estilo49">
    <w:name w:val="Estilo49"/>
    <w:basedOn w:val="TableNormal11"/>
    <w:tblPr>
      <w:tblStyleRowBandSize w:val="1"/>
      <w:tblStyleColBandSize w:val="1"/>
      <w:tblCellMar>
        <w:left w:w="108" w:type="dxa"/>
        <w:right w:w="108" w:type="dxa"/>
      </w:tblCellMar>
    </w:tblPr>
  </w:style>
  <w:style w:type="table" w:customStyle="1" w:styleId="Estilo48">
    <w:name w:val="Estilo48"/>
    <w:basedOn w:val="TableNormal11"/>
    <w:tblPr>
      <w:tblStyleRowBandSize w:val="1"/>
      <w:tblStyleColBandSize w:val="1"/>
      <w:tblCellMar>
        <w:left w:w="70" w:type="dxa"/>
        <w:right w:w="70" w:type="dxa"/>
      </w:tblCellMar>
    </w:tblPr>
  </w:style>
  <w:style w:type="table" w:customStyle="1" w:styleId="Estilo47">
    <w:name w:val="Estilo47"/>
    <w:basedOn w:val="TableNormal11"/>
    <w:tblPr>
      <w:tblStyleRowBandSize w:val="1"/>
      <w:tblStyleColBandSize w:val="1"/>
      <w:tblCellMar>
        <w:left w:w="70" w:type="dxa"/>
        <w:right w:w="70" w:type="dxa"/>
      </w:tblCellMar>
    </w:tblPr>
  </w:style>
  <w:style w:type="table" w:customStyle="1" w:styleId="Estilo46">
    <w:name w:val="Estilo46"/>
    <w:basedOn w:val="TableNormal11"/>
    <w:tblPr>
      <w:tblStyleRowBandSize w:val="1"/>
      <w:tblStyleColBandSize w:val="1"/>
      <w:tblCellMar>
        <w:left w:w="70" w:type="dxa"/>
        <w:right w:w="70" w:type="dxa"/>
      </w:tblCellMar>
    </w:tblPr>
  </w:style>
  <w:style w:type="table" w:customStyle="1" w:styleId="Estilo45">
    <w:name w:val="Estilo45"/>
    <w:basedOn w:val="TableNormal11"/>
    <w:tblPr>
      <w:tblStyleRowBandSize w:val="1"/>
      <w:tblStyleColBandSize w:val="1"/>
      <w:tblCellMar>
        <w:left w:w="70" w:type="dxa"/>
        <w:right w:w="70" w:type="dxa"/>
      </w:tblCellMar>
    </w:tblPr>
  </w:style>
  <w:style w:type="table" w:customStyle="1" w:styleId="Estilo44">
    <w:name w:val="Estilo44"/>
    <w:basedOn w:val="TableNormal11"/>
    <w:tblPr>
      <w:tblStyleRowBandSize w:val="1"/>
      <w:tblStyleColBandSize w:val="1"/>
      <w:tblCellMar>
        <w:left w:w="70" w:type="dxa"/>
        <w:right w:w="70" w:type="dxa"/>
      </w:tblCellMar>
    </w:tblPr>
  </w:style>
  <w:style w:type="table" w:customStyle="1" w:styleId="Estilo43">
    <w:name w:val="Estilo43"/>
    <w:basedOn w:val="TableNormal11"/>
    <w:tblPr>
      <w:tblStyleRowBandSize w:val="1"/>
      <w:tblStyleColBandSize w:val="1"/>
      <w:tblCellMar>
        <w:left w:w="70" w:type="dxa"/>
        <w:right w:w="70" w:type="dxa"/>
      </w:tblCellMar>
    </w:tblPr>
  </w:style>
  <w:style w:type="table" w:customStyle="1" w:styleId="Estilo42">
    <w:name w:val="Estilo42"/>
    <w:basedOn w:val="TableNormal11"/>
    <w:tblPr>
      <w:tblStyleRowBandSize w:val="1"/>
      <w:tblStyleColBandSize w:val="1"/>
      <w:tblCellMar>
        <w:left w:w="70" w:type="dxa"/>
        <w:right w:w="70" w:type="dxa"/>
      </w:tblCellMar>
    </w:tblPr>
  </w:style>
  <w:style w:type="table" w:customStyle="1" w:styleId="Estilo41">
    <w:name w:val="Estilo41"/>
    <w:basedOn w:val="TableNormal11"/>
    <w:tblPr>
      <w:tblStyleRowBandSize w:val="1"/>
      <w:tblStyleColBandSize w:val="1"/>
      <w:tblCellMar>
        <w:left w:w="70" w:type="dxa"/>
        <w:right w:w="70" w:type="dxa"/>
      </w:tblCellMar>
    </w:tblPr>
  </w:style>
  <w:style w:type="table" w:customStyle="1" w:styleId="Estilo40">
    <w:name w:val="Estilo40"/>
    <w:basedOn w:val="TableNormal11"/>
    <w:tblPr>
      <w:tblStyleRowBandSize w:val="1"/>
      <w:tblStyleColBandSize w:val="1"/>
      <w:tblCellMar>
        <w:left w:w="70" w:type="dxa"/>
        <w:right w:w="70" w:type="dxa"/>
      </w:tblCellMar>
    </w:tblPr>
  </w:style>
  <w:style w:type="table" w:customStyle="1" w:styleId="Estilo39">
    <w:name w:val="Estilo39"/>
    <w:basedOn w:val="TableNormal11"/>
    <w:tblPr>
      <w:tblStyleRowBandSize w:val="1"/>
      <w:tblStyleColBandSize w:val="1"/>
      <w:tblCellMar>
        <w:left w:w="70" w:type="dxa"/>
        <w:right w:w="70" w:type="dxa"/>
      </w:tblCellMar>
    </w:tblPr>
  </w:style>
  <w:style w:type="table" w:customStyle="1" w:styleId="Estilo38">
    <w:name w:val="Estilo38"/>
    <w:basedOn w:val="TableNormal11"/>
    <w:tblPr>
      <w:tblStyleRowBandSize w:val="1"/>
      <w:tblStyleColBandSize w:val="1"/>
      <w:tblCellMar>
        <w:left w:w="70" w:type="dxa"/>
        <w:right w:w="70" w:type="dxa"/>
      </w:tblCellMar>
    </w:tblPr>
  </w:style>
  <w:style w:type="table" w:customStyle="1" w:styleId="Estilo37">
    <w:name w:val="Estilo37"/>
    <w:basedOn w:val="TableNormal11"/>
    <w:tblPr>
      <w:tblStyleRowBandSize w:val="1"/>
      <w:tblStyleColBandSize w:val="1"/>
      <w:tblCellMar>
        <w:left w:w="70" w:type="dxa"/>
        <w:right w:w="70" w:type="dxa"/>
      </w:tblCellMar>
    </w:tblPr>
  </w:style>
  <w:style w:type="table" w:customStyle="1" w:styleId="Estilo36">
    <w:name w:val="Estilo36"/>
    <w:basedOn w:val="TableNormal11"/>
    <w:tblPr>
      <w:tblStyleRowBandSize w:val="1"/>
      <w:tblStyleColBandSize w:val="1"/>
      <w:tblCellMar>
        <w:left w:w="115" w:type="dxa"/>
        <w:right w:w="115" w:type="dxa"/>
      </w:tblCellMar>
    </w:tblPr>
  </w:style>
  <w:style w:type="table" w:customStyle="1" w:styleId="Estilo35">
    <w:name w:val="Estilo35"/>
    <w:basedOn w:val="TableNormal11"/>
    <w:tblPr>
      <w:tblStyleRowBandSize w:val="1"/>
      <w:tblStyleColBandSize w:val="1"/>
      <w:tblCellMar>
        <w:left w:w="115" w:type="dxa"/>
        <w:right w:w="115" w:type="dxa"/>
      </w:tblCellMar>
    </w:tblPr>
  </w:style>
  <w:style w:type="table" w:customStyle="1" w:styleId="Estilo34">
    <w:name w:val="Estilo34"/>
    <w:basedOn w:val="TableNormal11"/>
    <w:tblPr>
      <w:tblStyleRowBandSize w:val="1"/>
      <w:tblStyleColBandSize w:val="1"/>
      <w:tblCellMar>
        <w:left w:w="70" w:type="dxa"/>
        <w:right w:w="70" w:type="dxa"/>
      </w:tblCellMar>
    </w:tblPr>
  </w:style>
  <w:style w:type="table" w:customStyle="1" w:styleId="Estilo33">
    <w:name w:val="Estilo33"/>
    <w:basedOn w:val="TableNormal11"/>
    <w:tblPr>
      <w:tblStyleRowBandSize w:val="1"/>
      <w:tblStyleColBandSize w:val="1"/>
      <w:tblCellMar>
        <w:left w:w="70" w:type="dxa"/>
        <w:right w:w="70" w:type="dxa"/>
      </w:tblCellMar>
    </w:tblPr>
  </w:style>
  <w:style w:type="table" w:customStyle="1" w:styleId="Estilo32">
    <w:name w:val="Estilo32"/>
    <w:basedOn w:val="TableNormal11"/>
    <w:tblPr>
      <w:tblStyleRowBandSize w:val="1"/>
      <w:tblStyleColBandSize w:val="1"/>
    </w:tblPr>
  </w:style>
  <w:style w:type="table" w:customStyle="1" w:styleId="Estilo31">
    <w:name w:val="Estilo31"/>
    <w:basedOn w:val="TableNormal11"/>
    <w:tblPr>
      <w:tblStyleRowBandSize w:val="1"/>
      <w:tblStyleColBandSize w:val="1"/>
      <w:tblCellMar>
        <w:left w:w="70" w:type="dxa"/>
        <w:right w:w="70" w:type="dxa"/>
      </w:tblCellMar>
    </w:tblPr>
  </w:style>
  <w:style w:type="table" w:customStyle="1" w:styleId="Estilo30">
    <w:name w:val="Estilo30"/>
    <w:basedOn w:val="TableNormal11"/>
    <w:tblPr>
      <w:tblStyleRowBandSize w:val="1"/>
      <w:tblStyleColBandSize w:val="1"/>
      <w:tblCellMar>
        <w:left w:w="70" w:type="dxa"/>
        <w:right w:w="70" w:type="dxa"/>
      </w:tblCellMar>
    </w:tblPr>
  </w:style>
  <w:style w:type="table" w:customStyle="1" w:styleId="Estilo29">
    <w:name w:val="Estilo29"/>
    <w:basedOn w:val="TableNormal11"/>
    <w:tblPr>
      <w:tblStyleRowBandSize w:val="1"/>
      <w:tblStyleColBandSize w:val="1"/>
      <w:tblCellMar>
        <w:left w:w="70" w:type="dxa"/>
        <w:right w:w="70" w:type="dxa"/>
      </w:tblCellMar>
    </w:tblPr>
  </w:style>
  <w:style w:type="table" w:customStyle="1" w:styleId="Estilo28">
    <w:name w:val="Estilo28"/>
    <w:basedOn w:val="TableNormal11"/>
    <w:tblPr>
      <w:tblStyleRowBandSize w:val="1"/>
      <w:tblStyleColBandSize w:val="1"/>
      <w:tblCellMar>
        <w:left w:w="70" w:type="dxa"/>
        <w:right w:w="70" w:type="dxa"/>
      </w:tblCellMar>
    </w:tblPr>
  </w:style>
  <w:style w:type="table" w:customStyle="1" w:styleId="Estilo27">
    <w:name w:val="Estilo27"/>
    <w:basedOn w:val="TableNormal11"/>
    <w:tblPr>
      <w:tblStyleRowBandSize w:val="1"/>
      <w:tblStyleColBandSize w:val="1"/>
      <w:tblCellMar>
        <w:left w:w="70" w:type="dxa"/>
        <w:right w:w="70" w:type="dxa"/>
      </w:tblCellMar>
    </w:tblPr>
  </w:style>
  <w:style w:type="table" w:customStyle="1" w:styleId="Estilo26">
    <w:name w:val="Estilo26"/>
    <w:basedOn w:val="TableNormal11"/>
    <w:tblPr>
      <w:tblStyleRowBandSize w:val="1"/>
      <w:tblStyleColBandSize w:val="1"/>
      <w:tblCellMar>
        <w:left w:w="70" w:type="dxa"/>
        <w:right w:w="70" w:type="dxa"/>
      </w:tblCellMar>
    </w:tblPr>
  </w:style>
  <w:style w:type="table" w:customStyle="1" w:styleId="Estilo25">
    <w:name w:val="Estilo25"/>
    <w:basedOn w:val="TableNormal11"/>
    <w:tblPr>
      <w:tblStyleRowBandSize w:val="1"/>
      <w:tblStyleColBandSize w:val="1"/>
      <w:tblCellMar>
        <w:left w:w="70" w:type="dxa"/>
        <w:right w:w="70" w:type="dxa"/>
      </w:tblCellMar>
    </w:tblPr>
  </w:style>
  <w:style w:type="table" w:customStyle="1" w:styleId="Estilo24">
    <w:name w:val="Estilo24"/>
    <w:basedOn w:val="TableNormal11"/>
    <w:tblPr>
      <w:tblStyleRowBandSize w:val="1"/>
      <w:tblStyleColBandSize w:val="1"/>
      <w:tblCellMar>
        <w:left w:w="70" w:type="dxa"/>
        <w:right w:w="70" w:type="dxa"/>
      </w:tblCellMar>
    </w:tblPr>
  </w:style>
  <w:style w:type="table" w:customStyle="1" w:styleId="Estilo23">
    <w:name w:val="Estilo23"/>
    <w:basedOn w:val="TableNormal11"/>
    <w:tblPr>
      <w:tblStyleRowBandSize w:val="1"/>
      <w:tblStyleColBandSize w:val="1"/>
      <w:tblCellMar>
        <w:left w:w="70" w:type="dxa"/>
        <w:right w:w="70" w:type="dxa"/>
      </w:tblCellMar>
    </w:tblPr>
  </w:style>
  <w:style w:type="table" w:customStyle="1" w:styleId="Estilo22">
    <w:name w:val="Estilo22"/>
    <w:basedOn w:val="TableNormal11"/>
    <w:tblPr>
      <w:tblStyleRowBandSize w:val="1"/>
      <w:tblStyleColBandSize w:val="1"/>
      <w:tblCellMar>
        <w:left w:w="70" w:type="dxa"/>
        <w:right w:w="70" w:type="dxa"/>
      </w:tblCellMar>
    </w:tblPr>
  </w:style>
  <w:style w:type="table" w:customStyle="1" w:styleId="Estilo21">
    <w:name w:val="Estilo21"/>
    <w:basedOn w:val="TableNormal11"/>
    <w:tblPr>
      <w:tblStyleRowBandSize w:val="1"/>
      <w:tblStyleColBandSize w:val="1"/>
      <w:tblCellMar>
        <w:left w:w="70" w:type="dxa"/>
        <w:right w:w="70" w:type="dxa"/>
      </w:tblCellMar>
    </w:tblPr>
  </w:style>
  <w:style w:type="table" w:customStyle="1" w:styleId="Estilo20">
    <w:name w:val="Estilo20"/>
    <w:basedOn w:val="TableNormal11"/>
    <w:tblPr>
      <w:tblStyleRowBandSize w:val="1"/>
      <w:tblStyleColBandSize w:val="1"/>
      <w:tblCellMar>
        <w:left w:w="70" w:type="dxa"/>
        <w:right w:w="70" w:type="dxa"/>
      </w:tblCellMar>
    </w:tblPr>
  </w:style>
  <w:style w:type="table" w:customStyle="1" w:styleId="Estilo19">
    <w:name w:val="Estilo19"/>
    <w:basedOn w:val="TableNormal11"/>
    <w:tblPr>
      <w:tblStyleRowBandSize w:val="1"/>
      <w:tblStyleColBandSize w:val="1"/>
      <w:tblCellMar>
        <w:left w:w="70" w:type="dxa"/>
        <w:right w:w="70" w:type="dxa"/>
      </w:tblCellMar>
    </w:tblPr>
  </w:style>
  <w:style w:type="table" w:customStyle="1" w:styleId="Estilo18">
    <w:name w:val="Estilo18"/>
    <w:basedOn w:val="TableNormal11"/>
    <w:tblPr>
      <w:tblStyleRowBandSize w:val="1"/>
      <w:tblStyleColBandSize w:val="1"/>
      <w:tblCellMar>
        <w:left w:w="70" w:type="dxa"/>
        <w:right w:w="70" w:type="dxa"/>
      </w:tblCellMar>
    </w:tblPr>
  </w:style>
  <w:style w:type="table" w:customStyle="1" w:styleId="Estilo17">
    <w:name w:val="Estilo17"/>
    <w:basedOn w:val="TableNormal11"/>
    <w:tblPr>
      <w:tblStyleRowBandSize w:val="1"/>
      <w:tblStyleColBandSize w:val="1"/>
      <w:tblCellMar>
        <w:left w:w="70" w:type="dxa"/>
        <w:right w:w="70" w:type="dxa"/>
      </w:tblCellMar>
    </w:tblPr>
  </w:style>
  <w:style w:type="table" w:customStyle="1" w:styleId="Estilo16">
    <w:name w:val="Estilo16"/>
    <w:basedOn w:val="TableNormal11"/>
    <w:tblPr>
      <w:tblStyleRowBandSize w:val="1"/>
      <w:tblStyleColBandSize w:val="1"/>
      <w:tblCellMar>
        <w:left w:w="70" w:type="dxa"/>
        <w:right w:w="70" w:type="dxa"/>
      </w:tblCellMar>
    </w:tblPr>
  </w:style>
  <w:style w:type="table" w:customStyle="1" w:styleId="Estilo15">
    <w:name w:val="Estilo15"/>
    <w:basedOn w:val="TableNormal11"/>
    <w:tblPr>
      <w:tblStyleRowBandSize w:val="1"/>
      <w:tblStyleColBandSize w:val="1"/>
      <w:tblCellMar>
        <w:left w:w="70" w:type="dxa"/>
        <w:right w:w="70" w:type="dxa"/>
      </w:tblCellMar>
    </w:tblPr>
  </w:style>
  <w:style w:type="table" w:customStyle="1" w:styleId="Estilo14">
    <w:name w:val="Estilo14"/>
    <w:basedOn w:val="TableNormal11"/>
    <w:tblPr>
      <w:tblStyleRowBandSize w:val="1"/>
      <w:tblStyleColBandSize w:val="1"/>
      <w:tblCellMar>
        <w:left w:w="70" w:type="dxa"/>
        <w:right w:w="70" w:type="dxa"/>
      </w:tblCellMar>
    </w:tblPr>
  </w:style>
  <w:style w:type="table" w:customStyle="1" w:styleId="Estilo13">
    <w:name w:val="Estilo13"/>
    <w:basedOn w:val="TableNormal11"/>
    <w:tblPr>
      <w:tblStyleRowBandSize w:val="1"/>
      <w:tblStyleColBandSize w:val="1"/>
      <w:tblCellMar>
        <w:left w:w="70" w:type="dxa"/>
        <w:right w:w="70" w:type="dxa"/>
      </w:tblCellMar>
    </w:tblPr>
  </w:style>
  <w:style w:type="table" w:customStyle="1" w:styleId="Estilo12">
    <w:name w:val="Estilo12"/>
    <w:basedOn w:val="TableNormal11"/>
    <w:tblPr>
      <w:tblStyleRowBandSize w:val="1"/>
      <w:tblStyleColBandSize w:val="1"/>
      <w:tblCellMar>
        <w:left w:w="70" w:type="dxa"/>
        <w:right w:w="70" w:type="dxa"/>
      </w:tblCellMar>
    </w:tblPr>
  </w:style>
  <w:style w:type="table" w:customStyle="1" w:styleId="Estilo11">
    <w:name w:val="Estilo11"/>
    <w:basedOn w:val="TableNormal11"/>
    <w:tblPr>
      <w:tblStyleRowBandSize w:val="1"/>
      <w:tblStyleColBandSize w:val="1"/>
      <w:tblCellMar>
        <w:left w:w="70" w:type="dxa"/>
        <w:right w:w="70" w:type="dxa"/>
      </w:tblCellMar>
    </w:tblPr>
  </w:style>
  <w:style w:type="table" w:customStyle="1" w:styleId="Estilo10">
    <w:name w:val="Estilo10"/>
    <w:basedOn w:val="TableNormal11"/>
    <w:tblPr>
      <w:tblStyleRowBandSize w:val="1"/>
      <w:tblStyleColBandSize w:val="1"/>
      <w:tblCellMar>
        <w:left w:w="70" w:type="dxa"/>
        <w:right w:w="70" w:type="dxa"/>
      </w:tblCellMar>
    </w:tblPr>
  </w:style>
  <w:style w:type="table" w:customStyle="1" w:styleId="Estilo9">
    <w:name w:val="Estilo9"/>
    <w:basedOn w:val="TableNormal11"/>
    <w:tblPr>
      <w:tblStyleRowBandSize w:val="1"/>
      <w:tblStyleColBandSize w:val="1"/>
      <w:tblCellMar>
        <w:left w:w="70" w:type="dxa"/>
        <w:right w:w="70" w:type="dxa"/>
      </w:tblCellMar>
    </w:tblPr>
  </w:style>
  <w:style w:type="table" w:customStyle="1" w:styleId="Estilo8">
    <w:name w:val="Estilo8"/>
    <w:basedOn w:val="TableNormal11"/>
    <w:tblPr>
      <w:tblStyleRowBandSize w:val="1"/>
      <w:tblStyleColBandSize w:val="1"/>
      <w:tblCellMar>
        <w:left w:w="70" w:type="dxa"/>
        <w:right w:w="70" w:type="dxa"/>
      </w:tblCellMar>
    </w:tblPr>
  </w:style>
  <w:style w:type="table" w:customStyle="1" w:styleId="Estilo7">
    <w:name w:val="Estilo7"/>
    <w:basedOn w:val="TableNormal11"/>
    <w:tblPr>
      <w:tblStyleRowBandSize w:val="1"/>
      <w:tblStyleColBandSize w:val="1"/>
      <w:tblCellMar>
        <w:left w:w="70" w:type="dxa"/>
        <w:right w:w="70" w:type="dxa"/>
      </w:tblCellMar>
    </w:tblPr>
  </w:style>
  <w:style w:type="table" w:customStyle="1" w:styleId="Estilo6">
    <w:name w:val="Estilo6"/>
    <w:basedOn w:val="TableNormal11"/>
    <w:tblPr>
      <w:tblStyleRowBandSize w:val="1"/>
      <w:tblStyleColBandSize w:val="1"/>
      <w:tblCellMar>
        <w:left w:w="70" w:type="dxa"/>
        <w:right w:w="70" w:type="dxa"/>
      </w:tblCellMar>
    </w:tblPr>
  </w:style>
  <w:style w:type="table" w:customStyle="1" w:styleId="Estilo5">
    <w:name w:val="Estilo5"/>
    <w:basedOn w:val="TableNormal11"/>
    <w:tblPr>
      <w:tblStyleRowBandSize w:val="1"/>
      <w:tblStyleColBandSize w:val="1"/>
      <w:tblCellMar>
        <w:left w:w="70" w:type="dxa"/>
        <w:right w:w="70" w:type="dxa"/>
      </w:tblCellMar>
    </w:tblPr>
  </w:style>
  <w:style w:type="table" w:customStyle="1" w:styleId="Estilo4">
    <w:name w:val="Estilo4"/>
    <w:basedOn w:val="TableNormal11"/>
    <w:tblPr>
      <w:tblStyleRowBandSize w:val="1"/>
      <w:tblStyleColBandSize w:val="1"/>
      <w:tblCellMar>
        <w:left w:w="70" w:type="dxa"/>
        <w:right w:w="70" w:type="dxa"/>
      </w:tblCellMar>
    </w:tblPr>
  </w:style>
  <w:style w:type="table" w:customStyle="1" w:styleId="Estilo3">
    <w:name w:val="Estilo3"/>
    <w:basedOn w:val="TableNormal11"/>
    <w:tblPr>
      <w:tblStyleRowBandSize w:val="1"/>
      <w:tblStyleColBandSize w:val="1"/>
      <w:tblCellMar>
        <w:left w:w="70" w:type="dxa"/>
        <w:right w:w="70" w:type="dxa"/>
      </w:tblCellMar>
    </w:tblPr>
  </w:style>
  <w:style w:type="table" w:customStyle="1" w:styleId="Estilo2">
    <w:name w:val="Estilo2"/>
    <w:basedOn w:val="TableNormal11"/>
    <w:tblPr>
      <w:tblStyleRowBandSize w:val="1"/>
      <w:tblStyleColBandSize w:val="1"/>
      <w:tblCellMar>
        <w:left w:w="70" w:type="dxa"/>
        <w:right w:w="70" w:type="dxa"/>
      </w:tblCellMar>
    </w:tblPr>
  </w:style>
  <w:style w:type="table" w:customStyle="1" w:styleId="Estilo1">
    <w:name w:val="Estilo1"/>
    <w:basedOn w:val="TableNormal11"/>
    <w:tblPr>
      <w:tblStyleRowBandSize w:val="1"/>
      <w:tblStyleColBandSize w:val="1"/>
      <w:tblCellMar>
        <w:left w:w="70" w:type="dxa"/>
        <w:right w:w="70" w:type="dxa"/>
      </w:tblCellMar>
    </w:tblPr>
  </w:style>
  <w:style w:type="table" w:customStyle="1" w:styleId="Estilo128">
    <w:name w:val="Estilo128"/>
    <w:basedOn w:val="TableNormal1"/>
    <w:tblPr>
      <w:tblStyleRowBandSize w:val="1"/>
      <w:tblStyleColBandSize w:val="1"/>
      <w:tblCellMar>
        <w:left w:w="70" w:type="dxa"/>
        <w:right w:w="70" w:type="dxa"/>
      </w:tblCellMar>
    </w:tblPr>
  </w:style>
  <w:style w:type="table" w:customStyle="1" w:styleId="Estilo127">
    <w:name w:val="Estilo127"/>
    <w:basedOn w:val="TableNormal1"/>
    <w:tblPr>
      <w:tblStyleRowBandSize w:val="1"/>
      <w:tblStyleColBandSize w:val="1"/>
      <w:tblCellMar>
        <w:left w:w="70" w:type="dxa"/>
        <w:right w:w="70" w:type="dxa"/>
      </w:tblCellMar>
    </w:tblPr>
  </w:style>
  <w:style w:type="table" w:customStyle="1" w:styleId="Estilo126">
    <w:name w:val="Estilo126"/>
    <w:basedOn w:val="TableNormal1"/>
    <w:tblPr>
      <w:tblStyleRowBandSize w:val="1"/>
      <w:tblStyleColBandSize w:val="1"/>
      <w:tblCellMar>
        <w:left w:w="70" w:type="dxa"/>
        <w:right w:w="70" w:type="dxa"/>
      </w:tblCellMar>
    </w:tblPr>
  </w:style>
  <w:style w:type="table" w:customStyle="1" w:styleId="Estilo125">
    <w:name w:val="Estilo125"/>
    <w:basedOn w:val="TableNormal1"/>
    <w:tblPr>
      <w:tblStyleRowBandSize w:val="1"/>
      <w:tblStyleColBandSize w:val="1"/>
      <w:tblCellMar>
        <w:left w:w="70" w:type="dxa"/>
        <w:right w:w="70" w:type="dxa"/>
      </w:tblCellMar>
    </w:tblPr>
  </w:style>
  <w:style w:type="table" w:customStyle="1" w:styleId="Estilo124">
    <w:name w:val="Estilo124"/>
    <w:basedOn w:val="TableNormal1"/>
    <w:tblPr>
      <w:tblStyleRowBandSize w:val="1"/>
      <w:tblStyleColBandSize w:val="1"/>
      <w:tblCellMar>
        <w:left w:w="70" w:type="dxa"/>
        <w:right w:w="70" w:type="dxa"/>
      </w:tblCellMar>
    </w:tblPr>
  </w:style>
  <w:style w:type="table" w:customStyle="1" w:styleId="Estilo123">
    <w:name w:val="Estilo123"/>
    <w:basedOn w:val="TableNormal1"/>
    <w:tblPr>
      <w:tblStyleRowBandSize w:val="1"/>
      <w:tblStyleColBandSize w:val="1"/>
      <w:tblCellMar>
        <w:left w:w="70" w:type="dxa"/>
        <w:right w:w="70" w:type="dxa"/>
      </w:tblCellMar>
    </w:tblPr>
  </w:style>
  <w:style w:type="table" w:customStyle="1" w:styleId="Estilo122">
    <w:name w:val="Estilo122"/>
    <w:basedOn w:val="TableNormal1"/>
    <w:tblPr>
      <w:tblStyleRowBandSize w:val="1"/>
      <w:tblStyleColBandSize w:val="1"/>
      <w:tblCellMar>
        <w:left w:w="70" w:type="dxa"/>
        <w:right w:w="70" w:type="dxa"/>
      </w:tblCellMar>
    </w:tblPr>
  </w:style>
  <w:style w:type="table" w:customStyle="1" w:styleId="Estilo121">
    <w:name w:val="Estilo121"/>
    <w:basedOn w:val="TableNormal1"/>
    <w:tblPr>
      <w:tblStyleRowBandSize w:val="1"/>
      <w:tblStyleColBandSize w:val="1"/>
      <w:tblCellMar>
        <w:left w:w="70" w:type="dxa"/>
        <w:right w:w="70" w:type="dxa"/>
      </w:tblCellMar>
    </w:tblPr>
  </w:style>
  <w:style w:type="table" w:customStyle="1" w:styleId="Estilo120">
    <w:name w:val="Estilo120"/>
    <w:basedOn w:val="TableNormal1"/>
    <w:tblPr>
      <w:tblStyleRowBandSize w:val="1"/>
      <w:tblStyleColBandSize w:val="1"/>
      <w:tblCellMar>
        <w:left w:w="70" w:type="dxa"/>
        <w:right w:w="70" w:type="dxa"/>
      </w:tblCellMar>
    </w:tblPr>
  </w:style>
  <w:style w:type="table" w:customStyle="1" w:styleId="Estilo119">
    <w:name w:val="Estilo119"/>
    <w:basedOn w:val="TableNormal1"/>
    <w:tblPr>
      <w:tblStyleRowBandSize w:val="1"/>
      <w:tblStyleColBandSize w:val="1"/>
      <w:tblCellMar>
        <w:left w:w="70" w:type="dxa"/>
        <w:right w:w="70" w:type="dxa"/>
      </w:tblCellMar>
    </w:tblPr>
  </w:style>
  <w:style w:type="table" w:customStyle="1" w:styleId="Estilo118">
    <w:name w:val="Estilo118"/>
    <w:basedOn w:val="TableNormal1"/>
    <w:tblPr>
      <w:tblStyleRowBandSize w:val="1"/>
      <w:tblStyleColBandSize w:val="1"/>
      <w:tblCellMar>
        <w:left w:w="70" w:type="dxa"/>
        <w:right w:w="70" w:type="dxa"/>
      </w:tblCellMar>
    </w:tblPr>
  </w:style>
  <w:style w:type="table" w:customStyle="1" w:styleId="Estilo117">
    <w:name w:val="Estilo117"/>
    <w:basedOn w:val="TableNormal1"/>
    <w:tblPr>
      <w:tblStyleRowBandSize w:val="1"/>
      <w:tblStyleColBandSize w:val="1"/>
      <w:tblCellMar>
        <w:left w:w="115" w:type="dxa"/>
        <w:right w:w="115" w:type="dxa"/>
      </w:tblCellMar>
    </w:tblPr>
  </w:style>
  <w:style w:type="table" w:customStyle="1" w:styleId="Estilo116">
    <w:name w:val="Estilo116"/>
    <w:basedOn w:val="TableNormal1"/>
    <w:tblPr>
      <w:tblStyleRowBandSize w:val="1"/>
      <w:tblStyleColBandSize w:val="1"/>
      <w:tblCellMar>
        <w:left w:w="115" w:type="dxa"/>
        <w:right w:w="115" w:type="dxa"/>
      </w:tblCellMar>
    </w:tblPr>
  </w:style>
  <w:style w:type="table" w:customStyle="1" w:styleId="Estilo115">
    <w:name w:val="Estilo115"/>
    <w:basedOn w:val="TableNormal1"/>
    <w:tblPr>
      <w:tblStyleRowBandSize w:val="1"/>
      <w:tblStyleColBandSize w:val="1"/>
      <w:tblCellMar>
        <w:left w:w="70" w:type="dxa"/>
        <w:right w:w="70" w:type="dxa"/>
      </w:tblCellMar>
    </w:tblPr>
  </w:style>
  <w:style w:type="table" w:customStyle="1" w:styleId="Estilo114">
    <w:name w:val="Estilo114"/>
    <w:basedOn w:val="TableNormal1"/>
    <w:tblPr>
      <w:tblStyleRowBandSize w:val="1"/>
      <w:tblStyleColBandSize w:val="1"/>
      <w:tblCellMar>
        <w:left w:w="70" w:type="dxa"/>
        <w:right w:w="70" w:type="dxa"/>
      </w:tblCellMar>
    </w:tblPr>
  </w:style>
  <w:style w:type="table" w:customStyle="1" w:styleId="Estilo113">
    <w:name w:val="Estilo113"/>
    <w:basedOn w:val="TableNormal1"/>
    <w:tblPr>
      <w:tblStyleRowBandSize w:val="1"/>
      <w:tblStyleColBandSize w:val="1"/>
      <w:tblCellMar>
        <w:left w:w="70" w:type="dxa"/>
        <w:right w:w="70" w:type="dxa"/>
      </w:tblCellMar>
    </w:tblPr>
  </w:style>
  <w:style w:type="table" w:customStyle="1" w:styleId="Estilo112">
    <w:name w:val="Estilo112"/>
    <w:basedOn w:val="TableNormal1"/>
    <w:tblPr>
      <w:tblStyleRowBandSize w:val="1"/>
      <w:tblStyleColBandSize w:val="1"/>
      <w:tblCellMar>
        <w:left w:w="70" w:type="dxa"/>
        <w:right w:w="70" w:type="dxa"/>
      </w:tblCellMar>
    </w:tblPr>
  </w:style>
  <w:style w:type="table" w:customStyle="1" w:styleId="Estilo111">
    <w:name w:val="Estilo111"/>
    <w:basedOn w:val="TableNormal1"/>
    <w:tblPr>
      <w:tblStyleRowBandSize w:val="1"/>
      <w:tblStyleColBandSize w:val="1"/>
      <w:tblCellMar>
        <w:left w:w="70" w:type="dxa"/>
        <w:right w:w="70" w:type="dxa"/>
      </w:tblCellMar>
    </w:tblPr>
  </w:style>
  <w:style w:type="table" w:customStyle="1" w:styleId="Estilo110">
    <w:name w:val="Estilo110"/>
    <w:basedOn w:val="TableNormal1"/>
    <w:tblPr>
      <w:tblStyleRowBandSize w:val="1"/>
      <w:tblStyleColBandSize w:val="1"/>
      <w:tblCellMar>
        <w:top w:w="100" w:type="dxa"/>
        <w:left w:w="100" w:type="dxa"/>
        <w:bottom w:w="100" w:type="dxa"/>
        <w:right w:w="100" w:type="dxa"/>
      </w:tblCellMar>
    </w:tblPr>
  </w:style>
  <w:style w:type="table" w:customStyle="1" w:styleId="Estilo109">
    <w:name w:val="Estilo109"/>
    <w:basedOn w:val="TableNormal1"/>
    <w:tblPr>
      <w:tblStyleRowBandSize w:val="1"/>
      <w:tblStyleColBandSize w:val="1"/>
      <w:tblCellMar>
        <w:top w:w="100" w:type="dxa"/>
        <w:left w:w="100" w:type="dxa"/>
        <w:bottom w:w="100" w:type="dxa"/>
        <w:right w:w="100" w:type="dxa"/>
      </w:tblCellMar>
    </w:tblPr>
  </w:style>
  <w:style w:type="table" w:customStyle="1" w:styleId="Estilo108">
    <w:name w:val="Estilo108"/>
    <w:basedOn w:val="TableNormal1"/>
    <w:tblPr>
      <w:tblStyleRowBandSize w:val="1"/>
      <w:tblStyleColBandSize w:val="1"/>
      <w:tblCellMar>
        <w:top w:w="100" w:type="dxa"/>
        <w:left w:w="100" w:type="dxa"/>
        <w:bottom w:w="100" w:type="dxa"/>
        <w:right w:w="100" w:type="dxa"/>
      </w:tblCellMar>
    </w:tblPr>
  </w:style>
  <w:style w:type="table" w:customStyle="1" w:styleId="Estilo107">
    <w:name w:val="Estilo107"/>
    <w:basedOn w:val="TableNormal1"/>
    <w:tblPr>
      <w:tblStyleRowBandSize w:val="1"/>
      <w:tblStyleColBandSize w:val="1"/>
      <w:tblCellMar>
        <w:top w:w="100" w:type="dxa"/>
        <w:left w:w="100" w:type="dxa"/>
        <w:bottom w:w="100" w:type="dxa"/>
        <w:right w:w="100" w:type="dxa"/>
      </w:tblCellMar>
    </w:tblPr>
  </w:style>
  <w:style w:type="table" w:customStyle="1" w:styleId="Estilo106">
    <w:name w:val="Estilo106"/>
    <w:basedOn w:val="TableNormal1"/>
    <w:tblPr>
      <w:tblStyleRowBandSize w:val="1"/>
      <w:tblStyleColBandSize w:val="1"/>
      <w:tblCellMar>
        <w:left w:w="70" w:type="dxa"/>
        <w:right w:w="70" w:type="dxa"/>
      </w:tblCellMar>
    </w:tblPr>
  </w:style>
  <w:style w:type="table" w:customStyle="1" w:styleId="Estilo105">
    <w:name w:val="Estilo105"/>
    <w:basedOn w:val="TableNormal1"/>
    <w:tblPr>
      <w:tblStyleRowBandSize w:val="1"/>
      <w:tblStyleColBandSize w:val="1"/>
      <w:tblCellMar>
        <w:left w:w="70" w:type="dxa"/>
        <w:right w:w="70" w:type="dxa"/>
      </w:tblCellMar>
    </w:tblPr>
  </w:style>
  <w:style w:type="table" w:customStyle="1" w:styleId="Estilo104">
    <w:name w:val="Estilo104"/>
    <w:basedOn w:val="TableNormal1"/>
    <w:tblPr>
      <w:tblStyleRowBandSize w:val="1"/>
      <w:tblStyleColBandSize w:val="1"/>
      <w:tblCellMar>
        <w:left w:w="70" w:type="dxa"/>
        <w:right w:w="70" w:type="dxa"/>
      </w:tblCellMar>
    </w:tblPr>
  </w:style>
  <w:style w:type="table" w:customStyle="1" w:styleId="Estilo103">
    <w:name w:val="Estilo103"/>
    <w:basedOn w:val="TableNormal1"/>
    <w:tblPr>
      <w:tblStyleRowBandSize w:val="1"/>
      <w:tblStyleColBandSize w:val="1"/>
      <w:tblCellMar>
        <w:left w:w="70" w:type="dxa"/>
        <w:right w:w="70" w:type="dxa"/>
      </w:tblCellMar>
    </w:tblPr>
  </w:style>
  <w:style w:type="table" w:customStyle="1" w:styleId="Estilo102">
    <w:name w:val="Estilo102"/>
    <w:basedOn w:val="TableNormal1"/>
    <w:tblPr>
      <w:tblStyleRowBandSize w:val="1"/>
      <w:tblStyleColBandSize w:val="1"/>
      <w:tblCellMar>
        <w:left w:w="70" w:type="dxa"/>
        <w:right w:w="70" w:type="dxa"/>
      </w:tblCellMar>
    </w:tblPr>
  </w:style>
  <w:style w:type="table" w:customStyle="1" w:styleId="Estilo101">
    <w:name w:val="Estilo101"/>
    <w:basedOn w:val="TableNormal1"/>
    <w:tblPr>
      <w:tblStyleRowBandSize w:val="1"/>
      <w:tblStyleColBandSize w:val="1"/>
      <w:tblCellMar>
        <w:top w:w="100" w:type="dxa"/>
        <w:left w:w="100" w:type="dxa"/>
        <w:bottom w:w="100" w:type="dxa"/>
        <w:right w:w="100" w:type="dxa"/>
      </w:tblCellMar>
    </w:tblPr>
  </w:style>
  <w:style w:type="table" w:customStyle="1" w:styleId="Estilo100">
    <w:name w:val="Estilo100"/>
    <w:basedOn w:val="TableNormal1"/>
    <w:tblPr>
      <w:tblStyleRowBandSize w:val="1"/>
      <w:tblStyleColBandSize w:val="1"/>
      <w:tblCellMar>
        <w:left w:w="70" w:type="dxa"/>
        <w:right w:w="70" w:type="dxa"/>
      </w:tblCellMar>
    </w:tblPr>
  </w:style>
  <w:style w:type="table" w:customStyle="1" w:styleId="Estilo99">
    <w:name w:val="Estilo99"/>
    <w:basedOn w:val="TableNormal1"/>
    <w:tblPr>
      <w:tblStyleRowBandSize w:val="1"/>
      <w:tblStyleColBandSize w:val="1"/>
      <w:tblCellMar>
        <w:left w:w="70" w:type="dxa"/>
        <w:right w:w="70" w:type="dxa"/>
      </w:tblCellMar>
    </w:tblPr>
  </w:style>
  <w:style w:type="table" w:customStyle="1" w:styleId="Estilo98">
    <w:name w:val="Estilo98"/>
    <w:basedOn w:val="TableNormal1"/>
    <w:tblPr>
      <w:tblStyleRowBandSize w:val="1"/>
      <w:tblStyleColBandSize w:val="1"/>
      <w:tblCellMar>
        <w:top w:w="100" w:type="dxa"/>
        <w:left w:w="100" w:type="dxa"/>
        <w:bottom w:w="100" w:type="dxa"/>
        <w:right w:w="100" w:type="dxa"/>
      </w:tblCellMar>
    </w:tblPr>
  </w:style>
  <w:style w:type="table" w:customStyle="1" w:styleId="Estilo97">
    <w:name w:val="Estilo97"/>
    <w:basedOn w:val="TableNormal1"/>
    <w:tblPr>
      <w:tblStyleRowBandSize w:val="1"/>
      <w:tblStyleColBandSize w:val="1"/>
      <w:tblCellMar>
        <w:top w:w="100" w:type="dxa"/>
        <w:left w:w="100" w:type="dxa"/>
        <w:bottom w:w="100" w:type="dxa"/>
        <w:right w:w="100" w:type="dxa"/>
      </w:tblCellMar>
    </w:tblPr>
  </w:style>
  <w:style w:type="table" w:customStyle="1" w:styleId="Estilo96">
    <w:name w:val="Estilo96"/>
    <w:basedOn w:val="TableNormal1"/>
    <w:tblPr>
      <w:tblStyleRowBandSize w:val="1"/>
      <w:tblStyleColBandSize w:val="1"/>
      <w:tblCellMar>
        <w:left w:w="70" w:type="dxa"/>
        <w:right w:w="70" w:type="dxa"/>
      </w:tblCellMar>
    </w:tblPr>
  </w:style>
  <w:style w:type="table" w:customStyle="1" w:styleId="Estilo95">
    <w:name w:val="Estilo95"/>
    <w:basedOn w:val="TableNormal1"/>
    <w:tblPr>
      <w:tblStyleRowBandSize w:val="1"/>
      <w:tblStyleColBandSize w:val="1"/>
      <w:tblCellMar>
        <w:left w:w="70" w:type="dxa"/>
        <w:right w:w="70" w:type="dxa"/>
      </w:tblCellMar>
    </w:tblPr>
  </w:style>
  <w:style w:type="table" w:customStyle="1" w:styleId="Estilo94">
    <w:name w:val="Estilo94"/>
    <w:basedOn w:val="TableNormal1"/>
    <w:tblPr>
      <w:tblStyleRowBandSize w:val="1"/>
      <w:tblStyleColBandSize w:val="1"/>
      <w:tblCellMar>
        <w:left w:w="70" w:type="dxa"/>
        <w:right w:w="70" w:type="dxa"/>
      </w:tblCellMar>
    </w:tblPr>
  </w:style>
  <w:style w:type="table" w:customStyle="1" w:styleId="Estilo93">
    <w:name w:val="Estilo93"/>
    <w:basedOn w:val="TableNormal1"/>
    <w:tblPr>
      <w:tblStyleRowBandSize w:val="1"/>
      <w:tblStyleColBandSize w:val="1"/>
      <w:tblCellMar>
        <w:left w:w="70" w:type="dxa"/>
        <w:right w:w="70" w:type="dxa"/>
      </w:tblCellMar>
    </w:tblPr>
  </w:style>
  <w:style w:type="table" w:customStyle="1" w:styleId="Estilo92">
    <w:name w:val="Estilo92"/>
    <w:basedOn w:val="TableNormal1"/>
    <w:tblPr>
      <w:tblStyleRowBandSize w:val="1"/>
      <w:tblStyleColBandSize w:val="1"/>
      <w:tblCellMar>
        <w:left w:w="70" w:type="dxa"/>
        <w:right w:w="70" w:type="dxa"/>
      </w:tblCellMar>
    </w:tblPr>
  </w:style>
  <w:style w:type="table" w:customStyle="1" w:styleId="Estilo91">
    <w:name w:val="Estilo91"/>
    <w:basedOn w:val="TableNormal1"/>
    <w:tblPr>
      <w:tblStyleRowBandSize w:val="1"/>
      <w:tblStyleColBandSize w:val="1"/>
      <w:tblCellMar>
        <w:left w:w="70" w:type="dxa"/>
        <w:right w:w="70" w:type="dxa"/>
      </w:tblCellMar>
    </w:tblPr>
  </w:style>
  <w:style w:type="table" w:customStyle="1" w:styleId="Estilo90">
    <w:name w:val="Estilo90"/>
    <w:basedOn w:val="TableNormal1"/>
    <w:tblPr>
      <w:tblStyleRowBandSize w:val="1"/>
      <w:tblStyleColBandSize w:val="1"/>
      <w:tblCellMar>
        <w:left w:w="70" w:type="dxa"/>
        <w:right w:w="70" w:type="dxa"/>
      </w:tblCellMar>
    </w:tblPr>
  </w:style>
  <w:style w:type="table" w:customStyle="1" w:styleId="Estilo89">
    <w:name w:val="Estilo89"/>
    <w:basedOn w:val="TableNormal1"/>
    <w:tblPr>
      <w:tblStyleRowBandSize w:val="1"/>
      <w:tblStyleColBandSize w:val="1"/>
      <w:tblCellMar>
        <w:left w:w="70" w:type="dxa"/>
        <w:right w:w="70" w:type="dxa"/>
      </w:tblCellMar>
    </w:tblPr>
  </w:style>
  <w:style w:type="paragraph" w:styleId="ndice1">
    <w:name w:val="index 1"/>
    <w:basedOn w:val="Normal"/>
    <w:next w:val="Normal"/>
    <w:qFormat/>
    <w:pPr>
      <w:spacing w:line="240" w:lineRule="auto"/>
      <w:ind w:left="240" w:hanging="240"/>
    </w:p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 w:type="table" w:customStyle="1" w:styleId="a9">
    <w:basedOn w:val="TableNormal0"/>
    <w:tblPr>
      <w:tblStyleRowBandSize w:val="1"/>
      <w:tblStyleColBandSize w:val="1"/>
      <w:tblCellMar>
        <w:left w:w="70" w:type="dxa"/>
        <w:right w:w="70" w:type="dxa"/>
      </w:tblCellMar>
    </w:tblPr>
  </w:style>
  <w:style w:type="table" w:customStyle="1" w:styleId="aa">
    <w:basedOn w:val="TableNormal0"/>
    <w:tblPr>
      <w:tblStyleRowBandSize w:val="1"/>
      <w:tblStyleColBandSize w:val="1"/>
      <w:tblCellMar>
        <w:left w:w="70" w:type="dxa"/>
        <w:right w:w="70" w:type="dxa"/>
      </w:tblCellMar>
    </w:tblPr>
  </w:style>
  <w:style w:type="table" w:customStyle="1" w:styleId="ab">
    <w:basedOn w:val="TableNormal0"/>
    <w:tblPr>
      <w:tblStyleRowBandSize w:val="1"/>
      <w:tblStyleColBandSize w:val="1"/>
      <w:tblCellMar>
        <w:left w:w="70" w:type="dxa"/>
        <w:right w:w="70" w:type="dxa"/>
      </w:tblCellMar>
    </w:tblPr>
  </w:style>
  <w:style w:type="table" w:customStyle="1" w:styleId="ac">
    <w:basedOn w:val="TableNormal0"/>
    <w:tblPr>
      <w:tblStyleRowBandSize w:val="1"/>
      <w:tblStyleColBandSize w:val="1"/>
      <w:tblCellMar>
        <w:left w:w="70" w:type="dxa"/>
        <w:right w:w="70"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70" w:type="dxa"/>
        <w:right w:w="70" w:type="dxa"/>
      </w:tblCellMar>
    </w:tblPr>
  </w:style>
  <w:style w:type="table" w:customStyle="1" w:styleId="af0">
    <w:basedOn w:val="TableNormal0"/>
    <w:tblPr>
      <w:tblStyleRowBandSize w:val="1"/>
      <w:tblStyleColBandSize w:val="1"/>
      <w:tblCellMar>
        <w:left w:w="70" w:type="dxa"/>
        <w:right w:w="70" w:type="dxa"/>
      </w:tblCellMar>
    </w:tblPr>
  </w:style>
  <w:style w:type="table" w:customStyle="1" w:styleId="af1">
    <w:basedOn w:val="TableNormal0"/>
    <w:tblPr>
      <w:tblStyleRowBandSize w:val="1"/>
      <w:tblStyleColBandSize w:val="1"/>
      <w:tblCellMar>
        <w:left w:w="70" w:type="dxa"/>
        <w:right w:w="70" w:type="dxa"/>
      </w:tblCellMar>
    </w:tblPr>
  </w:style>
  <w:style w:type="table" w:customStyle="1" w:styleId="af2">
    <w:basedOn w:val="TableNormal0"/>
    <w:tblPr>
      <w:tblStyleRowBandSize w:val="1"/>
      <w:tblStyleColBandSize w:val="1"/>
      <w:tblCellMar>
        <w:left w:w="70" w:type="dxa"/>
        <w:right w:w="70" w:type="dxa"/>
      </w:tblCellMar>
    </w:tblPr>
  </w:style>
  <w:style w:type="table" w:customStyle="1" w:styleId="af3">
    <w:basedOn w:val="TableNormal0"/>
    <w:tblPr>
      <w:tblStyleRowBandSize w:val="1"/>
      <w:tblStyleColBandSize w:val="1"/>
      <w:tblCellMar>
        <w:left w:w="70" w:type="dxa"/>
        <w:right w:w="7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left w:w="70" w:type="dxa"/>
        <w:right w:w="70" w:type="dxa"/>
      </w:tblCellMar>
    </w:tblPr>
  </w:style>
  <w:style w:type="table" w:customStyle="1" w:styleId="af9">
    <w:basedOn w:val="TableNormal0"/>
    <w:tblPr>
      <w:tblStyleRowBandSize w:val="1"/>
      <w:tblStyleColBandSize w:val="1"/>
      <w:tblCellMar>
        <w:left w:w="70" w:type="dxa"/>
        <w:right w:w="70" w:type="dxa"/>
      </w:tblCellMar>
    </w:tblPr>
  </w:style>
  <w:style w:type="table" w:customStyle="1" w:styleId="afa">
    <w:basedOn w:val="TableNormal0"/>
    <w:tblPr>
      <w:tblStyleRowBandSize w:val="1"/>
      <w:tblStyleColBandSize w:val="1"/>
      <w:tblCellMar>
        <w:left w:w="70" w:type="dxa"/>
        <w:right w:w="70" w:type="dxa"/>
      </w:tblCellMar>
    </w:tblPr>
  </w:style>
  <w:style w:type="table" w:customStyle="1" w:styleId="afb">
    <w:basedOn w:val="TableNormal0"/>
    <w:tblPr>
      <w:tblStyleRowBandSize w:val="1"/>
      <w:tblStyleColBandSize w:val="1"/>
      <w:tblCellMar>
        <w:left w:w="70" w:type="dxa"/>
        <w:right w:w="70" w:type="dxa"/>
      </w:tblCellMar>
    </w:tblPr>
  </w:style>
  <w:style w:type="table" w:customStyle="1" w:styleId="afc">
    <w:basedOn w:val="TableNormal0"/>
    <w:tblPr>
      <w:tblStyleRowBandSize w:val="1"/>
      <w:tblStyleColBandSize w:val="1"/>
      <w:tblCellMar>
        <w:left w:w="70" w:type="dxa"/>
        <w:right w:w="7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left w:w="70" w:type="dxa"/>
        <w:right w:w="70" w:type="dxa"/>
      </w:tblCellMar>
    </w:tblPr>
  </w:style>
  <w:style w:type="table" w:customStyle="1" w:styleId="aff">
    <w:basedOn w:val="TableNormal0"/>
    <w:tblPr>
      <w:tblStyleRowBandSize w:val="1"/>
      <w:tblStyleColBandSize w:val="1"/>
      <w:tblCellMar>
        <w:left w:w="70" w:type="dxa"/>
        <w:right w:w="7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left w:w="70" w:type="dxa"/>
        <w:right w:w="70" w:type="dxa"/>
      </w:tblCellMar>
    </w:tblPr>
  </w:style>
  <w:style w:type="table" w:customStyle="1" w:styleId="aff3">
    <w:basedOn w:val="TableNormal0"/>
    <w:tblPr>
      <w:tblStyleRowBandSize w:val="1"/>
      <w:tblStyleColBandSize w:val="1"/>
      <w:tblCellMar>
        <w:left w:w="70" w:type="dxa"/>
        <w:right w:w="70" w:type="dxa"/>
      </w:tblCellMar>
    </w:tblPr>
  </w:style>
  <w:style w:type="table" w:customStyle="1" w:styleId="aff4">
    <w:basedOn w:val="TableNormal0"/>
    <w:tblPr>
      <w:tblStyleRowBandSize w:val="1"/>
      <w:tblStyleColBandSize w:val="1"/>
      <w:tblCellMar>
        <w:left w:w="70" w:type="dxa"/>
        <w:right w:w="70" w:type="dxa"/>
      </w:tblCellMar>
    </w:tblPr>
  </w:style>
  <w:style w:type="table" w:customStyle="1" w:styleId="aff5">
    <w:basedOn w:val="TableNormal0"/>
    <w:tblPr>
      <w:tblStyleRowBandSize w:val="1"/>
      <w:tblStyleColBandSize w:val="1"/>
      <w:tblCellMar>
        <w:left w:w="70" w:type="dxa"/>
        <w:right w:w="70" w:type="dxa"/>
      </w:tblCellMar>
    </w:tblPr>
  </w:style>
  <w:style w:type="table" w:customStyle="1" w:styleId="aff6">
    <w:basedOn w:val="TableNormal0"/>
    <w:tblPr>
      <w:tblStyleRowBandSize w:val="1"/>
      <w:tblStyleColBandSize w:val="1"/>
      <w:tblCellMar>
        <w:left w:w="70" w:type="dxa"/>
        <w:right w:w="70" w:type="dxa"/>
      </w:tblCellMar>
    </w:tblPr>
  </w:style>
  <w:style w:type="table" w:customStyle="1" w:styleId="aff7">
    <w:basedOn w:val="TableNormal0"/>
    <w:tblPr>
      <w:tblStyleRowBandSize w:val="1"/>
      <w:tblStyleColBandSize w:val="1"/>
      <w:tblCellMar>
        <w:left w:w="70" w:type="dxa"/>
        <w:right w:w="70" w:type="dxa"/>
      </w:tblCellMar>
    </w:tblPr>
  </w:style>
  <w:style w:type="table" w:customStyle="1" w:styleId="aff8">
    <w:basedOn w:val="TableNormal0"/>
    <w:tblPr>
      <w:tblStyleRowBandSize w:val="1"/>
      <w:tblStyleColBandSize w:val="1"/>
      <w:tblCellMar>
        <w:left w:w="70" w:type="dxa"/>
        <w:right w:w="70" w:type="dxa"/>
      </w:tblCellMar>
    </w:tblPr>
  </w:style>
  <w:style w:type="table" w:customStyle="1" w:styleId="aff9">
    <w:basedOn w:val="TableNormal0"/>
    <w:tblPr>
      <w:tblStyleRowBandSize w:val="1"/>
      <w:tblStyleColBandSize w:val="1"/>
      <w:tblCellMar>
        <w:left w:w="70" w:type="dxa"/>
        <w:right w:w="70" w:type="dxa"/>
      </w:tblCellMar>
    </w:tblPr>
  </w:style>
  <w:style w:type="paragraph" w:styleId="Revisin">
    <w:name w:val="Revision"/>
    <w:pPr>
      <w:suppressAutoHyphens/>
      <w:spacing w:line="1" w:lineRule="atLeast"/>
      <w:ind w:leftChars="-1" w:hangingChars="1"/>
      <w:textDirection w:val="btLr"/>
      <w:textAlignment w:val="top"/>
      <w:outlineLvl w:val="0"/>
    </w:pPr>
    <w:rPr>
      <w:position w:val="-1"/>
    </w:rPr>
  </w:style>
  <w:style w:type="table" w:customStyle="1" w:styleId="affa">
    <w:basedOn w:val="TableNormal0"/>
    <w:tblPr>
      <w:tblStyleRowBandSize w:val="1"/>
      <w:tblStyleColBandSize w:val="1"/>
      <w:tblCellMar>
        <w:left w:w="70" w:type="dxa"/>
        <w:right w:w="70" w:type="dxa"/>
      </w:tblCellMar>
    </w:tblPr>
  </w:style>
  <w:style w:type="table" w:customStyle="1" w:styleId="affb">
    <w:basedOn w:val="TableNormal0"/>
    <w:tblPr>
      <w:tblStyleRowBandSize w:val="1"/>
      <w:tblStyleColBandSize w:val="1"/>
      <w:tblCellMar>
        <w:left w:w="70" w:type="dxa"/>
        <w:right w:w="70" w:type="dxa"/>
      </w:tblCellMar>
    </w:tblPr>
  </w:style>
  <w:style w:type="table" w:customStyle="1" w:styleId="affc">
    <w:basedOn w:val="TableNormal0"/>
    <w:tblPr>
      <w:tblStyleRowBandSize w:val="1"/>
      <w:tblStyleColBandSize w:val="1"/>
      <w:tblCellMar>
        <w:left w:w="70" w:type="dxa"/>
        <w:right w:w="70" w:type="dxa"/>
      </w:tblCellMar>
    </w:tblPr>
  </w:style>
  <w:style w:type="table" w:customStyle="1" w:styleId="affd">
    <w:basedOn w:val="TableNormal0"/>
    <w:tblPr>
      <w:tblStyleRowBandSize w:val="1"/>
      <w:tblStyleColBandSize w:val="1"/>
      <w:tblCellMar>
        <w:left w:w="70" w:type="dxa"/>
        <w:right w:w="70" w:type="dxa"/>
      </w:tblCellMar>
    </w:tblPr>
  </w:style>
  <w:style w:type="table" w:customStyle="1" w:styleId="affe">
    <w:basedOn w:val="TableNormal0"/>
    <w:tblPr>
      <w:tblStyleRowBandSize w:val="1"/>
      <w:tblStyleColBandSize w:val="1"/>
      <w:tblCellMar>
        <w:left w:w="70" w:type="dxa"/>
        <w:right w:w="70" w:type="dxa"/>
      </w:tblCellMar>
    </w:tblPr>
  </w:style>
  <w:style w:type="table" w:customStyle="1" w:styleId="afff">
    <w:basedOn w:val="TableNormal0"/>
    <w:tblPr>
      <w:tblStyleRowBandSize w:val="1"/>
      <w:tblStyleColBandSize w:val="1"/>
      <w:tblCellMar>
        <w:left w:w="70" w:type="dxa"/>
        <w:right w:w="70" w:type="dxa"/>
      </w:tblCellMar>
    </w:tblPr>
  </w:style>
  <w:style w:type="table" w:customStyle="1" w:styleId="afff0">
    <w:basedOn w:val="TableNormal0"/>
    <w:tblPr>
      <w:tblStyleRowBandSize w:val="1"/>
      <w:tblStyleColBandSize w:val="1"/>
      <w:tblCellMar>
        <w:left w:w="70" w:type="dxa"/>
        <w:right w:w="70" w:type="dxa"/>
      </w:tblCellMar>
    </w:tblPr>
  </w:style>
  <w:style w:type="table" w:customStyle="1" w:styleId="afff1">
    <w:basedOn w:val="TableNormal0"/>
    <w:tblPr>
      <w:tblStyleRowBandSize w:val="1"/>
      <w:tblStyleColBandSize w:val="1"/>
      <w:tblCellMar>
        <w:left w:w="70" w:type="dxa"/>
        <w:right w:w="70" w:type="dxa"/>
      </w:tblCellMar>
    </w:tblPr>
  </w:style>
  <w:style w:type="table" w:customStyle="1" w:styleId="afff2">
    <w:basedOn w:val="TableNormal0"/>
    <w:tblPr>
      <w:tblStyleRowBandSize w:val="1"/>
      <w:tblStyleColBandSize w:val="1"/>
      <w:tblCellMar>
        <w:left w:w="70" w:type="dxa"/>
        <w:right w:w="70" w:type="dxa"/>
      </w:tblCellMar>
    </w:tblPr>
  </w:style>
  <w:style w:type="table" w:customStyle="1" w:styleId="afff3">
    <w:basedOn w:val="TableNormal0"/>
    <w:tblPr>
      <w:tblStyleRowBandSize w:val="1"/>
      <w:tblStyleColBandSize w:val="1"/>
      <w:tblCellMar>
        <w:left w:w="70" w:type="dxa"/>
        <w:right w:w="70" w:type="dxa"/>
      </w:tblCellMar>
    </w:tblPr>
  </w:style>
  <w:style w:type="table" w:customStyle="1" w:styleId="afff4">
    <w:basedOn w:val="TableNormal0"/>
    <w:tblPr>
      <w:tblStyleRowBandSize w:val="1"/>
      <w:tblStyleColBandSize w:val="1"/>
      <w:tblCellMar>
        <w:left w:w="70" w:type="dxa"/>
        <w:right w:w="70"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tblPr>
      <w:tblStyleRowBandSize w:val="1"/>
      <w:tblStyleColBandSize w:val="1"/>
      <w:tblCellMar>
        <w:left w:w="70" w:type="dxa"/>
        <w:right w:w="70" w:type="dxa"/>
      </w:tblCellMar>
    </w:tblPr>
  </w:style>
  <w:style w:type="table" w:customStyle="1" w:styleId="afff8">
    <w:basedOn w:val="TableNormal0"/>
    <w:tblPr>
      <w:tblStyleRowBandSize w:val="1"/>
      <w:tblStyleColBandSize w:val="1"/>
      <w:tblCellMar>
        <w:left w:w="70" w:type="dxa"/>
        <w:right w:w="70" w:type="dxa"/>
      </w:tblCellMar>
    </w:tblPr>
  </w:style>
  <w:style w:type="table" w:customStyle="1" w:styleId="afff9">
    <w:basedOn w:val="TableNormal0"/>
    <w:tblPr>
      <w:tblStyleRowBandSize w:val="1"/>
      <w:tblStyleColBandSize w:val="1"/>
      <w:tblCellMar>
        <w:left w:w="70" w:type="dxa"/>
        <w:right w:w="70" w:type="dxa"/>
      </w:tblCellMar>
    </w:tblPr>
  </w:style>
  <w:style w:type="table" w:customStyle="1" w:styleId="afffa">
    <w:basedOn w:val="TableNormal0"/>
    <w:tblPr>
      <w:tblStyleRowBandSize w:val="1"/>
      <w:tblStyleColBandSize w:val="1"/>
      <w:tblCellMar>
        <w:left w:w="70" w:type="dxa"/>
        <w:right w:w="70" w:type="dxa"/>
      </w:tblCellMar>
    </w:tblPr>
  </w:style>
  <w:style w:type="table" w:customStyle="1" w:styleId="afffb">
    <w:basedOn w:val="TableNormal0"/>
    <w:tblPr>
      <w:tblStyleRowBandSize w:val="1"/>
      <w:tblStyleColBandSize w:val="1"/>
      <w:tblCellMar>
        <w:left w:w="70" w:type="dxa"/>
        <w:right w:w="70" w:type="dxa"/>
      </w:tblCellMar>
    </w:tblPr>
  </w:style>
  <w:style w:type="table" w:customStyle="1" w:styleId="afffc">
    <w:basedOn w:val="TableNormal0"/>
    <w:tblPr>
      <w:tblStyleRowBandSize w:val="1"/>
      <w:tblStyleColBandSize w:val="1"/>
      <w:tblCellMar>
        <w:top w:w="100" w:type="dxa"/>
        <w:left w:w="100" w:type="dxa"/>
        <w:bottom w:w="100" w:type="dxa"/>
        <w:right w:w="100" w:type="dxa"/>
      </w:tblCellMar>
    </w:tblPr>
  </w:style>
  <w:style w:type="table" w:customStyle="1" w:styleId="afffd">
    <w:basedOn w:val="TableNormal0"/>
    <w:tblPr>
      <w:tblStyleRowBandSize w:val="1"/>
      <w:tblStyleColBandSize w:val="1"/>
      <w:tblCellMar>
        <w:top w:w="100" w:type="dxa"/>
        <w:left w:w="100" w:type="dxa"/>
        <w:bottom w:w="100" w:type="dxa"/>
        <w:right w:w="100" w:type="dxa"/>
      </w:tblCellMar>
    </w:tblPr>
  </w:style>
  <w:style w:type="table" w:customStyle="1" w:styleId="afffe">
    <w:basedOn w:val="TableNormal0"/>
    <w:tblPr>
      <w:tblStyleRowBandSize w:val="1"/>
      <w:tblStyleColBandSize w:val="1"/>
      <w:tblCellMar>
        <w:top w:w="100" w:type="dxa"/>
        <w:left w:w="100" w:type="dxa"/>
        <w:bottom w:w="100" w:type="dxa"/>
        <w:right w:w="100" w:type="dxa"/>
      </w:tblCellMar>
    </w:tblPr>
  </w:style>
  <w:style w:type="table" w:customStyle="1" w:styleId="affff">
    <w:basedOn w:val="TableNormal0"/>
    <w:tblPr>
      <w:tblStyleRowBandSize w:val="1"/>
      <w:tblStyleColBandSize w:val="1"/>
      <w:tblCellMar>
        <w:top w:w="100" w:type="dxa"/>
        <w:left w:w="100" w:type="dxa"/>
        <w:bottom w:w="100" w:type="dxa"/>
        <w:right w:w="100" w:type="dxa"/>
      </w:tblCellMar>
    </w:tblPr>
  </w:style>
  <w:style w:type="table" w:customStyle="1" w:styleId="affff0">
    <w:basedOn w:val="TableNormal0"/>
    <w:tblPr>
      <w:tblStyleRowBandSize w:val="1"/>
      <w:tblStyleColBandSize w:val="1"/>
      <w:tblCellMar>
        <w:left w:w="70" w:type="dxa"/>
        <w:right w:w="70" w:type="dxa"/>
      </w:tblCellMar>
    </w:tblPr>
  </w:style>
  <w:style w:type="table" w:customStyle="1" w:styleId="affff1">
    <w:basedOn w:val="TableNormal0"/>
    <w:tblPr>
      <w:tblStyleRowBandSize w:val="1"/>
      <w:tblStyleColBandSize w:val="1"/>
      <w:tblCellMar>
        <w:left w:w="70" w:type="dxa"/>
        <w:right w:w="70" w:type="dxa"/>
      </w:tblCellMar>
    </w:tblPr>
  </w:style>
  <w:style w:type="table" w:customStyle="1" w:styleId="affff2">
    <w:basedOn w:val="TableNormal0"/>
    <w:tblPr>
      <w:tblStyleRowBandSize w:val="1"/>
      <w:tblStyleColBandSize w:val="1"/>
      <w:tblCellMar>
        <w:left w:w="70" w:type="dxa"/>
        <w:right w:w="70" w:type="dxa"/>
      </w:tblCellMar>
    </w:tblPr>
  </w:style>
  <w:style w:type="table" w:customStyle="1" w:styleId="affff3">
    <w:basedOn w:val="TableNormal0"/>
    <w:tblPr>
      <w:tblStyleRowBandSize w:val="1"/>
      <w:tblStyleColBandSize w:val="1"/>
      <w:tblCellMar>
        <w:left w:w="70" w:type="dxa"/>
        <w:right w:w="70" w:type="dxa"/>
      </w:tblCellMar>
    </w:tblPr>
  </w:style>
  <w:style w:type="table" w:customStyle="1" w:styleId="affff4">
    <w:basedOn w:val="TableNormal0"/>
    <w:tblPr>
      <w:tblStyleRowBandSize w:val="1"/>
      <w:tblStyleColBandSize w:val="1"/>
      <w:tblCellMar>
        <w:left w:w="70" w:type="dxa"/>
        <w:right w:w="70" w:type="dxa"/>
      </w:tblCellMar>
    </w:tblPr>
  </w:style>
  <w:style w:type="table" w:customStyle="1" w:styleId="affff5">
    <w:basedOn w:val="TableNormal0"/>
    <w:tblPr>
      <w:tblStyleRowBandSize w:val="1"/>
      <w:tblStyleColBandSize w:val="1"/>
      <w:tblCellMar>
        <w:top w:w="100" w:type="dxa"/>
        <w:left w:w="100" w:type="dxa"/>
        <w:bottom w:w="100" w:type="dxa"/>
        <w:right w:w="100" w:type="dxa"/>
      </w:tblCellMar>
    </w:tblPr>
  </w:style>
  <w:style w:type="table" w:customStyle="1" w:styleId="affff6">
    <w:basedOn w:val="TableNormal0"/>
    <w:tblPr>
      <w:tblStyleRowBandSize w:val="1"/>
      <w:tblStyleColBandSize w:val="1"/>
      <w:tblCellMar>
        <w:left w:w="70" w:type="dxa"/>
        <w:right w:w="70" w:type="dxa"/>
      </w:tblCellMar>
    </w:tblPr>
  </w:style>
  <w:style w:type="table" w:customStyle="1" w:styleId="affff7">
    <w:basedOn w:val="TableNormal0"/>
    <w:tblPr>
      <w:tblStyleRowBandSize w:val="1"/>
      <w:tblStyleColBandSize w:val="1"/>
      <w:tblCellMar>
        <w:left w:w="70" w:type="dxa"/>
        <w:right w:w="70" w:type="dxa"/>
      </w:tblCellMar>
    </w:tblPr>
  </w:style>
  <w:style w:type="table" w:customStyle="1" w:styleId="affff8">
    <w:basedOn w:val="TableNormal0"/>
    <w:tblPr>
      <w:tblStyleRowBandSize w:val="1"/>
      <w:tblStyleColBandSize w:val="1"/>
      <w:tblCellMar>
        <w:top w:w="100" w:type="dxa"/>
        <w:left w:w="100" w:type="dxa"/>
        <w:bottom w:w="100" w:type="dxa"/>
        <w:right w:w="100" w:type="dxa"/>
      </w:tblCellMar>
    </w:tblPr>
  </w:style>
  <w:style w:type="table" w:customStyle="1" w:styleId="affff9">
    <w:basedOn w:val="TableNormal0"/>
    <w:tblPr>
      <w:tblStyleRowBandSize w:val="1"/>
      <w:tblStyleColBandSize w:val="1"/>
      <w:tblCellMar>
        <w:top w:w="100" w:type="dxa"/>
        <w:left w:w="100" w:type="dxa"/>
        <w:bottom w:w="100" w:type="dxa"/>
        <w:right w:w="100" w:type="dxa"/>
      </w:tblCellMar>
    </w:tblPr>
  </w:style>
  <w:style w:type="table" w:customStyle="1" w:styleId="affffa">
    <w:basedOn w:val="TableNormal0"/>
    <w:tblPr>
      <w:tblStyleRowBandSize w:val="1"/>
      <w:tblStyleColBandSize w:val="1"/>
      <w:tblCellMar>
        <w:left w:w="70" w:type="dxa"/>
        <w:right w:w="70" w:type="dxa"/>
      </w:tblCellMar>
    </w:tblPr>
  </w:style>
  <w:style w:type="table" w:customStyle="1" w:styleId="affffb">
    <w:basedOn w:val="TableNormal0"/>
    <w:tblPr>
      <w:tblStyleRowBandSize w:val="1"/>
      <w:tblStyleColBandSize w:val="1"/>
      <w:tblCellMar>
        <w:left w:w="70" w:type="dxa"/>
        <w:right w:w="70" w:type="dxa"/>
      </w:tblCellMar>
    </w:tblPr>
  </w:style>
  <w:style w:type="table" w:customStyle="1" w:styleId="affffc">
    <w:basedOn w:val="TableNormal0"/>
    <w:tblPr>
      <w:tblStyleRowBandSize w:val="1"/>
      <w:tblStyleColBandSize w:val="1"/>
      <w:tblCellMar>
        <w:left w:w="70" w:type="dxa"/>
        <w:right w:w="70" w:type="dxa"/>
      </w:tblCellMar>
    </w:tblPr>
  </w:style>
  <w:style w:type="table" w:customStyle="1" w:styleId="affffd">
    <w:basedOn w:val="TableNormal0"/>
    <w:tblPr>
      <w:tblStyleRowBandSize w:val="1"/>
      <w:tblStyleColBandSize w:val="1"/>
      <w:tblCellMar>
        <w:left w:w="70" w:type="dxa"/>
        <w:right w:w="70" w:type="dxa"/>
      </w:tblCellMar>
    </w:tblPr>
  </w:style>
  <w:style w:type="table" w:customStyle="1" w:styleId="affffe">
    <w:basedOn w:val="TableNormal0"/>
    <w:tblPr>
      <w:tblStyleRowBandSize w:val="1"/>
      <w:tblStyleColBandSize w:val="1"/>
      <w:tblCellMar>
        <w:left w:w="70" w:type="dxa"/>
        <w:right w:w="70" w:type="dxa"/>
      </w:tblCellMar>
    </w:tblPr>
  </w:style>
  <w:style w:type="table" w:customStyle="1" w:styleId="afffff">
    <w:basedOn w:val="TableNormal0"/>
    <w:tblPr>
      <w:tblStyleRowBandSize w:val="1"/>
      <w:tblStyleColBandSize w:val="1"/>
      <w:tblCellMar>
        <w:left w:w="70" w:type="dxa"/>
        <w:right w:w="70" w:type="dxa"/>
      </w:tblCellMar>
    </w:tblPr>
  </w:style>
  <w:style w:type="table" w:customStyle="1" w:styleId="afffff0">
    <w:basedOn w:val="TableNormal0"/>
    <w:tblPr>
      <w:tblStyleRowBandSize w:val="1"/>
      <w:tblStyleColBandSize w:val="1"/>
      <w:tblCellMar>
        <w:left w:w="70" w:type="dxa"/>
        <w:right w:w="70" w:type="dxa"/>
      </w:tblCellMar>
    </w:tblPr>
  </w:style>
  <w:style w:type="table" w:customStyle="1" w:styleId="afffff1">
    <w:basedOn w:val="TableNormal0"/>
    <w:tblPr>
      <w:tblStyleRowBandSize w:val="1"/>
      <w:tblStyleColBandSize w:val="1"/>
      <w:tblCellMar>
        <w:left w:w="70" w:type="dxa"/>
        <w:right w:w="70" w:type="dxa"/>
      </w:tblCellMar>
    </w:tblPr>
  </w:style>
  <w:style w:type="character" w:customStyle="1" w:styleId="farma041">
    <w:name w:val="farma041"/>
    <w:rsid w:val="009D49F2"/>
    <w:rPr>
      <w:rFonts w:ascii="Arial" w:hAnsi="Arial" w:cs="Arial"/>
      <w:color w:val="000080"/>
      <w:w w:val="100"/>
      <w:position w:val="-1"/>
      <w:sz w:val="20"/>
      <w:szCs w:val="20"/>
      <w:effect w:val="none"/>
      <w:vertAlign w:val="baseline"/>
      <w:cs w:val="0"/>
      <w:em w:val="none"/>
    </w:rPr>
  </w:style>
  <w:style w:type="character" w:customStyle="1" w:styleId="UnresolvedMention">
    <w:name w:val="Unresolved Mention"/>
    <w:qFormat/>
    <w:rsid w:val="009D49F2"/>
    <w:rPr>
      <w:color w:val="605E5C"/>
      <w:w w:val="100"/>
      <w:position w:val="-1"/>
      <w:effect w:val="none"/>
      <w:shd w:val="clear" w:color="auto" w:fill="E1DFDD"/>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hyperlink" Target="https://www.ema.europa.eu/en/documents/variation-report/xtandi-" TargetMode="External"/><Relationship Id="rId68" Type="http://schemas.openxmlformats.org/officeDocument/2006/relationships/hyperlink" Target="https://www.nice.org.uk/guidance/ta721/resources/abiraterone-for-treating-newly-diagnosed-highrisk-hormonesensitive-metastatic-prostate-cancer-pdf-82611189000133" TargetMode="External"/><Relationship Id="rId84" Type="http://schemas.openxmlformats.org/officeDocument/2006/relationships/hyperlink" Target="https://cima.aemps.es/cima/dochtml/ft/71799/FT_71799.html" TargetMode="External"/><Relationship Id="rId16" Type="http://schemas.openxmlformats.org/officeDocument/2006/relationships/hyperlink" Target="http://gruposdetrabajo.sefh.es/genesis/" TargetMode="External"/><Relationship Id="rId11"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oleObject" Target="embeddings/oleObject2.bin"/><Relationship Id="rId79" Type="http://schemas.openxmlformats.org/officeDocument/2006/relationships/hyperlink" Target="https://economiadelasalud.com/wp-content/uploads/2022/07/RevEspEconSalud.V17N3.47-56_Coste-EA-Enza-y-Apa-en-mHSPC.pdf" TargetMode="External"/><Relationship Id="rId5" Type="http://schemas.openxmlformats.org/officeDocument/2006/relationships/settings" Target="settings.xml"/><Relationship Id="rId1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yperlink" Target="http://dx.doi.org/10.1016/" TargetMode="External"/><Relationship Id="rId69" Type="http://schemas.openxmlformats.org/officeDocument/2006/relationships/hyperlink" Target="https://www.nice.org.uk/guidance/ta741/resources/apalutamide-with-androgen-deprivation-therapy-for-treating-hormonesensitive-metastatic-prostate-cancer-pdf-82611309932485" TargetMode="External"/><Relationship Id="rId77" Type="http://schemas.openxmlformats.org/officeDocument/2006/relationships/hyperlink" Target="https://www.esmo.org/guidelines/esmo-mcbs/esmo-mcbs-scorecards/scorecard-269-1" TargetMode="Externa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hyperlink" Target="https://www.esmo.org/guidelines/esmo-mcbs/esmo-mcbs-evaluation-forms" TargetMode="External"/><Relationship Id="rId80" Type="http://schemas.openxmlformats.org/officeDocument/2006/relationships/hyperlink" Target="https://cima.aemps.es/cima/publico/detalle.html?nregistro=113846002" TargetMode="External"/><Relationship Id="rId85" Type="http://schemas.openxmlformats.org/officeDocument/2006/relationships/hyperlink" Target="https://www.ema.europa.eu/en/documents/product-information/zytiga-epar-product-information_es.pdf"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oleObject" Target="embeddings/oleObject1.bin"/><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hyperlink" Target="https://www.nice.org.uk/guidance/ta712" TargetMode="External"/><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hyperlink" Target="https://www.aemps.gob.es/medicamentosUsoHumano/informesPublicos/docs/2021/IPT_4-2021-Erleada.pdf?x69995" TargetMode="External"/><Relationship Id="rId70" Type="http://schemas.openxmlformats.org/officeDocument/2006/relationships/hyperlink" Target="https://www.ema.europa.eu/en/documents/product-information/xtandi-epar-product-information_es.pdf" TargetMode="External"/><Relationship Id="rId75" Type="http://schemas.openxmlformats.org/officeDocument/2006/relationships/hyperlink" Target="https://doi.org/10.1200/JCO.19.00799" TargetMode="External"/><Relationship Id="rId83" Type="http://schemas.openxmlformats.org/officeDocument/2006/relationships/hyperlink" Target="https://cima.aemps.es/cima/pdfs/ft/111714003/FT_111714003.pdf"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gruposdetrabajo.sefh.es/genesis/genesis/Enlaces/InformesHosp_abc.htm"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hyperlink" Target="http://uroweb.org/guideline/prostatecancer" TargetMode="External"/><Relationship Id="rId73" Type="http://schemas.openxmlformats.org/officeDocument/2006/relationships/hyperlink" Target="https://www.esmo.org/guidelines/esmo-mcbs/esmo-mcbs-scorecards" TargetMode="External"/><Relationship Id="rId78" Type="http://schemas.openxmlformats.org/officeDocument/2006/relationships/hyperlink" Target="https://www.ema.europa.eu/en/documents/procedural-steps-after/xtandi-epar-procedural-steps-taken-scientific-information-after-authorisation_en.pdf" TargetMode="External"/><Relationship Id="rId81" Type="http://schemas.openxmlformats.org/officeDocument/2006/relationships/hyperlink" Target="https://cima.aemps.es/cima/fotos/full/formafarmac/113846002/113846002_formafarmac.jpg" TargetMode="External"/><Relationship Id="rId86" Type="http://schemas.openxmlformats.org/officeDocument/2006/relationships/hyperlink" Target="https://www.nccn.org/professionals/physician_gls/pdf/prostate.pdf"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hyperlink" Target="https://doi.org/10.1200/JCO.2017.75.3657" TargetMode="External"/><Relationship Id="rId7" Type="http://schemas.openxmlformats.org/officeDocument/2006/relationships/footnotes" Target="footnotes.xml"/><Relationship Id="rId71" Type="http://schemas.openxmlformats.org/officeDocument/2006/relationships/hyperlink" Target="https://cadth.ca/sites/default/files/pcodr/Reviews2020/10209EnzalutamidemCSPC_inEGR_REDACT-ABBREV_Post03Sep2020_final.pdf"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hyperlink" Target="https://www.nccn.org/store/login/login.aspx?ReturnURL=https://www.nccn.org/professionals/physician_gls/pdf/prostate.pdf" TargetMode="External"/><Relationship Id="rId87" Type="http://schemas.openxmlformats.org/officeDocument/2006/relationships/fontTable" Target="fontTable.xml"/><Relationship Id="rId61" Type="http://schemas.openxmlformats.org/officeDocument/2006/relationships/hyperlink" Target="http://www.nice.org.uk/guidance/ta712" TargetMode="External"/><Relationship Id="rId82" Type="http://schemas.openxmlformats.org/officeDocument/2006/relationships/hyperlink" Target="https://cima.aemps.es/cima/dochtml/ft/1181342001/FT_1181342001.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gruposdetrabajo.sefh.es/genesis/genesis/basesmetodologicas/programamadre/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qTobOhCZPP9Xceurnlr05GAS0pg==">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</go:docsCustomData>
</go:gDocsCustomXmlDataStorage>
</file>

<file path=customXml/item2.xml><?xml version="1.0" encoding="utf-8"?>
<b:Sources xmlns:b="http://schemas.openxmlformats.org/officeDocument/2006/bibliography" xmlns="http://schemas.openxmlformats.org/officeDocument/2006/bibliography" SelectedStyle="\ISO690Nmerical.XSL" StyleName="ISO 690 - Referencia numérica" Version="1987"/>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3029643-3F9B-4067-8DDB-BA8CD876C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33344</Words>
  <Characters>183395</Characters>
  <Application>Microsoft Office Word</Application>
  <DocSecurity>0</DocSecurity>
  <Lines>1528</Lines>
  <Paragraphs>432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luciavelascoroces@outlook.es</cp:lastModifiedBy>
  <cp:revision>2</cp:revision>
  <dcterms:created xsi:type="dcterms:W3CDTF">2023-02-24T18:21:00Z</dcterms:created>
  <dcterms:modified xsi:type="dcterms:W3CDTF">2023-02-24T18:21:00Z</dcterms:modified>
</cp:coreProperties>
</file>