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9E097" w14:textId="77777777" w:rsidR="00BC3E8E" w:rsidRPr="006F6ABB" w:rsidRDefault="00BC3E8E" w:rsidP="00BC3E8E">
      <w:pPr>
        <w:pStyle w:val="Ttulo4"/>
        <w:rPr>
          <w:bCs w:val="0"/>
          <w:color w:val="0000FF"/>
          <w:sz w:val="20"/>
        </w:rPr>
      </w:pPr>
      <w:bookmarkStart w:id="0" w:name="_GoBack"/>
      <w:bookmarkEnd w:id="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70ABF06D" w14:textId="77777777" w:rsidTr="00BC3E8E">
        <w:tc>
          <w:tcPr>
            <w:tcW w:w="8890" w:type="dxa"/>
            <w:shd w:val="clear" w:color="auto" w:fill="FFCC99"/>
          </w:tcPr>
          <w:p w14:paraId="0219B29D" w14:textId="77777777" w:rsidR="00BC3E8E" w:rsidRPr="006F6ABB" w:rsidRDefault="00BC3E8E" w:rsidP="00BC3E8E">
            <w:pPr>
              <w:rPr>
                <w:rFonts w:ascii="Arial" w:hAnsi="Arial" w:cs="Arial"/>
                <w:b/>
                <w:bCs/>
                <w:sz w:val="40"/>
              </w:rPr>
            </w:pPr>
          </w:p>
          <w:p w14:paraId="2EE5D587" w14:textId="77777777" w:rsidR="00D36392" w:rsidRDefault="00D36392" w:rsidP="00BC3E8E">
            <w:pPr>
              <w:jc w:val="center"/>
              <w:rPr>
                <w:rFonts w:ascii="Arial" w:hAnsi="Arial" w:cs="Arial"/>
                <w:b/>
                <w:bCs/>
                <w:sz w:val="40"/>
              </w:rPr>
            </w:pPr>
            <w:r>
              <w:rPr>
                <w:rFonts w:ascii="Arial" w:hAnsi="Arial" w:cs="Arial"/>
                <w:b/>
                <w:bCs/>
                <w:sz w:val="40"/>
              </w:rPr>
              <w:t xml:space="preserve">NEMOLIZUMAB </w:t>
            </w:r>
          </w:p>
          <w:p w14:paraId="423D6121" w14:textId="77777777" w:rsidR="00BC3E8E" w:rsidRPr="006F6ABB" w:rsidRDefault="00D36392" w:rsidP="00BC3E8E">
            <w:pPr>
              <w:jc w:val="center"/>
              <w:rPr>
                <w:rFonts w:ascii="Arial" w:hAnsi="Arial" w:cs="Arial"/>
                <w:b/>
                <w:bCs/>
                <w:sz w:val="40"/>
              </w:rPr>
            </w:pPr>
            <w:r>
              <w:rPr>
                <w:rFonts w:ascii="Arial" w:hAnsi="Arial" w:cs="Arial"/>
                <w:b/>
                <w:bCs/>
                <w:sz w:val="40"/>
              </w:rPr>
              <w:t xml:space="preserve">en </w:t>
            </w:r>
            <w:r w:rsidR="0061038D">
              <w:rPr>
                <w:rFonts w:ascii="Arial" w:hAnsi="Arial" w:cs="Arial"/>
                <w:b/>
                <w:bCs/>
                <w:sz w:val="40"/>
              </w:rPr>
              <w:t xml:space="preserve">el </w:t>
            </w:r>
            <w:r>
              <w:rPr>
                <w:rFonts w:ascii="Arial" w:hAnsi="Arial" w:cs="Arial"/>
                <w:b/>
                <w:bCs/>
                <w:sz w:val="40"/>
              </w:rPr>
              <w:t>tratamiento de la dermatitis atópica</w:t>
            </w:r>
            <w:r w:rsidR="007F7FCC">
              <w:rPr>
                <w:rFonts w:ascii="Arial" w:hAnsi="Arial" w:cs="Arial"/>
                <w:b/>
                <w:bCs/>
                <w:sz w:val="40"/>
              </w:rPr>
              <w:t xml:space="preserve"> moderada-grave</w:t>
            </w:r>
          </w:p>
          <w:p w14:paraId="47C40B99" w14:textId="77777777" w:rsidR="00BC3E8E" w:rsidRPr="00C268FB" w:rsidRDefault="00BC3E8E" w:rsidP="00BC3E8E">
            <w:pPr>
              <w:jc w:val="center"/>
              <w:rPr>
                <w:rFonts w:ascii="Arial" w:hAnsi="Arial" w:cs="Arial"/>
                <w:b/>
                <w:bCs/>
              </w:rPr>
            </w:pPr>
            <w:r w:rsidRPr="00C268FB">
              <w:rPr>
                <w:rFonts w:ascii="Arial" w:hAnsi="Arial" w:cs="Arial"/>
                <w:b/>
                <w:bCs/>
              </w:rPr>
              <w:t>(Informe</w:t>
            </w:r>
            <w:r w:rsidR="00D36392">
              <w:rPr>
                <w:rFonts w:ascii="Arial" w:hAnsi="Arial" w:cs="Arial"/>
                <w:b/>
                <w:bCs/>
              </w:rPr>
              <w:t xml:space="preserve"> GENESIS-SEFH</w:t>
            </w:r>
            <w:r w:rsidRPr="00C268FB">
              <w:rPr>
                <w:rFonts w:ascii="Arial" w:hAnsi="Arial" w:cs="Arial"/>
                <w:b/>
                <w:bCs/>
              </w:rPr>
              <w:t>)</w:t>
            </w:r>
          </w:p>
          <w:p w14:paraId="46FDD9E7" w14:textId="77777777" w:rsidR="00BC3E8E" w:rsidRDefault="00BC3E8E" w:rsidP="00BC3E8E">
            <w:pPr>
              <w:jc w:val="center"/>
              <w:rPr>
                <w:rFonts w:ascii="Arial" w:hAnsi="Arial" w:cs="Arial"/>
              </w:rPr>
            </w:pPr>
            <w:r w:rsidRPr="00C268FB">
              <w:rPr>
                <w:rFonts w:ascii="Arial" w:hAnsi="Arial" w:cs="Arial"/>
              </w:rPr>
              <w:t xml:space="preserve">Fecha </w:t>
            </w:r>
            <w:r w:rsidR="00D36392">
              <w:rPr>
                <w:rFonts w:ascii="Arial" w:hAnsi="Arial" w:cs="Arial"/>
              </w:rPr>
              <w:t>de redacción: noviembre 2025</w:t>
            </w:r>
          </w:p>
          <w:p w14:paraId="139D4D49" w14:textId="77777777" w:rsidR="00D36392" w:rsidRPr="00C268FB" w:rsidRDefault="00D36392" w:rsidP="00BC3E8E">
            <w:pPr>
              <w:jc w:val="center"/>
              <w:rPr>
                <w:rFonts w:ascii="Arial" w:hAnsi="Arial" w:cs="Arial"/>
              </w:rPr>
            </w:pPr>
            <w:r>
              <w:rPr>
                <w:rFonts w:ascii="Arial" w:hAnsi="Arial" w:cs="Arial"/>
              </w:rPr>
              <w:t>Borrador</w:t>
            </w:r>
          </w:p>
          <w:p w14:paraId="14AA9F3F" w14:textId="77777777" w:rsidR="00BC3E8E" w:rsidRPr="006F6ABB" w:rsidRDefault="00BC3E8E" w:rsidP="00BC3E8E">
            <w:pPr>
              <w:rPr>
                <w:rFonts w:ascii="Arial" w:hAnsi="Arial" w:cs="Arial"/>
                <w:color w:val="0000FF"/>
              </w:rPr>
            </w:pPr>
          </w:p>
        </w:tc>
      </w:tr>
    </w:tbl>
    <w:p w14:paraId="0F337CD0" w14:textId="77777777" w:rsidR="00BC3E8E" w:rsidRDefault="00BC3E8E" w:rsidP="00BC3E8E">
      <w:pPr>
        <w:rPr>
          <w:rFonts w:ascii="Arial" w:hAnsi="Arial" w:cs="Arial"/>
          <w:color w:val="0000FF"/>
          <w:u w:val="single"/>
        </w:rPr>
      </w:pPr>
    </w:p>
    <w:p w14:paraId="4547EABD" w14:textId="77777777" w:rsidR="00BC3E8E" w:rsidRDefault="00BC3E8E" w:rsidP="00BC3E8E">
      <w:pPr>
        <w:rPr>
          <w:rFonts w:ascii="Arial" w:hAnsi="Arial" w:cs="Arial"/>
          <w:b/>
          <w:bCs/>
          <w:sz w:val="20"/>
          <w:szCs w:val="20"/>
        </w:rPr>
      </w:pPr>
      <w:r>
        <w:rPr>
          <w:rFonts w:ascii="Arial" w:hAnsi="Arial" w:cs="Arial"/>
          <w:b/>
          <w:bCs/>
          <w:sz w:val="20"/>
          <w:szCs w:val="20"/>
        </w:rPr>
        <w:t>Í</w:t>
      </w:r>
      <w:r w:rsidRPr="00D678E5">
        <w:rPr>
          <w:rFonts w:ascii="Arial" w:hAnsi="Arial" w:cs="Arial"/>
          <w:b/>
          <w:bCs/>
          <w:sz w:val="20"/>
          <w:szCs w:val="20"/>
        </w:rPr>
        <w:t>NDICE</w:t>
      </w:r>
      <w:r>
        <w:rPr>
          <w:rFonts w:ascii="Arial" w:hAnsi="Arial" w:cs="Arial"/>
          <w:b/>
          <w:bCs/>
          <w:sz w:val="20"/>
          <w:szCs w:val="20"/>
        </w:rPr>
        <w:t>:</w:t>
      </w:r>
    </w:p>
    <w:p w14:paraId="730530D2" w14:textId="77777777" w:rsidR="007A54F3" w:rsidRPr="00902360" w:rsidRDefault="00646A51">
      <w:pPr>
        <w:pStyle w:val="TDC1"/>
        <w:tabs>
          <w:tab w:val="right" w:leader="dot" w:pos="8726"/>
        </w:tabs>
        <w:rPr>
          <w:rFonts w:ascii="Arial" w:hAnsi="Arial" w:cs="Arial"/>
          <w:noProof/>
          <w:kern w:val="2"/>
          <w:sz w:val="20"/>
          <w:szCs w:val="20"/>
        </w:rPr>
      </w:pPr>
      <w:r w:rsidRPr="007A54F3">
        <w:rPr>
          <w:rFonts w:ascii="Arial" w:hAnsi="Arial" w:cs="Arial"/>
          <w:color w:val="0000FF"/>
          <w:sz w:val="20"/>
          <w:szCs w:val="20"/>
          <w:u w:val="single"/>
        </w:rPr>
        <w:fldChar w:fldCharType="begin"/>
      </w:r>
      <w:r w:rsidR="007A54F3" w:rsidRPr="007A54F3">
        <w:rPr>
          <w:rFonts w:ascii="Arial" w:hAnsi="Arial" w:cs="Arial"/>
          <w:color w:val="0000FF"/>
          <w:sz w:val="20"/>
          <w:szCs w:val="20"/>
          <w:u w:val="single"/>
        </w:rPr>
        <w:instrText xml:space="preserve"> TOC \o "1-3" \h \z \u </w:instrText>
      </w:r>
      <w:r w:rsidRPr="007A54F3">
        <w:rPr>
          <w:rFonts w:ascii="Arial" w:hAnsi="Arial" w:cs="Arial"/>
          <w:color w:val="0000FF"/>
          <w:sz w:val="20"/>
          <w:szCs w:val="20"/>
          <w:u w:val="single"/>
        </w:rPr>
        <w:fldChar w:fldCharType="separate"/>
      </w:r>
      <w:hyperlink w:anchor="_Toc216191068" w:history="1">
        <w:r w:rsidR="007A54F3" w:rsidRPr="007A54F3">
          <w:rPr>
            <w:rStyle w:val="Hipervnculo"/>
            <w:rFonts w:ascii="Arial" w:hAnsi="Arial" w:cs="Arial"/>
            <w:noProof/>
            <w:sz w:val="20"/>
            <w:szCs w:val="20"/>
          </w:rPr>
          <w:t>1.- IDENTIFICACIÓN DEL FÁRMACO Y AUTORES DEL INFORME</w:t>
        </w:r>
        <w:r w:rsidR="007A54F3" w:rsidRPr="007A54F3">
          <w:rPr>
            <w:rFonts w:ascii="Arial" w:hAnsi="Arial" w:cs="Arial"/>
            <w:noProof/>
            <w:webHidden/>
            <w:sz w:val="20"/>
            <w:szCs w:val="20"/>
          </w:rPr>
          <w:tab/>
        </w:r>
        <w:r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_Toc216191068 \h </w:instrText>
        </w:r>
        <w:r w:rsidRPr="007A54F3">
          <w:rPr>
            <w:rFonts w:ascii="Arial" w:hAnsi="Arial" w:cs="Arial"/>
            <w:noProof/>
            <w:webHidden/>
            <w:sz w:val="20"/>
            <w:szCs w:val="20"/>
          </w:rPr>
        </w:r>
        <w:r w:rsidRPr="007A54F3">
          <w:rPr>
            <w:rFonts w:ascii="Arial" w:hAnsi="Arial" w:cs="Arial"/>
            <w:noProof/>
            <w:webHidden/>
            <w:sz w:val="20"/>
            <w:szCs w:val="20"/>
          </w:rPr>
          <w:fldChar w:fldCharType="separate"/>
        </w:r>
        <w:r w:rsidR="007A54F3" w:rsidRPr="007A54F3">
          <w:rPr>
            <w:rFonts w:ascii="Arial" w:hAnsi="Arial" w:cs="Arial"/>
            <w:noProof/>
            <w:webHidden/>
            <w:sz w:val="20"/>
            <w:szCs w:val="20"/>
          </w:rPr>
          <w:t>3</w:t>
        </w:r>
        <w:r w:rsidRPr="007A54F3">
          <w:rPr>
            <w:rFonts w:ascii="Arial" w:hAnsi="Arial" w:cs="Arial"/>
            <w:noProof/>
            <w:webHidden/>
            <w:sz w:val="20"/>
            <w:szCs w:val="20"/>
          </w:rPr>
          <w:fldChar w:fldCharType="end"/>
        </w:r>
      </w:hyperlink>
    </w:p>
    <w:p w14:paraId="292ED22A" w14:textId="77777777" w:rsidR="007A54F3" w:rsidRPr="00902360" w:rsidRDefault="00B06AF2">
      <w:pPr>
        <w:pStyle w:val="TDC1"/>
        <w:tabs>
          <w:tab w:val="right" w:leader="dot" w:pos="8726"/>
        </w:tabs>
        <w:rPr>
          <w:rFonts w:ascii="Arial" w:hAnsi="Arial" w:cs="Arial"/>
          <w:noProof/>
          <w:kern w:val="2"/>
          <w:sz w:val="20"/>
          <w:szCs w:val="20"/>
        </w:rPr>
      </w:pPr>
      <w:hyperlink w:anchor="_Toc216191069" w:history="1">
        <w:r w:rsidR="007A54F3" w:rsidRPr="007A54F3">
          <w:rPr>
            <w:rStyle w:val="Hipervnculo"/>
            <w:rFonts w:ascii="Arial" w:hAnsi="Arial" w:cs="Arial"/>
            <w:noProof/>
            <w:sz w:val="20"/>
            <w:szCs w:val="20"/>
          </w:rPr>
          <w:t>2.- SOLICITUD Y DATOS DEL PROCESO DE EVALUACIÓN</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_Toc216191069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w:t>
        </w:r>
        <w:r w:rsidR="00646A51" w:rsidRPr="007A54F3">
          <w:rPr>
            <w:rFonts w:ascii="Arial" w:hAnsi="Arial" w:cs="Arial"/>
            <w:noProof/>
            <w:webHidden/>
            <w:sz w:val="20"/>
            <w:szCs w:val="20"/>
          </w:rPr>
          <w:fldChar w:fldCharType="end"/>
        </w:r>
      </w:hyperlink>
    </w:p>
    <w:p w14:paraId="04416210" w14:textId="77777777" w:rsidR="007A54F3" w:rsidRPr="00902360" w:rsidRDefault="00B06AF2">
      <w:pPr>
        <w:pStyle w:val="TDC1"/>
        <w:tabs>
          <w:tab w:val="right" w:leader="dot" w:pos="8726"/>
        </w:tabs>
        <w:rPr>
          <w:rFonts w:ascii="Arial" w:hAnsi="Arial" w:cs="Arial"/>
          <w:noProof/>
          <w:kern w:val="2"/>
          <w:sz w:val="20"/>
          <w:szCs w:val="20"/>
        </w:rPr>
      </w:pPr>
      <w:hyperlink w:anchor="_Toc216191070" w:history="1">
        <w:r w:rsidR="007A54F3" w:rsidRPr="007A54F3">
          <w:rPr>
            <w:rStyle w:val="Hipervnculo"/>
            <w:rFonts w:ascii="Arial" w:hAnsi="Arial" w:cs="Arial"/>
            <w:noProof/>
            <w:sz w:val="20"/>
            <w:szCs w:val="20"/>
          </w:rPr>
          <w:t>3.- AREA DESCRIPTIVA DEL MEDICAMENTO Y DEL PROBLEMA DE SALUD</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_Toc216191070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w:t>
        </w:r>
        <w:r w:rsidR="00646A51" w:rsidRPr="007A54F3">
          <w:rPr>
            <w:rFonts w:ascii="Arial" w:hAnsi="Arial" w:cs="Arial"/>
            <w:noProof/>
            <w:webHidden/>
            <w:sz w:val="20"/>
            <w:szCs w:val="20"/>
          </w:rPr>
          <w:fldChar w:fldCharType="end"/>
        </w:r>
      </w:hyperlink>
    </w:p>
    <w:p w14:paraId="5B5BBA41" w14:textId="77777777" w:rsidR="007A54F3" w:rsidRPr="00902360" w:rsidRDefault="00B06AF2">
      <w:pPr>
        <w:pStyle w:val="TDC2"/>
        <w:tabs>
          <w:tab w:val="right" w:leader="dot" w:pos="8726"/>
        </w:tabs>
        <w:rPr>
          <w:rFonts w:ascii="Arial" w:hAnsi="Arial" w:cs="Arial"/>
          <w:noProof/>
          <w:kern w:val="2"/>
          <w:sz w:val="20"/>
          <w:szCs w:val="20"/>
        </w:rPr>
      </w:pPr>
      <w:hyperlink w:anchor="_Toc216191071" w:history="1">
        <w:r w:rsidR="007A54F3" w:rsidRPr="007A54F3">
          <w:rPr>
            <w:rStyle w:val="Hipervnculo"/>
            <w:rFonts w:ascii="Arial" w:hAnsi="Arial" w:cs="Arial"/>
            <w:noProof/>
            <w:sz w:val="20"/>
            <w:szCs w:val="20"/>
          </w:rPr>
          <w:t>3.1 Área descriptiva del medicamento</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_Toc216191071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w:t>
        </w:r>
        <w:r w:rsidR="00646A51" w:rsidRPr="007A54F3">
          <w:rPr>
            <w:rFonts w:ascii="Arial" w:hAnsi="Arial" w:cs="Arial"/>
            <w:noProof/>
            <w:webHidden/>
            <w:sz w:val="20"/>
            <w:szCs w:val="20"/>
          </w:rPr>
          <w:fldChar w:fldCharType="end"/>
        </w:r>
      </w:hyperlink>
    </w:p>
    <w:p w14:paraId="69054386" w14:textId="77777777" w:rsidR="007A54F3" w:rsidRPr="00902360" w:rsidRDefault="00B06AF2">
      <w:pPr>
        <w:pStyle w:val="TDC2"/>
        <w:tabs>
          <w:tab w:val="right" w:leader="dot" w:pos="8726"/>
        </w:tabs>
        <w:rPr>
          <w:rFonts w:ascii="Arial" w:hAnsi="Arial" w:cs="Arial"/>
          <w:noProof/>
          <w:kern w:val="2"/>
          <w:sz w:val="20"/>
          <w:szCs w:val="20"/>
        </w:rPr>
      </w:pPr>
      <w:hyperlink w:anchor="_Toc216191072" w:history="1">
        <w:r w:rsidR="007A54F3" w:rsidRPr="007A54F3">
          <w:rPr>
            <w:rStyle w:val="Hipervnculo"/>
            <w:rFonts w:ascii="Arial" w:hAnsi="Arial" w:cs="Arial"/>
            <w:noProof/>
            <w:sz w:val="20"/>
            <w:szCs w:val="20"/>
          </w:rPr>
          <w:t>3.2 Área descriptiva del problema de salud</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_Toc216191072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w:t>
        </w:r>
        <w:r w:rsidR="00646A51" w:rsidRPr="007A54F3">
          <w:rPr>
            <w:rFonts w:ascii="Arial" w:hAnsi="Arial" w:cs="Arial"/>
            <w:noProof/>
            <w:webHidden/>
            <w:sz w:val="20"/>
            <w:szCs w:val="20"/>
          </w:rPr>
          <w:fldChar w:fldCharType="end"/>
        </w:r>
      </w:hyperlink>
    </w:p>
    <w:p w14:paraId="09FC6BD0" w14:textId="77777777" w:rsidR="007A54F3" w:rsidRPr="00902360" w:rsidRDefault="00B06AF2">
      <w:pPr>
        <w:pStyle w:val="TDC2"/>
        <w:tabs>
          <w:tab w:val="right" w:leader="dot" w:pos="8726"/>
        </w:tabs>
        <w:rPr>
          <w:rFonts w:ascii="Arial" w:hAnsi="Arial" w:cs="Arial"/>
          <w:noProof/>
          <w:kern w:val="2"/>
          <w:sz w:val="20"/>
          <w:szCs w:val="20"/>
        </w:rPr>
      </w:pPr>
      <w:hyperlink w:anchor="_Toc216191073" w:history="1">
        <w:r w:rsidR="007A54F3" w:rsidRPr="007A54F3">
          <w:rPr>
            <w:rStyle w:val="Hipervnculo"/>
            <w:rFonts w:ascii="Arial" w:hAnsi="Arial" w:cs="Arial"/>
            <w:noProof/>
            <w:sz w:val="20"/>
            <w:szCs w:val="20"/>
          </w:rPr>
          <w:t>3.2.a Descripción estructurada del problema de salud</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_Toc216191073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w:t>
        </w:r>
        <w:r w:rsidR="00646A51" w:rsidRPr="007A54F3">
          <w:rPr>
            <w:rFonts w:ascii="Arial" w:hAnsi="Arial" w:cs="Arial"/>
            <w:noProof/>
            <w:webHidden/>
            <w:sz w:val="20"/>
            <w:szCs w:val="20"/>
          </w:rPr>
          <w:fldChar w:fldCharType="end"/>
        </w:r>
      </w:hyperlink>
    </w:p>
    <w:p w14:paraId="33C0AEE7" w14:textId="77777777" w:rsidR="007A54F3" w:rsidRPr="00902360" w:rsidRDefault="00B06AF2">
      <w:pPr>
        <w:pStyle w:val="TDC2"/>
        <w:tabs>
          <w:tab w:val="right" w:leader="dot" w:pos="8726"/>
        </w:tabs>
        <w:rPr>
          <w:rFonts w:ascii="Arial" w:hAnsi="Arial" w:cs="Arial"/>
          <w:noProof/>
          <w:kern w:val="2"/>
          <w:sz w:val="20"/>
          <w:szCs w:val="20"/>
        </w:rPr>
      </w:pPr>
      <w:hyperlink w:anchor="_Toc216191074" w:history="1">
        <w:r w:rsidR="007A54F3" w:rsidRPr="007A54F3">
          <w:rPr>
            <w:rStyle w:val="Hipervnculo"/>
            <w:rFonts w:ascii="Arial" w:hAnsi="Arial" w:cs="Arial"/>
            <w:noProof/>
            <w:sz w:val="20"/>
            <w:szCs w:val="20"/>
          </w:rPr>
          <w:t>3.2.b Tratamiento actual de la enfermedad: evidencias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_Toc216191074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7</w:t>
        </w:r>
        <w:r w:rsidR="00646A51" w:rsidRPr="007A54F3">
          <w:rPr>
            <w:rFonts w:ascii="Arial" w:hAnsi="Arial" w:cs="Arial"/>
            <w:noProof/>
            <w:webHidden/>
            <w:sz w:val="20"/>
            <w:szCs w:val="20"/>
          </w:rPr>
          <w:fldChar w:fldCharType="end"/>
        </w:r>
      </w:hyperlink>
    </w:p>
    <w:p w14:paraId="0202B16F" w14:textId="77777777" w:rsidR="007A54F3" w:rsidRPr="00902360" w:rsidRDefault="00B06AF2">
      <w:pPr>
        <w:pStyle w:val="TDC2"/>
        <w:tabs>
          <w:tab w:val="right" w:leader="dot" w:pos="8726"/>
        </w:tabs>
        <w:rPr>
          <w:rFonts w:ascii="Arial" w:hAnsi="Arial" w:cs="Arial"/>
          <w:noProof/>
          <w:kern w:val="2"/>
          <w:sz w:val="20"/>
          <w:szCs w:val="20"/>
        </w:rPr>
      </w:pPr>
      <w:hyperlink w:anchor="_Toc216191075" w:history="1">
        <w:r w:rsidR="007A54F3" w:rsidRPr="007A54F3">
          <w:rPr>
            <w:rStyle w:val="Hipervnculo"/>
            <w:rFonts w:ascii="Arial" w:hAnsi="Arial" w:cs="Arial"/>
            <w:noProof/>
            <w:sz w:val="20"/>
            <w:szCs w:val="20"/>
          </w:rPr>
          <w:t>3.3 Características comparadas con otras alternativas similares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_Toc216191075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9</w:t>
        </w:r>
        <w:r w:rsidR="00646A51" w:rsidRPr="007A54F3">
          <w:rPr>
            <w:rFonts w:ascii="Arial" w:hAnsi="Arial" w:cs="Arial"/>
            <w:noProof/>
            <w:webHidden/>
            <w:sz w:val="20"/>
            <w:szCs w:val="20"/>
          </w:rPr>
          <w:fldChar w:fldCharType="end"/>
        </w:r>
      </w:hyperlink>
    </w:p>
    <w:p w14:paraId="3C5D96D0" w14:textId="77777777" w:rsidR="007A54F3" w:rsidRPr="00902360" w:rsidRDefault="00B06AF2">
      <w:pPr>
        <w:pStyle w:val="TDC1"/>
        <w:tabs>
          <w:tab w:val="right" w:leader="dot" w:pos="8726"/>
        </w:tabs>
        <w:rPr>
          <w:rFonts w:ascii="Arial" w:hAnsi="Arial" w:cs="Arial"/>
          <w:noProof/>
          <w:kern w:val="2"/>
          <w:sz w:val="20"/>
          <w:szCs w:val="20"/>
        </w:rPr>
      </w:pPr>
      <w:hyperlink w:anchor="_Toc216191076" w:history="1">
        <w:r w:rsidR="007A54F3" w:rsidRPr="007A54F3">
          <w:rPr>
            <w:rStyle w:val="Hipervnculo"/>
            <w:rFonts w:ascii="Arial" w:hAnsi="Arial" w:cs="Arial"/>
            <w:noProof/>
            <w:sz w:val="20"/>
            <w:szCs w:val="20"/>
          </w:rPr>
          <w:t>4.- AREA DE ACCIÓN FARMACOLÓGICA.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_Toc216191076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11</w:t>
        </w:r>
        <w:r w:rsidR="00646A51" w:rsidRPr="007A54F3">
          <w:rPr>
            <w:rFonts w:ascii="Arial" w:hAnsi="Arial" w:cs="Arial"/>
            <w:noProof/>
            <w:webHidden/>
            <w:sz w:val="20"/>
            <w:szCs w:val="20"/>
          </w:rPr>
          <w:fldChar w:fldCharType="end"/>
        </w:r>
      </w:hyperlink>
    </w:p>
    <w:p w14:paraId="6D6F78D6" w14:textId="77777777" w:rsidR="007A54F3" w:rsidRPr="00902360" w:rsidRDefault="00B06AF2">
      <w:pPr>
        <w:pStyle w:val="TDC2"/>
        <w:tabs>
          <w:tab w:val="right" w:leader="dot" w:pos="8726"/>
        </w:tabs>
        <w:rPr>
          <w:rFonts w:ascii="Arial" w:hAnsi="Arial" w:cs="Arial"/>
          <w:noProof/>
          <w:kern w:val="2"/>
          <w:sz w:val="20"/>
          <w:szCs w:val="20"/>
        </w:rPr>
      </w:pPr>
      <w:hyperlink w:anchor="_Toc216191077" w:history="1">
        <w:r w:rsidR="007A54F3" w:rsidRPr="007A54F3">
          <w:rPr>
            <w:rStyle w:val="Hipervnculo"/>
            <w:rFonts w:ascii="Arial" w:hAnsi="Arial" w:cs="Arial"/>
            <w:noProof/>
            <w:sz w:val="20"/>
            <w:szCs w:val="20"/>
          </w:rPr>
          <w:t xml:space="preserve">4.1 Mecanismo de acción. </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_Toc216191077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11</w:t>
        </w:r>
        <w:r w:rsidR="00646A51" w:rsidRPr="007A54F3">
          <w:rPr>
            <w:rFonts w:ascii="Arial" w:hAnsi="Arial" w:cs="Arial"/>
            <w:noProof/>
            <w:webHidden/>
            <w:sz w:val="20"/>
            <w:szCs w:val="20"/>
          </w:rPr>
          <w:fldChar w:fldCharType="end"/>
        </w:r>
      </w:hyperlink>
    </w:p>
    <w:p w14:paraId="687BA153" w14:textId="77777777" w:rsidR="007A54F3" w:rsidRPr="00902360" w:rsidRDefault="00B06AF2">
      <w:pPr>
        <w:pStyle w:val="TDC2"/>
        <w:tabs>
          <w:tab w:val="right" w:leader="dot" w:pos="8726"/>
        </w:tabs>
        <w:rPr>
          <w:rFonts w:ascii="Arial" w:hAnsi="Arial" w:cs="Arial"/>
          <w:noProof/>
          <w:kern w:val="2"/>
          <w:sz w:val="20"/>
          <w:szCs w:val="20"/>
        </w:rPr>
      </w:pPr>
      <w:hyperlink w:anchor="_Toc216191078" w:history="1">
        <w:r w:rsidR="007A54F3" w:rsidRPr="007A54F3">
          <w:rPr>
            <w:rStyle w:val="Hipervnculo"/>
            <w:rFonts w:ascii="Arial" w:hAnsi="Arial" w:cs="Arial"/>
            <w:noProof/>
            <w:sz w:val="20"/>
            <w:szCs w:val="20"/>
          </w:rPr>
          <w:t>4.2 Indicaciones clínicas formalmente aprobadas y fecha de aprobación.</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_Toc216191078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11</w:t>
        </w:r>
        <w:r w:rsidR="00646A51" w:rsidRPr="007A54F3">
          <w:rPr>
            <w:rFonts w:ascii="Arial" w:hAnsi="Arial" w:cs="Arial"/>
            <w:noProof/>
            <w:webHidden/>
            <w:sz w:val="20"/>
            <w:szCs w:val="20"/>
          </w:rPr>
          <w:fldChar w:fldCharType="end"/>
        </w:r>
      </w:hyperlink>
    </w:p>
    <w:p w14:paraId="69E8E975" w14:textId="77777777" w:rsidR="007A54F3" w:rsidRPr="00902360" w:rsidRDefault="00B06AF2">
      <w:pPr>
        <w:pStyle w:val="TDC2"/>
        <w:tabs>
          <w:tab w:val="right" w:leader="dot" w:pos="8726"/>
        </w:tabs>
        <w:rPr>
          <w:rFonts w:ascii="Arial" w:hAnsi="Arial" w:cs="Arial"/>
          <w:noProof/>
          <w:kern w:val="2"/>
          <w:sz w:val="20"/>
          <w:szCs w:val="20"/>
        </w:rPr>
      </w:pPr>
      <w:hyperlink w:anchor="_Toc216191079" w:history="1">
        <w:r w:rsidR="007A54F3" w:rsidRPr="007A54F3">
          <w:rPr>
            <w:rStyle w:val="Hipervnculo"/>
            <w:rFonts w:ascii="Arial" w:hAnsi="Arial" w:cs="Arial"/>
            <w:noProof/>
            <w:sz w:val="20"/>
            <w:szCs w:val="20"/>
          </w:rPr>
          <w:t xml:space="preserve">4.3 Posología, forma de preparación y administración. </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_Toc216191079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11</w:t>
        </w:r>
        <w:r w:rsidR="00646A51" w:rsidRPr="007A54F3">
          <w:rPr>
            <w:rFonts w:ascii="Arial" w:hAnsi="Arial" w:cs="Arial"/>
            <w:noProof/>
            <w:webHidden/>
            <w:sz w:val="20"/>
            <w:szCs w:val="20"/>
          </w:rPr>
          <w:fldChar w:fldCharType="end"/>
        </w:r>
      </w:hyperlink>
    </w:p>
    <w:p w14:paraId="27511475" w14:textId="77777777" w:rsidR="007A54F3" w:rsidRPr="00902360" w:rsidRDefault="00B06AF2">
      <w:pPr>
        <w:pStyle w:val="TDC2"/>
        <w:tabs>
          <w:tab w:val="right" w:leader="dot" w:pos="8726"/>
        </w:tabs>
        <w:rPr>
          <w:rFonts w:ascii="Arial" w:hAnsi="Arial" w:cs="Arial"/>
          <w:noProof/>
          <w:kern w:val="2"/>
          <w:sz w:val="20"/>
          <w:szCs w:val="20"/>
        </w:rPr>
      </w:pPr>
      <w:hyperlink w:anchor="_Toc216191080" w:history="1">
        <w:r w:rsidR="007A54F3" w:rsidRPr="007A54F3">
          <w:rPr>
            <w:rStyle w:val="Hipervnculo"/>
            <w:rFonts w:ascii="Arial" w:hAnsi="Arial" w:cs="Arial"/>
            <w:noProof/>
            <w:sz w:val="20"/>
            <w:szCs w:val="20"/>
          </w:rPr>
          <w:t xml:space="preserve">4.4 Utilización en poblaciones especiales. </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_Toc216191080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11</w:t>
        </w:r>
        <w:r w:rsidR="00646A51" w:rsidRPr="007A54F3">
          <w:rPr>
            <w:rFonts w:ascii="Arial" w:hAnsi="Arial" w:cs="Arial"/>
            <w:noProof/>
            <w:webHidden/>
            <w:sz w:val="20"/>
            <w:szCs w:val="20"/>
          </w:rPr>
          <w:fldChar w:fldCharType="end"/>
        </w:r>
      </w:hyperlink>
    </w:p>
    <w:p w14:paraId="6C8A9602" w14:textId="77777777" w:rsidR="007A54F3" w:rsidRPr="00902360" w:rsidRDefault="00B06AF2">
      <w:pPr>
        <w:pStyle w:val="TDC2"/>
        <w:tabs>
          <w:tab w:val="right" w:leader="dot" w:pos="8726"/>
        </w:tabs>
        <w:rPr>
          <w:rFonts w:ascii="Arial" w:hAnsi="Arial" w:cs="Arial"/>
          <w:noProof/>
          <w:kern w:val="2"/>
          <w:sz w:val="20"/>
          <w:szCs w:val="20"/>
        </w:rPr>
      </w:pPr>
      <w:hyperlink w:anchor="_Toc216191081" w:history="1">
        <w:r w:rsidR="007A54F3" w:rsidRPr="007A54F3">
          <w:rPr>
            <w:rStyle w:val="Hipervnculo"/>
            <w:rFonts w:ascii="Arial" w:hAnsi="Arial" w:cs="Arial"/>
            <w:noProof/>
            <w:sz w:val="20"/>
            <w:szCs w:val="20"/>
          </w:rPr>
          <w:t xml:space="preserve">4.5 Farmacocinética. </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_Toc216191081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11</w:t>
        </w:r>
        <w:r w:rsidR="00646A51" w:rsidRPr="007A54F3">
          <w:rPr>
            <w:rFonts w:ascii="Arial" w:hAnsi="Arial" w:cs="Arial"/>
            <w:noProof/>
            <w:webHidden/>
            <w:sz w:val="20"/>
            <w:szCs w:val="20"/>
          </w:rPr>
          <w:fldChar w:fldCharType="end"/>
        </w:r>
      </w:hyperlink>
    </w:p>
    <w:p w14:paraId="1BA9ABD6" w14:textId="77777777" w:rsidR="007A54F3" w:rsidRPr="00902360" w:rsidRDefault="00B06AF2">
      <w:pPr>
        <w:pStyle w:val="TDC1"/>
        <w:tabs>
          <w:tab w:val="right" w:leader="dot" w:pos="8726"/>
        </w:tabs>
        <w:rPr>
          <w:rFonts w:ascii="Arial" w:hAnsi="Arial" w:cs="Arial"/>
          <w:noProof/>
          <w:kern w:val="2"/>
          <w:sz w:val="20"/>
          <w:szCs w:val="20"/>
        </w:rPr>
      </w:pPr>
      <w:hyperlink w:anchor="_Toc216191082" w:history="1">
        <w:r w:rsidR="007A54F3" w:rsidRPr="007A54F3">
          <w:rPr>
            <w:rStyle w:val="Hipervnculo"/>
            <w:rFonts w:ascii="Arial" w:hAnsi="Arial" w:cs="Arial"/>
            <w:noProof/>
            <w:sz w:val="20"/>
            <w:szCs w:val="20"/>
          </w:rPr>
          <w:t>5.- EVALUACIÓN DE LA EFICACIA.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_Toc216191082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12</w:t>
        </w:r>
        <w:r w:rsidR="00646A51" w:rsidRPr="007A54F3">
          <w:rPr>
            <w:rFonts w:ascii="Arial" w:hAnsi="Arial" w:cs="Arial"/>
            <w:noProof/>
            <w:webHidden/>
            <w:sz w:val="20"/>
            <w:szCs w:val="20"/>
          </w:rPr>
          <w:fldChar w:fldCharType="end"/>
        </w:r>
      </w:hyperlink>
    </w:p>
    <w:p w14:paraId="5731F3CD" w14:textId="77777777" w:rsidR="007A54F3" w:rsidRPr="00902360" w:rsidRDefault="00B06AF2">
      <w:pPr>
        <w:pStyle w:val="TDC2"/>
        <w:tabs>
          <w:tab w:val="right" w:leader="dot" w:pos="8726"/>
        </w:tabs>
        <w:rPr>
          <w:rFonts w:ascii="Arial" w:hAnsi="Arial" w:cs="Arial"/>
          <w:noProof/>
          <w:kern w:val="2"/>
          <w:sz w:val="20"/>
          <w:szCs w:val="20"/>
        </w:rPr>
      </w:pPr>
      <w:hyperlink w:anchor="_Toc216191083" w:history="1">
        <w:r w:rsidR="007A54F3" w:rsidRPr="007A54F3">
          <w:rPr>
            <w:rStyle w:val="Hipervnculo"/>
            <w:rFonts w:ascii="Arial" w:hAnsi="Arial" w:cs="Arial"/>
            <w:noProof/>
            <w:sz w:val="20"/>
            <w:szCs w:val="20"/>
          </w:rPr>
          <w:t>5.1.a Ensayos clínicos disponibles para la indicación clínica evaluada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_Toc216191083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12</w:t>
        </w:r>
        <w:r w:rsidR="00646A51" w:rsidRPr="007A54F3">
          <w:rPr>
            <w:rFonts w:ascii="Arial" w:hAnsi="Arial" w:cs="Arial"/>
            <w:noProof/>
            <w:webHidden/>
            <w:sz w:val="20"/>
            <w:szCs w:val="20"/>
          </w:rPr>
          <w:fldChar w:fldCharType="end"/>
        </w:r>
      </w:hyperlink>
    </w:p>
    <w:p w14:paraId="3262EF1E" w14:textId="77777777" w:rsidR="007A54F3" w:rsidRPr="00902360" w:rsidRDefault="00B06AF2">
      <w:pPr>
        <w:pStyle w:val="TDC2"/>
        <w:tabs>
          <w:tab w:val="right" w:leader="dot" w:pos="8726"/>
        </w:tabs>
        <w:rPr>
          <w:rFonts w:ascii="Arial" w:hAnsi="Arial" w:cs="Arial"/>
          <w:noProof/>
          <w:kern w:val="2"/>
          <w:sz w:val="20"/>
          <w:szCs w:val="20"/>
        </w:rPr>
      </w:pPr>
      <w:hyperlink w:anchor="_Toc216191084" w:history="1">
        <w:r w:rsidR="007A54F3" w:rsidRPr="007A54F3">
          <w:rPr>
            <w:rStyle w:val="Hipervnculo"/>
            <w:rFonts w:ascii="Arial" w:hAnsi="Arial" w:cs="Arial"/>
            <w:noProof/>
            <w:sz w:val="20"/>
            <w:szCs w:val="20"/>
          </w:rPr>
          <w:t>5.1.b Variables utilizadas en los ensayos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_Toc216191084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12</w:t>
        </w:r>
        <w:r w:rsidR="00646A51" w:rsidRPr="007A54F3">
          <w:rPr>
            <w:rFonts w:ascii="Arial" w:hAnsi="Arial" w:cs="Arial"/>
            <w:noProof/>
            <w:webHidden/>
            <w:sz w:val="20"/>
            <w:szCs w:val="20"/>
          </w:rPr>
          <w:fldChar w:fldCharType="end"/>
        </w:r>
      </w:hyperlink>
    </w:p>
    <w:p w14:paraId="187C1E1A" w14:textId="77777777" w:rsidR="007A54F3" w:rsidRPr="00902360" w:rsidRDefault="00B06AF2">
      <w:pPr>
        <w:pStyle w:val="TDC2"/>
        <w:tabs>
          <w:tab w:val="right" w:leader="dot" w:pos="8726"/>
        </w:tabs>
        <w:rPr>
          <w:rFonts w:ascii="Arial" w:hAnsi="Arial" w:cs="Arial"/>
          <w:noProof/>
          <w:kern w:val="2"/>
          <w:sz w:val="20"/>
          <w:szCs w:val="20"/>
        </w:rPr>
      </w:pPr>
      <w:hyperlink w:anchor="_Toc216191085" w:history="1">
        <w:r w:rsidR="007A54F3" w:rsidRPr="007A54F3">
          <w:rPr>
            <w:rStyle w:val="Hipervnculo"/>
            <w:rFonts w:ascii="Arial" w:hAnsi="Arial" w:cs="Arial"/>
            <w:noProof/>
            <w:sz w:val="20"/>
            <w:szCs w:val="20"/>
          </w:rPr>
          <w:t>5.2.a Resultados de los ensayos clínicos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_Toc216191085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13</w:t>
        </w:r>
        <w:r w:rsidR="00646A51" w:rsidRPr="007A54F3">
          <w:rPr>
            <w:rFonts w:ascii="Arial" w:hAnsi="Arial" w:cs="Arial"/>
            <w:noProof/>
            <w:webHidden/>
            <w:sz w:val="20"/>
            <w:szCs w:val="20"/>
          </w:rPr>
          <w:fldChar w:fldCharType="end"/>
        </w:r>
      </w:hyperlink>
    </w:p>
    <w:p w14:paraId="6C9B9ADE" w14:textId="77777777" w:rsidR="007A54F3" w:rsidRPr="00902360" w:rsidRDefault="00B06AF2">
      <w:pPr>
        <w:pStyle w:val="TDC2"/>
        <w:tabs>
          <w:tab w:val="right" w:leader="dot" w:pos="8726"/>
        </w:tabs>
        <w:rPr>
          <w:rFonts w:ascii="Arial" w:hAnsi="Arial" w:cs="Arial"/>
          <w:noProof/>
          <w:kern w:val="2"/>
          <w:sz w:val="20"/>
          <w:szCs w:val="20"/>
        </w:rPr>
      </w:pPr>
      <w:hyperlink w:anchor="_Toc216191086" w:history="1">
        <w:r w:rsidR="007A54F3" w:rsidRPr="007A54F3">
          <w:rPr>
            <w:rStyle w:val="Hipervnculo"/>
            <w:rFonts w:ascii="Arial" w:hAnsi="Arial" w:cs="Arial"/>
            <w:noProof/>
            <w:sz w:val="20"/>
            <w:szCs w:val="20"/>
          </w:rPr>
          <w:t>5.2.b Evaluación de la validez y de la utilidad práctica de los resultados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_Toc216191086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21</w:t>
        </w:r>
        <w:r w:rsidR="00646A51" w:rsidRPr="007A54F3">
          <w:rPr>
            <w:rFonts w:ascii="Arial" w:hAnsi="Arial" w:cs="Arial"/>
            <w:noProof/>
            <w:webHidden/>
            <w:sz w:val="20"/>
            <w:szCs w:val="20"/>
          </w:rPr>
          <w:fldChar w:fldCharType="end"/>
        </w:r>
      </w:hyperlink>
    </w:p>
    <w:p w14:paraId="2891252B" w14:textId="77777777" w:rsidR="007A54F3" w:rsidRPr="00902360" w:rsidRDefault="00B06AF2">
      <w:pPr>
        <w:pStyle w:val="TDC3"/>
        <w:tabs>
          <w:tab w:val="right" w:leader="dot" w:pos="8726"/>
        </w:tabs>
        <w:rPr>
          <w:rFonts w:ascii="Arial" w:hAnsi="Arial" w:cs="Arial"/>
          <w:noProof/>
          <w:kern w:val="2"/>
          <w:sz w:val="20"/>
          <w:szCs w:val="20"/>
        </w:rPr>
      </w:pPr>
      <w:hyperlink w:anchor="_Toc216191087" w:history="1">
        <w:r w:rsidR="007A54F3" w:rsidRPr="007A54F3">
          <w:rPr>
            <w:rStyle w:val="Hipervnculo"/>
            <w:rFonts w:ascii="Arial" w:hAnsi="Arial" w:cs="Arial"/>
            <w:bCs/>
            <w:noProof/>
            <w:sz w:val="20"/>
            <w:szCs w:val="20"/>
          </w:rPr>
          <w:t>A. Validez interna. Limitaciones de diseño y/o comentarios: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_Toc216191087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22</w:t>
        </w:r>
        <w:r w:rsidR="00646A51" w:rsidRPr="007A54F3">
          <w:rPr>
            <w:rFonts w:ascii="Arial" w:hAnsi="Arial" w:cs="Arial"/>
            <w:noProof/>
            <w:webHidden/>
            <w:sz w:val="20"/>
            <w:szCs w:val="20"/>
          </w:rPr>
          <w:fldChar w:fldCharType="end"/>
        </w:r>
      </w:hyperlink>
    </w:p>
    <w:p w14:paraId="634BB976" w14:textId="77777777" w:rsidR="007A54F3" w:rsidRPr="00902360" w:rsidRDefault="00B06AF2">
      <w:pPr>
        <w:pStyle w:val="TDC3"/>
        <w:tabs>
          <w:tab w:val="right" w:leader="dot" w:pos="8726"/>
        </w:tabs>
        <w:rPr>
          <w:rFonts w:ascii="Arial" w:hAnsi="Arial" w:cs="Arial"/>
          <w:noProof/>
          <w:kern w:val="2"/>
          <w:sz w:val="20"/>
          <w:szCs w:val="20"/>
        </w:rPr>
      </w:pPr>
      <w:hyperlink w:anchor="_Toc216191088" w:history="1">
        <w:r w:rsidR="007A54F3" w:rsidRPr="007A54F3">
          <w:rPr>
            <w:rStyle w:val="Hipervnculo"/>
            <w:rFonts w:ascii="Arial" w:hAnsi="Arial" w:cs="Arial"/>
            <w:bCs/>
            <w:noProof/>
            <w:sz w:val="20"/>
            <w:szCs w:val="20"/>
          </w:rPr>
          <w:t>B. Aplicabilidad del ensayo a la práctica del hospital</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_Toc216191088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22</w:t>
        </w:r>
        <w:r w:rsidR="00646A51" w:rsidRPr="007A54F3">
          <w:rPr>
            <w:rFonts w:ascii="Arial" w:hAnsi="Arial" w:cs="Arial"/>
            <w:noProof/>
            <w:webHidden/>
            <w:sz w:val="20"/>
            <w:szCs w:val="20"/>
          </w:rPr>
          <w:fldChar w:fldCharType="end"/>
        </w:r>
      </w:hyperlink>
    </w:p>
    <w:p w14:paraId="6B16D1B6" w14:textId="77777777" w:rsidR="007A54F3" w:rsidRPr="00902360" w:rsidRDefault="00B06AF2">
      <w:pPr>
        <w:pStyle w:val="TDC3"/>
        <w:tabs>
          <w:tab w:val="right" w:leader="dot" w:pos="8726"/>
        </w:tabs>
        <w:rPr>
          <w:rFonts w:ascii="Arial" w:hAnsi="Arial" w:cs="Arial"/>
          <w:noProof/>
          <w:kern w:val="2"/>
          <w:sz w:val="20"/>
          <w:szCs w:val="20"/>
        </w:rPr>
      </w:pPr>
      <w:hyperlink w:anchor="_Toc216191089" w:history="1">
        <w:r w:rsidR="007A54F3" w:rsidRPr="007A54F3">
          <w:rPr>
            <w:rStyle w:val="Hipervnculo"/>
            <w:rFonts w:ascii="Arial" w:hAnsi="Arial" w:cs="Arial"/>
            <w:bCs/>
            <w:noProof/>
            <w:sz w:val="20"/>
            <w:szCs w:val="20"/>
          </w:rPr>
          <w:t>C. Relevancia clínica de los resultados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_Toc216191089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23</w:t>
        </w:r>
        <w:r w:rsidR="00646A51" w:rsidRPr="007A54F3">
          <w:rPr>
            <w:rFonts w:ascii="Arial" w:hAnsi="Arial" w:cs="Arial"/>
            <w:noProof/>
            <w:webHidden/>
            <w:sz w:val="20"/>
            <w:szCs w:val="20"/>
          </w:rPr>
          <w:fldChar w:fldCharType="end"/>
        </w:r>
      </w:hyperlink>
    </w:p>
    <w:p w14:paraId="657817E5" w14:textId="77777777" w:rsidR="007A54F3" w:rsidRPr="00902360" w:rsidRDefault="00B06AF2">
      <w:pPr>
        <w:pStyle w:val="TDC3"/>
        <w:tabs>
          <w:tab w:val="right" w:leader="dot" w:pos="8726"/>
        </w:tabs>
        <w:rPr>
          <w:rFonts w:ascii="Arial" w:hAnsi="Arial" w:cs="Arial"/>
          <w:noProof/>
          <w:kern w:val="2"/>
          <w:sz w:val="20"/>
          <w:szCs w:val="20"/>
        </w:rPr>
      </w:pPr>
      <w:hyperlink w:anchor="_Toc216191090" w:history="1">
        <w:r w:rsidR="007A54F3" w:rsidRPr="007A54F3">
          <w:rPr>
            <w:rStyle w:val="Hipervnculo"/>
            <w:rFonts w:ascii="Arial" w:hAnsi="Arial" w:cs="Arial"/>
            <w:noProof/>
            <w:sz w:val="20"/>
            <w:szCs w:val="20"/>
          </w:rPr>
          <w:t>C.1 Valorar si la magnitud del efecto del tratamiento es de relevancia clínica.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_Toc216191090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23</w:t>
        </w:r>
        <w:r w:rsidR="00646A51" w:rsidRPr="007A54F3">
          <w:rPr>
            <w:rFonts w:ascii="Arial" w:hAnsi="Arial" w:cs="Arial"/>
            <w:noProof/>
            <w:webHidden/>
            <w:sz w:val="20"/>
            <w:szCs w:val="20"/>
          </w:rPr>
          <w:fldChar w:fldCharType="end"/>
        </w:r>
      </w:hyperlink>
    </w:p>
    <w:p w14:paraId="4B3991DE" w14:textId="77777777" w:rsidR="007A54F3" w:rsidRPr="00902360" w:rsidRDefault="00B06AF2">
      <w:pPr>
        <w:pStyle w:val="TDC3"/>
        <w:tabs>
          <w:tab w:val="right" w:leader="dot" w:pos="8726"/>
        </w:tabs>
        <w:rPr>
          <w:rFonts w:ascii="Arial" w:hAnsi="Arial" w:cs="Arial"/>
          <w:noProof/>
          <w:kern w:val="2"/>
          <w:sz w:val="20"/>
          <w:szCs w:val="20"/>
        </w:rPr>
      </w:pPr>
      <w:hyperlink w:anchor="_Toc216191091" w:history="1">
        <w:r w:rsidR="007A54F3" w:rsidRPr="007A54F3">
          <w:rPr>
            <w:rStyle w:val="Hipervnculo"/>
            <w:rFonts w:ascii="Arial" w:hAnsi="Arial" w:cs="Arial"/>
            <w:bCs/>
            <w:noProof/>
            <w:sz w:val="20"/>
            <w:szCs w:val="20"/>
          </w:rPr>
          <w:t>C.2 La evidencia de equivalencia terapéutica.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_Toc216191091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23</w:t>
        </w:r>
        <w:r w:rsidR="00646A51" w:rsidRPr="007A54F3">
          <w:rPr>
            <w:rFonts w:ascii="Arial" w:hAnsi="Arial" w:cs="Arial"/>
            <w:noProof/>
            <w:webHidden/>
            <w:sz w:val="20"/>
            <w:szCs w:val="20"/>
          </w:rPr>
          <w:fldChar w:fldCharType="end"/>
        </w:r>
      </w:hyperlink>
    </w:p>
    <w:p w14:paraId="7A9DDE24" w14:textId="77777777" w:rsidR="007A54F3" w:rsidRPr="00902360" w:rsidRDefault="00B06AF2">
      <w:pPr>
        <w:pStyle w:val="TDC3"/>
        <w:tabs>
          <w:tab w:val="right" w:leader="dot" w:pos="8726"/>
        </w:tabs>
        <w:rPr>
          <w:rFonts w:ascii="Arial" w:hAnsi="Arial" w:cs="Arial"/>
          <w:noProof/>
          <w:kern w:val="2"/>
          <w:sz w:val="20"/>
          <w:szCs w:val="20"/>
        </w:rPr>
      </w:pPr>
      <w:hyperlink w:anchor="_Toc216191092" w:history="1">
        <w:r w:rsidR="007A54F3" w:rsidRPr="007A54F3">
          <w:rPr>
            <w:rStyle w:val="Hipervnculo"/>
            <w:rFonts w:ascii="Arial" w:hAnsi="Arial" w:cs="Arial"/>
            <w:bCs/>
            <w:noProof/>
            <w:sz w:val="20"/>
            <w:szCs w:val="20"/>
          </w:rPr>
          <w:t>C.3 Alternativas terapéuticas de similar beneficio clínico</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_Toc216191092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24</w:t>
        </w:r>
        <w:r w:rsidR="00646A51" w:rsidRPr="007A54F3">
          <w:rPr>
            <w:rFonts w:ascii="Arial" w:hAnsi="Arial" w:cs="Arial"/>
            <w:noProof/>
            <w:webHidden/>
            <w:sz w:val="20"/>
            <w:szCs w:val="20"/>
          </w:rPr>
          <w:fldChar w:fldCharType="end"/>
        </w:r>
      </w:hyperlink>
    </w:p>
    <w:p w14:paraId="15600BE2" w14:textId="77777777" w:rsidR="007A54F3" w:rsidRPr="00902360" w:rsidRDefault="00B06AF2">
      <w:pPr>
        <w:pStyle w:val="TDC2"/>
        <w:tabs>
          <w:tab w:val="right" w:leader="dot" w:pos="8726"/>
        </w:tabs>
        <w:rPr>
          <w:rFonts w:ascii="Arial" w:hAnsi="Arial" w:cs="Arial"/>
          <w:noProof/>
          <w:kern w:val="2"/>
          <w:sz w:val="20"/>
          <w:szCs w:val="20"/>
        </w:rPr>
      </w:pPr>
      <w:hyperlink w:anchor="_Toc216191093" w:history="1">
        <w:r w:rsidR="007A54F3" w:rsidRPr="007A54F3">
          <w:rPr>
            <w:rStyle w:val="Hipervnculo"/>
            <w:rFonts w:ascii="Arial" w:hAnsi="Arial" w:cs="Arial"/>
            <w:noProof/>
            <w:sz w:val="20"/>
            <w:szCs w:val="20"/>
          </w:rPr>
          <w:t>5.2.c Evaluación de las pruebas de cribado utilizadas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_Toc216191093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25</w:t>
        </w:r>
        <w:r w:rsidR="00646A51" w:rsidRPr="007A54F3">
          <w:rPr>
            <w:rFonts w:ascii="Arial" w:hAnsi="Arial" w:cs="Arial"/>
            <w:noProof/>
            <w:webHidden/>
            <w:sz w:val="20"/>
            <w:szCs w:val="20"/>
          </w:rPr>
          <w:fldChar w:fldCharType="end"/>
        </w:r>
      </w:hyperlink>
    </w:p>
    <w:p w14:paraId="20B499DF" w14:textId="77777777" w:rsidR="007A54F3" w:rsidRPr="00902360" w:rsidRDefault="00B06AF2">
      <w:pPr>
        <w:pStyle w:val="TDC2"/>
        <w:tabs>
          <w:tab w:val="right" w:leader="dot" w:pos="8726"/>
        </w:tabs>
        <w:rPr>
          <w:rFonts w:ascii="Arial" w:hAnsi="Arial" w:cs="Arial"/>
          <w:noProof/>
          <w:kern w:val="2"/>
          <w:sz w:val="20"/>
          <w:szCs w:val="20"/>
        </w:rPr>
      </w:pPr>
      <w:hyperlink w:anchor="_Toc216191094" w:history="1">
        <w:r w:rsidR="007A54F3" w:rsidRPr="007A54F3">
          <w:rPr>
            <w:rStyle w:val="Hipervnculo"/>
            <w:rFonts w:ascii="Arial" w:hAnsi="Arial" w:cs="Arial"/>
            <w:noProof/>
            <w:sz w:val="20"/>
            <w:szCs w:val="20"/>
          </w:rPr>
          <w:t>5.3 Revisiones sistemáticas publicadas, comparaciones indirectas y sus conclusiones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_Toc216191094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26</w:t>
        </w:r>
        <w:r w:rsidR="00646A51" w:rsidRPr="007A54F3">
          <w:rPr>
            <w:rFonts w:ascii="Arial" w:hAnsi="Arial" w:cs="Arial"/>
            <w:noProof/>
            <w:webHidden/>
            <w:sz w:val="20"/>
            <w:szCs w:val="20"/>
          </w:rPr>
          <w:fldChar w:fldCharType="end"/>
        </w:r>
      </w:hyperlink>
    </w:p>
    <w:p w14:paraId="4B7FBF67" w14:textId="77777777" w:rsidR="007A54F3" w:rsidRPr="00902360" w:rsidRDefault="00B06AF2">
      <w:pPr>
        <w:pStyle w:val="TDC2"/>
        <w:tabs>
          <w:tab w:val="right" w:leader="dot" w:pos="8726"/>
        </w:tabs>
        <w:rPr>
          <w:rFonts w:ascii="Arial" w:hAnsi="Arial" w:cs="Arial"/>
          <w:noProof/>
          <w:kern w:val="2"/>
          <w:sz w:val="20"/>
          <w:szCs w:val="20"/>
        </w:rPr>
      </w:pPr>
      <w:hyperlink w:anchor="_Toc216191095" w:history="1">
        <w:r w:rsidR="007A54F3" w:rsidRPr="007A54F3">
          <w:rPr>
            <w:rStyle w:val="Hipervnculo"/>
            <w:rFonts w:ascii="Arial" w:hAnsi="Arial" w:cs="Arial"/>
            <w:noProof/>
            <w:sz w:val="20"/>
            <w:szCs w:val="20"/>
          </w:rPr>
          <w:t>5.3.a Revisiones sistemáticas publicadas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_Toc216191095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26</w:t>
        </w:r>
        <w:r w:rsidR="00646A51" w:rsidRPr="007A54F3">
          <w:rPr>
            <w:rFonts w:ascii="Arial" w:hAnsi="Arial" w:cs="Arial"/>
            <w:noProof/>
            <w:webHidden/>
            <w:sz w:val="20"/>
            <w:szCs w:val="20"/>
          </w:rPr>
          <w:fldChar w:fldCharType="end"/>
        </w:r>
      </w:hyperlink>
    </w:p>
    <w:p w14:paraId="7EDE9F84" w14:textId="77777777" w:rsidR="007A54F3" w:rsidRPr="00902360" w:rsidRDefault="00B06AF2">
      <w:pPr>
        <w:pStyle w:val="TDC2"/>
        <w:tabs>
          <w:tab w:val="right" w:leader="dot" w:pos="8726"/>
        </w:tabs>
        <w:rPr>
          <w:rFonts w:ascii="Arial" w:hAnsi="Arial" w:cs="Arial"/>
          <w:noProof/>
          <w:kern w:val="2"/>
          <w:sz w:val="20"/>
          <w:szCs w:val="20"/>
        </w:rPr>
      </w:pPr>
      <w:hyperlink w:anchor="_Toc216191096" w:history="1">
        <w:r w:rsidR="007A54F3" w:rsidRPr="007A54F3">
          <w:rPr>
            <w:rStyle w:val="Hipervnculo"/>
            <w:rFonts w:ascii="Arial" w:hAnsi="Arial" w:cs="Arial"/>
            <w:noProof/>
            <w:sz w:val="20"/>
            <w:szCs w:val="20"/>
          </w:rPr>
          <w:t>5.3.b Comparaciones indirectas (CCII)</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_Toc216191096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27</w:t>
        </w:r>
        <w:r w:rsidR="00646A51" w:rsidRPr="007A54F3">
          <w:rPr>
            <w:rFonts w:ascii="Arial" w:hAnsi="Arial" w:cs="Arial"/>
            <w:noProof/>
            <w:webHidden/>
            <w:sz w:val="20"/>
            <w:szCs w:val="20"/>
          </w:rPr>
          <w:fldChar w:fldCharType="end"/>
        </w:r>
      </w:hyperlink>
    </w:p>
    <w:p w14:paraId="3D9A87A2" w14:textId="77777777" w:rsidR="007A54F3" w:rsidRPr="00902360" w:rsidRDefault="00B06AF2">
      <w:pPr>
        <w:pStyle w:val="TDC2"/>
        <w:tabs>
          <w:tab w:val="right" w:leader="dot" w:pos="8726"/>
        </w:tabs>
        <w:rPr>
          <w:rFonts w:ascii="Arial" w:hAnsi="Arial" w:cs="Arial"/>
          <w:noProof/>
          <w:kern w:val="2"/>
          <w:sz w:val="20"/>
          <w:szCs w:val="20"/>
        </w:rPr>
      </w:pPr>
      <w:hyperlink w:anchor="_Toc216191097" w:history="1">
        <w:r w:rsidR="007A54F3" w:rsidRPr="007A54F3">
          <w:rPr>
            <w:rStyle w:val="Hipervnculo"/>
            <w:rFonts w:ascii="Arial" w:hAnsi="Arial" w:cs="Arial"/>
            <w:noProof/>
            <w:sz w:val="20"/>
            <w:szCs w:val="20"/>
          </w:rPr>
          <w:t>5.3.b.1 Comparaciones Indirectas publicadas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_Toc216191097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27</w:t>
        </w:r>
        <w:r w:rsidR="00646A51" w:rsidRPr="007A54F3">
          <w:rPr>
            <w:rFonts w:ascii="Arial" w:hAnsi="Arial" w:cs="Arial"/>
            <w:noProof/>
            <w:webHidden/>
            <w:sz w:val="20"/>
            <w:szCs w:val="20"/>
          </w:rPr>
          <w:fldChar w:fldCharType="end"/>
        </w:r>
      </w:hyperlink>
    </w:p>
    <w:p w14:paraId="6C523547" w14:textId="77777777" w:rsidR="007A54F3" w:rsidRPr="00902360" w:rsidRDefault="00B06AF2">
      <w:pPr>
        <w:pStyle w:val="TDC2"/>
        <w:tabs>
          <w:tab w:val="right" w:leader="dot" w:pos="8726"/>
        </w:tabs>
        <w:rPr>
          <w:rFonts w:ascii="Arial" w:hAnsi="Arial" w:cs="Arial"/>
          <w:noProof/>
          <w:kern w:val="2"/>
          <w:sz w:val="20"/>
          <w:szCs w:val="20"/>
        </w:rPr>
      </w:pPr>
      <w:hyperlink w:anchor="_Toc216191098" w:history="1">
        <w:r w:rsidR="007A54F3" w:rsidRPr="007A54F3">
          <w:rPr>
            <w:rStyle w:val="Hipervnculo"/>
            <w:rFonts w:ascii="Arial" w:hAnsi="Arial" w:cs="Arial"/>
            <w:noProof/>
            <w:sz w:val="20"/>
            <w:szCs w:val="20"/>
          </w:rPr>
          <w:t>5.3.b.2 Comparaciones indirectas de elaboración propia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_Toc216191098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27</w:t>
        </w:r>
        <w:r w:rsidR="00646A51" w:rsidRPr="007A54F3">
          <w:rPr>
            <w:rFonts w:ascii="Arial" w:hAnsi="Arial" w:cs="Arial"/>
            <w:noProof/>
            <w:webHidden/>
            <w:sz w:val="20"/>
            <w:szCs w:val="20"/>
          </w:rPr>
          <w:fldChar w:fldCharType="end"/>
        </w:r>
      </w:hyperlink>
    </w:p>
    <w:p w14:paraId="28D2E66C" w14:textId="77777777" w:rsidR="007A54F3" w:rsidRPr="00902360" w:rsidRDefault="00B06AF2">
      <w:pPr>
        <w:pStyle w:val="TDC2"/>
        <w:tabs>
          <w:tab w:val="right" w:leader="dot" w:pos="8726"/>
        </w:tabs>
        <w:rPr>
          <w:rFonts w:ascii="Arial" w:hAnsi="Arial" w:cs="Arial"/>
          <w:noProof/>
          <w:kern w:val="2"/>
          <w:sz w:val="20"/>
          <w:szCs w:val="20"/>
        </w:rPr>
      </w:pPr>
      <w:hyperlink w:anchor="_Toc216191099" w:history="1">
        <w:r w:rsidR="007A54F3" w:rsidRPr="007A54F3">
          <w:rPr>
            <w:rStyle w:val="Hipervnculo"/>
            <w:rFonts w:ascii="Arial" w:hAnsi="Arial" w:cs="Arial"/>
            <w:noProof/>
            <w:sz w:val="20"/>
            <w:szCs w:val="20"/>
          </w:rPr>
          <w:t>5.4 Evaluación de fuentes secundarias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_Toc216191099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38</w:t>
        </w:r>
        <w:r w:rsidR="00646A51" w:rsidRPr="007A54F3">
          <w:rPr>
            <w:rFonts w:ascii="Arial" w:hAnsi="Arial" w:cs="Arial"/>
            <w:noProof/>
            <w:webHidden/>
            <w:sz w:val="20"/>
            <w:szCs w:val="20"/>
          </w:rPr>
          <w:fldChar w:fldCharType="end"/>
        </w:r>
      </w:hyperlink>
    </w:p>
    <w:p w14:paraId="3DDE7A00" w14:textId="77777777" w:rsidR="007A54F3" w:rsidRPr="00902360" w:rsidRDefault="00B06AF2">
      <w:pPr>
        <w:pStyle w:val="TDC2"/>
        <w:tabs>
          <w:tab w:val="right" w:leader="dot" w:pos="8726"/>
        </w:tabs>
        <w:rPr>
          <w:rFonts w:ascii="Arial" w:hAnsi="Arial" w:cs="Arial"/>
          <w:noProof/>
          <w:kern w:val="2"/>
          <w:sz w:val="20"/>
          <w:szCs w:val="20"/>
        </w:rPr>
      </w:pPr>
      <w:hyperlink w:anchor="_Toc216191100" w:history="1">
        <w:r w:rsidR="007A54F3" w:rsidRPr="007A54F3">
          <w:rPr>
            <w:rStyle w:val="Hipervnculo"/>
            <w:rFonts w:ascii="Arial" w:hAnsi="Arial" w:cs="Arial"/>
            <w:noProof/>
            <w:sz w:val="20"/>
            <w:szCs w:val="20"/>
          </w:rPr>
          <w:t>5.4.1 Guías de Práctica clínica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_Toc216191100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38</w:t>
        </w:r>
        <w:r w:rsidR="00646A51" w:rsidRPr="007A54F3">
          <w:rPr>
            <w:rFonts w:ascii="Arial" w:hAnsi="Arial" w:cs="Arial"/>
            <w:noProof/>
            <w:webHidden/>
            <w:sz w:val="20"/>
            <w:szCs w:val="20"/>
          </w:rPr>
          <w:fldChar w:fldCharType="end"/>
        </w:r>
      </w:hyperlink>
    </w:p>
    <w:p w14:paraId="1AFB37C1" w14:textId="77777777" w:rsidR="007A54F3" w:rsidRPr="00902360" w:rsidRDefault="00B06AF2">
      <w:pPr>
        <w:pStyle w:val="TDC2"/>
        <w:tabs>
          <w:tab w:val="right" w:leader="dot" w:pos="8726"/>
        </w:tabs>
        <w:rPr>
          <w:rFonts w:ascii="Arial" w:hAnsi="Arial" w:cs="Arial"/>
          <w:noProof/>
          <w:kern w:val="2"/>
          <w:sz w:val="20"/>
          <w:szCs w:val="20"/>
        </w:rPr>
      </w:pPr>
      <w:hyperlink w:anchor="_Toc216191101" w:history="1">
        <w:r w:rsidR="007A54F3" w:rsidRPr="007A54F3">
          <w:rPr>
            <w:rStyle w:val="Hipervnculo"/>
            <w:rFonts w:ascii="Arial" w:hAnsi="Arial" w:cs="Arial"/>
            <w:noProof/>
            <w:sz w:val="20"/>
            <w:szCs w:val="20"/>
          </w:rPr>
          <w:t>5.4.2 Evaluaciones previas por organismos independientes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_Toc216191101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39</w:t>
        </w:r>
        <w:r w:rsidR="00646A51" w:rsidRPr="007A54F3">
          <w:rPr>
            <w:rFonts w:ascii="Arial" w:hAnsi="Arial" w:cs="Arial"/>
            <w:noProof/>
            <w:webHidden/>
            <w:sz w:val="20"/>
            <w:szCs w:val="20"/>
          </w:rPr>
          <w:fldChar w:fldCharType="end"/>
        </w:r>
      </w:hyperlink>
    </w:p>
    <w:p w14:paraId="3296B437" w14:textId="77777777" w:rsidR="007A54F3" w:rsidRPr="00902360" w:rsidRDefault="00B06AF2">
      <w:pPr>
        <w:pStyle w:val="TDC2"/>
        <w:tabs>
          <w:tab w:val="right" w:leader="dot" w:pos="8726"/>
        </w:tabs>
        <w:rPr>
          <w:rFonts w:ascii="Arial" w:hAnsi="Arial" w:cs="Arial"/>
          <w:noProof/>
          <w:kern w:val="2"/>
          <w:sz w:val="20"/>
          <w:szCs w:val="20"/>
        </w:rPr>
      </w:pPr>
      <w:hyperlink w:anchor="_Toc216191102" w:history="1">
        <w:r w:rsidR="007A54F3" w:rsidRPr="007A54F3">
          <w:rPr>
            <w:rStyle w:val="Hipervnculo"/>
            <w:rFonts w:ascii="Arial" w:hAnsi="Arial" w:cs="Arial"/>
            <w:noProof/>
            <w:sz w:val="20"/>
            <w:szCs w:val="20"/>
          </w:rPr>
          <w:t>5.4.3 Opiniones de expertos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_Toc216191102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39</w:t>
        </w:r>
        <w:r w:rsidR="00646A51" w:rsidRPr="007A54F3">
          <w:rPr>
            <w:rFonts w:ascii="Arial" w:hAnsi="Arial" w:cs="Arial"/>
            <w:noProof/>
            <w:webHidden/>
            <w:sz w:val="20"/>
            <w:szCs w:val="20"/>
          </w:rPr>
          <w:fldChar w:fldCharType="end"/>
        </w:r>
      </w:hyperlink>
    </w:p>
    <w:p w14:paraId="5A8C784C" w14:textId="77777777" w:rsidR="007A54F3" w:rsidRPr="00902360" w:rsidRDefault="00B06AF2">
      <w:pPr>
        <w:pStyle w:val="TDC2"/>
        <w:tabs>
          <w:tab w:val="right" w:leader="dot" w:pos="8726"/>
        </w:tabs>
        <w:rPr>
          <w:rFonts w:ascii="Arial" w:hAnsi="Arial" w:cs="Arial"/>
          <w:noProof/>
          <w:kern w:val="2"/>
          <w:sz w:val="20"/>
          <w:szCs w:val="20"/>
        </w:rPr>
      </w:pPr>
      <w:hyperlink w:anchor="_Toc216191103" w:history="1">
        <w:r w:rsidR="007A54F3" w:rsidRPr="007A54F3">
          <w:rPr>
            <w:rStyle w:val="Hipervnculo"/>
            <w:rFonts w:ascii="Arial" w:hAnsi="Arial" w:cs="Arial"/>
            <w:noProof/>
            <w:sz w:val="20"/>
            <w:szCs w:val="20"/>
          </w:rPr>
          <w:t>5.4.4 Otras fuentes.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_Toc216191103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39</w:t>
        </w:r>
        <w:r w:rsidR="00646A51" w:rsidRPr="007A54F3">
          <w:rPr>
            <w:rFonts w:ascii="Arial" w:hAnsi="Arial" w:cs="Arial"/>
            <w:noProof/>
            <w:webHidden/>
            <w:sz w:val="20"/>
            <w:szCs w:val="20"/>
          </w:rPr>
          <w:fldChar w:fldCharType="end"/>
        </w:r>
      </w:hyperlink>
    </w:p>
    <w:p w14:paraId="59EFDF0A" w14:textId="77777777" w:rsidR="007A54F3" w:rsidRPr="00902360" w:rsidRDefault="00B06AF2">
      <w:pPr>
        <w:pStyle w:val="TDC1"/>
        <w:tabs>
          <w:tab w:val="right" w:leader="dot" w:pos="8726"/>
        </w:tabs>
        <w:rPr>
          <w:rFonts w:ascii="Arial" w:hAnsi="Arial" w:cs="Arial"/>
          <w:noProof/>
          <w:kern w:val="2"/>
          <w:sz w:val="20"/>
          <w:szCs w:val="20"/>
        </w:rPr>
      </w:pPr>
      <w:hyperlink w:anchor="_Toc216191104" w:history="1">
        <w:r w:rsidR="007A54F3" w:rsidRPr="007A54F3">
          <w:rPr>
            <w:rStyle w:val="Hipervnculo"/>
            <w:rFonts w:ascii="Arial" w:hAnsi="Arial" w:cs="Arial"/>
            <w:noProof/>
            <w:sz w:val="20"/>
            <w:szCs w:val="20"/>
          </w:rPr>
          <w:t>6. EVALUACIÓN DE LA SEGURIDAD.</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_Toc216191104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39</w:t>
        </w:r>
        <w:r w:rsidR="00646A51" w:rsidRPr="007A54F3">
          <w:rPr>
            <w:rFonts w:ascii="Arial" w:hAnsi="Arial" w:cs="Arial"/>
            <w:noProof/>
            <w:webHidden/>
            <w:sz w:val="20"/>
            <w:szCs w:val="20"/>
          </w:rPr>
          <w:fldChar w:fldCharType="end"/>
        </w:r>
      </w:hyperlink>
    </w:p>
    <w:p w14:paraId="624C5DE5" w14:textId="77777777" w:rsidR="007A54F3" w:rsidRPr="00902360" w:rsidRDefault="00B06AF2">
      <w:pPr>
        <w:pStyle w:val="TDC2"/>
        <w:tabs>
          <w:tab w:val="right" w:leader="dot" w:pos="8726"/>
        </w:tabs>
        <w:rPr>
          <w:rFonts w:ascii="Arial" w:hAnsi="Arial" w:cs="Arial"/>
          <w:noProof/>
          <w:kern w:val="2"/>
          <w:sz w:val="20"/>
          <w:szCs w:val="20"/>
        </w:rPr>
      </w:pPr>
      <w:hyperlink w:anchor="_Toc216191105" w:history="1">
        <w:r w:rsidR="007A54F3" w:rsidRPr="007A54F3">
          <w:rPr>
            <w:rStyle w:val="Hipervnculo"/>
            <w:rFonts w:ascii="Arial" w:hAnsi="Arial" w:cs="Arial"/>
            <w:noProof/>
            <w:sz w:val="20"/>
            <w:szCs w:val="20"/>
          </w:rPr>
          <w:t>6.1.a Descripción de la búsqueda bibliográfica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_Toc216191105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39</w:t>
        </w:r>
        <w:r w:rsidR="00646A51" w:rsidRPr="007A54F3">
          <w:rPr>
            <w:rFonts w:ascii="Arial" w:hAnsi="Arial" w:cs="Arial"/>
            <w:noProof/>
            <w:webHidden/>
            <w:sz w:val="20"/>
            <w:szCs w:val="20"/>
          </w:rPr>
          <w:fldChar w:fldCharType="end"/>
        </w:r>
      </w:hyperlink>
    </w:p>
    <w:p w14:paraId="26BAFD2C" w14:textId="77777777" w:rsidR="007A54F3" w:rsidRPr="00902360" w:rsidRDefault="00B06AF2">
      <w:pPr>
        <w:pStyle w:val="TDC2"/>
        <w:tabs>
          <w:tab w:val="right" w:leader="dot" w:pos="8726"/>
        </w:tabs>
        <w:rPr>
          <w:rFonts w:ascii="Arial" w:hAnsi="Arial" w:cs="Arial"/>
          <w:noProof/>
          <w:kern w:val="2"/>
          <w:sz w:val="20"/>
          <w:szCs w:val="20"/>
        </w:rPr>
      </w:pPr>
      <w:hyperlink w:anchor="_Toc216191106" w:history="1">
        <w:r w:rsidR="007A54F3" w:rsidRPr="007A54F3">
          <w:rPr>
            <w:rStyle w:val="Hipervnculo"/>
            <w:rFonts w:ascii="Arial" w:hAnsi="Arial" w:cs="Arial"/>
            <w:noProof/>
            <w:sz w:val="20"/>
            <w:szCs w:val="20"/>
          </w:rPr>
          <w:t>6.1.b Descripción de los efectos adversos más significativos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_Toc216191106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40</w:t>
        </w:r>
        <w:r w:rsidR="00646A51" w:rsidRPr="007A54F3">
          <w:rPr>
            <w:rFonts w:ascii="Arial" w:hAnsi="Arial" w:cs="Arial"/>
            <w:noProof/>
            <w:webHidden/>
            <w:sz w:val="20"/>
            <w:szCs w:val="20"/>
          </w:rPr>
          <w:fldChar w:fldCharType="end"/>
        </w:r>
      </w:hyperlink>
    </w:p>
    <w:p w14:paraId="6E8F58CC" w14:textId="77777777" w:rsidR="007A54F3" w:rsidRPr="00902360" w:rsidRDefault="00B06AF2">
      <w:pPr>
        <w:pStyle w:val="TDC2"/>
        <w:tabs>
          <w:tab w:val="right" w:leader="dot" w:pos="8726"/>
        </w:tabs>
        <w:rPr>
          <w:rFonts w:ascii="Arial" w:hAnsi="Arial" w:cs="Arial"/>
          <w:noProof/>
          <w:kern w:val="2"/>
          <w:sz w:val="20"/>
          <w:szCs w:val="20"/>
        </w:rPr>
      </w:pPr>
      <w:hyperlink w:anchor="_Toc216191107" w:history="1">
        <w:r w:rsidR="007A54F3" w:rsidRPr="007A54F3">
          <w:rPr>
            <w:rStyle w:val="Hipervnculo"/>
            <w:rFonts w:ascii="Arial" w:hAnsi="Arial" w:cs="Arial"/>
            <w:noProof/>
            <w:sz w:val="20"/>
            <w:szCs w:val="20"/>
          </w:rPr>
          <w:t>6.2 Ensayos Clínicos comparativos.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_Toc216191107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44</w:t>
        </w:r>
        <w:r w:rsidR="00646A51" w:rsidRPr="007A54F3">
          <w:rPr>
            <w:rFonts w:ascii="Arial" w:hAnsi="Arial" w:cs="Arial"/>
            <w:noProof/>
            <w:webHidden/>
            <w:sz w:val="20"/>
            <w:szCs w:val="20"/>
          </w:rPr>
          <w:fldChar w:fldCharType="end"/>
        </w:r>
      </w:hyperlink>
    </w:p>
    <w:p w14:paraId="0C4E85D2" w14:textId="77777777" w:rsidR="007A54F3" w:rsidRPr="00902360" w:rsidRDefault="00B06AF2">
      <w:pPr>
        <w:pStyle w:val="TDC2"/>
        <w:tabs>
          <w:tab w:val="right" w:leader="dot" w:pos="8726"/>
        </w:tabs>
        <w:rPr>
          <w:rFonts w:ascii="Arial" w:hAnsi="Arial" w:cs="Arial"/>
          <w:noProof/>
          <w:kern w:val="2"/>
          <w:sz w:val="20"/>
          <w:szCs w:val="20"/>
        </w:rPr>
      </w:pPr>
      <w:hyperlink w:anchor="_Toc216191108" w:history="1">
        <w:r w:rsidR="007A54F3" w:rsidRPr="007A54F3">
          <w:rPr>
            <w:rStyle w:val="Hipervnculo"/>
            <w:rFonts w:ascii="Arial" w:hAnsi="Arial" w:cs="Arial"/>
            <w:noProof/>
            <w:sz w:val="20"/>
            <w:szCs w:val="20"/>
          </w:rPr>
          <w:t>6.3 Fuentes secundarias sobre seguridad</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_Toc216191108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44</w:t>
        </w:r>
        <w:r w:rsidR="00646A51" w:rsidRPr="007A54F3">
          <w:rPr>
            <w:rFonts w:ascii="Arial" w:hAnsi="Arial" w:cs="Arial"/>
            <w:noProof/>
            <w:webHidden/>
            <w:sz w:val="20"/>
            <w:szCs w:val="20"/>
          </w:rPr>
          <w:fldChar w:fldCharType="end"/>
        </w:r>
      </w:hyperlink>
    </w:p>
    <w:p w14:paraId="3B707892" w14:textId="77777777" w:rsidR="007A54F3" w:rsidRPr="00902360" w:rsidRDefault="00B06AF2">
      <w:pPr>
        <w:pStyle w:val="TDC2"/>
        <w:tabs>
          <w:tab w:val="right" w:leader="dot" w:pos="8726"/>
        </w:tabs>
        <w:rPr>
          <w:rFonts w:ascii="Arial" w:hAnsi="Arial" w:cs="Arial"/>
          <w:noProof/>
          <w:kern w:val="2"/>
          <w:sz w:val="20"/>
          <w:szCs w:val="20"/>
        </w:rPr>
      </w:pPr>
      <w:hyperlink w:anchor="_Toc216191109" w:history="1">
        <w:r w:rsidR="007A54F3" w:rsidRPr="007A54F3">
          <w:rPr>
            <w:rStyle w:val="Hipervnculo"/>
            <w:rFonts w:ascii="Arial" w:hAnsi="Arial" w:cs="Arial"/>
            <w:noProof/>
            <w:sz w:val="20"/>
            <w:szCs w:val="20"/>
          </w:rPr>
          <w:t>6.4 Precauciones de empleo en casos especiales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_Toc216191109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45</w:t>
        </w:r>
        <w:r w:rsidR="00646A51" w:rsidRPr="007A54F3">
          <w:rPr>
            <w:rFonts w:ascii="Arial" w:hAnsi="Arial" w:cs="Arial"/>
            <w:noProof/>
            <w:webHidden/>
            <w:sz w:val="20"/>
            <w:szCs w:val="20"/>
          </w:rPr>
          <w:fldChar w:fldCharType="end"/>
        </w:r>
      </w:hyperlink>
    </w:p>
    <w:p w14:paraId="64CE441E" w14:textId="77777777" w:rsidR="007A54F3" w:rsidRPr="00902360" w:rsidRDefault="00B06AF2">
      <w:pPr>
        <w:pStyle w:val="TDC1"/>
        <w:tabs>
          <w:tab w:val="right" w:leader="dot" w:pos="8726"/>
        </w:tabs>
        <w:rPr>
          <w:rFonts w:ascii="Arial" w:hAnsi="Arial" w:cs="Arial"/>
          <w:noProof/>
          <w:kern w:val="2"/>
          <w:sz w:val="20"/>
          <w:szCs w:val="20"/>
        </w:rPr>
      </w:pPr>
      <w:hyperlink w:anchor="_Toc216191110" w:history="1">
        <w:r w:rsidR="007A54F3" w:rsidRPr="007A54F3">
          <w:rPr>
            <w:rStyle w:val="Hipervnculo"/>
            <w:rFonts w:ascii="Arial" w:hAnsi="Arial" w:cs="Arial"/>
            <w:noProof/>
            <w:sz w:val="20"/>
            <w:szCs w:val="20"/>
          </w:rPr>
          <w:t>7. AREA ECONÓMICA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_Toc216191110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46</w:t>
        </w:r>
        <w:r w:rsidR="00646A51" w:rsidRPr="007A54F3">
          <w:rPr>
            <w:rFonts w:ascii="Arial" w:hAnsi="Arial" w:cs="Arial"/>
            <w:noProof/>
            <w:webHidden/>
            <w:sz w:val="20"/>
            <w:szCs w:val="20"/>
          </w:rPr>
          <w:fldChar w:fldCharType="end"/>
        </w:r>
      </w:hyperlink>
    </w:p>
    <w:p w14:paraId="58180CE3" w14:textId="77777777" w:rsidR="007A54F3" w:rsidRPr="00902360" w:rsidRDefault="00B06AF2">
      <w:pPr>
        <w:pStyle w:val="TDC2"/>
        <w:tabs>
          <w:tab w:val="right" w:leader="dot" w:pos="8726"/>
        </w:tabs>
        <w:rPr>
          <w:rFonts w:ascii="Arial" w:hAnsi="Arial" w:cs="Arial"/>
          <w:noProof/>
          <w:kern w:val="2"/>
          <w:sz w:val="20"/>
          <w:szCs w:val="20"/>
        </w:rPr>
      </w:pPr>
      <w:hyperlink w:anchor="_Toc216191111" w:history="1">
        <w:r w:rsidR="007A54F3" w:rsidRPr="007A54F3">
          <w:rPr>
            <w:rStyle w:val="Hipervnculo"/>
            <w:rFonts w:ascii="Arial" w:hAnsi="Arial" w:cs="Arial"/>
            <w:noProof/>
            <w:sz w:val="20"/>
            <w:szCs w:val="20"/>
          </w:rPr>
          <w:t>7.1 Coste tratamiento. Coste incremental</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_Toc216191111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46</w:t>
        </w:r>
        <w:r w:rsidR="00646A51" w:rsidRPr="007A54F3">
          <w:rPr>
            <w:rFonts w:ascii="Arial" w:hAnsi="Arial" w:cs="Arial"/>
            <w:noProof/>
            <w:webHidden/>
            <w:sz w:val="20"/>
            <w:szCs w:val="20"/>
          </w:rPr>
          <w:fldChar w:fldCharType="end"/>
        </w:r>
      </w:hyperlink>
    </w:p>
    <w:p w14:paraId="2DB34013" w14:textId="77777777" w:rsidR="007A54F3" w:rsidRPr="00902360" w:rsidRDefault="00B06AF2">
      <w:pPr>
        <w:pStyle w:val="TDC2"/>
        <w:tabs>
          <w:tab w:val="right" w:leader="dot" w:pos="8726"/>
        </w:tabs>
        <w:rPr>
          <w:rFonts w:ascii="Arial" w:hAnsi="Arial" w:cs="Arial"/>
          <w:noProof/>
          <w:kern w:val="2"/>
          <w:sz w:val="20"/>
          <w:szCs w:val="20"/>
        </w:rPr>
      </w:pPr>
      <w:hyperlink w:anchor="_Toc216191112" w:history="1">
        <w:r w:rsidR="007A54F3" w:rsidRPr="007A54F3">
          <w:rPr>
            <w:rStyle w:val="Hipervnculo"/>
            <w:rFonts w:ascii="Arial" w:hAnsi="Arial" w:cs="Arial"/>
            <w:noProof/>
            <w:sz w:val="20"/>
            <w:szCs w:val="20"/>
          </w:rPr>
          <w:t>7.2.a Coste eficacia incremental. Estudios publicados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_Toc216191112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49</w:t>
        </w:r>
        <w:r w:rsidR="00646A51" w:rsidRPr="007A54F3">
          <w:rPr>
            <w:rFonts w:ascii="Arial" w:hAnsi="Arial" w:cs="Arial"/>
            <w:noProof/>
            <w:webHidden/>
            <w:sz w:val="20"/>
            <w:szCs w:val="20"/>
          </w:rPr>
          <w:fldChar w:fldCharType="end"/>
        </w:r>
      </w:hyperlink>
    </w:p>
    <w:p w14:paraId="50ADEA0D" w14:textId="77777777" w:rsidR="007A54F3" w:rsidRPr="00902360" w:rsidRDefault="00B06AF2">
      <w:pPr>
        <w:pStyle w:val="TDC2"/>
        <w:tabs>
          <w:tab w:val="right" w:leader="dot" w:pos="8726"/>
        </w:tabs>
        <w:rPr>
          <w:rFonts w:ascii="Arial" w:hAnsi="Arial" w:cs="Arial"/>
          <w:noProof/>
          <w:kern w:val="2"/>
          <w:sz w:val="20"/>
          <w:szCs w:val="20"/>
        </w:rPr>
      </w:pPr>
      <w:hyperlink w:anchor="_Toc216191113" w:history="1">
        <w:r w:rsidR="007A54F3" w:rsidRPr="007A54F3">
          <w:rPr>
            <w:rStyle w:val="Hipervnculo"/>
            <w:rFonts w:ascii="Arial" w:hAnsi="Arial" w:cs="Arial"/>
            <w:noProof/>
            <w:sz w:val="20"/>
            <w:szCs w:val="20"/>
          </w:rPr>
          <w:t>7.2.b Coste eficacia incremental (CEI). Datos propios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_Toc216191113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49</w:t>
        </w:r>
        <w:r w:rsidR="00646A51" w:rsidRPr="007A54F3">
          <w:rPr>
            <w:rFonts w:ascii="Arial" w:hAnsi="Arial" w:cs="Arial"/>
            <w:noProof/>
            <w:webHidden/>
            <w:sz w:val="20"/>
            <w:szCs w:val="20"/>
          </w:rPr>
          <w:fldChar w:fldCharType="end"/>
        </w:r>
      </w:hyperlink>
    </w:p>
    <w:p w14:paraId="3AF8C3B3" w14:textId="77777777" w:rsidR="007A54F3" w:rsidRPr="00902360" w:rsidRDefault="00B06AF2">
      <w:pPr>
        <w:pStyle w:val="TDC2"/>
        <w:tabs>
          <w:tab w:val="right" w:leader="dot" w:pos="8726"/>
        </w:tabs>
        <w:rPr>
          <w:rFonts w:ascii="Arial" w:hAnsi="Arial" w:cs="Arial"/>
          <w:noProof/>
          <w:kern w:val="2"/>
          <w:sz w:val="20"/>
          <w:szCs w:val="20"/>
        </w:rPr>
      </w:pPr>
      <w:hyperlink w:anchor="_Toc216191114" w:history="1">
        <w:r w:rsidR="007A54F3" w:rsidRPr="007A54F3">
          <w:rPr>
            <w:rStyle w:val="Hipervnculo"/>
            <w:rFonts w:ascii="Arial" w:hAnsi="Arial" w:cs="Arial"/>
            <w:noProof/>
            <w:sz w:val="20"/>
            <w:szCs w:val="20"/>
          </w:rPr>
          <w:t>7.3 Estimación del número de pacientes candidatos al tratamiento en el hospital</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_Toc216191114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49</w:t>
        </w:r>
        <w:r w:rsidR="00646A51" w:rsidRPr="007A54F3">
          <w:rPr>
            <w:rFonts w:ascii="Arial" w:hAnsi="Arial" w:cs="Arial"/>
            <w:noProof/>
            <w:webHidden/>
            <w:sz w:val="20"/>
            <w:szCs w:val="20"/>
          </w:rPr>
          <w:fldChar w:fldCharType="end"/>
        </w:r>
      </w:hyperlink>
    </w:p>
    <w:p w14:paraId="74786EBC" w14:textId="77777777" w:rsidR="007A54F3" w:rsidRPr="00902360" w:rsidRDefault="00B06AF2">
      <w:pPr>
        <w:pStyle w:val="TDC2"/>
        <w:tabs>
          <w:tab w:val="right" w:leader="dot" w:pos="8726"/>
        </w:tabs>
        <w:rPr>
          <w:rFonts w:ascii="Arial" w:hAnsi="Arial" w:cs="Arial"/>
          <w:noProof/>
          <w:kern w:val="2"/>
          <w:sz w:val="20"/>
          <w:szCs w:val="20"/>
        </w:rPr>
      </w:pPr>
      <w:hyperlink w:anchor="_Toc216191115" w:history="1">
        <w:r w:rsidR="007A54F3" w:rsidRPr="007A54F3">
          <w:rPr>
            <w:rStyle w:val="Hipervnculo"/>
            <w:rFonts w:ascii="Arial" w:hAnsi="Arial" w:cs="Arial"/>
            <w:noProof/>
            <w:sz w:val="20"/>
            <w:szCs w:val="20"/>
          </w:rPr>
          <w:t>7.4 Estimación del impacto económico sobre la prescripción de Atención Primaria.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_Toc216191115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50</w:t>
        </w:r>
        <w:r w:rsidR="00646A51" w:rsidRPr="007A54F3">
          <w:rPr>
            <w:rFonts w:ascii="Arial" w:hAnsi="Arial" w:cs="Arial"/>
            <w:noProof/>
            <w:webHidden/>
            <w:sz w:val="20"/>
            <w:szCs w:val="20"/>
          </w:rPr>
          <w:fldChar w:fldCharType="end"/>
        </w:r>
      </w:hyperlink>
    </w:p>
    <w:p w14:paraId="4B3D11CA" w14:textId="77777777" w:rsidR="007A54F3" w:rsidRPr="00902360" w:rsidRDefault="00B06AF2">
      <w:pPr>
        <w:pStyle w:val="TDC2"/>
        <w:tabs>
          <w:tab w:val="right" w:leader="dot" w:pos="8726"/>
        </w:tabs>
        <w:rPr>
          <w:rFonts w:ascii="Arial" w:hAnsi="Arial" w:cs="Arial"/>
          <w:noProof/>
          <w:kern w:val="2"/>
          <w:sz w:val="20"/>
          <w:szCs w:val="20"/>
        </w:rPr>
      </w:pPr>
      <w:hyperlink w:anchor="_Toc216191116" w:history="1">
        <w:r w:rsidR="007A54F3" w:rsidRPr="007A54F3">
          <w:rPr>
            <w:rStyle w:val="Hipervnculo"/>
            <w:rFonts w:ascii="Arial" w:hAnsi="Arial" w:cs="Arial"/>
            <w:noProof/>
            <w:sz w:val="20"/>
            <w:szCs w:val="20"/>
          </w:rPr>
          <w:t>7.5 Estimación del impacto económico global a nivel autonómico/estatal</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_Toc216191116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50</w:t>
        </w:r>
        <w:r w:rsidR="00646A51" w:rsidRPr="007A54F3">
          <w:rPr>
            <w:rFonts w:ascii="Arial" w:hAnsi="Arial" w:cs="Arial"/>
            <w:noProof/>
            <w:webHidden/>
            <w:sz w:val="20"/>
            <w:szCs w:val="20"/>
          </w:rPr>
          <w:fldChar w:fldCharType="end"/>
        </w:r>
      </w:hyperlink>
    </w:p>
    <w:p w14:paraId="00E05704" w14:textId="77777777" w:rsidR="007A54F3" w:rsidRPr="00902360" w:rsidRDefault="00B06AF2">
      <w:pPr>
        <w:pStyle w:val="TDC1"/>
        <w:tabs>
          <w:tab w:val="right" w:leader="dot" w:pos="8726"/>
        </w:tabs>
        <w:rPr>
          <w:rFonts w:ascii="Arial" w:hAnsi="Arial" w:cs="Arial"/>
          <w:noProof/>
          <w:kern w:val="2"/>
          <w:sz w:val="20"/>
          <w:szCs w:val="20"/>
        </w:rPr>
      </w:pPr>
      <w:hyperlink w:anchor="_Toc216191117" w:history="1">
        <w:r w:rsidR="007A54F3" w:rsidRPr="007A54F3">
          <w:rPr>
            <w:rStyle w:val="Hipervnculo"/>
            <w:rFonts w:ascii="Arial" w:hAnsi="Arial" w:cs="Arial"/>
            <w:noProof/>
            <w:sz w:val="20"/>
            <w:szCs w:val="20"/>
          </w:rPr>
          <w:t>8. EVALUACIÓN DE LA CONVENIENCIA.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_Toc216191117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51</w:t>
        </w:r>
        <w:r w:rsidR="00646A51" w:rsidRPr="007A54F3">
          <w:rPr>
            <w:rFonts w:ascii="Arial" w:hAnsi="Arial" w:cs="Arial"/>
            <w:noProof/>
            <w:webHidden/>
            <w:sz w:val="20"/>
            <w:szCs w:val="20"/>
          </w:rPr>
          <w:fldChar w:fldCharType="end"/>
        </w:r>
      </w:hyperlink>
    </w:p>
    <w:p w14:paraId="3976E5C2" w14:textId="77777777" w:rsidR="007A54F3" w:rsidRPr="00902360" w:rsidRDefault="00B06AF2">
      <w:pPr>
        <w:pStyle w:val="TDC2"/>
        <w:tabs>
          <w:tab w:val="right" w:leader="dot" w:pos="8726"/>
        </w:tabs>
        <w:rPr>
          <w:rFonts w:ascii="Arial" w:hAnsi="Arial" w:cs="Arial"/>
          <w:noProof/>
          <w:kern w:val="2"/>
          <w:sz w:val="20"/>
          <w:szCs w:val="20"/>
        </w:rPr>
      </w:pPr>
      <w:hyperlink w:anchor="_Toc216191118" w:history="1">
        <w:r w:rsidR="007A54F3" w:rsidRPr="007A54F3">
          <w:rPr>
            <w:rStyle w:val="Hipervnculo"/>
            <w:rFonts w:ascii="Arial" w:hAnsi="Arial" w:cs="Arial"/>
            <w:noProof/>
            <w:sz w:val="20"/>
            <w:szCs w:val="20"/>
          </w:rPr>
          <w:t>8.1 Descripción de la conveniencia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_Toc216191118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51</w:t>
        </w:r>
        <w:r w:rsidR="00646A51" w:rsidRPr="007A54F3">
          <w:rPr>
            <w:rFonts w:ascii="Arial" w:hAnsi="Arial" w:cs="Arial"/>
            <w:noProof/>
            <w:webHidden/>
            <w:sz w:val="20"/>
            <w:szCs w:val="20"/>
          </w:rPr>
          <w:fldChar w:fldCharType="end"/>
        </w:r>
      </w:hyperlink>
    </w:p>
    <w:p w14:paraId="21590AE3" w14:textId="77777777" w:rsidR="007A54F3" w:rsidRPr="00902360" w:rsidRDefault="00B06AF2">
      <w:pPr>
        <w:pStyle w:val="TDC2"/>
        <w:tabs>
          <w:tab w:val="right" w:leader="dot" w:pos="8726"/>
        </w:tabs>
        <w:rPr>
          <w:rFonts w:ascii="Arial" w:hAnsi="Arial" w:cs="Arial"/>
          <w:noProof/>
          <w:kern w:val="2"/>
          <w:sz w:val="20"/>
          <w:szCs w:val="20"/>
        </w:rPr>
      </w:pPr>
      <w:hyperlink w:anchor="_Toc216191119" w:history="1">
        <w:r w:rsidR="007A54F3" w:rsidRPr="007A54F3">
          <w:rPr>
            <w:rStyle w:val="Hipervnculo"/>
            <w:rFonts w:ascii="Arial" w:hAnsi="Arial" w:cs="Arial"/>
            <w:noProof/>
            <w:sz w:val="20"/>
            <w:szCs w:val="20"/>
          </w:rPr>
          <w:t>8.2 Influencia de la conveniencia en la efectividad del tratamiento</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_Toc216191119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51</w:t>
        </w:r>
        <w:r w:rsidR="00646A51" w:rsidRPr="007A54F3">
          <w:rPr>
            <w:rFonts w:ascii="Arial" w:hAnsi="Arial" w:cs="Arial"/>
            <w:noProof/>
            <w:webHidden/>
            <w:sz w:val="20"/>
            <w:szCs w:val="20"/>
          </w:rPr>
          <w:fldChar w:fldCharType="end"/>
        </w:r>
      </w:hyperlink>
    </w:p>
    <w:p w14:paraId="70036960" w14:textId="77777777" w:rsidR="007A54F3" w:rsidRPr="00902360" w:rsidRDefault="00B06AF2">
      <w:pPr>
        <w:pStyle w:val="TDC1"/>
        <w:tabs>
          <w:tab w:val="right" w:leader="dot" w:pos="8726"/>
        </w:tabs>
        <w:rPr>
          <w:rFonts w:ascii="Arial" w:hAnsi="Arial" w:cs="Arial"/>
          <w:noProof/>
          <w:kern w:val="2"/>
          <w:sz w:val="20"/>
          <w:szCs w:val="20"/>
        </w:rPr>
      </w:pPr>
      <w:hyperlink w:anchor="_Toc216191120" w:history="1">
        <w:r w:rsidR="007A54F3" w:rsidRPr="007A54F3">
          <w:rPr>
            <w:rStyle w:val="Hipervnculo"/>
            <w:rFonts w:ascii="Arial" w:hAnsi="Arial" w:cs="Arial"/>
            <w:noProof/>
            <w:sz w:val="20"/>
            <w:szCs w:val="20"/>
          </w:rPr>
          <w:t>9. AREA DE CONCLUSIONES.</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_Toc216191120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52</w:t>
        </w:r>
        <w:r w:rsidR="00646A51" w:rsidRPr="007A54F3">
          <w:rPr>
            <w:rFonts w:ascii="Arial" w:hAnsi="Arial" w:cs="Arial"/>
            <w:noProof/>
            <w:webHidden/>
            <w:sz w:val="20"/>
            <w:szCs w:val="20"/>
          </w:rPr>
          <w:fldChar w:fldCharType="end"/>
        </w:r>
      </w:hyperlink>
    </w:p>
    <w:p w14:paraId="4DEE6995" w14:textId="77777777" w:rsidR="007A54F3" w:rsidRPr="00902360" w:rsidRDefault="00B06AF2">
      <w:pPr>
        <w:pStyle w:val="TDC1"/>
        <w:tabs>
          <w:tab w:val="right" w:leader="dot" w:pos="8726"/>
        </w:tabs>
        <w:rPr>
          <w:rFonts w:ascii="Arial" w:hAnsi="Arial" w:cs="Arial"/>
          <w:noProof/>
          <w:kern w:val="2"/>
          <w:sz w:val="20"/>
          <w:szCs w:val="20"/>
        </w:rPr>
      </w:pPr>
      <w:hyperlink w:anchor="_Toc216191125" w:history="1">
        <w:r w:rsidR="007A54F3" w:rsidRPr="007A54F3">
          <w:rPr>
            <w:rStyle w:val="Hipervnculo"/>
            <w:rFonts w:ascii="Arial" w:hAnsi="Arial" w:cs="Arial"/>
            <w:noProof/>
            <w:sz w:val="20"/>
            <w:szCs w:val="20"/>
          </w:rPr>
          <w:t>10. BIBLIOGRAFÍA</w:t>
        </w:r>
        <w:r w:rsidR="007A54F3" w:rsidRPr="007A54F3">
          <w:rPr>
            <w:rFonts w:ascii="Arial" w:hAnsi="Arial" w:cs="Arial"/>
            <w:noProof/>
            <w:webHidden/>
            <w:sz w:val="20"/>
            <w:szCs w:val="20"/>
          </w:rPr>
          <w:tab/>
        </w:r>
        <w:r w:rsidR="00646A51" w:rsidRPr="007A54F3">
          <w:rPr>
            <w:rFonts w:ascii="Arial" w:hAnsi="Arial" w:cs="Arial"/>
            <w:noProof/>
            <w:webHidden/>
            <w:sz w:val="20"/>
            <w:szCs w:val="20"/>
          </w:rPr>
          <w:fldChar w:fldCharType="begin"/>
        </w:r>
        <w:r w:rsidR="007A54F3" w:rsidRPr="007A54F3">
          <w:rPr>
            <w:rFonts w:ascii="Arial" w:hAnsi="Arial" w:cs="Arial"/>
            <w:noProof/>
            <w:webHidden/>
            <w:sz w:val="20"/>
            <w:szCs w:val="20"/>
          </w:rPr>
          <w:instrText xml:space="preserve"> PAGEREF _Toc216191125 \h </w:instrText>
        </w:r>
        <w:r w:rsidR="00646A51" w:rsidRPr="007A54F3">
          <w:rPr>
            <w:rFonts w:ascii="Arial" w:hAnsi="Arial" w:cs="Arial"/>
            <w:noProof/>
            <w:webHidden/>
            <w:sz w:val="20"/>
            <w:szCs w:val="20"/>
          </w:rPr>
        </w:r>
        <w:r w:rsidR="00646A51" w:rsidRPr="007A54F3">
          <w:rPr>
            <w:rFonts w:ascii="Arial" w:hAnsi="Arial" w:cs="Arial"/>
            <w:noProof/>
            <w:webHidden/>
            <w:sz w:val="20"/>
            <w:szCs w:val="20"/>
          </w:rPr>
          <w:fldChar w:fldCharType="separate"/>
        </w:r>
        <w:r w:rsidR="007A54F3" w:rsidRPr="007A54F3">
          <w:rPr>
            <w:rFonts w:ascii="Arial" w:hAnsi="Arial" w:cs="Arial"/>
            <w:noProof/>
            <w:webHidden/>
            <w:sz w:val="20"/>
            <w:szCs w:val="20"/>
          </w:rPr>
          <w:t>52</w:t>
        </w:r>
        <w:r w:rsidR="00646A51" w:rsidRPr="007A54F3">
          <w:rPr>
            <w:rFonts w:ascii="Arial" w:hAnsi="Arial" w:cs="Arial"/>
            <w:noProof/>
            <w:webHidden/>
            <w:sz w:val="20"/>
            <w:szCs w:val="20"/>
          </w:rPr>
          <w:fldChar w:fldCharType="end"/>
        </w:r>
      </w:hyperlink>
    </w:p>
    <w:p w14:paraId="4E554D93" w14:textId="77777777" w:rsidR="00BC3E8E" w:rsidRPr="006F6ABB" w:rsidRDefault="00646A51" w:rsidP="007A54F3">
      <w:pPr>
        <w:rPr>
          <w:rFonts w:ascii="Arial" w:hAnsi="Arial" w:cs="Arial"/>
          <w:color w:val="0000FF"/>
          <w:u w:val="single"/>
        </w:rPr>
      </w:pPr>
      <w:r w:rsidRPr="007A54F3">
        <w:rPr>
          <w:rFonts w:ascii="Arial" w:hAnsi="Arial" w:cs="Arial"/>
          <w:color w:val="0000FF"/>
          <w:sz w:val="20"/>
          <w:szCs w:val="20"/>
          <w:u w:val="single"/>
        </w:rPr>
        <w:fldChar w:fldCharType="end"/>
      </w:r>
    </w:p>
    <w:p w14:paraId="398DCF14" w14:textId="77777777" w:rsidR="00BC3E8E" w:rsidRDefault="00BC3E8E" w:rsidP="00BC3E8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 xml:space="preserve">Glosario: </w:t>
      </w:r>
    </w:p>
    <w:p w14:paraId="104E0178" w14:textId="77777777" w:rsidR="006A3B4B" w:rsidRDefault="006A3B4B" w:rsidP="00BC3E8E">
      <w:pPr>
        <w:pBdr>
          <w:top w:val="single" w:sz="4" w:space="1" w:color="auto"/>
          <w:left w:val="single" w:sz="4" w:space="4" w:color="auto"/>
          <w:bottom w:val="single" w:sz="4" w:space="1" w:color="auto"/>
          <w:right w:val="single" w:sz="4" w:space="4" w:color="auto"/>
        </w:pBdr>
        <w:rPr>
          <w:rFonts w:ascii="Arial" w:hAnsi="Arial" w:cs="Arial"/>
          <w:b/>
          <w:sz w:val="20"/>
          <w:szCs w:val="20"/>
        </w:rPr>
      </w:pPr>
    </w:p>
    <w:p w14:paraId="1B9B0BD9"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AAD: </w:t>
      </w:r>
      <w:r w:rsidRPr="00B7120A">
        <w:rPr>
          <w:rFonts w:ascii="Arial" w:hAnsi="Arial" w:cs="Arial"/>
          <w:sz w:val="20"/>
          <w:szCs w:val="20"/>
        </w:rPr>
        <w:t>American Academy of Dermatology</w:t>
      </w:r>
    </w:p>
    <w:p w14:paraId="2622409A"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ATSBC: Alternativas Terapéuticas de Similar Beneficio Clínico</w:t>
      </w:r>
    </w:p>
    <w:p w14:paraId="0B151357"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AZA: Azatioprina</w:t>
      </w:r>
    </w:p>
    <w:p w14:paraId="42939758" w14:textId="77777777" w:rsidR="00B5560A" w:rsidRDefault="00B5560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BSA: Afectación de la superficie corporal</w:t>
      </w:r>
    </w:p>
    <w:p w14:paraId="3321E14A"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CDER: </w:t>
      </w:r>
      <w:r w:rsidRPr="00DF6811">
        <w:rPr>
          <w:rFonts w:ascii="Arial" w:hAnsi="Arial" w:cs="Arial"/>
          <w:sz w:val="20"/>
          <w:szCs w:val="20"/>
        </w:rPr>
        <w:t>Center for Drug Evaluation and Research</w:t>
      </w:r>
    </w:p>
    <w:p w14:paraId="35CC90F3"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CI: Comparación indirecta</w:t>
      </w:r>
    </w:p>
    <w:p w14:paraId="03E1958B"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CS: Corticoides sistémicos</w:t>
      </w:r>
    </w:p>
    <w:p w14:paraId="0032B21E"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D0: Dosis inicial</w:t>
      </w:r>
    </w:p>
    <w:p w14:paraId="33E7DA5A" w14:textId="77777777" w:rsidR="00F7588A" w:rsidRPr="004B1636"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4B1636">
        <w:rPr>
          <w:rFonts w:ascii="Arial" w:hAnsi="Arial" w:cs="Arial"/>
          <w:bCs/>
          <w:sz w:val="20"/>
          <w:szCs w:val="20"/>
        </w:rPr>
        <w:t>DA: Dermatitis atópica</w:t>
      </w:r>
    </w:p>
    <w:p w14:paraId="60B0840A"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Dm: Dosis de mantenimiento</w:t>
      </w:r>
    </w:p>
    <w:p w14:paraId="6EC65796"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sz w:val="20"/>
          <w:szCs w:val="20"/>
        </w:rPr>
        <w:t>EA: Evento adverso</w:t>
      </w:r>
    </w:p>
    <w:p w14:paraId="4A1AFB2B" w14:textId="77777777" w:rsidR="00F7588A" w:rsidRPr="004B1636"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4B1636">
        <w:rPr>
          <w:rFonts w:ascii="Arial" w:hAnsi="Arial" w:cs="Arial"/>
          <w:bCs/>
          <w:sz w:val="20"/>
          <w:szCs w:val="20"/>
        </w:rPr>
        <w:t>EASI: Eczema Area and Severity Index</w:t>
      </w:r>
    </w:p>
    <w:p w14:paraId="08228D32" w14:textId="77777777" w:rsidR="00F7588A" w:rsidRPr="004B1636"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4B1636">
        <w:rPr>
          <w:rFonts w:ascii="Arial" w:hAnsi="Arial" w:cs="Arial"/>
          <w:bCs/>
          <w:sz w:val="20"/>
          <w:szCs w:val="20"/>
        </w:rPr>
        <w:t>EMA: Agencia europea del medicamento</w:t>
      </w:r>
    </w:p>
    <w:p w14:paraId="308F7235"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FDA: </w:t>
      </w:r>
      <w:r w:rsidRPr="00E161D1">
        <w:rPr>
          <w:rFonts w:ascii="Arial" w:hAnsi="Arial" w:cs="Arial"/>
          <w:sz w:val="20"/>
          <w:szCs w:val="20"/>
        </w:rPr>
        <w:t>Food and Drug Administration</w:t>
      </w:r>
    </w:p>
    <w:p w14:paraId="0A1D3A31" w14:textId="77777777" w:rsidR="00BD3FF1" w:rsidRDefault="00BD3FF1"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GPC: Guías de Práctica Clínica</w:t>
      </w:r>
    </w:p>
    <w:p w14:paraId="1E4E2299"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sidRPr="006A3B4B">
        <w:rPr>
          <w:rFonts w:ascii="Arial" w:hAnsi="Arial" w:cs="Arial"/>
          <w:sz w:val="20"/>
          <w:szCs w:val="20"/>
        </w:rPr>
        <w:t>IAC</w:t>
      </w:r>
      <w:r>
        <w:rPr>
          <w:rFonts w:ascii="Arial" w:hAnsi="Arial" w:cs="Arial"/>
          <w:sz w:val="20"/>
          <w:szCs w:val="20"/>
        </w:rPr>
        <w:t>: Comité de adjudicación independiente</w:t>
      </w:r>
    </w:p>
    <w:p w14:paraId="36921549"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4B1636">
        <w:rPr>
          <w:rFonts w:ascii="Arial" w:hAnsi="Arial" w:cs="Arial"/>
          <w:bCs/>
          <w:sz w:val="20"/>
          <w:szCs w:val="20"/>
        </w:rPr>
        <w:t>IGA: Investigator’s Global Assessment</w:t>
      </w:r>
    </w:p>
    <w:p w14:paraId="1D4752DC" w14:textId="77777777" w:rsidR="00F7588A" w:rsidRPr="004B1636"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IgE: Inmunoglobulina E</w:t>
      </w:r>
    </w:p>
    <w:p w14:paraId="54428462"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iJAK: Inhibidores de Janus Quinasa</w:t>
      </w:r>
    </w:p>
    <w:p w14:paraId="16DD81DD" w14:textId="77777777" w:rsidR="00F7588A" w:rsidRPr="00F14564"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F14564">
        <w:rPr>
          <w:rFonts w:ascii="Arial" w:hAnsi="Arial" w:cs="Arial"/>
          <w:bCs/>
          <w:sz w:val="20"/>
          <w:szCs w:val="20"/>
        </w:rPr>
        <w:t>ITT: Población por intención de tratar</w:t>
      </w:r>
    </w:p>
    <w:p w14:paraId="4ACBC218"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sidRPr="00742FA7">
        <w:rPr>
          <w:rFonts w:ascii="Arial" w:hAnsi="Arial" w:cs="Arial"/>
          <w:sz w:val="20"/>
          <w:szCs w:val="20"/>
        </w:rPr>
        <w:t>JAK</w:t>
      </w:r>
      <w:r>
        <w:rPr>
          <w:rFonts w:ascii="Arial" w:hAnsi="Arial" w:cs="Arial"/>
          <w:sz w:val="20"/>
          <w:szCs w:val="20"/>
        </w:rPr>
        <w:t xml:space="preserve">: </w:t>
      </w:r>
      <w:r w:rsidRPr="00E161D1">
        <w:rPr>
          <w:rFonts w:ascii="Arial" w:hAnsi="Arial" w:cs="Arial"/>
          <w:sz w:val="20"/>
          <w:szCs w:val="20"/>
        </w:rPr>
        <w:t>Janus kinase</w:t>
      </w:r>
    </w:p>
    <w:p w14:paraId="05E1DF26" w14:textId="77777777" w:rsidR="00F7588A" w:rsidRPr="001A686D"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sidRPr="001A686D">
        <w:rPr>
          <w:rFonts w:ascii="Arial" w:hAnsi="Arial" w:cs="Arial"/>
          <w:sz w:val="20"/>
          <w:szCs w:val="20"/>
        </w:rPr>
        <w:t xml:space="preserve">JDA: Japanese Dermatological Association </w:t>
      </w:r>
    </w:p>
    <w:p w14:paraId="453A72C5" w14:textId="77777777" w:rsidR="00F7588A" w:rsidRPr="00C80ACF"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MMF: Micofenolato de mofetilo</w:t>
      </w:r>
    </w:p>
    <w:p w14:paraId="6E51D1B8"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MTX: Metotrexato</w:t>
      </w:r>
    </w:p>
    <w:p w14:paraId="53E77E19"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C80ACF">
        <w:rPr>
          <w:rFonts w:ascii="Arial" w:hAnsi="Arial" w:cs="Arial"/>
          <w:bCs/>
          <w:sz w:val="20"/>
          <w:szCs w:val="20"/>
        </w:rPr>
        <w:t>NICE: National Institute for Health and Care Excellence</w:t>
      </w:r>
    </w:p>
    <w:p w14:paraId="72DD6177"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 xml:space="preserve">NRS: </w:t>
      </w:r>
      <w:r w:rsidRPr="004B1636">
        <w:rPr>
          <w:rFonts w:ascii="Arial" w:hAnsi="Arial" w:cs="Arial"/>
          <w:bCs/>
          <w:sz w:val="20"/>
          <w:szCs w:val="20"/>
        </w:rPr>
        <w:t>Numeric Rating Scale</w:t>
      </w:r>
    </w:p>
    <w:p w14:paraId="31F11103" w14:textId="77777777" w:rsidR="00F7588A" w:rsidRPr="00F14564"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F14564">
        <w:rPr>
          <w:rFonts w:ascii="Arial" w:hAnsi="Arial" w:cs="Arial"/>
          <w:bCs/>
          <w:sz w:val="20"/>
          <w:szCs w:val="20"/>
        </w:rPr>
        <w:t>PP: Población por protocolo</w:t>
      </w:r>
    </w:p>
    <w:p w14:paraId="08266075" w14:textId="77777777" w:rsidR="00F7588A" w:rsidRP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F7588A">
        <w:rPr>
          <w:rFonts w:ascii="Arial" w:hAnsi="Arial" w:cs="Arial"/>
          <w:bCs/>
          <w:sz w:val="20"/>
          <w:szCs w:val="20"/>
        </w:rPr>
        <w:t>PP-NRS: Peak Pruritus Numerical Rating Scale</w:t>
      </w:r>
    </w:p>
    <w:p w14:paraId="434F1D1B"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 xml:space="preserve">PRO: Observación </w:t>
      </w:r>
      <w:r w:rsidRPr="008B2181">
        <w:rPr>
          <w:rFonts w:ascii="Arial" w:hAnsi="Arial" w:cs="Arial"/>
          <w:bCs/>
          <w:sz w:val="20"/>
          <w:szCs w:val="20"/>
        </w:rPr>
        <w:t xml:space="preserve">reportada por el paciente </w:t>
      </w:r>
    </w:p>
    <w:p w14:paraId="4D1C5BEA"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Q2W: Cada 2 semanas</w:t>
      </w:r>
    </w:p>
    <w:p w14:paraId="53FF084F"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Q4W: Cada 4 semanas</w:t>
      </w:r>
    </w:p>
    <w:p w14:paraId="79EE928A"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Q8W: Cada 8 semanas</w:t>
      </w:r>
    </w:p>
    <w:p w14:paraId="5078C226"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QD: Cada día</w:t>
      </w:r>
    </w:p>
    <w:p w14:paraId="43BD1C1F"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sz w:val="20"/>
          <w:szCs w:val="20"/>
        </w:rPr>
        <w:t>SC: Subcutánea</w:t>
      </w:r>
    </w:p>
    <w:p w14:paraId="48ECB5D1"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 xml:space="preserve">SCORAD: </w:t>
      </w:r>
      <w:r w:rsidRPr="004B1636">
        <w:rPr>
          <w:rFonts w:ascii="Arial" w:hAnsi="Arial" w:cs="Arial"/>
          <w:bCs/>
          <w:sz w:val="20"/>
          <w:szCs w:val="20"/>
        </w:rPr>
        <w:t>Scoring Atopic Dermatitis</w:t>
      </w:r>
    </w:p>
    <w:p w14:paraId="3C07E3A0"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547734">
        <w:rPr>
          <w:rFonts w:ascii="Arial" w:hAnsi="Arial" w:cs="Arial"/>
          <w:bCs/>
          <w:sz w:val="20"/>
          <w:szCs w:val="20"/>
        </w:rPr>
        <w:t>SD-NRS: Sleep Disturbance NRS</w:t>
      </w:r>
    </w:p>
    <w:p w14:paraId="15B43CA8" w14:textId="77777777" w:rsidR="00F7588A" w:rsidRP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F7588A">
        <w:rPr>
          <w:rFonts w:ascii="Arial" w:hAnsi="Arial" w:cs="Arial"/>
          <w:bCs/>
          <w:sz w:val="20"/>
          <w:szCs w:val="20"/>
        </w:rPr>
        <w:t>SD-NRS: Sleep Disturbance Numerical Rating Scale</w:t>
      </w:r>
    </w:p>
    <w:p w14:paraId="3E87B01B" w14:textId="77777777" w:rsidR="00F7588A" w:rsidRPr="00547734"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TCI: Inhibidores de Calcineuria Tópicos</w:t>
      </w:r>
    </w:p>
    <w:p w14:paraId="767BC2B0" w14:textId="77777777" w:rsidR="00F7588A" w:rsidRDefault="00F7588A"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TCS: Corticoides Tópicos</w:t>
      </w:r>
    </w:p>
    <w:p w14:paraId="04E8D3B3" w14:textId="77777777" w:rsidR="00BC3E8E" w:rsidRDefault="00BC3E8E" w:rsidP="00BC3E8E">
      <w:pPr>
        <w:pBdr>
          <w:top w:val="single" w:sz="4" w:space="1" w:color="auto"/>
          <w:left w:val="single" w:sz="4" w:space="4" w:color="auto"/>
          <w:bottom w:val="single" w:sz="4" w:space="1" w:color="auto"/>
          <w:right w:val="single" w:sz="4" w:space="4" w:color="auto"/>
        </w:pBdr>
        <w:rPr>
          <w:rFonts w:ascii="Arial" w:hAnsi="Arial" w:cs="Arial"/>
          <w:b/>
          <w:sz w:val="20"/>
          <w:szCs w:val="20"/>
        </w:rPr>
      </w:pPr>
    </w:p>
    <w:p w14:paraId="730E33F2" w14:textId="77777777" w:rsidR="00BC3E8E" w:rsidRDefault="00BC3E8E" w:rsidP="00A764D8">
      <w:pPr>
        <w:jc w:val="both"/>
        <w:rPr>
          <w:rFonts w:ascii="Arial" w:hAnsi="Arial" w:cs="Arial"/>
          <w:b/>
          <w:sz w:val="20"/>
          <w:szCs w:val="20"/>
        </w:rPr>
      </w:pPr>
    </w:p>
    <w:p w14:paraId="02EBB46B" w14:textId="77777777" w:rsidR="00BC3E8E" w:rsidRDefault="00BC3E8E" w:rsidP="00A764D8">
      <w:pPr>
        <w:jc w:val="both"/>
        <w:rPr>
          <w:rFonts w:ascii="Arial" w:hAnsi="Arial" w:cs="Arial"/>
          <w:b/>
          <w:sz w:val="20"/>
          <w:szCs w:val="20"/>
        </w:rPr>
      </w:pPr>
      <w:r>
        <w:rPr>
          <w:rFonts w:ascii="Arial" w:hAnsi="Arial" w:cs="Arial"/>
          <w:b/>
          <w:sz w:val="20"/>
          <w:szCs w:val="20"/>
        </w:rPr>
        <w:t>Citar este informe como:</w:t>
      </w:r>
    </w:p>
    <w:p w14:paraId="277516C2" w14:textId="77777777" w:rsidR="00BC3E8E" w:rsidRPr="00D36392" w:rsidRDefault="00D36392" w:rsidP="00A764D8">
      <w:pPr>
        <w:jc w:val="both"/>
        <w:rPr>
          <w:rFonts w:ascii="Arial" w:hAnsi="Arial" w:cs="Arial"/>
          <w:bCs/>
          <w:sz w:val="20"/>
          <w:szCs w:val="20"/>
        </w:rPr>
      </w:pPr>
      <w:r w:rsidRPr="00D36392">
        <w:rPr>
          <w:rFonts w:ascii="Arial" w:hAnsi="Arial" w:cs="Arial"/>
          <w:bCs/>
          <w:sz w:val="20"/>
          <w:szCs w:val="20"/>
        </w:rPr>
        <w:t>González Romero, C; Alegre del Rey, E; Fénix</w:t>
      </w:r>
      <w:r w:rsidR="00316779">
        <w:rPr>
          <w:rFonts w:ascii="Arial" w:hAnsi="Arial" w:cs="Arial"/>
          <w:bCs/>
          <w:sz w:val="20"/>
          <w:szCs w:val="20"/>
        </w:rPr>
        <w:t xml:space="preserve"> Caballero</w:t>
      </w:r>
      <w:r w:rsidRPr="00D36392">
        <w:rPr>
          <w:rFonts w:ascii="Arial" w:hAnsi="Arial" w:cs="Arial"/>
          <w:bCs/>
          <w:sz w:val="20"/>
          <w:szCs w:val="20"/>
        </w:rPr>
        <w:t>, S. Nemolizumab en el tratamiento de la dermatitis atópica</w:t>
      </w:r>
      <w:r w:rsidR="007F7FCC">
        <w:rPr>
          <w:rFonts w:ascii="Arial" w:hAnsi="Arial" w:cs="Arial"/>
          <w:bCs/>
          <w:sz w:val="20"/>
          <w:szCs w:val="20"/>
        </w:rPr>
        <w:t xml:space="preserve"> moderada-grave</w:t>
      </w:r>
      <w:r w:rsidRPr="00D36392">
        <w:rPr>
          <w:rFonts w:ascii="Arial" w:hAnsi="Arial" w:cs="Arial"/>
          <w:bCs/>
          <w:sz w:val="20"/>
          <w:szCs w:val="20"/>
        </w:rPr>
        <w:t>. Informe</w:t>
      </w:r>
      <w:r>
        <w:rPr>
          <w:rFonts w:ascii="Arial" w:hAnsi="Arial" w:cs="Arial"/>
          <w:bCs/>
          <w:sz w:val="20"/>
          <w:szCs w:val="20"/>
        </w:rPr>
        <w:t xml:space="preserve"> compartido del</w:t>
      </w:r>
      <w:r w:rsidRPr="00D36392">
        <w:rPr>
          <w:rFonts w:ascii="Arial" w:hAnsi="Arial" w:cs="Arial"/>
          <w:bCs/>
          <w:sz w:val="20"/>
          <w:szCs w:val="20"/>
        </w:rPr>
        <w:t xml:space="preserve"> GENESIS-SEFH.</w:t>
      </w:r>
      <w:r>
        <w:rPr>
          <w:rFonts w:ascii="Arial" w:hAnsi="Arial" w:cs="Arial"/>
          <w:bCs/>
          <w:sz w:val="20"/>
          <w:szCs w:val="20"/>
        </w:rPr>
        <w:t xml:space="preserve">MADRID: SEFH (ed.), </w:t>
      </w:r>
      <w:r w:rsidRPr="00D36392">
        <w:rPr>
          <w:rFonts w:ascii="Arial" w:hAnsi="Arial" w:cs="Arial"/>
          <w:bCs/>
          <w:sz w:val="20"/>
          <w:szCs w:val="20"/>
        </w:rPr>
        <w:t>2025.</w:t>
      </w:r>
      <w:r>
        <w:rPr>
          <w:rFonts w:ascii="Arial" w:hAnsi="Arial" w:cs="Arial"/>
          <w:bCs/>
          <w:sz w:val="20"/>
          <w:szCs w:val="20"/>
        </w:rPr>
        <w:t xml:space="preserve"> ISBN (Fecha de consulta)</w:t>
      </w:r>
    </w:p>
    <w:p w14:paraId="51F6D88F" w14:textId="77777777" w:rsidR="00D36392" w:rsidRDefault="00D36392" w:rsidP="00A764D8">
      <w:pPr>
        <w:jc w:val="both"/>
        <w:rPr>
          <w:rFonts w:ascii="Arial" w:hAnsi="Arial" w:cs="Arial"/>
          <w:sz w:val="20"/>
          <w:szCs w:val="20"/>
        </w:rPr>
      </w:pPr>
      <w:r w:rsidRPr="00EE013C">
        <w:rPr>
          <w:rFonts w:ascii="Arial" w:hAnsi="Arial" w:cs="Arial"/>
          <w:sz w:val="20"/>
          <w:szCs w:val="20"/>
        </w:rPr>
        <w:lastRenderedPageBreak/>
        <w:t xml:space="preserve">Disponible en: </w:t>
      </w:r>
      <w:hyperlink r:id="rId8" w:history="1">
        <w:r w:rsidRPr="00EE013C">
          <w:rPr>
            <w:rStyle w:val="Hipervnculo"/>
            <w:rFonts w:ascii="Arial" w:hAnsi="Arial" w:cs="Arial"/>
            <w:sz w:val="20"/>
            <w:szCs w:val="20"/>
          </w:rPr>
          <w:t>http://gruposdetrabajo.sefh.es/genesis/genesis/Enlaces/InformesHosp_abc.htm</w:t>
        </w:r>
      </w:hyperlink>
    </w:p>
    <w:p w14:paraId="05DECCC1" w14:textId="77777777" w:rsidR="00D36392" w:rsidRPr="00EE013C" w:rsidRDefault="00D36392" w:rsidP="00A764D8">
      <w:pPr>
        <w:jc w:val="both"/>
        <w:rPr>
          <w:rFonts w:ascii="Arial" w:hAnsi="Arial" w:cs="Arial"/>
          <w:sz w:val="20"/>
          <w:szCs w:val="20"/>
        </w:rPr>
      </w:pPr>
      <w:r w:rsidRPr="00EE013C">
        <w:rPr>
          <w:rFonts w:ascii="Arial" w:hAnsi="Arial" w:cs="Arial"/>
          <w:sz w:val="20"/>
          <w:szCs w:val="20"/>
        </w:rPr>
        <w:t xml:space="preserve">También en: </w:t>
      </w:r>
      <w:hyperlink r:id="rId9" w:history="1">
        <w:r w:rsidRPr="00EE013C">
          <w:rPr>
            <w:rStyle w:val="Hipervnculo"/>
            <w:rFonts w:ascii="Arial" w:hAnsi="Arial" w:cs="Arial"/>
            <w:sz w:val="20"/>
            <w:szCs w:val="20"/>
          </w:rPr>
          <w:t>http://gruposdetrabajo.sefh.es/genesis/</w:t>
        </w:r>
      </w:hyperlink>
    </w:p>
    <w:p w14:paraId="4F61C3AE" w14:textId="77777777" w:rsidR="00D36392" w:rsidRDefault="00D36392" w:rsidP="00A764D8">
      <w:pPr>
        <w:jc w:val="both"/>
        <w:rPr>
          <w:rFonts w:ascii="Arial" w:hAnsi="Arial" w:cs="Arial"/>
          <w:sz w:val="20"/>
          <w:szCs w:val="20"/>
        </w:rPr>
      </w:pPr>
    </w:p>
    <w:p w14:paraId="749CD38F" w14:textId="77777777" w:rsidR="00D36392" w:rsidRDefault="00D36392" w:rsidP="00A764D8">
      <w:pPr>
        <w:jc w:val="both"/>
        <w:rPr>
          <w:rFonts w:ascii="Arial" w:hAnsi="Arial" w:cs="Arial"/>
          <w:b/>
          <w:sz w:val="20"/>
          <w:szCs w:val="20"/>
        </w:rPr>
      </w:pPr>
    </w:p>
    <w:p w14:paraId="3F6CFDA0" w14:textId="77777777" w:rsidR="00BC3E8E" w:rsidRPr="006F6ABB" w:rsidRDefault="00BC3E8E" w:rsidP="00A764D8">
      <w:pPr>
        <w:jc w:val="both"/>
        <w:rPr>
          <w:rFonts w:ascii="Arial" w:hAnsi="Arial" w:cs="Arial"/>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73D5F1B2" w14:textId="77777777" w:rsidTr="00BC3E8E">
        <w:trPr>
          <w:trHeight w:val="131"/>
        </w:trPr>
        <w:tc>
          <w:tcPr>
            <w:tcW w:w="8890" w:type="dxa"/>
            <w:tcBorders>
              <w:top w:val="single" w:sz="4" w:space="0" w:color="auto"/>
              <w:left w:val="single" w:sz="4" w:space="0" w:color="auto"/>
              <w:bottom w:val="single" w:sz="4" w:space="0" w:color="auto"/>
              <w:right w:val="single" w:sz="4" w:space="0" w:color="auto"/>
            </w:tcBorders>
            <w:shd w:val="clear" w:color="auto" w:fill="BFBFBF"/>
          </w:tcPr>
          <w:p w14:paraId="534AB386" w14:textId="77777777" w:rsidR="00BC3E8E" w:rsidRPr="00AA1167" w:rsidRDefault="00BC3E8E" w:rsidP="00A764D8">
            <w:pPr>
              <w:pStyle w:val="Ttulo1"/>
              <w:shd w:val="clear" w:color="auto" w:fill="A6A6A6"/>
              <w:jc w:val="both"/>
              <w:rPr>
                <w:rFonts w:ascii="Arial" w:hAnsi="Arial" w:cs="Arial"/>
                <w:bCs w:val="0"/>
                <w:kern w:val="0"/>
                <w:sz w:val="20"/>
                <w:szCs w:val="20"/>
              </w:rPr>
            </w:pPr>
            <w:bookmarkStart w:id="1" w:name="_Toc344399618"/>
            <w:bookmarkStart w:id="2" w:name="_Toc348931345"/>
            <w:bookmarkStart w:id="3" w:name="_Toc216191068"/>
            <w:r w:rsidRPr="00AA1167">
              <w:rPr>
                <w:rFonts w:ascii="Arial" w:hAnsi="Arial" w:cs="Arial"/>
                <w:bCs w:val="0"/>
                <w:kern w:val="0"/>
                <w:sz w:val="20"/>
                <w:szCs w:val="20"/>
              </w:rPr>
              <w:t>1.- IDENTIFICACIÓN DEL FÁRMACO Y AUTORES DEL INFORME</w:t>
            </w:r>
            <w:bookmarkEnd w:id="1"/>
            <w:bookmarkEnd w:id="2"/>
            <w:bookmarkEnd w:id="3"/>
          </w:p>
        </w:tc>
      </w:tr>
    </w:tbl>
    <w:p w14:paraId="71A62795" w14:textId="77777777" w:rsidR="00BC3E8E" w:rsidRPr="006F6ABB" w:rsidRDefault="00BC3E8E" w:rsidP="00A764D8">
      <w:pPr>
        <w:jc w:val="both"/>
        <w:rPr>
          <w:rFonts w:ascii="Arial" w:hAnsi="Arial" w:cs="Arial"/>
          <w:sz w:val="20"/>
          <w:szCs w:val="20"/>
        </w:rPr>
      </w:pPr>
    </w:p>
    <w:p w14:paraId="0E496AF4" w14:textId="77777777" w:rsidR="00BC3E8E" w:rsidRPr="006F6ABB" w:rsidRDefault="00BC3E8E" w:rsidP="00A764D8">
      <w:pPr>
        <w:jc w:val="both"/>
        <w:rPr>
          <w:rFonts w:ascii="Arial" w:hAnsi="Arial" w:cs="Arial"/>
          <w:sz w:val="20"/>
          <w:szCs w:val="20"/>
        </w:rPr>
      </w:pPr>
      <w:r w:rsidRPr="006F6ABB">
        <w:rPr>
          <w:rFonts w:ascii="Arial" w:hAnsi="Arial" w:cs="Arial"/>
          <w:b/>
          <w:bCs/>
          <w:sz w:val="20"/>
          <w:szCs w:val="20"/>
        </w:rPr>
        <w:t>Fármaco</w:t>
      </w:r>
      <w:r w:rsidRPr="006F6ABB">
        <w:rPr>
          <w:rFonts w:ascii="Arial" w:hAnsi="Arial" w:cs="Arial"/>
          <w:sz w:val="20"/>
          <w:szCs w:val="20"/>
        </w:rPr>
        <w:t xml:space="preserve">: </w:t>
      </w:r>
      <w:r w:rsidR="00D36392">
        <w:rPr>
          <w:rFonts w:ascii="Arial" w:hAnsi="Arial" w:cs="Arial"/>
          <w:sz w:val="20"/>
          <w:szCs w:val="20"/>
        </w:rPr>
        <w:t>Nemolizumab</w:t>
      </w:r>
    </w:p>
    <w:p w14:paraId="3198D4CE" w14:textId="77777777" w:rsidR="00BC3E8E" w:rsidRDefault="00BC3E8E" w:rsidP="00A764D8">
      <w:pPr>
        <w:jc w:val="both"/>
        <w:rPr>
          <w:rFonts w:ascii="Arial" w:hAnsi="Arial" w:cs="Arial"/>
          <w:sz w:val="20"/>
          <w:szCs w:val="20"/>
        </w:rPr>
      </w:pPr>
      <w:r w:rsidRPr="006F6ABB">
        <w:rPr>
          <w:rFonts w:ascii="Arial" w:hAnsi="Arial" w:cs="Arial"/>
          <w:b/>
          <w:bCs/>
          <w:sz w:val="20"/>
          <w:szCs w:val="20"/>
        </w:rPr>
        <w:t>Indicación clínica solicitada:</w:t>
      </w:r>
      <w:r w:rsidRPr="006F6ABB">
        <w:rPr>
          <w:rFonts w:ascii="Arial" w:hAnsi="Arial" w:cs="Arial"/>
          <w:sz w:val="20"/>
          <w:szCs w:val="20"/>
        </w:rPr>
        <w:t xml:space="preserve"> </w:t>
      </w:r>
      <w:r w:rsidR="00D36392">
        <w:rPr>
          <w:rFonts w:ascii="Arial" w:hAnsi="Arial" w:cs="Arial"/>
          <w:sz w:val="20"/>
          <w:szCs w:val="20"/>
        </w:rPr>
        <w:t>Dermatitis atópica</w:t>
      </w:r>
      <w:r w:rsidR="007F7FCC">
        <w:rPr>
          <w:rFonts w:ascii="Arial" w:hAnsi="Arial" w:cs="Arial"/>
          <w:sz w:val="20"/>
          <w:szCs w:val="20"/>
        </w:rPr>
        <w:t xml:space="preserve"> de moderada a grave en pacientes a partir de 12 años de edad que son candidatos para el tratamiento sistémico. </w:t>
      </w:r>
    </w:p>
    <w:p w14:paraId="4F28A539" w14:textId="77FF87F8" w:rsidR="00BC3E8E" w:rsidRDefault="00BC3E8E" w:rsidP="00A764D8">
      <w:pPr>
        <w:jc w:val="both"/>
        <w:rPr>
          <w:rFonts w:ascii="Arial" w:hAnsi="Arial" w:cs="Arial"/>
          <w:sz w:val="20"/>
          <w:szCs w:val="20"/>
        </w:rPr>
      </w:pPr>
      <w:r w:rsidRPr="006F6ABB">
        <w:rPr>
          <w:rFonts w:ascii="Arial" w:hAnsi="Arial" w:cs="Arial"/>
          <w:b/>
          <w:bCs/>
          <w:sz w:val="20"/>
          <w:szCs w:val="20"/>
        </w:rPr>
        <w:t xml:space="preserve">Autores / Revisores: </w:t>
      </w:r>
      <w:r w:rsidR="00D36392" w:rsidRPr="00A5136A">
        <w:rPr>
          <w:rFonts w:ascii="Arial" w:hAnsi="Arial" w:cs="Arial"/>
          <w:sz w:val="20"/>
          <w:szCs w:val="20"/>
        </w:rPr>
        <w:t>Cristina González Romero</w:t>
      </w:r>
      <w:r w:rsidR="00A5136A">
        <w:rPr>
          <w:rFonts w:ascii="Arial" w:hAnsi="Arial" w:cs="Arial"/>
          <w:sz w:val="20"/>
          <w:szCs w:val="20"/>
        </w:rPr>
        <w:t>*</w:t>
      </w:r>
      <w:r w:rsidR="00D36392" w:rsidRPr="00A5136A">
        <w:rPr>
          <w:rFonts w:ascii="Arial" w:hAnsi="Arial" w:cs="Arial"/>
          <w:sz w:val="20"/>
          <w:szCs w:val="20"/>
        </w:rPr>
        <w:t>/ Emilio Alegre del Rey</w:t>
      </w:r>
      <w:r w:rsidR="00C80ACF">
        <w:rPr>
          <w:rFonts w:ascii="Arial" w:hAnsi="Arial" w:cs="Arial"/>
          <w:sz w:val="20"/>
          <w:szCs w:val="20"/>
        </w:rPr>
        <w:t>**</w:t>
      </w:r>
      <w:r w:rsidR="00D36392" w:rsidRPr="00A5136A">
        <w:rPr>
          <w:rFonts w:ascii="Arial" w:hAnsi="Arial" w:cs="Arial"/>
          <w:sz w:val="20"/>
          <w:szCs w:val="20"/>
        </w:rPr>
        <w:t xml:space="preserve"> y Silvia </w:t>
      </w:r>
      <w:r w:rsidR="00F615CB" w:rsidRPr="00A5136A">
        <w:rPr>
          <w:rFonts w:ascii="Arial" w:hAnsi="Arial" w:cs="Arial"/>
          <w:sz w:val="20"/>
          <w:szCs w:val="20"/>
        </w:rPr>
        <w:t>Fénix</w:t>
      </w:r>
      <w:r w:rsidR="00F615CB">
        <w:rPr>
          <w:rFonts w:ascii="Arial" w:hAnsi="Arial" w:cs="Arial"/>
          <w:sz w:val="20"/>
          <w:szCs w:val="20"/>
        </w:rPr>
        <w:t xml:space="preserve"> Caballero</w:t>
      </w:r>
      <w:r w:rsidR="00A5136A">
        <w:rPr>
          <w:rFonts w:ascii="Arial" w:hAnsi="Arial" w:cs="Arial"/>
          <w:sz w:val="20"/>
          <w:szCs w:val="20"/>
        </w:rPr>
        <w:t>**</w:t>
      </w:r>
      <w:r w:rsidR="00693F7E" w:rsidRPr="00693F7E">
        <w:rPr>
          <w:rFonts w:ascii="Arial" w:hAnsi="Arial" w:cs="Arial"/>
          <w:sz w:val="20"/>
          <w:szCs w:val="20"/>
        </w:rPr>
        <w:t>Martinez Lopez de Castro, Noemi</w:t>
      </w:r>
      <w:r w:rsidR="00693F7E">
        <w:rPr>
          <w:rFonts w:ascii="Arial" w:hAnsi="Arial" w:cs="Arial"/>
          <w:sz w:val="20"/>
          <w:szCs w:val="20"/>
        </w:rPr>
        <w:t>***</w:t>
      </w:r>
    </w:p>
    <w:p w14:paraId="655752FF" w14:textId="77777777" w:rsidR="00A5136A" w:rsidRDefault="00A5136A" w:rsidP="00A764D8">
      <w:pPr>
        <w:jc w:val="both"/>
        <w:rPr>
          <w:rFonts w:ascii="Arial" w:hAnsi="Arial" w:cs="Arial"/>
          <w:sz w:val="20"/>
          <w:szCs w:val="20"/>
        </w:rPr>
      </w:pPr>
      <w:r>
        <w:rPr>
          <w:rFonts w:ascii="Arial" w:hAnsi="Arial" w:cs="Arial"/>
          <w:sz w:val="20"/>
          <w:szCs w:val="20"/>
        </w:rPr>
        <w:t>*</w:t>
      </w:r>
      <w:r w:rsidR="00FE18E3">
        <w:rPr>
          <w:rFonts w:ascii="Arial" w:hAnsi="Arial" w:cs="Arial"/>
          <w:sz w:val="20"/>
          <w:szCs w:val="20"/>
        </w:rPr>
        <w:t xml:space="preserve"> Servicio de</w:t>
      </w:r>
      <w:r w:rsidR="00494C98">
        <w:rPr>
          <w:rFonts w:ascii="Arial" w:hAnsi="Arial" w:cs="Arial"/>
          <w:sz w:val="20"/>
          <w:szCs w:val="20"/>
        </w:rPr>
        <w:t xml:space="preserve"> </w:t>
      </w:r>
      <w:r w:rsidR="00FE18E3">
        <w:rPr>
          <w:rFonts w:ascii="Arial" w:hAnsi="Arial" w:cs="Arial"/>
          <w:sz w:val="20"/>
          <w:szCs w:val="20"/>
        </w:rPr>
        <w:t xml:space="preserve">Farmacia. </w:t>
      </w:r>
      <w:r>
        <w:rPr>
          <w:rFonts w:ascii="Arial" w:hAnsi="Arial" w:cs="Arial"/>
          <w:sz w:val="20"/>
          <w:szCs w:val="20"/>
        </w:rPr>
        <w:t>Complejo Hospitalario Universitario de Albacete</w:t>
      </w:r>
      <w:r w:rsidR="00FE18E3">
        <w:rPr>
          <w:rFonts w:ascii="Arial" w:hAnsi="Arial" w:cs="Arial"/>
          <w:sz w:val="20"/>
          <w:szCs w:val="20"/>
        </w:rPr>
        <w:t>.</w:t>
      </w:r>
    </w:p>
    <w:p w14:paraId="6217F1ED" w14:textId="77777777" w:rsidR="00A5136A" w:rsidRDefault="00A5136A" w:rsidP="00A764D8">
      <w:pPr>
        <w:jc w:val="both"/>
        <w:rPr>
          <w:rFonts w:ascii="Arial" w:hAnsi="Arial" w:cs="Arial"/>
          <w:sz w:val="20"/>
          <w:szCs w:val="20"/>
        </w:rPr>
      </w:pPr>
      <w:r>
        <w:rPr>
          <w:rFonts w:ascii="Arial" w:hAnsi="Arial" w:cs="Arial"/>
          <w:sz w:val="20"/>
          <w:szCs w:val="20"/>
        </w:rPr>
        <w:t xml:space="preserve">** </w:t>
      </w:r>
      <w:r w:rsidR="00FE18E3">
        <w:rPr>
          <w:rFonts w:ascii="Arial" w:hAnsi="Arial" w:cs="Arial"/>
          <w:sz w:val="20"/>
          <w:szCs w:val="20"/>
        </w:rPr>
        <w:t>Servicio de</w:t>
      </w:r>
      <w:r w:rsidR="00494C98">
        <w:rPr>
          <w:rFonts w:ascii="Arial" w:hAnsi="Arial" w:cs="Arial"/>
          <w:sz w:val="20"/>
          <w:szCs w:val="20"/>
        </w:rPr>
        <w:t xml:space="preserve"> </w:t>
      </w:r>
      <w:r w:rsidR="00FE18E3">
        <w:rPr>
          <w:rFonts w:ascii="Arial" w:hAnsi="Arial" w:cs="Arial"/>
          <w:sz w:val="20"/>
          <w:szCs w:val="20"/>
        </w:rPr>
        <w:t xml:space="preserve">Farmacia. </w:t>
      </w:r>
      <w:r>
        <w:rPr>
          <w:rFonts w:ascii="Arial" w:hAnsi="Arial" w:cs="Arial"/>
          <w:sz w:val="20"/>
          <w:szCs w:val="20"/>
        </w:rPr>
        <w:t xml:space="preserve">Hospital </w:t>
      </w:r>
      <w:r w:rsidR="00B20726">
        <w:rPr>
          <w:rFonts w:ascii="Arial" w:hAnsi="Arial" w:cs="Arial"/>
          <w:sz w:val="20"/>
          <w:szCs w:val="20"/>
        </w:rPr>
        <w:t>Universitario</w:t>
      </w:r>
      <w:r>
        <w:rPr>
          <w:rFonts w:ascii="Arial" w:hAnsi="Arial" w:cs="Arial"/>
          <w:sz w:val="20"/>
          <w:szCs w:val="20"/>
        </w:rPr>
        <w:t xml:space="preserve"> Puerto Real</w:t>
      </w:r>
      <w:r w:rsidR="00FE18E3">
        <w:rPr>
          <w:rFonts w:ascii="Arial" w:hAnsi="Arial" w:cs="Arial"/>
          <w:sz w:val="20"/>
          <w:szCs w:val="20"/>
        </w:rPr>
        <w:t>.</w:t>
      </w:r>
    </w:p>
    <w:p w14:paraId="074965CE" w14:textId="5AB888EB" w:rsidR="00693F7E" w:rsidRPr="00A5136A" w:rsidRDefault="00693F7E" w:rsidP="00A764D8">
      <w:pPr>
        <w:jc w:val="both"/>
        <w:rPr>
          <w:rFonts w:ascii="Arial" w:hAnsi="Arial" w:cs="Arial"/>
          <w:sz w:val="20"/>
          <w:szCs w:val="20"/>
        </w:rPr>
      </w:pPr>
      <w:r>
        <w:rPr>
          <w:rFonts w:ascii="Arial" w:hAnsi="Arial" w:cs="Arial"/>
          <w:sz w:val="20"/>
          <w:szCs w:val="20"/>
        </w:rPr>
        <w:t>***Área sanitaria de Vigo</w:t>
      </w:r>
    </w:p>
    <w:p w14:paraId="4BA90383" w14:textId="77777777" w:rsidR="00BC3E8E" w:rsidRPr="006F6ABB" w:rsidRDefault="00BC3E8E" w:rsidP="00A764D8">
      <w:pPr>
        <w:jc w:val="both"/>
        <w:rPr>
          <w:rFonts w:ascii="Arial" w:hAnsi="Arial" w:cs="Arial"/>
          <w:color w:val="C00000"/>
          <w:sz w:val="20"/>
          <w:szCs w:val="20"/>
        </w:rPr>
      </w:pPr>
      <w:r w:rsidRPr="006F6ABB">
        <w:rPr>
          <w:rFonts w:ascii="Arial" w:hAnsi="Arial" w:cs="Arial"/>
          <w:b/>
          <w:bCs/>
          <w:sz w:val="20"/>
          <w:szCs w:val="20"/>
        </w:rPr>
        <w:t>Tipo de informe</w:t>
      </w:r>
      <w:r>
        <w:rPr>
          <w:rFonts w:ascii="Arial" w:hAnsi="Arial" w:cs="Arial"/>
          <w:b/>
          <w:bCs/>
          <w:sz w:val="20"/>
          <w:szCs w:val="20"/>
        </w:rPr>
        <w:t>:</w:t>
      </w:r>
      <w:r w:rsidR="00A5136A">
        <w:rPr>
          <w:rFonts w:ascii="Arial" w:hAnsi="Arial" w:cs="Arial"/>
          <w:b/>
          <w:bCs/>
          <w:sz w:val="20"/>
          <w:szCs w:val="20"/>
        </w:rPr>
        <w:t xml:space="preserve"> </w:t>
      </w:r>
      <w:r w:rsidR="00A5136A" w:rsidRPr="00A5136A">
        <w:rPr>
          <w:rFonts w:ascii="Arial" w:hAnsi="Arial" w:cs="Arial"/>
          <w:sz w:val="20"/>
          <w:szCs w:val="20"/>
        </w:rPr>
        <w:t>Original</w:t>
      </w:r>
    </w:p>
    <w:p w14:paraId="2DF8A071" w14:textId="77777777" w:rsidR="00BC3E8E" w:rsidRPr="006F6ABB" w:rsidRDefault="00BC3E8E" w:rsidP="00A764D8">
      <w:pPr>
        <w:jc w:val="both"/>
        <w:rPr>
          <w:rFonts w:ascii="Arial" w:hAnsi="Arial" w:cs="Arial"/>
          <w:color w:val="0000FF"/>
          <w:sz w:val="20"/>
          <w:szCs w:val="20"/>
        </w:rPr>
      </w:pPr>
      <w:r w:rsidRPr="006F6ABB">
        <w:rPr>
          <w:rFonts w:ascii="Arial" w:hAnsi="Arial" w:cs="Arial"/>
          <w:b/>
          <w:sz w:val="20"/>
          <w:szCs w:val="20"/>
        </w:rPr>
        <w:t>Declaración de conflicto de Intereses de los autores</w:t>
      </w:r>
      <w:r>
        <w:rPr>
          <w:rFonts w:ascii="Arial" w:hAnsi="Arial" w:cs="Arial"/>
          <w:b/>
          <w:bCs/>
          <w:sz w:val="20"/>
          <w:szCs w:val="20"/>
        </w:rPr>
        <w:t xml:space="preserve">: </w:t>
      </w:r>
      <w:r w:rsidRPr="006F6ABB">
        <w:rPr>
          <w:rFonts w:ascii="Arial" w:hAnsi="Arial" w:cs="Arial"/>
          <w:sz w:val="20"/>
          <w:szCs w:val="20"/>
        </w:rPr>
        <w:t>Ver declaración en anexo al final del informe</w:t>
      </w:r>
      <w:r>
        <w:rPr>
          <w:rFonts w:ascii="Arial" w:hAnsi="Arial" w:cs="Arial"/>
          <w:sz w:val="20"/>
          <w:szCs w:val="20"/>
        </w:rPr>
        <w:t>.</w:t>
      </w:r>
    </w:p>
    <w:p w14:paraId="362FDF73" w14:textId="77777777" w:rsidR="00BC3E8E" w:rsidRPr="00964241" w:rsidRDefault="00964241" w:rsidP="00A764D8">
      <w:pPr>
        <w:jc w:val="both"/>
        <w:rPr>
          <w:rFonts w:ascii="Arial" w:hAnsi="Arial" w:cs="Arial"/>
          <w:bCs/>
          <w:sz w:val="20"/>
          <w:szCs w:val="20"/>
        </w:rPr>
      </w:pPr>
      <w:r w:rsidRPr="00964241">
        <w:rPr>
          <w:rFonts w:ascii="Arial" w:hAnsi="Arial" w:cs="Arial"/>
          <w:bCs/>
          <w:sz w:val="20"/>
          <w:szCs w:val="20"/>
        </w:rPr>
        <w:t>Para la elaboración de este informe se ha utilizado el Programa MADRE versión 4.0</w:t>
      </w:r>
    </w:p>
    <w:p w14:paraId="659C14CB" w14:textId="77777777" w:rsidR="00964241" w:rsidRPr="006F6ABB" w:rsidRDefault="00964241" w:rsidP="00A764D8">
      <w:pPr>
        <w:jc w:val="both"/>
        <w:rPr>
          <w:rFonts w:ascii="Arial" w:hAnsi="Arial" w:cs="Arial"/>
          <w:b/>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A5136A" w14:paraId="576B6E81" w14:textId="77777777"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2FD69DAB" w14:textId="77777777" w:rsidR="00BC3E8E" w:rsidRPr="00AA1167" w:rsidRDefault="00BC3E8E" w:rsidP="00A764D8">
            <w:pPr>
              <w:pStyle w:val="Ttulo1"/>
              <w:shd w:val="clear" w:color="auto" w:fill="A6A6A6"/>
              <w:jc w:val="both"/>
              <w:rPr>
                <w:rFonts w:ascii="Arial" w:hAnsi="Arial" w:cs="Arial"/>
                <w:bCs w:val="0"/>
                <w:kern w:val="0"/>
                <w:sz w:val="20"/>
                <w:szCs w:val="20"/>
              </w:rPr>
            </w:pPr>
            <w:bookmarkStart w:id="4" w:name="_Toc344399619"/>
            <w:bookmarkStart w:id="5" w:name="_Toc348931346"/>
            <w:bookmarkStart w:id="6" w:name="_Toc216191069"/>
            <w:r w:rsidRPr="00AA1167">
              <w:rPr>
                <w:rFonts w:ascii="Arial" w:hAnsi="Arial" w:cs="Arial"/>
                <w:bCs w:val="0"/>
                <w:kern w:val="0"/>
                <w:sz w:val="20"/>
                <w:szCs w:val="20"/>
              </w:rPr>
              <w:t>2.- SOLICITUD Y DATOS DEL PROCESO DE EVALUACIÓN</w:t>
            </w:r>
            <w:bookmarkEnd w:id="4"/>
            <w:bookmarkEnd w:id="5"/>
            <w:bookmarkEnd w:id="6"/>
          </w:p>
        </w:tc>
      </w:tr>
    </w:tbl>
    <w:p w14:paraId="4F7B2C58" w14:textId="77777777" w:rsidR="00BC3E8E" w:rsidRPr="00A5136A" w:rsidRDefault="00BC3E8E" w:rsidP="00A764D8">
      <w:pPr>
        <w:jc w:val="both"/>
        <w:rPr>
          <w:rFonts w:ascii="Arial" w:hAnsi="Arial" w:cs="Arial"/>
          <w:b/>
          <w:color w:val="FF0000"/>
          <w:sz w:val="20"/>
          <w:szCs w:val="20"/>
        </w:rPr>
      </w:pPr>
    </w:p>
    <w:p w14:paraId="436111DF" w14:textId="77777777" w:rsidR="00BC3E8E" w:rsidRDefault="00A5136A" w:rsidP="00A764D8">
      <w:pPr>
        <w:jc w:val="both"/>
        <w:rPr>
          <w:rFonts w:ascii="Arial" w:hAnsi="Arial" w:cs="Arial"/>
          <w:sz w:val="20"/>
          <w:szCs w:val="20"/>
        </w:rPr>
      </w:pPr>
      <w:r w:rsidRPr="00A5136A">
        <w:rPr>
          <w:rFonts w:ascii="Arial" w:hAnsi="Arial" w:cs="Arial"/>
          <w:sz w:val="20"/>
          <w:szCs w:val="20"/>
        </w:rPr>
        <w:t>Revisión a demanda del grupo GENESIS por tratarse de un fármaco novedoso</w:t>
      </w:r>
      <w:r w:rsidR="007F7FCC">
        <w:rPr>
          <w:rFonts w:ascii="Arial" w:hAnsi="Arial" w:cs="Arial"/>
          <w:sz w:val="20"/>
          <w:szCs w:val="20"/>
        </w:rPr>
        <w:t xml:space="preserve"> cuyo lugar en la terapéutica precisa de la evaluación en el </w:t>
      </w:r>
      <w:r w:rsidR="00655179">
        <w:rPr>
          <w:rFonts w:ascii="Arial" w:hAnsi="Arial" w:cs="Arial"/>
          <w:sz w:val="20"/>
          <w:szCs w:val="20"/>
        </w:rPr>
        <w:t>entorno hospitalario</w:t>
      </w:r>
      <w:r w:rsidR="007F7FCC">
        <w:rPr>
          <w:rFonts w:ascii="Arial" w:hAnsi="Arial" w:cs="Arial"/>
          <w:sz w:val="20"/>
          <w:szCs w:val="20"/>
        </w:rPr>
        <w:t xml:space="preserve">. </w:t>
      </w:r>
    </w:p>
    <w:p w14:paraId="7DF7730C" w14:textId="77777777" w:rsidR="00A5136A" w:rsidRPr="00A5136A" w:rsidRDefault="00A5136A" w:rsidP="00A764D8">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BC3E8E" w:rsidRPr="00DA38F3" w14:paraId="04378171" w14:textId="77777777" w:rsidTr="00BC3E8E">
        <w:tc>
          <w:tcPr>
            <w:tcW w:w="8859" w:type="dxa"/>
            <w:tcBorders>
              <w:top w:val="single" w:sz="4" w:space="0" w:color="auto"/>
              <w:left w:val="single" w:sz="4" w:space="0" w:color="auto"/>
              <w:bottom w:val="single" w:sz="4" w:space="0" w:color="auto"/>
              <w:right w:val="single" w:sz="4" w:space="0" w:color="auto"/>
            </w:tcBorders>
            <w:shd w:val="clear" w:color="auto" w:fill="B3B3B3"/>
          </w:tcPr>
          <w:p w14:paraId="190587CD" w14:textId="77777777" w:rsidR="00BC3E8E" w:rsidRPr="00AA1167" w:rsidRDefault="00BC3E8E" w:rsidP="00A764D8">
            <w:pPr>
              <w:pStyle w:val="Ttulo1"/>
              <w:shd w:val="clear" w:color="auto" w:fill="A6A6A6"/>
              <w:jc w:val="both"/>
              <w:rPr>
                <w:rFonts w:ascii="Arial" w:hAnsi="Arial" w:cs="Arial"/>
                <w:bCs w:val="0"/>
                <w:kern w:val="0"/>
                <w:sz w:val="20"/>
                <w:szCs w:val="20"/>
              </w:rPr>
            </w:pPr>
            <w:bookmarkStart w:id="7" w:name="_Toc344399620"/>
            <w:bookmarkStart w:id="8" w:name="_Toc348931347"/>
            <w:bookmarkStart w:id="9" w:name="_Toc216191070"/>
            <w:r w:rsidRPr="00AA1167">
              <w:rPr>
                <w:rFonts w:ascii="Arial" w:hAnsi="Arial" w:cs="Arial"/>
                <w:bCs w:val="0"/>
                <w:kern w:val="0"/>
                <w:sz w:val="20"/>
                <w:szCs w:val="20"/>
              </w:rPr>
              <w:t>3.- AREA DESCRIPTIVA DEL MEDICAMENTO Y DEL PROBLEMA DE SALUD</w:t>
            </w:r>
            <w:bookmarkEnd w:id="7"/>
            <w:bookmarkEnd w:id="8"/>
            <w:bookmarkEnd w:id="9"/>
          </w:p>
        </w:tc>
      </w:tr>
    </w:tbl>
    <w:p w14:paraId="606D87D8" w14:textId="77777777" w:rsidR="00BC3E8E" w:rsidRPr="006F6ABB" w:rsidRDefault="00BC3E8E" w:rsidP="00A764D8">
      <w:pPr>
        <w:jc w:val="both"/>
        <w:rPr>
          <w:rFonts w:ascii="Arial" w:hAnsi="Arial" w:cs="Arial"/>
          <w:b/>
          <w:sz w:val="20"/>
          <w:szCs w:val="20"/>
        </w:rPr>
      </w:pPr>
    </w:p>
    <w:p w14:paraId="6501415C" w14:textId="77777777" w:rsidR="00BC3E8E" w:rsidRPr="00E3472F" w:rsidRDefault="00BC3E8E" w:rsidP="00A764D8">
      <w:pPr>
        <w:pStyle w:val="Ttulo2"/>
        <w:pBdr>
          <w:top w:val="single" w:sz="4" w:space="1" w:color="auto"/>
          <w:left w:val="single" w:sz="4" w:space="4" w:color="auto"/>
          <w:bottom w:val="single" w:sz="4" w:space="1" w:color="auto"/>
          <w:right w:val="single" w:sz="4" w:space="2" w:color="auto"/>
        </w:pBdr>
        <w:shd w:val="clear" w:color="auto" w:fill="D9D9D9"/>
        <w:rPr>
          <w:rFonts w:cs="Arial"/>
          <w:sz w:val="20"/>
        </w:rPr>
      </w:pPr>
      <w:bookmarkStart w:id="10" w:name="_Toc344399621"/>
      <w:bookmarkStart w:id="11" w:name="_Toc348931348"/>
      <w:bookmarkStart w:id="12" w:name="_Toc216191071"/>
      <w:r w:rsidRPr="00E3472F">
        <w:rPr>
          <w:rFonts w:cs="Arial"/>
          <w:sz w:val="20"/>
        </w:rPr>
        <w:t>3.1 Área descriptiva del medicamento</w:t>
      </w:r>
      <w:bookmarkEnd w:id="10"/>
      <w:bookmarkEnd w:id="11"/>
      <w:bookmarkEnd w:id="12"/>
    </w:p>
    <w:p w14:paraId="7C3542BB" w14:textId="77777777" w:rsidR="00BC3E8E" w:rsidRPr="006F6ABB" w:rsidRDefault="00BC3E8E" w:rsidP="00A764D8">
      <w:pPr>
        <w:jc w:val="both"/>
        <w:rPr>
          <w:rFonts w:ascii="Arial" w:hAnsi="Arial" w:cs="Arial"/>
          <w:b/>
          <w:sz w:val="20"/>
          <w:szCs w:val="20"/>
        </w:rPr>
      </w:pPr>
    </w:p>
    <w:p w14:paraId="224DF7BF" w14:textId="77777777" w:rsidR="00BC3E8E" w:rsidRPr="006F6ABB" w:rsidRDefault="00BC3E8E" w:rsidP="00A764D8">
      <w:pPr>
        <w:jc w:val="both"/>
        <w:rPr>
          <w:rFonts w:ascii="Arial" w:hAnsi="Arial" w:cs="Arial"/>
          <w:sz w:val="20"/>
          <w:szCs w:val="20"/>
        </w:rPr>
      </w:pPr>
      <w:r w:rsidRPr="006F6ABB">
        <w:rPr>
          <w:rFonts w:ascii="Arial" w:hAnsi="Arial" w:cs="Arial"/>
          <w:b/>
          <w:bCs/>
          <w:sz w:val="20"/>
          <w:szCs w:val="20"/>
        </w:rPr>
        <w:t>Nombre genérico</w:t>
      </w:r>
      <w:r w:rsidRPr="006F6ABB">
        <w:rPr>
          <w:rFonts w:ascii="Arial" w:hAnsi="Arial" w:cs="Arial"/>
          <w:sz w:val="20"/>
          <w:szCs w:val="20"/>
        </w:rPr>
        <w:t>:</w:t>
      </w:r>
      <w:r w:rsidR="00A5136A">
        <w:rPr>
          <w:rFonts w:ascii="Arial" w:hAnsi="Arial" w:cs="Arial"/>
          <w:sz w:val="20"/>
          <w:szCs w:val="20"/>
        </w:rPr>
        <w:t xml:space="preserve"> Nemolizumab</w:t>
      </w:r>
    </w:p>
    <w:p w14:paraId="24261EF3" w14:textId="77777777" w:rsidR="00BC3E8E" w:rsidRPr="006F6ABB" w:rsidRDefault="00BC3E8E" w:rsidP="00A764D8">
      <w:pPr>
        <w:jc w:val="both"/>
        <w:rPr>
          <w:rFonts w:ascii="Arial" w:hAnsi="Arial" w:cs="Arial"/>
          <w:sz w:val="20"/>
          <w:szCs w:val="20"/>
        </w:rPr>
      </w:pPr>
      <w:r w:rsidRPr="006F6ABB">
        <w:rPr>
          <w:rFonts w:ascii="Arial" w:hAnsi="Arial" w:cs="Arial"/>
          <w:b/>
          <w:bCs/>
          <w:sz w:val="20"/>
          <w:szCs w:val="20"/>
        </w:rPr>
        <w:t>Nombre comercial</w:t>
      </w:r>
      <w:r w:rsidRPr="006F6ABB">
        <w:rPr>
          <w:rFonts w:ascii="Arial" w:hAnsi="Arial" w:cs="Arial"/>
          <w:sz w:val="20"/>
          <w:szCs w:val="20"/>
        </w:rPr>
        <w:t xml:space="preserve">: </w:t>
      </w:r>
      <w:r w:rsidR="00A5136A">
        <w:rPr>
          <w:rFonts w:ascii="Arial" w:hAnsi="Arial" w:cs="Arial"/>
          <w:sz w:val="20"/>
          <w:szCs w:val="20"/>
        </w:rPr>
        <w:t>Nemluvio</w:t>
      </w:r>
      <w:r w:rsidR="0096062E">
        <w:rPr>
          <w:rFonts w:ascii="Arial" w:hAnsi="Arial" w:cs="Arial"/>
          <w:sz w:val="20"/>
          <w:szCs w:val="20"/>
        </w:rPr>
        <w:t xml:space="preserve"> ®</w:t>
      </w:r>
    </w:p>
    <w:p w14:paraId="657E0B78" w14:textId="77777777" w:rsidR="00BC3E8E" w:rsidRPr="006F6ABB" w:rsidRDefault="00BC3E8E" w:rsidP="00A764D8">
      <w:pPr>
        <w:jc w:val="both"/>
        <w:rPr>
          <w:rFonts w:ascii="Arial" w:hAnsi="Arial" w:cs="Arial"/>
          <w:sz w:val="20"/>
          <w:szCs w:val="20"/>
        </w:rPr>
      </w:pPr>
      <w:r w:rsidRPr="006F6ABB">
        <w:rPr>
          <w:rFonts w:ascii="Arial" w:hAnsi="Arial" w:cs="Arial"/>
          <w:b/>
          <w:bCs/>
          <w:sz w:val="20"/>
          <w:szCs w:val="20"/>
        </w:rPr>
        <w:t>Laboratorio</w:t>
      </w:r>
      <w:r w:rsidRPr="006F6ABB">
        <w:rPr>
          <w:rFonts w:ascii="Arial" w:hAnsi="Arial" w:cs="Arial"/>
          <w:sz w:val="20"/>
          <w:szCs w:val="20"/>
        </w:rPr>
        <w:t>:</w:t>
      </w:r>
      <w:r w:rsidR="00A5136A">
        <w:rPr>
          <w:rFonts w:ascii="Arial" w:hAnsi="Arial" w:cs="Arial"/>
          <w:sz w:val="20"/>
          <w:szCs w:val="20"/>
        </w:rPr>
        <w:t xml:space="preserve"> Galderma International</w:t>
      </w:r>
    </w:p>
    <w:p w14:paraId="2F8AE777" w14:textId="77777777" w:rsidR="00BC3E8E" w:rsidRPr="006F6ABB" w:rsidRDefault="00BC3E8E" w:rsidP="00A764D8">
      <w:pPr>
        <w:jc w:val="both"/>
        <w:rPr>
          <w:rFonts w:ascii="Arial" w:hAnsi="Arial" w:cs="Arial"/>
          <w:sz w:val="20"/>
          <w:szCs w:val="20"/>
        </w:rPr>
      </w:pPr>
      <w:r w:rsidRPr="006F6ABB">
        <w:rPr>
          <w:rFonts w:ascii="Arial" w:hAnsi="Arial" w:cs="Arial"/>
          <w:b/>
          <w:bCs/>
          <w:sz w:val="20"/>
          <w:szCs w:val="20"/>
        </w:rPr>
        <w:t>Grupo terapéutico</w:t>
      </w:r>
      <w:r w:rsidRPr="006F6ABB">
        <w:rPr>
          <w:rFonts w:ascii="Arial" w:hAnsi="Arial" w:cs="Arial"/>
          <w:sz w:val="20"/>
          <w:szCs w:val="20"/>
        </w:rPr>
        <w:t xml:space="preserve">. Denominación: </w:t>
      </w:r>
      <w:r w:rsidR="00D63E38">
        <w:rPr>
          <w:rFonts w:ascii="Arial" w:hAnsi="Arial" w:cs="Arial"/>
          <w:sz w:val="20"/>
          <w:szCs w:val="20"/>
        </w:rPr>
        <w:t xml:space="preserve">Otros preparados dermatológicos, tratamiento de la dermatitis atópica excluyendo corticoides. </w:t>
      </w:r>
      <w:r w:rsidRPr="006F6ABB">
        <w:rPr>
          <w:rFonts w:ascii="Arial" w:hAnsi="Arial" w:cs="Arial"/>
          <w:sz w:val="20"/>
          <w:szCs w:val="20"/>
        </w:rPr>
        <w:t>Código ATC:</w:t>
      </w:r>
      <w:r w:rsidR="00A5136A">
        <w:rPr>
          <w:rFonts w:ascii="Arial" w:hAnsi="Arial" w:cs="Arial"/>
          <w:sz w:val="20"/>
          <w:szCs w:val="20"/>
        </w:rPr>
        <w:t xml:space="preserve"> D11AH12</w:t>
      </w:r>
    </w:p>
    <w:p w14:paraId="7EDE9725" w14:textId="77777777" w:rsidR="00BC3E8E" w:rsidRPr="006F6ABB" w:rsidRDefault="00BC3E8E" w:rsidP="00A764D8">
      <w:pPr>
        <w:jc w:val="both"/>
        <w:rPr>
          <w:rFonts w:ascii="Arial" w:hAnsi="Arial" w:cs="Arial"/>
          <w:sz w:val="20"/>
          <w:szCs w:val="20"/>
        </w:rPr>
      </w:pPr>
      <w:r w:rsidRPr="006F6ABB">
        <w:rPr>
          <w:rFonts w:ascii="Arial" w:hAnsi="Arial" w:cs="Arial"/>
          <w:b/>
          <w:bCs/>
          <w:sz w:val="20"/>
          <w:szCs w:val="20"/>
        </w:rPr>
        <w:t>Vía de administración</w:t>
      </w:r>
      <w:r w:rsidRPr="006F6ABB">
        <w:rPr>
          <w:rFonts w:ascii="Arial" w:hAnsi="Arial" w:cs="Arial"/>
          <w:sz w:val="20"/>
          <w:szCs w:val="20"/>
        </w:rPr>
        <w:t xml:space="preserve">: </w:t>
      </w:r>
      <w:r w:rsidR="00D63E38">
        <w:rPr>
          <w:rFonts w:ascii="Arial" w:hAnsi="Arial" w:cs="Arial"/>
          <w:sz w:val="20"/>
          <w:szCs w:val="20"/>
        </w:rPr>
        <w:t>Subcutánea</w:t>
      </w:r>
    </w:p>
    <w:p w14:paraId="3C595B41" w14:textId="77777777" w:rsidR="00BC3E8E" w:rsidRPr="00D63E38" w:rsidRDefault="00BC3E8E" w:rsidP="00A764D8">
      <w:pPr>
        <w:jc w:val="both"/>
        <w:rPr>
          <w:rFonts w:ascii="Arial" w:hAnsi="Arial" w:cs="Arial"/>
          <w:bCs/>
          <w:color w:val="EE0000"/>
          <w:sz w:val="20"/>
          <w:szCs w:val="20"/>
        </w:rPr>
      </w:pPr>
      <w:r>
        <w:rPr>
          <w:rFonts w:ascii="Arial" w:hAnsi="Arial" w:cs="Arial"/>
          <w:b/>
          <w:color w:val="000000"/>
          <w:sz w:val="20"/>
          <w:szCs w:val="20"/>
        </w:rPr>
        <w:t>Tipo de dispensación</w:t>
      </w:r>
      <w:r>
        <w:rPr>
          <w:rFonts w:ascii="Arial" w:hAnsi="Arial" w:cs="Arial"/>
          <w:bCs/>
          <w:color w:val="000000"/>
          <w:sz w:val="20"/>
          <w:szCs w:val="20"/>
        </w:rPr>
        <w:t xml:space="preserve">: </w:t>
      </w:r>
    </w:p>
    <w:p w14:paraId="4B0EAD58" w14:textId="77777777" w:rsidR="00BC3E8E" w:rsidRPr="006F6ABB" w:rsidRDefault="00BC3E8E" w:rsidP="00A764D8">
      <w:pPr>
        <w:pStyle w:val="Encabezado"/>
        <w:tabs>
          <w:tab w:val="clear" w:pos="4252"/>
          <w:tab w:val="clear" w:pos="8504"/>
        </w:tabs>
        <w:jc w:val="both"/>
        <w:rPr>
          <w:rFonts w:ascii="Arial" w:hAnsi="Arial" w:cs="Arial"/>
        </w:rPr>
      </w:pPr>
      <w:r w:rsidRPr="006F6ABB">
        <w:rPr>
          <w:rFonts w:ascii="Arial" w:hAnsi="Arial" w:cs="Arial"/>
          <w:b/>
          <w:bCs/>
        </w:rPr>
        <w:t>Información de registro</w:t>
      </w:r>
      <w:r w:rsidRPr="006F6ABB">
        <w:rPr>
          <w:rFonts w:ascii="Arial" w:hAnsi="Arial" w:cs="Arial"/>
        </w:rPr>
        <w:t xml:space="preserve">: </w:t>
      </w:r>
      <w:r w:rsidR="0096062E">
        <w:rPr>
          <w:rFonts w:ascii="Arial" w:hAnsi="Arial" w:cs="Arial"/>
        </w:rPr>
        <w:t xml:space="preserve">Centralizado a nivel europeo por la </w:t>
      </w:r>
      <w:r w:rsidR="004B1636">
        <w:rPr>
          <w:rFonts w:ascii="Arial" w:hAnsi="Arial" w:cs="Arial"/>
        </w:rPr>
        <w:t>Agencia Europea del medicamento (</w:t>
      </w:r>
      <w:r w:rsidR="0096062E">
        <w:rPr>
          <w:rFonts w:ascii="Arial" w:hAnsi="Arial" w:cs="Arial"/>
        </w:rPr>
        <w:t>EMA</w:t>
      </w:r>
      <w:r w:rsidR="004B1636">
        <w:rPr>
          <w:rFonts w:ascii="Arial" w:hAnsi="Arial" w:cs="Arial"/>
        </w:rPr>
        <w:t>).</w:t>
      </w:r>
    </w:p>
    <w:p w14:paraId="0D1CF5EB" w14:textId="77777777" w:rsidR="00BC3E8E" w:rsidRPr="006F6ABB" w:rsidRDefault="00BC3E8E" w:rsidP="00A764D8">
      <w:pPr>
        <w:pStyle w:val="Encabezado"/>
        <w:tabs>
          <w:tab w:val="clear" w:pos="4252"/>
          <w:tab w:val="clear" w:pos="8504"/>
        </w:tabs>
        <w:jc w:val="both"/>
        <w:rPr>
          <w:rFonts w:ascii="Arial" w:hAnsi="Arial" w:cs="Aria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4"/>
        <w:gridCol w:w="1238"/>
        <w:gridCol w:w="965"/>
        <w:gridCol w:w="2007"/>
        <w:gridCol w:w="2188"/>
      </w:tblGrid>
      <w:tr w:rsidR="00BC3E8E" w:rsidRPr="006F6ABB" w14:paraId="1089EE86" w14:textId="77777777" w:rsidTr="00BC3E8E">
        <w:trPr>
          <w:cantSplit/>
        </w:trPr>
        <w:tc>
          <w:tcPr>
            <w:tcW w:w="8962" w:type="dxa"/>
            <w:gridSpan w:val="5"/>
            <w:shd w:val="clear" w:color="auto" w:fill="CCFFCC"/>
          </w:tcPr>
          <w:p w14:paraId="2B12EFE5" w14:textId="77777777" w:rsidR="00BC3E8E" w:rsidRPr="006F6ABB" w:rsidRDefault="001F4DCE" w:rsidP="00A764D8">
            <w:pPr>
              <w:jc w:val="both"/>
              <w:rPr>
                <w:rFonts w:ascii="Arial" w:hAnsi="Arial" w:cs="Arial"/>
                <w:b/>
                <w:sz w:val="16"/>
              </w:rPr>
            </w:pPr>
            <w:r>
              <w:rPr>
                <w:rFonts w:ascii="Arial" w:hAnsi="Arial" w:cs="Arial"/>
                <w:b/>
                <w:sz w:val="16"/>
              </w:rPr>
              <w:t xml:space="preserve">Tabla 1. </w:t>
            </w:r>
            <w:r w:rsidR="00BC3E8E" w:rsidRPr="006F6ABB">
              <w:rPr>
                <w:rFonts w:ascii="Arial" w:hAnsi="Arial" w:cs="Arial"/>
                <w:b/>
                <w:sz w:val="16"/>
              </w:rPr>
              <w:t xml:space="preserve">Presentaciones y precio </w:t>
            </w:r>
            <w:r w:rsidR="00BC3E8E" w:rsidRPr="006F6ABB">
              <w:rPr>
                <w:rFonts w:ascii="Arial" w:hAnsi="Arial" w:cs="Arial"/>
                <w:bCs/>
                <w:sz w:val="16"/>
              </w:rPr>
              <w:t xml:space="preserve"> </w:t>
            </w:r>
          </w:p>
        </w:tc>
      </w:tr>
      <w:tr w:rsidR="00BC3E8E" w:rsidRPr="006F6ABB" w14:paraId="3C13F70E" w14:textId="77777777" w:rsidTr="00BC3E8E">
        <w:trPr>
          <w:cantSplit/>
        </w:trPr>
        <w:tc>
          <w:tcPr>
            <w:tcW w:w="2564" w:type="dxa"/>
          </w:tcPr>
          <w:p w14:paraId="1690455A" w14:textId="77777777" w:rsidR="00BC3E8E" w:rsidRPr="006F6ABB" w:rsidRDefault="00BC3E8E" w:rsidP="00A764D8">
            <w:pPr>
              <w:jc w:val="both"/>
              <w:rPr>
                <w:rFonts w:ascii="Arial" w:hAnsi="Arial" w:cs="Arial"/>
                <w:bCs/>
                <w:sz w:val="16"/>
              </w:rPr>
            </w:pPr>
            <w:r w:rsidRPr="006F6ABB">
              <w:rPr>
                <w:rFonts w:ascii="Arial" w:hAnsi="Arial" w:cs="Arial"/>
                <w:bCs/>
                <w:sz w:val="16"/>
              </w:rPr>
              <w:t>Forma farmacéutica y dosis</w:t>
            </w:r>
          </w:p>
        </w:tc>
        <w:tc>
          <w:tcPr>
            <w:tcW w:w="1238" w:type="dxa"/>
          </w:tcPr>
          <w:p w14:paraId="37C149CA" w14:textId="77777777" w:rsidR="00BC3E8E" w:rsidRPr="006F6ABB" w:rsidRDefault="00BC3E8E" w:rsidP="00A764D8">
            <w:pPr>
              <w:jc w:val="both"/>
              <w:rPr>
                <w:rFonts w:ascii="Arial" w:hAnsi="Arial" w:cs="Arial"/>
                <w:bCs/>
                <w:sz w:val="16"/>
                <w:lang w:val="pt-BR"/>
              </w:rPr>
            </w:pPr>
            <w:r w:rsidRPr="006F6ABB">
              <w:rPr>
                <w:rFonts w:ascii="Arial" w:hAnsi="Arial" w:cs="Arial"/>
                <w:bCs/>
                <w:sz w:val="16"/>
                <w:lang w:val="pt-BR"/>
              </w:rPr>
              <w:t>Nº de unidades por envase</w:t>
            </w:r>
          </w:p>
        </w:tc>
        <w:tc>
          <w:tcPr>
            <w:tcW w:w="965" w:type="dxa"/>
          </w:tcPr>
          <w:p w14:paraId="0D3897CA" w14:textId="77777777" w:rsidR="00BC3E8E" w:rsidRPr="006F6ABB" w:rsidRDefault="00BC3E8E" w:rsidP="00A764D8">
            <w:pPr>
              <w:jc w:val="both"/>
              <w:rPr>
                <w:rFonts w:ascii="Arial" w:hAnsi="Arial" w:cs="Arial"/>
                <w:bCs/>
                <w:sz w:val="16"/>
              </w:rPr>
            </w:pPr>
            <w:r w:rsidRPr="006F6ABB">
              <w:rPr>
                <w:rFonts w:ascii="Arial" w:hAnsi="Arial" w:cs="Arial"/>
                <w:bCs/>
                <w:sz w:val="16"/>
              </w:rPr>
              <w:t>Código</w:t>
            </w:r>
          </w:p>
        </w:tc>
        <w:tc>
          <w:tcPr>
            <w:tcW w:w="2007" w:type="dxa"/>
          </w:tcPr>
          <w:p w14:paraId="4F23C5D9" w14:textId="77777777" w:rsidR="00BC3E8E" w:rsidRPr="006F6ABB" w:rsidRDefault="006B7B3B" w:rsidP="00A764D8">
            <w:pPr>
              <w:jc w:val="both"/>
              <w:rPr>
                <w:rFonts w:ascii="Arial" w:hAnsi="Arial" w:cs="Arial"/>
                <w:bCs/>
                <w:sz w:val="16"/>
              </w:rPr>
            </w:pPr>
            <w:r>
              <w:rPr>
                <w:rFonts w:ascii="Arial" w:hAnsi="Arial" w:cs="Arial"/>
                <w:bCs/>
                <w:sz w:val="16"/>
              </w:rPr>
              <w:t>Coste por unidad PVP + IVA</w:t>
            </w:r>
            <w:r w:rsidR="00BC3E8E" w:rsidRPr="006F6ABB">
              <w:rPr>
                <w:rFonts w:ascii="Arial" w:hAnsi="Arial" w:cs="Arial"/>
                <w:bCs/>
                <w:sz w:val="16"/>
              </w:rPr>
              <w:t xml:space="preserve"> </w:t>
            </w:r>
            <w:r w:rsidR="00BC3E8E">
              <w:rPr>
                <w:rFonts w:ascii="Arial" w:hAnsi="Arial" w:cs="Arial"/>
                <w:bCs/>
                <w:sz w:val="16"/>
              </w:rPr>
              <w:t>(1)</w:t>
            </w:r>
            <w:r>
              <w:rPr>
                <w:rFonts w:ascii="Arial" w:hAnsi="Arial" w:cs="Arial"/>
                <w:bCs/>
                <w:sz w:val="16"/>
              </w:rPr>
              <w:t xml:space="preserve"> (2)</w:t>
            </w:r>
          </w:p>
        </w:tc>
        <w:tc>
          <w:tcPr>
            <w:tcW w:w="2188" w:type="dxa"/>
          </w:tcPr>
          <w:p w14:paraId="2A69E8C7" w14:textId="77777777" w:rsidR="00BC3E8E" w:rsidRPr="006F6ABB" w:rsidRDefault="00BC3E8E" w:rsidP="00A764D8">
            <w:pPr>
              <w:jc w:val="both"/>
              <w:rPr>
                <w:rFonts w:ascii="Arial" w:hAnsi="Arial" w:cs="Arial"/>
                <w:bCs/>
                <w:sz w:val="16"/>
              </w:rPr>
            </w:pPr>
            <w:r w:rsidRPr="006F6ABB">
              <w:rPr>
                <w:rFonts w:ascii="Arial" w:hAnsi="Arial" w:cs="Arial"/>
                <w:bCs/>
                <w:sz w:val="16"/>
              </w:rPr>
              <w:t>Coste por unidad PVL + IVA</w:t>
            </w:r>
            <w:r w:rsidR="006B7B3B">
              <w:rPr>
                <w:rFonts w:ascii="Arial" w:hAnsi="Arial" w:cs="Arial"/>
                <w:bCs/>
                <w:sz w:val="16"/>
              </w:rPr>
              <w:t xml:space="preserve"> (2)</w:t>
            </w:r>
            <w:r w:rsidRPr="006F6ABB">
              <w:rPr>
                <w:rFonts w:ascii="Arial" w:hAnsi="Arial" w:cs="Arial"/>
                <w:bCs/>
                <w:sz w:val="16"/>
              </w:rPr>
              <w:t xml:space="preserve"> </w:t>
            </w:r>
          </w:p>
        </w:tc>
      </w:tr>
      <w:tr w:rsidR="00B20726" w:rsidRPr="006F6ABB" w14:paraId="3BCE21D5" w14:textId="77777777" w:rsidTr="0087183F">
        <w:trPr>
          <w:cantSplit/>
        </w:trPr>
        <w:tc>
          <w:tcPr>
            <w:tcW w:w="2564" w:type="dxa"/>
          </w:tcPr>
          <w:p w14:paraId="64F9A8FA" w14:textId="77777777" w:rsidR="00B20726" w:rsidRPr="006F6ABB" w:rsidRDefault="00B20726" w:rsidP="00A764D8">
            <w:pPr>
              <w:jc w:val="both"/>
              <w:rPr>
                <w:rFonts w:ascii="Arial" w:hAnsi="Arial" w:cs="Arial"/>
                <w:bCs/>
                <w:sz w:val="16"/>
              </w:rPr>
            </w:pPr>
            <w:r>
              <w:rPr>
                <w:rFonts w:ascii="Arial" w:hAnsi="Arial" w:cs="Arial"/>
                <w:bCs/>
                <w:sz w:val="16"/>
              </w:rPr>
              <w:t>Nemluvio 30 mg jeringa subcutánea</w:t>
            </w:r>
          </w:p>
        </w:tc>
        <w:tc>
          <w:tcPr>
            <w:tcW w:w="1238" w:type="dxa"/>
          </w:tcPr>
          <w:p w14:paraId="58D4774E" w14:textId="77777777" w:rsidR="00B20726" w:rsidRPr="006F6ABB" w:rsidRDefault="00B20726" w:rsidP="00A764D8">
            <w:pPr>
              <w:jc w:val="both"/>
              <w:rPr>
                <w:rFonts w:ascii="Arial" w:hAnsi="Arial" w:cs="Arial"/>
                <w:bCs/>
                <w:sz w:val="16"/>
              </w:rPr>
            </w:pPr>
            <w:r>
              <w:rPr>
                <w:rFonts w:ascii="Arial" w:hAnsi="Arial" w:cs="Arial"/>
                <w:bCs/>
                <w:sz w:val="16"/>
              </w:rPr>
              <w:t>1</w:t>
            </w:r>
          </w:p>
        </w:tc>
        <w:tc>
          <w:tcPr>
            <w:tcW w:w="965" w:type="dxa"/>
          </w:tcPr>
          <w:p w14:paraId="69F1C82B" w14:textId="77777777" w:rsidR="00B20726" w:rsidRPr="006F6ABB" w:rsidRDefault="00B20726" w:rsidP="00A764D8">
            <w:pPr>
              <w:jc w:val="both"/>
              <w:rPr>
                <w:rFonts w:ascii="Arial" w:hAnsi="Arial" w:cs="Arial"/>
                <w:bCs/>
                <w:sz w:val="16"/>
              </w:rPr>
            </w:pPr>
            <w:r>
              <w:rPr>
                <w:rFonts w:ascii="Arial" w:hAnsi="Arial" w:cs="Arial"/>
                <w:bCs/>
                <w:sz w:val="16"/>
              </w:rPr>
              <w:t>767679</w:t>
            </w:r>
          </w:p>
        </w:tc>
        <w:tc>
          <w:tcPr>
            <w:tcW w:w="4195" w:type="dxa"/>
            <w:gridSpan w:val="2"/>
          </w:tcPr>
          <w:p w14:paraId="7B991BD8" w14:textId="77777777" w:rsidR="00B20726" w:rsidRPr="006F6ABB" w:rsidRDefault="00B20726" w:rsidP="00B20726">
            <w:pPr>
              <w:jc w:val="center"/>
              <w:rPr>
                <w:rFonts w:ascii="Arial" w:hAnsi="Arial" w:cs="Arial"/>
                <w:bCs/>
                <w:sz w:val="16"/>
              </w:rPr>
            </w:pPr>
            <w:r>
              <w:rPr>
                <w:rFonts w:ascii="Arial" w:hAnsi="Arial" w:cs="Arial"/>
                <w:bCs/>
                <w:sz w:val="16"/>
              </w:rPr>
              <w:t>No comercializado</w:t>
            </w:r>
          </w:p>
        </w:tc>
      </w:tr>
    </w:tbl>
    <w:p w14:paraId="6DF4C5AA" w14:textId="77777777" w:rsidR="00BC3E8E" w:rsidRDefault="00BC3E8E" w:rsidP="00A764D8">
      <w:pPr>
        <w:jc w:val="both"/>
        <w:rPr>
          <w:rFonts w:ascii="Arial" w:hAnsi="Arial" w:cs="Arial"/>
          <w:color w:val="0000FF"/>
          <w:sz w:val="20"/>
          <w:szCs w:val="20"/>
          <w:u w:val="single"/>
        </w:rPr>
      </w:pPr>
    </w:p>
    <w:p w14:paraId="624FEA11" w14:textId="77777777" w:rsidR="007A54F3" w:rsidRDefault="007A54F3" w:rsidP="00A764D8">
      <w:pPr>
        <w:jc w:val="both"/>
        <w:rPr>
          <w:rFonts w:ascii="Arial" w:hAnsi="Arial" w:cs="Arial"/>
          <w:color w:val="0000FF"/>
          <w:sz w:val="20"/>
          <w:szCs w:val="20"/>
          <w:u w:val="single"/>
        </w:rPr>
      </w:pPr>
    </w:p>
    <w:p w14:paraId="2ED369D1" w14:textId="77777777" w:rsidR="007A54F3" w:rsidRPr="007A54F3" w:rsidRDefault="007A54F3" w:rsidP="007A54F3">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3" w:name="_Toc344399622"/>
      <w:bookmarkStart w:id="14" w:name="_Toc348931349"/>
      <w:bookmarkStart w:id="15" w:name="_Toc216191072"/>
      <w:r>
        <w:rPr>
          <w:rFonts w:cs="Arial"/>
          <w:sz w:val="20"/>
        </w:rPr>
        <w:t>3</w:t>
      </w:r>
      <w:r w:rsidR="00BC3E8E" w:rsidRPr="00E3472F">
        <w:rPr>
          <w:rFonts w:cs="Arial"/>
          <w:sz w:val="20"/>
        </w:rPr>
        <w:t>.2 Área descriptiva del problema de salud</w:t>
      </w:r>
      <w:bookmarkEnd w:id="13"/>
      <w:bookmarkEnd w:id="14"/>
      <w:bookmarkEnd w:id="15"/>
    </w:p>
    <w:p w14:paraId="7F8F3005" w14:textId="77777777" w:rsidR="007A54F3" w:rsidRDefault="007A54F3" w:rsidP="00A764D8">
      <w:pPr>
        <w:jc w:val="both"/>
        <w:rPr>
          <w:rFonts w:ascii="Arial" w:hAnsi="Arial" w:cs="Arial"/>
          <w:bCs/>
          <w:color w:val="000080"/>
          <w:sz w:val="20"/>
          <w:szCs w:val="20"/>
        </w:rPr>
      </w:pPr>
    </w:p>
    <w:p w14:paraId="33321964" w14:textId="77777777" w:rsidR="00B22729" w:rsidRPr="006F6ABB" w:rsidRDefault="00B22729" w:rsidP="00A764D8">
      <w:pPr>
        <w:jc w:val="both"/>
        <w:rPr>
          <w:rFonts w:ascii="Arial" w:hAnsi="Arial" w:cs="Arial"/>
          <w:bCs/>
          <w:color w:val="000080"/>
          <w:sz w:val="20"/>
          <w:szCs w:val="20"/>
        </w:rPr>
      </w:pPr>
    </w:p>
    <w:p w14:paraId="2404E89F" w14:textId="77777777" w:rsidR="00BC3E8E" w:rsidRPr="00E3472F" w:rsidRDefault="00BC3E8E" w:rsidP="00A764D8">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6" w:name="_Toc344399623"/>
      <w:bookmarkStart w:id="17" w:name="_Toc348931350"/>
      <w:bookmarkStart w:id="18" w:name="_Toc216191073"/>
      <w:r w:rsidRPr="00E3472F">
        <w:rPr>
          <w:rFonts w:cs="Arial"/>
          <w:sz w:val="20"/>
        </w:rPr>
        <w:t>3.2.a Descripción estructurada del problema de salud</w:t>
      </w:r>
      <w:bookmarkEnd w:id="16"/>
      <w:bookmarkEnd w:id="17"/>
      <w:bookmarkEnd w:id="18"/>
    </w:p>
    <w:p w14:paraId="6B5CE6B0" w14:textId="77777777" w:rsidR="007A54F3" w:rsidRPr="006F6ABB" w:rsidRDefault="007A54F3" w:rsidP="00A764D8">
      <w:pPr>
        <w:jc w:val="both"/>
        <w:rPr>
          <w:rFonts w:ascii="Arial" w:hAnsi="Arial" w:cs="Arial"/>
          <w:b/>
          <w:bCs/>
          <w:color w:val="FF0000"/>
          <w:sz w:val="20"/>
          <w:szCs w:val="20"/>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2"/>
        <w:gridCol w:w="7371"/>
      </w:tblGrid>
      <w:tr w:rsidR="00BC3E8E" w:rsidRPr="006F6ABB" w14:paraId="247CDF21" w14:textId="77777777" w:rsidTr="00116D51">
        <w:trPr>
          <w:cantSplit/>
        </w:trPr>
        <w:tc>
          <w:tcPr>
            <w:tcW w:w="9073" w:type="dxa"/>
            <w:gridSpan w:val="2"/>
            <w:tcBorders>
              <w:top w:val="single" w:sz="4" w:space="0" w:color="auto"/>
              <w:left w:val="single" w:sz="4" w:space="0" w:color="auto"/>
              <w:right w:val="single" w:sz="4" w:space="0" w:color="auto"/>
            </w:tcBorders>
            <w:shd w:val="clear" w:color="auto" w:fill="CCFFCC"/>
          </w:tcPr>
          <w:p w14:paraId="660AE05A" w14:textId="77777777" w:rsidR="00BC3E8E" w:rsidRPr="006F6ABB" w:rsidRDefault="001F4DCE" w:rsidP="00A764D8">
            <w:pPr>
              <w:jc w:val="both"/>
              <w:rPr>
                <w:rFonts w:ascii="Arial" w:hAnsi="Arial" w:cs="Arial"/>
                <w:b/>
                <w:sz w:val="20"/>
                <w:szCs w:val="20"/>
              </w:rPr>
            </w:pPr>
            <w:r>
              <w:rPr>
                <w:rFonts w:ascii="Arial" w:hAnsi="Arial" w:cs="Arial"/>
                <w:b/>
                <w:sz w:val="20"/>
                <w:szCs w:val="20"/>
              </w:rPr>
              <w:t xml:space="preserve">Tabla 2. </w:t>
            </w:r>
            <w:r w:rsidR="00BC3E8E" w:rsidRPr="006F6ABB">
              <w:rPr>
                <w:rFonts w:ascii="Arial" w:hAnsi="Arial" w:cs="Arial"/>
                <w:b/>
                <w:sz w:val="20"/>
                <w:szCs w:val="20"/>
              </w:rPr>
              <w:t>Descripción del problema de salud</w:t>
            </w:r>
          </w:p>
          <w:p w14:paraId="4A4DC49F" w14:textId="77777777" w:rsidR="00BC3E8E" w:rsidRPr="006F6ABB" w:rsidRDefault="00BC3E8E" w:rsidP="00A764D8">
            <w:pPr>
              <w:jc w:val="both"/>
              <w:rPr>
                <w:rFonts w:ascii="Arial" w:hAnsi="Arial" w:cs="Arial"/>
                <w:b/>
                <w:sz w:val="20"/>
                <w:szCs w:val="20"/>
              </w:rPr>
            </w:pPr>
          </w:p>
        </w:tc>
      </w:tr>
      <w:tr w:rsidR="00BC3E8E" w:rsidRPr="006F6ABB" w14:paraId="59F59CEA" w14:textId="77777777" w:rsidTr="00E96731">
        <w:trPr>
          <w:cantSplit/>
        </w:trPr>
        <w:tc>
          <w:tcPr>
            <w:tcW w:w="1702" w:type="dxa"/>
            <w:shd w:val="clear" w:color="auto" w:fill="E6E6E6"/>
          </w:tcPr>
          <w:p w14:paraId="6588C6E2" w14:textId="77777777" w:rsidR="00BC3E8E" w:rsidRPr="006F6ABB" w:rsidRDefault="00BC3E8E" w:rsidP="00A764D8">
            <w:pPr>
              <w:jc w:val="both"/>
              <w:rPr>
                <w:rFonts w:ascii="Arial" w:hAnsi="Arial" w:cs="Arial"/>
                <w:bCs/>
                <w:sz w:val="20"/>
                <w:szCs w:val="20"/>
              </w:rPr>
            </w:pPr>
            <w:r w:rsidRPr="006F6ABB">
              <w:rPr>
                <w:rFonts w:ascii="Arial" w:hAnsi="Arial" w:cs="Arial"/>
                <w:bCs/>
                <w:sz w:val="20"/>
                <w:szCs w:val="20"/>
              </w:rPr>
              <w:lastRenderedPageBreak/>
              <w:t>Definición</w:t>
            </w:r>
          </w:p>
        </w:tc>
        <w:tc>
          <w:tcPr>
            <w:tcW w:w="7371" w:type="dxa"/>
          </w:tcPr>
          <w:p w14:paraId="4B42BA65" w14:textId="77777777" w:rsidR="00BC3E8E" w:rsidRPr="006F6ABB" w:rsidRDefault="00316779" w:rsidP="00A764D8">
            <w:pPr>
              <w:jc w:val="both"/>
              <w:rPr>
                <w:rFonts w:ascii="Arial" w:hAnsi="Arial" w:cs="Arial"/>
                <w:bCs/>
                <w:sz w:val="20"/>
                <w:szCs w:val="20"/>
              </w:rPr>
            </w:pPr>
            <w:r w:rsidRPr="00316779">
              <w:rPr>
                <w:rFonts w:ascii="Arial" w:hAnsi="Arial" w:cs="Arial"/>
                <w:bCs/>
                <w:sz w:val="20"/>
                <w:szCs w:val="20"/>
              </w:rPr>
              <w:t xml:space="preserve">La dermatitis atópica </w:t>
            </w:r>
            <w:r>
              <w:rPr>
                <w:rFonts w:ascii="Arial" w:hAnsi="Arial" w:cs="Arial"/>
                <w:bCs/>
                <w:sz w:val="20"/>
                <w:szCs w:val="20"/>
              </w:rPr>
              <w:t xml:space="preserve">(DA) o eccema tópico </w:t>
            </w:r>
            <w:r w:rsidRPr="00316779">
              <w:rPr>
                <w:rFonts w:ascii="Arial" w:hAnsi="Arial" w:cs="Arial"/>
                <w:bCs/>
                <w:sz w:val="20"/>
                <w:szCs w:val="20"/>
              </w:rPr>
              <w:t xml:space="preserve">es una enfermedad inflamatoria crónica de la piel, de tipo eccematoso y pruriginoso, con un curso de brotes y remisiones. Suele asociarse a antecedentes personales o familiares de enfermedades alérgicas y a una mayor producción de </w:t>
            </w:r>
            <w:r w:rsidR="00B20726">
              <w:rPr>
                <w:rFonts w:ascii="Arial" w:hAnsi="Arial" w:cs="Arial"/>
                <w:bCs/>
                <w:sz w:val="20"/>
                <w:szCs w:val="20"/>
              </w:rPr>
              <w:t>inmunoglobulina E (</w:t>
            </w:r>
            <w:r w:rsidRPr="00316779">
              <w:rPr>
                <w:rFonts w:ascii="Arial" w:hAnsi="Arial" w:cs="Arial"/>
                <w:bCs/>
                <w:sz w:val="20"/>
                <w:szCs w:val="20"/>
              </w:rPr>
              <w:t>IgE</w:t>
            </w:r>
            <w:r w:rsidR="00B20726">
              <w:rPr>
                <w:rFonts w:ascii="Arial" w:hAnsi="Arial" w:cs="Arial"/>
                <w:bCs/>
                <w:sz w:val="20"/>
                <w:szCs w:val="20"/>
              </w:rPr>
              <w:t>)</w:t>
            </w:r>
            <w:r w:rsidRPr="00316779">
              <w:rPr>
                <w:rFonts w:ascii="Arial" w:hAnsi="Arial" w:cs="Arial"/>
                <w:bCs/>
                <w:sz w:val="20"/>
                <w:szCs w:val="20"/>
              </w:rPr>
              <w:t>. Su distribución es simétrica y varía según la edad. Aunque suele iniciarse en la infancia, puede persistir o aparecer en la edad adulta</w:t>
            </w:r>
            <w:r w:rsidR="00B20726">
              <w:rPr>
                <w:rFonts w:ascii="Arial" w:hAnsi="Arial" w:cs="Arial"/>
                <w:bCs/>
                <w:sz w:val="20"/>
                <w:szCs w:val="20"/>
              </w:rPr>
              <w:t>.</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{"citationID":"YxjXRC1t","properties":{"formattedCitation":"(1)","plainCitation":"(1)","noteIndex":0},"citationItems":[{"id":6,"uris":["http://zotero.org/users/18702181/items/NFG963CD"],"itemData":{"id":6,"type":"article-journal","abstract":"This is the English version of the 2024 clinical practice guidelines for the management of atopic dermatitis (AD). AD is a disease characterized by relapsing eczema with pruritus as a primary lesion. A crucial aspect of AD treatment is the prompt induction of remission via the suppression of existing skin inflammation and pruritus. To achieve this, topical anti-inflammatory drugs, such as topical corticosteroids, tacrolimus ointment, delgocitinib ointment, and difamilast ointment, have been used. However, the following treatments should be considered in addition to topical therapy for patients with refractory moderate-to-severe AD: oral cyclosporine, subcutaneous injections of biologics (dupilumab, nemolizumab, tralokinumab), oral Janus kinase inhibitors (baricitinib, upadacitinib, abrocitinib), and phototherapy. In these revised guidelines, descriptions of five new drugs, namely, difamilast, nemolizumab, tralokinumab, upadacitinib, and abrocitinib, have been added. The guidelines present recommendations to review clinical research articles, evaluate the balance between the advantages and disadvantages of medical activities, and optimize medical activity-related patient outcomes with respect to several important points requiring decision-making in clinical practice.","container-title":"The Journal of Dermatology","DOI":"10.1111/1346-8138.17544","ISSN":"1346-8138","issue":"2","journalAbbreviation":"J Dermatol","language":"eng","page":"e70-e142","PMID":"39707640","source":"PubMed","title":"English version of clinical practice guidelines for the management of atopic dermatitis 2024","volume":"52","author":[{"family":"Saeki","given":"Hidehisa"},{"family":"Ohya","given":"Yukihiro"},{"family":"Arakawa","given":"Hirokazu"},{"family":"Ichiyama","given":"Susumu"},{"family":"Katsunuma","given":"Toshio"},{"family":"Katoh","given":"Norito"},{"family":"Tanaka","given":"Akio"},{"family":"Tanizaki","given":"Hideaki"},{"family":"Tsunemi","given":"Yuichiro"},{"family":"Nakahara","given":"Takeshi"},{"family":"Nagao","given":"Mizuho"},{"family":"Narita","given":"Masami"},{"family":"Hide","given":"Michihiro"},{"family":"Fujisawa","given":"Takao"},{"family":"Futamura","given":"Masaki"},{"family":"Masuda","given":"Koji"},{"family":"Matsubara","given":"Tomoyo"},{"family":"Murota","given":"Hiroyuki"},{"family":"Yamamoto-Hanada","given":"Kiwako"},{"family":"Furuta","given":"Junichi"}],"issued":{"date-parts":[["2025",2]]}}}],"schema":"https://github.com/citation-style-language/schema/raw/master/csl-citation.json"} </w:instrText>
            </w:r>
            <w:r w:rsidR="00646A51">
              <w:rPr>
                <w:rFonts w:ascii="Arial" w:hAnsi="Arial" w:cs="Arial"/>
                <w:bCs/>
                <w:sz w:val="20"/>
                <w:szCs w:val="20"/>
              </w:rPr>
              <w:fldChar w:fldCharType="separate"/>
            </w:r>
            <w:r w:rsidRPr="00316779">
              <w:rPr>
                <w:rFonts w:ascii="Arial" w:hAnsi="Arial" w:cs="Arial"/>
                <w:sz w:val="20"/>
              </w:rPr>
              <w:t>(1)</w:t>
            </w:r>
            <w:r w:rsidR="00646A51">
              <w:rPr>
                <w:rFonts w:ascii="Arial" w:hAnsi="Arial" w:cs="Arial"/>
                <w:bCs/>
                <w:sz w:val="20"/>
                <w:szCs w:val="20"/>
              </w:rPr>
              <w:fldChar w:fldCharType="end"/>
            </w:r>
          </w:p>
        </w:tc>
      </w:tr>
      <w:tr w:rsidR="007A54F3" w:rsidRPr="006F6ABB" w14:paraId="1FA5FC17" w14:textId="77777777" w:rsidTr="00E96731">
        <w:trPr>
          <w:cantSplit/>
        </w:trPr>
        <w:tc>
          <w:tcPr>
            <w:tcW w:w="1702" w:type="dxa"/>
            <w:shd w:val="clear" w:color="auto" w:fill="E6E6E6"/>
          </w:tcPr>
          <w:p w14:paraId="3E91B03F" w14:textId="77777777" w:rsidR="007A54F3" w:rsidRPr="006F6ABB" w:rsidRDefault="007A54F3" w:rsidP="007A54F3">
            <w:pPr>
              <w:jc w:val="both"/>
              <w:rPr>
                <w:rFonts w:ascii="Arial" w:hAnsi="Arial" w:cs="Arial"/>
                <w:bCs/>
                <w:sz w:val="20"/>
                <w:szCs w:val="20"/>
              </w:rPr>
            </w:pPr>
            <w:r w:rsidRPr="006F6ABB">
              <w:rPr>
                <w:rFonts w:ascii="Arial" w:hAnsi="Arial" w:cs="Arial"/>
                <w:bCs/>
                <w:sz w:val="20"/>
                <w:szCs w:val="20"/>
              </w:rPr>
              <w:t>Principales manifestaciones clínicas</w:t>
            </w:r>
          </w:p>
        </w:tc>
        <w:tc>
          <w:tcPr>
            <w:tcW w:w="7371" w:type="dxa"/>
          </w:tcPr>
          <w:p w14:paraId="762348A9" w14:textId="77777777" w:rsidR="007A54F3" w:rsidRDefault="007A54F3" w:rsidP="007A54F3">
            <w:pPr>
              <w:jc w:val="both"/>
              <w:rPr>
                <w:rFonts w:ascii="Arial" w:hAnsi="Arial" w:cs="Arial"/>
                <w:bCs/>
                <w:sz w:val="20"/>
                <w:szCs w:val="20"/>
              </w:rPr>
            </w:pPr>
            <w:r>
              <w:rPr>
                <w:rFonts w:ascii="Arial" w:hAnsi="Arial" w:cs="Arial"/>
                <w:bCs/>
                <w:sz w:val="20"/>
                <w:szCs w:val="20"/>
              </w:rPr>
              <w:t xml:space="preserve">Los síntomas de DA incluyen </w:t>
            </w:r>
            <w:r w:rsidRPr="00156E91">
              <w:rPr>
                <w:rFonts w:ascii="Arial" w:hAnsi="Arial" w:cs="Arial"/>
                <w:bCs/>
                <w:sz w:val="20"/>
                <w:szCs w:val="20"/>
              </w:rPr>
              <w:t>piel seca, escamosa e inflamada, que puede producir un picor intenso, y lesiones dolorosas que suelen afectar a las manos, los párpados y los pliegues cutáneos.</w:t>
            </w:r>
          </w:p>
          <w:p w14:paraId="42A76B30" w14:textId="77777777" w:rsidR="007A54F3" w:rsidRPr="009C09B1" w:rsidRDefault="007A54F3" w:rsidP="007A54F3">
            <w:pPr>
              <w:jc w:val="both"/>
              <w:rPr>
                <w:rFonts w:ascii="Arial" w:hAnsi="Arial" w:cs="Arial"/>
                <w:bCs/>
                <w:sz w:val="20"/>
                <w:szCs w:val="20"/>
              </w:rPr>
            </w:pPr>
            <w:r w:rsidRPr="009C09B1">
              <w:rPr>
                <w:rFonts w:ascii="Arial" w:hAnsi="Arial" w:cs="Arial"/>
                <w:bCs/>
                <w:sz w:val="20"/>
                <w:szCs w:val="20"/>
              </w:rPr>
              <w:t xml:space="preserve">El diagnóstico de DA </w:t>
            </w:r>
            <w:r>
              <w:rPr>
                <w:rFonts w:ascii="Arial" w:hAnsi="Arial" w:cs="Arial"/>
                <w:bCs/>
                <w:sz w:val="20"/>
                <w:szCs w:val="20"/>
              </w:rPr>
              <w:t xml:space="preserve">es fundamentalmente clínico, y </w:t>
            </w:r>
            <w:r w:rsidRPr="009C09B1">
              <w:rPr>
                <w:rFonts w:ascii="Arial" w:hAnsi="Arial" w:cs="Arial"/>
                <w:bCs/>
                <w:sz w:val="20"/>
                <w:szCs w:val="20"/>
              </w:rPr>
              <w:t>se basa en la presencia de tres criterios fundamentales, cuya concurrencia es necesaria para establecer el diagnóstico definitivo, independientemente de la gravedad:</w:t>
            </w:r>
          </w:p>
          <w:p w14:paraId="2BC7EA94" w14:textId="77777777" w:rsidR="007A54F3" w:rsidRPr="00C80ACF" w:rsidRDefault="007A54F3" w:rsidP="007A54F3">
            <w:pPr>
              <w:jc w:val="both"/>
              <w:rPr>
                <w:rFonts w:ascii="Arial" w:hAnsi="Arial" w:cs="Arial"/>
                <w:b/>
                <w:sz w:val="20"/>
                <w:szCs w:val="20"/>
              </w:rPr>
            </w:pPr>
            <w:r w:rsidRPr="00C80ACF">
              <w:rPr>
                <w:rFonts w:ascii="Arial" w:hAnsi="Arial" w:cs="Arial"/>
                <w:b/>
                <w:sz w:val="20"/>
                <w:szCs w:val="20"/>
              </w:rPr>
              <w:t>1.Prurito.</w:t>
            </w:r>
          </w:p>
          <w:p w14:paraId="2F7EF6F3" w14:textId="77777777" w:rsidR="007A54F3" w:rsidRDefault="007A54F3" w:rsidP="007A54F3">
            <w:pPr>
              <w:jc w:val="both"/>
              <w:rPr>
                <w:rFonts w:ascii="Arial" w:hAnsi="Arial" w:cs="Arial"/>
                <w:b/>
                <w:sz w:val="20"/>
                <w:szCs w:val="20"/>
              </w:rPr>
            </w:pPr>
            <w:r w:rsidRPr="00C80ACF">
              <w:rPr>
                <w:rFonts w:ascii="Arial" w:hAnsi="Arial" w:cs="Arial"/>
                <w:b/>
                <w:sz w:val="20"/>
                <w:szCs w:val="20"/>
              </w:rPr>
              <w:t>2. Morfología y distribución típicas del eccema.</w:t>
            </w:r>
          </w:p>
          <w:p w14:paraId="34D4912F" w14:textId="77777777" w:rsidR="007A54F3" w:rsidRPr="00C80ACF" w:rsidRDefault="007A54F3" w:rsidP="007A54F3">
            <w:pPr>
              <w:jc w:val="both"/>
              <w:rPr>
                <w:rFonts w:ascii="Arial" w:hAnsi="Arial" w:cs="Arial"/>
                <w:bCs/>
                <w:sz w:val="20"/>
                <w:szCs w:val="20"/>
                <w:u w:val="single"/>
              </w:rPr>
            </w:pPr>
            <w:r w:rsidRPr="00C80ACF">
              <w:rPr>
                <w:rFonts w:ascii="Arial" w:hAnsi="Arial" w:cs="Arial"/>
                <w:bCs/>
                <w:sz w:val="20"/>
                <w:szCs w:val="20"/>
                <w:u w:val="single"/>
              </w:rPr>
              <w:t>Tipo de lesión:</w:t>
            </w:r>
          </w:p>
          <w:p w14:paraId="59D287CC" w14:textId="77777777" w:rsidR="007A54F3" w:rsidRPr="00C80ACF" w:rsidRDefault="007A54F3" w:rsidP="007A54F3">
            <w:pPr>
              <w:numPr>
                <w:ilvl w:val="0"/>
                <w:numId w:val="5"/>
              </w:numPr>
              <w:jc w:val="both"/>
              <w:rPr>
                <w:rFonts w:ascii="Arial" w:hAnsi="Arial" w:cs="Arial"/>
                <w:bCs/>
                <w:sz w:val="20"/>
                <w:szCs w:val="20"/>
              </w:rPr>
            </w:pPr>
            <w:r w:rsidRPr="00C80ACF">
              <w:rPr>
                <w:rFonts w:ascii="Arial" w:hAnsi="Arial" w:cs="Arial"/>
                <w:bCs/>
                <w:sz w:val="20"/>
                <w:szCs w:val="20"/>
              </w:rPr>
              <w:t>Lesiones agudas: eritema, exudado, pápulas, vesiculopápulas, escamas y costras.</w:t>
            </w:r>
          </w:p>
          <w:p w14:paraId="7CB08123" w14:textId="77777777" w:rsidR="007A54F3" w:rsidRPr="007A54F3" w:rsidRDefault="007A54F3" w:rsidP="007A54F3">
            <w:pPr>
              <w:numPr>
                <w:ilvl w:val="0"/>
                <w:numId w:val="5"/>
              </w:numPr>
              <w:jc w:val="both"/>
              <w:rPr>
                <w:rFonts w:ascii="Arial" w:hAnsi="Arial" w:cs="Arial"/>
                <w:bCs/>
                <w:sz w:val="20"/>
                <w:szCs w:val="20"/>
              </w:rPr>
            </w:pPr>
            <w:r w:rsidRPr="00C80ACF">
              <w:rPr>
                <w:rFonts w:ascii="Arial" w:hAnsi="Arial" w:cs="Arial"/>
                <w:bCs/>
                <w:sz w:val="20"/>
                <w:szCs w:val="20"/>
              </w:rPr>
              <w:t>Lesiones crónicas: eritema infiltrado, liquenificación, prurigo, escamas y costras.</w:t>
            </w:r>
          </w:p>
          <w:p w14:paraId="1A57085D" w14:textId="77777777" w:rsidR="007A54F3" w:rsidRPr="009C09B1" w:rsidRDefault="007A54F3" w:rsidP="007A54F3">
            <w:pPr>
              <w:jc w:val="both"/>
              <w:rPr>
                <w:rFonts w:ascii="Arial" w:hAnsi="Arial" w:cs="Arial"/>
                <w:bCs/>
                <w:sz w:val="20"/>
                <w:szCs w:val="20"/>
              </w:rPr>
            </w:pPr>
            <w:r w:rsidRPr="00C80ACF">
              <w:rPr>
                <w:rFonts w:ascii="Arial" w:hAnsi="Arial" w:cs="Arial"/>
                <w:bCs/>
                <w:sz w:val="20"/>
                <w:szCs w:val="20"/>
                <w:u w:val="single"/>
              </w:rPr>
              <w:t>Distribución simétrica</w:t>
            </w:r>
            <w:r w:rsidRPr="009C09B1">
              <w:rPr>
                <w:rFonts w:ascii="Arial" w:hAnsi="Arial" w:cs="Arial"/>
                <w:bCs/>
                <w:sz w:val="20"/>
                <w:szCs w:val="20"/>
              </w:rPr>
              <w:t>, con predilección por la frente, zona periorbitaria, perioral, labios, región periauricular, cuello, pliegues articulares y tronco.</w:t>
            </w:r>
          </w:p>
          <w:p w14:paraId="17E899F3" w14:textId="77777777" w:rsidR="007A54F3" w:rsidRDefault="007A54F3" w:rsidP="007A54F3">
            <w:pPr>
              <w:jc w:val="both"/>
              <w:rPr>
                <w:rFonts w:ascii="Arial" w:hAnsi="Arial" w:cs="Arial"/>
                <w:bCs/>
                <w:sz w:val="20"/>
                <w:szCs w:val="20"/>
              </w:rPr>
            </w:pPr>
          </w:p>
          <w:p w14:paraId="5166C1AA" w14:textId="77777777" w:rsidR="007A54F3" w:rsidRPr="00C80ACF" w:rsidRDefault="007A54F3" w:rsidP="007A54F3">
            <w:pPr>
              <w:jc w:val="both"/>
              <w:rPr>
                <w:rFonts w:ascii="Arial" w:hAnsi="Arial" w:cs="Arial"/>
                <w:bCs/>
                <w:sz w:val="20"/>
                <w:szCs w:val="20"/>
                <w:u w:val="single"/>
              </w:rPr>
            </w:pPr>
            <w:r w:rsidRPr="00C80ACF">
              <w:rPr>
                <w:rFonts w:ascii="Arial" w:hAnsi="Arial" w:cs="Arial"/>
                <w:bCs/>
                <w:sz w:val="20"/>
                <w:szCs w:val="20"/>
                <w:u w:val="single"/>
              </w:rPr>
              <w:t>Características según la edad:</w:t>
            </w:r>
          </w:p>
          <w:p w14:paraId="6E206E0C" w14:textId="77777777" w:rsidR="007A54F3" w:rsidRDefault="007A54F3" w:rsidP="007A54F3">
            <w:pPr>
              <w:numPr>
                <w:ilvl w:val="0"/>
                <w:numId w:val="6"/>
              </w:numPr>
              <w:jc w:val="both"/>
              <w:rPr>
                <w:rFonts w:ascii="Arial" w:hAnsi="Arial" w:cs="Arial"/>
                <w:bCs/>
                <w:sz w:val="20"/>
                <w:szCs w:val="20"/>
              </w:rPr>
            </w:pPr>
            <w:r w:rsidRPr="009C09B1">
              <w:rPr>
                <w:rFonts w:ascii="Arial" w:hAnsi="Arial" w:cs="Arial"/>
                <w:bCs/>
                <w:sz w:val="20"/>
                <w:szCs w:val="20"/>
              </w:rPr>
              <w:t>Fase infantil: comienza en el cuero cabelludo y la cara, extendiéndose a tronco y extremidades.</w:t>
            </w:r>
          </w:p>
          <w:p w14:paraId="6D2AB3A6" w14:textId="77777777" w:rsidR="007A54F3" w:rsidRDefault="007A54F3" w:rsidP="007A54F3">
            <w:pPr>
              <w:numPr>
                <w:ilvl w:val="0"/>
                <w:numId w:val="6"/>
              </w:numPr>
              <w:jc w:val="both"/>
              <w:rPr>
                <w:rFonts w:ascii="Arial" w:hAnsi="Arial" w:cs="Arial"/>
                <w:bCs/>
                <w:sz w:val="20"/>
                <w:szCs w:val="20"/>
              </w:rPr>
            </w:pPr>
            <w:r w:rsidRPr="005D4EF7">
              <w:rPr>
                <w:rFonts w:ascii="Arial" w:hAnsi="Arial" w:cs="Arial"/>
                <w:bCs/>
                <w:sz w:val="20"/>
                <w:szCs w:val="20"/>
              </w:rPr>
              <w:t>Fase infantil-tardía o escolar: afecta principalmente el cuello y las superficies flexoras de brazos y piernas.</w:t>
            </w:r>
          </w:p>
          <w:p w14:paraId="1A3AD9B9" w14:textId="77777777" w:rsidR="007A54F3" w:rsidRPr="007A54F3" w:rsidRDefault="007A54F3" w:rsidP="007A54F3">
            <w:pPr>
              <w:numPr>
                <w:ilvl w:val="0"/>
                <w:numId w:val="6"/>
              </w:numPr>
              <w:jc w:val="both"/>
              <w:rPr>
                <w:rFonts w:ascii="Arial" w:hAnsi="Arial" w:cs="Arial"/>
                <w:bCs/>
                <w:sz w:val="20"/>
                <w:szCs w:val="20"/>
              </w:rPr>
            </w:pPr>
            <w:r w:rsidRPr="005D4EF7">
              <w:rPr>
                <w:rFonts w:ascii="Arial" w:hAnsi="Arial" w:cs="Arial"/>
                <w:bCs/>
                <w:sz w:val="20"/>
                <w:szCs w:val="20"/>
              </w:rPr>
              <w:t>Fase adolescente y adulta: suele ser más intensa en la mitad superior del cuerpo (cara, cuello, tórax anterior y espalda).</w:t>
            </w:r>
          </w:p>
          <w:p w14:paraId="5EBF4FC5" w14:textId="77777777" w:rsidR="007A54F3" w:rsidRPr="009C09B1" w:rsidRDefault="007A54F3" w:rsidP="007A54F3">
            <w:pPr>
              <w:jc w:val="both"/>
              <w:rPr>
                <w:rFonts w:ascii="Arial" w:hAnsi="Arial" w:cs="Arial"/>
                <w:bCs/>
                <w:sz w:val="20"/>
                <w:szCs w:val="20"/>
              </w:rPr>
            </w:pPr>
            <w:r>
              <w:rPr>
                <w:rFonts w:ascii="Arial" w:hAnsi="Arial" w:cs="Arial"/>
                <w:bCs/>
                <w:sz w:val="20"/>
                <w:szCs w:val="20"/>
              </w:rPr>
              <w:t xml:space="preserve">3. </w:t>
            </w:r>
            <w:r w:rsidRPr="00C80ACF">
              <w:rPr>
                <w:rFonts w:ascii="Arial" w:hAnsi="Arial" w:cs="Arial"/>
                <w:b/>
                <w:sz w:val="20"/>
                <w:szCs w:val="20"/>
              </w:rPr>
              <w:t>Curso crónico o con recaídas recurrentes</w:t>
            </w:r>
            <w:r w:rsidRPr="009C09B1">
              <w:rPr>
                <w:rFonts w:ascii="Arial" w:hAnsi="Arial" w:cs="Arial"/>
                <w:bCs/>
                <w:sz w:val="20"/>
                <w:szCs w:val="20"/>
              </w:rPr>
              <w:t>, caracterizado por la coexistencia de lesiones nuevas y antiguas:</w:t>
            </w:r>
          </w:p>
          <w:p w14:paraId="6C640FEE" w14:textId="77777777" w:rsidR="007A54F3" w:rsidRDefault="007A54F3" w:rsidP="007A54F3">
            <w:pPr>
              <w:numPr>
                <w:ilvl w:val="0"/>
                <w:numId w:val="7"/>
              </w:numPr>
              <w:jc w:val="both"/>
              <w:rPr>
                <w:rFonts w:ascii="Arial" w:hAnsi="Arial" w:cs="Arial"/>
                <w:bCs/>
                <w:sz w:val="20"/>
                <w:szCs w:val="20"/>
              </w:rPr>
            </w:pPr>
            <w:r w:rsidRPr="009C09B1">
              <w:rPr>
                <w:rFonts w:ascii="Arial" w:hAnsi="Arial" w:cs="Arial"/>
                <w:bCs/>
                <w:sz w:val="20"/>
                <w:szCs w:val="20"/>
              </w:rPr>
              <w:t>Más de 2 meses de duración en lactantes.</w:t>
            </w:r>
          </w:p>
          <w:p w14:paraId="55C415B8" w14:textId="77777777" w:rsidR="007A54F3" w:rsidRPr="005D4EF7" w:rsidRDefault="007A54F3" w:rsidP="007A54F3">
            <w:pPr>
              <w:numPr>
                <w:ilvl w:val="0"/>
                <w:numId w:val="7"/>
              </w:numPr>
              <w:jc w:val="both"/>
              <w:rPr>
                <w:rFonts w:ascii="Arial" w:hAnsi="Arial" w:cs="Arial"/>
                <w:bCs/>
                <w:sz w:val="20"/>
                <w:szCs w:val="20"/>
              </w:rPr>
            </w:pPr>
            <w:r w:rsidRPr="005D4EF7">
              <w:rPr>
                <w:rFonts w:ascii="Arial" w:hAnsi="Arial" w:cs="Arial"/>
                <w:bCs/>
                <w:sz w:val="20"/>
                <w:szCs w:val="20"/>
              </w:rPr>
              <w:t>Más de 6 meses en la infancia, adolescencia y edad adulta.</w:t>
            </w:r>
          </w:p>
          <w:p w14:paraId="5E822236" w14:textId="77777777" w:rsidR="007A54F3" w:rsidRPr="007A54F3" w:rsidRDefault="007A54F3" w:rsidP="007A54F3">
            <w:pPr>
              <w:jc w:val="both"/>
              <w:rPr>
                <w:rFonts w:ascii="Arial" w:hAnsi="Arial" w:cs="Arial"/>
                <w:bCs/>
                <w:sz w:val="20"/>
                <w:szCs w:val="20"/>
              </w:rPr>
            </w:pPr>
            <w:r w:rsidRPr="009C09B1">
              <w:rPr>
                <w:rFonts w:ascii="Arial" w:hAnsi="Arial" w:cs="Arial"/>
                <w:bCs/>
                <w:sz w:val="20"/>
                <w:szCs w:val="20"/>
              </w:rPr>
              <w:t>Los casos que no cumplan estos tres criterios deben evaluarse según la edad y la evolución clínica, considerándose eccemas agudos o crónicos no específicos.</w:t>
            </w:r>
          </w:p>
          <w:p w14:paraId="416760D0" w14:textId="77777777" w:rsidR="007A54F3" w:rsidRPr="005D4EF7" w:rsidRDefault="007A54F3" w:rsidP="007A54F3">
            <w:pPr>
              <w:jc w:val="both"/>
              <w:rPr>
                <w:rFonts w:ascii="Arial" w:hAnsi="Arial" w:cs="Arial"/>
                <w:bCs/>
                <w:sz w:val="20"/>
                <w:szCs w:val="20"/>
              </w:rPr>
            </w:pPr>
            <w:r w:rsidRPr="00C80ACF">
              <w:rPr>
                <w:rFonts w:ascii="Arial" w:hAnsi="Arial" w:cs="Arial"/>
                <w:b/>
                <w:sz w:val="20"/>
                <w:szCs w:val="20"/>
              </w:rPr>
              <w:t>Pruebas o hallazgos de apoyo diagnóstico</w:t>
            </w:r>
            <w:r w:rsidRPr="005D4EF7">
              <w:rPr>
                <w:rFonts w:ascii="Arial" w:hAnsi="Arial" w:cs="Arial"/>
                <w:bCs/>
                <w:sz w:val="20"/>
                <w:szCs w:val="20"/>
              </w:rPr>
              <w:t>:</w:t>
            </w:r>
          </w:p>
          <w:p w14:paraId="35F9D452" w14:textId="77777777" w:rsidR="007A54F3" w:rsidRDefault="007A54F3" w:rsidP="007A54F3">
            <w:pPr>
              <w:numPr>
                <w:ilvl w:val="0"/>
                <w:numId w:val="8"/>
              </w:numPr>
              <w:jc w:val="both"/>
              <w:rPr>
                <w:rFonts w:ascii="Arial" w:hAnsi="Arial" w:cs="Arial"/>
                <w:bCs/>
                <w:sz w:val="20"/>
                <w:szCs w:val="20"/>
              </w:rPr>
            </w:pPr>
            <w:r w:rsidRPr="005D4EF7">
              <w:rPr>
                <w:rFonts w:ascii="Arial" w:hAnsi="Arial" w:cs="Arial"/>
                <w:bCs/>
                <w:sz w:val="20"/>
                <w:szCs w:val="20"/>
              </w:rPr>
              <w:t>Antecedentes familiares o personales de asma bronquial, rinitis alérgica, conjuntivitis alérgica o dermatitis atópica.</w:t>
            </w:r>
          </w:p>
          <w:p w14:paraId="4C530F93" w14:textId="77777777" w:rsidR="007A54F3" w:rsidRDefault="007A54F3" w:rsidP="007A54F3">
            <w:pPr>
              <w:numPr>
                <w:ilvl w:val="0"/>
                <w:numId w:val="8"/>
              </w:numPr>
              <w:jc w:val="both"/>
              <w:rPr>
                <w:rFonts w:ascii="Arial" w:hAnsi="Arial" w:cs="Arial"/>
                <w:bCs/>
                <w:sz w:val="20"/>
                <w:szCs w:val="20"/>
              </w:rPr>
            </w:pPr>
            <w:r w:rsidRPr="005D4EF7">
              <w:rPr>
                <w:rFonts w:ascii="Arial" w:hAnsi="Arial" w:cs="Arial"/>
                <w:bCs/>
                <w:sz w:val="20"/>
                <w:szCs w:val="20"/>
              </w:rPr>
              <w:t>Presencia de pápulas foliculares (“piel de gallina”).</w:t>
            </w:r>
          </w:p>
          <w:p w14:paraId="298966AD" w14:textId="77777777" w:rsidR="007A54F3" w:rsidRPr="007A54F3" w:rsidRDefault="007A54F3" w:rsidP="007A54F3">
            <w:pPr>
              <w:numPr>
                <w:ilvl w:val="0"/>
                <w:numId w:val="8"/>
              </w:numPr>
              <w:jc w:val="both"/>
              <w:rPr>
                <w:rFonts w:ascii="Arial" w:hAnsi="Arial" w:cs="Arial"/>
                <w:bCs/>
                <w:sz w:val="20"/>
                <w:szCs w:val="20"/>
              </w:rPr>
            </w:pPr>
            <w:r>
              <w:rPr>
                <w:rFonts w:ascii="Arial" w:hAnsi="Arial" w:cs="Arial"/>
                <w:bCs/>
                <w:sz w:val="20"/>
                <w:szCs w:val="20"/>
              </w:rPr>
              <w:t>E</w:t>
            </w:r>
            <w:r w:rsidRPr="005D4EF7">
              <w:rPr>
                <w:rFonts w:ascii="Arial" w:hAnsi="Arial" w:cs="Arial"/>
                <w:bCs/>
                <w:sz w:val="20"/>
                <w:szCs w:val="20"/>
              </w:rPr>
              <w:t>levación de los niveles séricos de IgE total.</w:t>
            </w:r>
          </w:p>
          <w:p w14:paraId="1734C062" w14:textId="77777777" w:rsidR="007A54F3" w:rsidRDefault="007A54F3" w:rsidP="007A54F3">
            <w:pPr>
              <w:jc w:val="both"/>
              <w:rPr>
                <w:rFonts w:ascii="Arial" w:hAnsi="Arial" w:cs="Arial"/>
                <w:bCs/>
                <w:sz w:val="20"/>
                <w:szCs w:val="20"/>
              </w:rPr>
            </w:pPr>
            <w:r w:rsidRPr="00C80ACF">
              <w:rPr>
                <w:rFonts w:ascii="Arial" w:hAnsi="Arial" w:cs="Arial"/>
                <w:b/>
                <w:sz w:val="20"/>
                <w:szCs w:val="20"/>
              </w:rPr>
              <w:t>Complicaciones importantes:</w:t>
            </w:r>
            <w:r>
              <w:rPr>
                <w:rFonts w:ascii="Arial" w:hAnsi="Arial" w:cs="Arial"/>
                <w:bCs/>
                <w:sz w:val="20"/>
                <w:szCs w:val="20"/>
              </w:rPr>
              <w:t xml:space="preserve"> </w:t>
            </w:r>
            <w:r w:rsidRPr="005D4EF7">
              <w:rPr>
                <w:rFonts w:ascii="Arial" w:hAnsi="Arial" w:cs="Arial"/>
                <w:bCs/>
                <w:sz w:val="20"/>
                <w:szCs w:val="20"/>
              </w:rPr>
              <w:t>oculares (como cataratas o desprendimiento de retina, especialmente en lesiones faciales graves), molusco contagioso, impétigo contagioso y erupción variceliforme de Kaposi</w:t>
            </w:r>
            <w:r>
              <w:rPr>
                <w:rFonts w:ascii="Arial" w:hAnsi="Arial" w:cs="Arial"/>
                <w:bCs/>
                <w:sz w:val="20"/>
                <w:szCs w:val="20"/>
              </w:rPr>
              <w:t xml:space="preserve">. </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{"citationID":"ZKxXiMEA","properties":{"formattedCitation":"(1)","plainCitation":"(1)","noteIndex":0},"citationItems":[{"id":6,"uris":["http://zotero.org/users/18702181/items/NFG963CD"],"itemData":{"id":6,"type":"article-journal","abstract":"This is the English version of the 2024 clinical practice guidelines for the management of atopic dermatitis (AD). AD is a disease characterized by relapsing eczema with pruritus as a primary lesion. A crucial aspect of AD treatment is the prompt induction of remission via the suppression of existing skin inflammation and pruritus. To achieve this, topical anti-inflammatory drugs, such as topical corticosteroids, tacrolimus ointment, delgocitinib ointment, and difamilast ointment, have been used. However, the following treatments should be considered in addition to topical therapy for patients with refractory moderate-to-severe AD: oral cyclosporine, subcutaneous injections of biologics (dupilumab, nemolizumab, tralokinumab), oral Janus kinase inhibitors (baricitinib, upadacitinib, abrocitinib), and phototherapy. In these revised guidelines, descriptions of five new drugs, namely, difamilast, nemolizumab, tralokinumab, upadacitinib, and abrocitinib, have been added. The guidelines present recommendations to review clinical research articles, evaluate the balance between the advantages and disadvantages of medical activities, and optimize medical activity-related patient outcomes with respect to several important points requiring decision-making in clinical practice.","container-title":"The Journal of Dermatology","DOI":"10.1111/1346-8138.17544","ISSN":"1346-8138","issue":"2","journalAbbreviation":"J Dermatol","language":"eng","page":"e70-e142","PMID":"39707640","source":"PubMed","title":"English version of clinical practice guidelines for the management of atopic dermatitis 2024","volume":"52","author":[{"family":"Saeki","given":"Hidehisa"},{"family":"Ohya","given":"Yukihiro"},{"family":"Arakawa","given":"Hirokazu"},{"family":"Ichiyama","given":"Susumu"},{"family":"Katsunuma","given":"Toshio"},{"family":"Katoh","given":"Norito"},{"family":"Tanaka","given":"Akio"},{"family":"Tanizaki","given":"Hideaki"},{"family":"Tsunemi","given":"Yuichiro"},{"family":"Nakahara","given":"Takeshi"},{"family":"Nagao","given":"Mizuho"},{"family":"Narita","given":"Masami"},{"family":"Hide","given":"Michihiro"},{"family":"Fujisawa","given":"Takao"},{"family":"Futamura","given":"Masaki"},{"family":"Masuda","given":"Koji"},{"family":"Matsubara","given":"Tomoyo"},{"family":"Murota","given":"Hiroyuki"},{"family":"Yamamoto-Hanada","given":"Kiwako"},{"family":"Furuta","given":"Junichi"}],"issued":{"date-parts":[["2025",2]]}}}],"schema":"https://github.com/citation-style-language/schema/raw/master/csl-citation.json"} </w:instrText>
            </w:r>
            <w:r w:rsidR="00646A51">
              <w:rPr>
                <w:rFonts w:ascii="Arial" w:hAnsi="Arial" w:cs="Arial"/>
                <w:bCs/>
                <w:sz w:val="20"/>
                <w:szCs w:val="20"/>
              </w:rPr>
              <w:fldChar w:fldCharType="separate"/>
            </w:r>
            <w:r w:rsidRPr="005D4EF7">
              <w:rPr>
                <w:rFonts w:ascii="Arial" w:hAnsi="Arial" w:cs="Arial"/>
                <w:sz w:val="20"/>
              </w:rPr>
              <w:t>(1)</w:t>
            </w:r>
            <w:r w:rsidR="00646A51">
              <w:rPr>
                <w:rFonts w:ascii="Arial" w:hAnsi="Arial" w:cs="Arial"/>
                <w:bCs/>
                <w:sz w:val="20"/>
                <w:szCs w:val="20"/>
              </w:rPr>
              <w:fldChar w:fldCharType="end"/>
            </w:r>
          </w:p>
          <w:p w14:paraId="5DC538A8" w14:textId="77777777" w:rsidR="007A54F3" w:rsidRDefault="007A54F3" w:rsidP="007A54F3">
            <w:pPr>
              <w:jc w:val="both"/>
              <w:rPr>
                <w:rFonts w:ascii="Arial" w:hAnsi="Arial" w:cs="Arial"/>
                <w:bCs/>
                <w:sz w:val="20"/>
                <w:szCs w:val="20"/>
              </w:rPr>
            </w:pPr>
          </w:p>
          <w:p w14:paraId="721B62B0" w14:textId="77777777" w:rsidR="007A54F3" w:rsidRPr="00316779" w:rsidRDefault="007A54F3" w:rsidP="007A54F3">
            <w:pPr>
              <w:jc w:val="both"/>
              <w:rPr>
                <w:rFonts w:ascii="Arial" w:hAnsi="Arial" w:cs="Arial"/>
                <w:bCs/>
                <w:sz w:val="20"/>
                <w:szCs w:val="20"/>
              </w:rPr>
            </w:pPr>
            <w:r>
              <w:rPr>
                <w:rFonts w:ascii="Arial" w:hAnsi="Arial" w:cs="Arial"/>
                <w:bCs/>
                <w:sz w:val="20"/>
                <w:szCs w:val="20"/>
              </w:rPr>
              <w:t>En otras publicaciones y guías clínicas, l</w:t>
            </w:r>
            <w:r w:rsidRPr="00A24290">
              <w:rPr>
                <w:rFonts w:ascii="Arial" w:hAnsi="Arial" w:cs="Arial"/>
                <w:bCs/>
                <w:sz w:val="20"/>
                <w:szCs w:val="20"/>
              </w:rPr>
              <w:t xml:space="preserve">os </w:t>
            </w:r>
            <w:r w:rsidRPr="00A24290">
              <w:rPr>
                <w:rFonts w:ascii="Arial" w:hAnsi="Arial" w:cs="Arial"/>
                <w:b/>
                <w:sz w:val="20"/>
                <w:szCs w:val="20"/>
              </w:rPr>
              <w:t>criterios diagnósticos internacionales</w:t>
            </w:r>
            <w:r w:rsidRPr="00A24290">
              <w:rPr>
                <w:rFonts w:ascii="Arial" w:hAnsi="Arial" w:cs="Arial"/>
                <w:bCs/>
                <w:sz w:val="20"/>
                <w:szCs w:val="20"/>
              </w:rPr>
              <w:t xml:space="preserve"> </w:t>
            </w:r>
            <w:r>
              <w:rPr>
                <w:rFonts w:ascii="Arial" w:hAnsi="Arial" w:cs="Arial"/>
                <w:bCs/>
                <w:sz w:val="20"/>
                <w:szCs w:val="20"/>
              </w:rPr>
              <w:t xml:space="preserve">utilizados son los definidos por </w:t>
            </w:r>
            <w:r w:rsidRPr="00A24290">
              <w:rPr>
                <w:rFonts w:ascii="Arial" w:hAnsi="Arial" w:cs="Arial"/>
                <w:b/>
                <w:sz w:val="20"/>
                <w:szCs w:val="20"/>
              </w:rPr>
              <w:t>Hanifin y Rajka</w:t>
            </w:r>
            <w:r w:rsidRPr="00A24290">
              <w:rPr>
                <w:rFonts w:ascii="Arial" w:hAnsi="Arial" w:cs="Arial"/>
                <w:bCs/>
                <w:sz w:val="20"/>
                <w:szCs w:val="20"/>
              </w:rPr>
              <w:t xml:space="preserve"> en 1980</w:t>
            </w:r>
            <w:r>
              <w:rPr>
                <w:rFonts w:ascii="Arial" w:hAnsi="Arial" w:cs="Arial"/>
                <w:bCs/>
                <w:sz w:val="20"/>
                <w:szCs w:val="20"/>
              </w:rPr>
              <w:t>,</w:t>
            </w:r>
            <w:r w:rsidRPr="00A24290">
              <w:rPr>
                <w:rFonts w:ascii="Arial" w:hAnsi="Arial" w:cs="Arial"/>
                <w:bCs/>
                <w:sz w:val="20"/>
                <w:szCs w:val="20"/>
              </w:rPr>
              <w:t xml:space="preserve"> </w:t>
            </w:r>
            <w:r w:rsidR="00646A51" w:rsidRPr="00A24290">
              <w:rPr>
                <w:rFonts w:ascii="Arial" w:hAnsi="Arial" w:cs="Arial"/>
                <w:bCs/>
                <w:sz w:val="20"/>
                <w:szCs w:val="20"/>
              </w:rPr>
              <w:fldChar w:fldCharType="begin"/>
            </w:r>
            <w:r w:rsidR="00511A83">
              <w:rPr>
                <w:rFonts w:ascii="Arial" w:hAnsi="Arial" w:cs="Arial"/>
                <w:bCs/>
                <w:sz w:val="20"/>
                <w:szCs w:val="20"/>
              </w:rPr>
              <w:instrText xml:space="preserve"> ADDIN ZOTERO_ITEM CSL_CITATION {"citationID":"b7sQbNiC","properties":{"formattedCitation":"(2)","plainCitation":"(2)","noteIndex":0},"citationItems":[{"id":117,"uris":["http://zotero.org/users/18702181/items/S64WY2L3"],"itemData":{"id":117,"type":"article-journal","abstract":"IntroducciónLa dermatitis atópica (DA) es una enfermedad cutánea inflamatoria crónica característica, que ocurre","container-title":"Anales de Pediatría Continuada","DOI":"10.1016/S1696-2818(11)70011-7","ISSN":"1696-2818","issue":"2","journalAbbreviation":"An Pediatr Contin","language":"es","page":"73-80","publisher":"Elsevier","source":"www.elsevier.es","title":"Avances en el diagnóstico y tratamiento de la dermatitis atópica","volume":"9","author":[{"family":"Martorell-Aragonés","given":"Antonio"},{"family":"Martorell-calatayud","given":"Cristina"},{"family":"Martorell-Calatayud","given":"Antonio"}],"issued":{"date-parts":[["2011",3,1]]}}}],"schema":"https://github.com/citation-style-language/schema/raw/master/csl-citation.json"} </w:instrText>
            </w:r>
            <w:r w:rsidR="00646A51" w:rsidRPr="00A24290">
              <w:rPr>
                <w:rFonts w:ascii="Arial" w:hAnsi="Arial" w:cs="Arial"/>
                <w:bCs/>
                <w:sz w:val="20"/>
                <w:szCs w:val="20"/>
              </w:rPr>
              <w:fldChar w:fldCharType="separate"/>
            </w:r>
            <w:r w:rsidRPr="00A24290">
              <w:rPr>
                <w:rFonts w:ascii="Arial" w:hAnsi="Arial" w:cs="Arial"/>
                <w:sz w:val="20"/>
              </w:rPr>
              <w:t>(2)</w:t>
            </w:r>
            <w:r w:rsidR="00646A51" w:rsidRPr="00A24290">
              <w:rPr>
                <w:rFonts w:ascii="Arial" w:hAnsi="Arial" w:cs="Arial"/>
                <w:bCs/>
                <w:sz w:val="20"/>
                <w:szCs w:val="20"/>
              </w:rPr>
              <w:fldChar w:fldCharType="end"/>
            </w:r>
            <w:r>
              <w:rPr>
                <w:rFonts w:ascii="Arial" w:hAnsi="Arial" w:cs="Arial"/>
                <w:bCs/>
                <w:sz w:val="20"/>
                <w:szCs w:val="20"/>
              </w:rPr>
              <w:t xml:space="preserve"> los cuales definen que se deben cumplir al menos 3 criterios mayores (prurito, distribución simétrica, cronicidad y antecedentes personales o familiares) y 3 criterios menores (x</w:t>
            </w:r>
            <w:r w:rsidRPr="004D2960">
              <w:rPr>
                <w:rFonts w:ascii="Arial" w:hAnsi="Arial" w:cs="Arial"/>
                <w:sz w:val="20"/>
                <w:szCs w:val="20"/>
              </w:rPr>
              <w:t>erosi</w:t>
            </w:r>
            <w:r>
              <w:rPr>
                <w:rFonts w:ascii="Arial" w:hAnsi="Arial" w:cs="Arial"/>
                <w:sz w:val="20"/>
                <w:szCs w:val="20"/>
              </w:rPr>
              <w:t>s</w:t>
            </w:r>
            <w:r w:rsidRPr="004D2960">
              <w:rPr>
                <w:rFonts w:ascii="Arial" w:hAnsi="Arial" w:cs="Arial"/>
                <w:bCs/>
                <w:sz w:val="20"/>
                <w:szCs w:val="20"/>
              </w:rPr>
              <w:t>, ictiosis, queratosis pilar o hiperlinealidad palmar, prurito al sudar, inicio temprano de la enfermedad, dermografismo blanco, pitiriasis alba, pliegue infraorbitario de Dennie-Morgan, oscurecimiento periocular, queilitis recurrente, intolerancia a ciertos alimentos, infecciones cutáneas recurrentes</w:t>
            </w:r>
            <w:r>
              <w:rPr>
                <w:rFonts w:ascii="Arial" w:hAnsi="Arial" w:cs="Arial"/>
                <w:bCs/>
                <w:sz w:val="20"/>
                <w:szCs w:val="20"/>
              </w:rPr>
              <w:t xml:space="preserve">, </w:t>
            </w:r>
            <w:r w:rsidRPr="004D2960">
              <w:rPr>
                <w:rFonts w:ascii="Arial" w:hAnsi="Arial" w:cs="Arial"/>
                <w:bCs/>
                <w:sz w:val="20"/>
                <w:szCs w:val="20"/>
              </w:rPr>
              <w:t>eccema del pezón o manos y pies, elevación de IgE total, palidez o rubor facial, reacción exagerada a estímulos inespecíficos (irritantes), conjuntivitis recurrente, pliegues cervicales acentuados</w:t>
            </w:r>
            <w:r>
              <w:rPr>
                <w:rFonts w:ascii="Arial" w:hAnsi="Arial" w:cs="Arial"/>
                <w:bCs/>
                <w:sz w:val="20"/>
                <w:szCs w:val="20"/>
              </w:rPr>
              <w:t>)</w:t>
            </w:r>
            <w:r w:rsidRPr="004D2960">
              <w:rPr>
                <w:rFonts w:ascii="Arial" w:hAnsi="Arial" w:cs="Arial"/>
                <w:bCs/>
                <w:sz w:val="20"/>
                <w:szCs w:val="20"/>
              </w:rPr>
              <w:t>.</w:t>
            </w:r>
          </w:p>
        </w:tc>
      </w:tr>
      <w:tr w:rsidR="007A54F3" w:rsidRPr="006F6ABB" w14:paraId="249C31E3" w14:textId="77777777" w:rsidTr="00E96731">
        <w:trPr>
          <w:cantSplit/>
        </w:trPr>
        <w:tc>
          <w:tcPr>
            <w:tcW w:w="1702" w:type="dxa"/>
            <w:shd w:val="clear" w:color="auto" w:fill="E6E6E6"/>
          </w:tcPr>
          <w:p w14:paraId="3DC4C576" w14:textId="77777777" w:rsidR="007A54F3" w:rsidRPr="006F6ABB" w:rsidRDefault="007A54F3" w:rsidP="007A54F3">
            <w:pPr>
              <w:jc w:val="both"/>
              <w:rPr>
                <w:rFonts w:ascii="Arial" w:hAnsi="Arial" w:cs="Arial"/>
                <w:bCs/>
                <w:sz w:val="20"/>
                <w:szCs w:val="20"/>
              </w:rPr>
            </w:pPr>
            <w:r w:rsidRPr="006F6ABB">
              <w:rPr>
                <w:rFonts w:ascii="Arial" w:hAnsi="Arial" w:cs="Arial"/>
                <w:bCs/>
                <w:sz w:val="20"/>
                <w:szCs w:val="20"/>
              </w:rPr>
              <w:lastRenderedPageBreak/>
              <w:t>Incidencia y prevalencia</w:t>
            </w:r>
          </w:p>
        </w:tc>
        <w:tc>
          <w:tcPr>
            <w:tcW w:w="7371" w:type="dxa"/>
          </w:tcPr>
          <w:p w14:paraId="40D8282B" w14:textId="77777777" w:rsidR="007A54F3" w:rsidRDefault="007A54F3" w:rsidP="007A54F3">
            <w:pPr>
              <w:jc w:val="both"/>
              <w:rPr>
                <w:rFonts w:ascii="Arial" w:hAnsi="Arial" w:cs="Arial"/>
                <w:bCs/>
                <w:sz w:val="20"/>
                <w:szCs w:val="20"/>
              </w:rPr>
            </w:pPr>
            <w:r w:rsidRPr="0051654D">
              <w:rPr>
                <w:rFonts w:ascii="Arial" w:hAnsi="Arial" w:cs="Arial"/>
                <w:bCs/>
                <w:sz w:val="20"/>
                <w:szCs w:val="20"/>
              </w:rPr>
              <w:t xml:space="preserve">La </w:t>
            </w:r>
            <w:r>
              <w:rPr>
                <w:rFonts w:ascii="Arial" w:hAnsi="Arial" w:cs="Arial"/>
                <w:bCs/>
                <w:sz w:val="20"/>
                <w:szCs w:val="20"/>
              </w:rPr>
              <w:t xml:space="preserve">DA </w:t>
            </w:r>
            <w:r w:rsidRPr="0051654D">
              <w:rPr>
                <w:rFonts w:ascii="Arial" w:hAnsi="Arial" w:cs="Arial"/>
                <w:bCs/>
                <w:sz w:val="20"/>
                <w:szCs w:val="20"/>
              </w:rPr>
              <w:t>suele aparecer durante el primer año de vida y afecta a más de 200 millones de personas en todo el mundo, con tasas de prevalencia estimadas de hasta el 15-25 % en niños y del 3-7 % en adultos</w:t>
            </w:r>
            <w:r>
              <w:rPr>
                <w:rFonts w:ascii="Arial" w:hAnsi="Arial" w:cs="Arial"/>
                <w:bCs/>
                <w:sz w:val="20"/>
                <w:szCs w:val="20"/>
              </w:rPr>
              <w:t xml:space="preserve">. </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{"citationID":"IQtj9Drm","properties":{"formattedCitation":"(3)","plainCitation":"(3)","noteIndex":0},"citationItems":[{"id":10,"uris":["http://zotero.org/users/18702181/items/KVF9HJSP"],"itemData":{"id":10,"type":"article-journal","abstract":"Atopic dermatitis is the most common chronic inflammatory skin disease globally. Key features include an eczematous eruption accompanied by intense itch, which can have an enormous negative effect on patients' quality of life, especially in those with moderate-to-severe disease. Atopic dermatitis is part of a spectrum of atopic conditions that can also include several non-cutaneous organs such as respiratory (eg, allergic rhinitis and asthma) and gastrointestinal (eg, food allergy) systems. For decades, long-term disease control and maintenance were particularly challenging given that treatment options were limited to broad topical and systemic immunosuppressive agents. However, better insights into the pathophysiology of this condition over the past decade have led to the development and approval of safe and efficacious novel targeted treatment approaches. The updated pathophysiological understanding and the evolving therapeutic landscape of atopic dermatitis are discussed in this Seminar.","container-title":"Lancet (London, England)","DOI":"10.1016/S0140-6736(24)02519-4","ISSN":"1474-547X","issue":"10478","journalAbbreviation":"Lancet","language":"eng","page":"583-596","PMID":"39955121","source":"PubMed","title":"Atopic dermatitis","volume":"405","author":[{"family":"Guttman-Yassky","given":"Emma"},{"family":"Renert-Yuval","given":"Yael"},{"family":"Brunner","given":"Patrick M."}],"issued":{"date-parts":[["2025",2,15]]}}}],"schema":"https://github.com/citation-style-language/schema/raw/master/csl-citation.json"} </w:instrText>
            </w:r>
            <w:r w:rsidR="00646A51">
              <w:rPr>
                <w:rFonts w:ascii="Arial" w:hAnsi="Arial" w:cs="Arial"/>
                <w:bCs/>
                <w:sz w:val="20"/>
                <w:szCs w:val="20"/>
              </w:rPr>
              <w:fldChar w:fldCharType="separate"/>
            </w:r>
            <w:r w:rsidRPr="00A24290">
              <w:rPr>
                <w:rFonts w:ascii="Arial" w:hAnsi="Arial" w:cs="Arial"/>
                <w:sz w:val="20"/>
              </w:rPr>
              <w:t>(3)</w:t>
            </w:r>
            <w:r w:rsidR="00646A51">
              <w:rPr>
                <w:rFonts w:ascii="Arial" w:hAnsi="Arial" w:cs="Arial"/>
                <w:bCs/>
                <w:sz w:val="20"/>
                <w:szCs w:val="20"/>
              </w:rPr>
              <w:fldChar w:fldCharType="end"/>
            </w:r>
          </w:p>
          <w:p w14:paraId="3F89CD77" w14:textId="77777777" w:rsidR="007A54F3" w:rsidRPr="006F6ABB" w:rsidRDefault="007A54F3" w:rsidP="007A54F3">
            <w:pPr>
              <w:jc w:val="both"/>
              <w:rPr>
                <w:rFonts w:ascii="Arial" w:hAnsi="Arial" w:cs="Arial"/>
                <w:bCs/>
                <w:sz w:val="20"/>
                <w:szCs w:val="20"/>
              </w:rPr>
            </w:pPr>
          </w:p>
        </w:tc>
      </w:tr>
      <w:tr w:rsidR="007A54F3" w:rsidRPr="006F6ABB" w14:paraId="5F2561AE" w14:textId="77777777" w:rsidTr="00E96731">
        <w:trPr>
          <w:cantSplit/>
        </w:trPr>
        <w:tc>
          <w:tcPr>
            <w:tcW w:w="1702" w:type="dxa"/>
            <w:shd w:val="clear" w:color="auto" w:fill="E6E6E6"/>
          </w:tcPr>
          <w:p w14:paraId="17329B46" w14:textId="77777777" w:rsidR="007A54F3" w:rsidRPr="006F6ABB" w:rsidRDefault="007A54F3" w:rsidP="007A54F3">
            <w:pPr>
              <w:jc w:val="both"/>
              <w:rPr>
                <w:rFonts w:ascii="Arial" w:hAnsi="Arial" w:cs="Arial"/>
                <w:bCs/>
                <w:sz w:val="20"/>
                <w:szCs w:val="20"/>
              </w:rPr>
            </w:pPr>
            <w:r w:rsidRPr="006F6ABB">
              <w:rPr>
                <w:rFonts w:ascii="Arial" w:hAnsi="Arial" w:cs="Arial"/>
                <w:bCs/>
                <w:sz w:val="20"/>
                <w:szCs w:val="20"/>
              </w:rPr>
              <w:t>Evolución / Pronóstico</w:t>
            </w:r>
          </w:p>
        </w:tc>
        <w:tc>
          <w:tcPr>
            <w:tcW w:w="7371" w:type="dxa"/>
          </w:tcPr>
          <w:p w14:paraId="0B7B7CB0" w14:textId="77777777" w:rsidR="007A54F3" w:rsidRDefault="007A54F3" w:rsidP="007A54F3">
            <w:pPr>
              <w:jc w:val="both"/>
              <w:rPr>
                <w:rFonts w:ascii="Arial" w:hAnsi="Arial" w:cs="Arial"/>
                <w:bCs/>
                <w:sz w:val="20"/>
                <w:szCs w:val="20"/>
              </w:rPr>
            </w:pPr>
            <w:r w:rsidRPr="009E1137">
              <w:rPr>
                <w:rFonts w:ascii="Arial" w:hAnsi="Arial" w:cs="Arial"/>
                <w:bCs/>
                <w:sz w:val="20"/>
                <w:szCs w:val="20"/>
              </w:rPr>
              <w:t xml:space="preserve">La </w:t>
            </w:r>
            <w:r>
              <w:rPr>
                <w:rFonts w:ascii="Arial" w:hAnsi="Arial" w:cs="Arial"/>
                <w:bCs/>
                <w:sz w:val="20"/>
                <w:szCs w:val="20"/>
              </w:rPr>
              <w:t xml:space="preserve">DA </w:t>
            </w:r>
            <w:r w:rsidRPr="009E1137">
              <w:rPr>
                <w:rFonts w:ascii="Arial" w:hAnsi="Arial" w:cs="Arial"/>
                <w:bCs/>
                <w:sz w:val="20"/>
                <w:szCs w:val="20"/>
              </w:rPr>
              <w:t xml:space="preserve">es una enfermedad inflamatoria crónica y recurrente en la que intervienen múltiples factores genéticos y ambientales. Su </w:t>
            </w:r>
            <w:r w:rsidRPr="00C80ACF">
              <w:rPr>
                <w:rFonts w:ascii="Arial" w:hAnsi="Arial" w:cs="Arial"/>
                <w:b/>
                <w:sz w:val="20"/>
                <w:szCs w:val="20"/>
              </w:rPr>
              <w:t xml:space="preserve">patogénesis </w:t>
            </w:r>
            <w:r w:rsidRPr="009E1137">
              <w:rPr>
                <w:rFonts w:ascii="Arial" w:hAnsi="Arial" w:cs="Arial"/>
                <w:bCs/>
                <w:sz w:val="20"/>
                <w:szCs w:val="20"/>
              </w:rPr>
              <w:t xml:space="preserve">implica alteraciones de la barrera cutánea, disfunción inmunitaria innata y adaptativa, y cambios en el microbiota de la piel. En algunos pacientes con formas graves, la sensibilización a alérgenos ambientales o alimentarios puede contribuir a la enfermedad. </w:t>
            </w:r>
          </w:p>
          <w:p w14:paraId="1B6B1E84" w14:textId="77777777" w:rsidR="007A54F3" w:rsidRDefault="007A54F3" w:rsidP="007A54F3">
            <w:pPr>
              <w:jc w:val="both"/>
              <w:rPr>
                <w:rFonts w:ascii="Arial" w:hAnsi="Arial" w:cs="Arial"/>
                <w:bCs/>
                <w:sz w:val="20"/>
                <w:szCs w:val="20"/>
              </w:rPr>
            </w:pPr>
            <w:r w:rsidRPr="009E1137">
              <w:rPr>
                <w:rFonts w:ascii="Arial" w:hAnsi="Arial" w:cs="Arial"/>
                <w:bCs/>
                <w:sz w:val="20"/>
                <w:szCs w:val="20"/>
              </w:rPr>
              <w:t>Est</w:t>
            </w:r>
            <w:r>
              <w:rPr>
                <w:rFonts w:ascii="Arial" w:hAnsi="Arial" w:cs="Arial"/>
                <w:bCs/>
                <w:sz w:val="20"/>
                <w:szCs w:val="20"/>
              </w:rPr>
              <w:t>a enfermedad está</w:t>
            </w:r>
            <w:r w:rsidRPr="009E1137">
              <w:rPr>
                <w:rFonts w:ascii="Arial" w:hAnsi="Arial" w:cs="Arial"/>
                <w:bCs/>
                <w:sz w:val="20"/>
                <w:szCs w:val="20"/>
              </w:rPr>
              <w:t xml:space="preserve"> mediada principalmente por citocinas Th2 (IL-4, IL-13 e IL-31), responsables del picor, la inflamación y el ciclo crónico picor-rascado. </w:t>
            </w:r>
          </w:p>
          <w:p w14:paraId="777E78BA" w14:textId="77777777" w:rsidR="007A54F3" w:rsidRDefault="007A54F3" w:rsidP="007A54F3">
            <w:pPr>
              <w:jc w:val="both"/>
              <w:rPr>
                <w:rFonts w:ascii="Arial" w:hAnsi="Arial" w:cs="Arial"/>
                <w:bCs/>
                <w:sz w:val="20"/>
                <w:szCs w:val="20"/>
              </w:rPr>
            </w:pPr>
            <w:r w:rsidRPr="009E1137">
              <w:rPr>
                <w:rFonts w:ascii="Arial" w:hAnsi="Arial" w:cs="Arial"/>
                <w:bCs/>
                <w:sz w:val="20"/>
                <w:szCs w:val="20"/>
              </w:rPr>
              <w:t xml:space="preserve">La evolución suele ser prolongada, con brotes recurrentes, y las formas moderadas o severas raramente remiten sin tratamiento. </w:t>
            </w:r>
          </w:p>
          <w:p w14:paraId="49EA826A" w14:textId="77777777" w:rsidR="007A54F3" w:rsidRDefault="007A54F3" w:rsidP="007A54F3">
            <w:pPr>
              <w:jc w:val="both"/>
              <w:rPr>
                <w:rFonts w:ascii="Arial" w:hAnsi="Arial" w:cs="Arial"/>
                <w:bCs/>
                <w:sz w:val="20"/>
                <w:szCs w:val="20"/>
              </w:rPr>
            </w:pPr>
            <w:r w:rsidRPr="009E1137">
              <w:rPr>
                <w:rFonts w:ascii="Arial" w:hAnsi="Arial" w:cs="Arial"/>
                <w:bCs/>
                <w:sz w:val="20"/>
                <w:szCs w:val="20"/>
              </w:rPr>
              <w:t>Son comorbilidades frecuentes las infecciones cutáneas, la rinitis alérgica, el asma, las alergias alimentarias, la ictiosis vulgar, las afecciones oculares y los trastornos de salud mental</w:t>
            </w:r>
            <w:r>
              <w:rPr>
                <w:rFonts w:ascii="Arial" w:hAnsi="Arial" w:cs="Arial"/>
                <w:bCs/>
                <w:sz w:val="20"/>
                <w:szCs w:val="20"/>
              </w:rPr>
              <w:t xml:space="preserve">. </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{"citationID":"ySVUz931","properties":{"formattedCitation":"(3)","plainCitation":"(3)","noteIndex":0},"citationItems":[{"id":10,"uris":["http://zotero.org/users/18702181/items/KVF9HJSP"],"itemData":{"id":10,"type":"article-journal","abstract":"Atopic dermatitis is the most common chronic inflammatory skin disease globally. Key features include an eczematous eruption accompanied by intense itch, which can have an enormous negative effect on patients' quality of life, especially in those with moderate-to-severe disease. Atopic dermatitis is part of a spectrum of atopic conditions that can also include several non-cutaneous organs such as respiratory (eg, allergic rhinitis and asthma) and gastrointestinal (eg, food allergy) systems. For decades, long-term disease control and maintenance were particularly challenging given that treatment options were limited to broad topical and systemic immunosuppressive agents. However, better insights into the pathophysiology of this condition over the past decade have led to the development and approval of safe and efficacious novel targeted treatment approaches. The updated pathophysiological understanding and the evolving therapeutic landscape of atopic dermatitis are discussed in this Seminar.","container-title":"Lancet (London, England)","DOI":"10.1016/S0140-6736(24)02519-4","ISSN":"1474-547X","issue":"10478","journalAbbreviation":"Lancet","language":"eng","page":"583-596","PMID":"39955121","source":"PubMed","title":"Atopic dermatitis","volume":"405","author":[{"family":"Guttman-Yassky","given":"Emma"},{"family":"Renert-Yuval","given":"Yael"},{"family":"Brunner","given":"Patrick M."}],"issued":{"date-parts":[["2025",2,15]]}}}],"schema":"https://github.com/citation-style-language/schema/raw/master/csl-citation.json"} </w:instrText>
            </w:r>
            <w:r w:rsidR="00646A51">
              <w:rPr>
                <w:rFonts w:ascii="Arial" w:hAnsi="Arial" w:cs="Arial"/>
                <w:bCs/>
                <w:sz w:val="20"/>
                <w:szCs w:val="20"/>
              </w:rPr>
              <w:fldChar w:fldCharType="separate"/>
            </w:r>
            <w:r w:rsidRPr="00A24290">
              <w:rPr>
                <w:rFonts w:ascii="Arial" w:hAnsi="Arial" w:cs="Arial"/>
                <w:sz w:val="20"/>
              </w:rPr>
              <w:t>(3)</w:t>
            </w:r>
            <w:r w:rsidR="00646A51">
              <w:rPr>
                <w:rFonts w:ascii="Arial" w:hAnsi="Arial" w:cs="Arial"/>
                <w:bCs/>
                <w:sz w:val="20"/>
                <w:szCs w:val="20"/>
              </w:rPr>
              <w:fldChar w:fldCharType="end"/>
            </w:r>
          </w:p>
          <w:p w14:paraId="4499E650" w14:textId="77777777" w:rsidR="007A54F3" w:rsidRPr="006F6ABB" w:rsidRDefault="007A54F3" w:rsidP="007A54F3">
            <w:pPr>
              <w:jc w:val="both"/>
              <w:rPr>
                <w:rFonts w:ascii="Arial" w:hAnsi="Arial" w:cs="Arial"/>
                <w:bCs/>
                <w:sz w:val="20"/>
                <w:szCs w:val="20"/>
              </w:rPr>
            </w:pPr>
          </w:p>
        </w:tc>
      </w:tr>
      <w:tr w:rsidR="007A54F3" w:rsidRPr="006F6ABB" w14:paraId="1B283964" w14:textId="77777777" w:rsidTr="00E96731">
        <w:trPr>
          <w:cantSplit/>
        </w:trPr>
        <w:tc>
          <w:tcPr>
            <w:tcW w:w="1702" w:type="dxa"/>
            <w:shd w:val="clear" w:color="auto" w:fill="E6E6E6"/>
          </w:tcPr>
          <w:p w14:paraId="38212927" w14:textId="77777777" w:rsidR="007A54F3" w:rsidRPr="006F6ABB" w:rsidRDefault="007A54F3" w:rsidP="007A54F3">
            <w:pPr>
              <w:jc w:val="both"/>
              <w:rPr>
                <w:rFonts w:ascii="Arial" w:hAnsi="Arial" w:cs="Arial"/>
                <w:bCs/>
                <w:sz w:val="20"/>
                <w:szCs w:val="20"/>
              </w:rPr>
            </w:pPr>
            <w:r w:rsidRPr="006F6ABB">
              <w:rPr>
                <w:rFonts w:ascii="Arial" w:hAnsi="Arial" w:cs="Arial"/>
                <w:bCs/>
                <w:sz w:val="20"/>
                <w:szCs w:val="20"/>
              </w:rPr>
              <w:t>Grados de gravedad / Estadiaje</w:t>
            </w:r>
          </w:p>
        </w:tc>
        <w:tc>
          <w:tcPr>
            <w:tcW w:w="7371" w:type="dxa"/>
          </w:tcPr>
          <w:p w14:paraId="6B3487F2" w14:textId="77777777" w:rsidR="007A54F3" w:rsidRDefault="007A54F3" w:rsidP="007A54F3">
            <w:pPr>
              <w:jc w:val="both"/>
              <w:rPr>
                <w:rFonts w:ascii="Arial" w:hAnsi="Arial" w:cs="Arial"/>
                <w:bCs/>
                <w:sz w:val="20"/>
                <w:szCs w:val="20"/>
              </w:rPr>
            </w:pPr>
            <w:r w:rsidRPr="003E6CA5">
              <w:rPr>
                <w:rFonts w:ascii="Arial" w:hAnsi="Arial" w:cs="Arial"/>
                <w:bCs/>
                <w:sz w:val="20"/>
                <w:szCs w:val="20"/>
              </w:rPr>
              <w:t>La evaluación médica se centra en dos aspectos: la evaluación general de la gravedad de la DA (necesaria para el manejo general y sistémico) y la evaluación de la gravedad de las lesiones individuales (necesaria para la terapia tópica)</w:t>
            </w:r>
            <w:r>
              <w:rPr>
                <w:rFonts w:ascii="Arial" w:hAnsi="Arial" w:cs="Arial"/>
                <w:bCs/>
                <w:sz w:val="20"/>
                <w:szCs w:val="20"/>
              </w:rPr>
              <w:t>.</w:t>
            </w:r>
          </w:p>
          <w:p w14:paraId="59503364" w14:textId="77777777" w:rsidR="007A54F3" w:rsidRDefault="007A54F3" w:rsidP="007A54F3">
            <w:pPr>
              <w:jc w:val="both"/>
              <w:rPr>
                <w:rFonts w:ascii="Arial" w:hAnsi="Arial" w:cs="Arial"/>
                <w:bCs/>
                <w:sz w:val="20"/>
                <w:szCs w:val="20"/>
              </w:rPr>
            </w:pPr>
            <w:r>
              <w:rPr>
                <w:rFonts w:ascii="Arial" w:hAnsi="Arial" w:cs="Arial"/>
                <w:bCs/>
                <w:sz w:val="20"/>
                <w:szCs w:val="20"/>
              </w:rPr>
              <w:t>Las escalas más utilizadas son:</w:t>
            </w:r>
          </w:p>
          <w:p w14:paraId="74D0737E" w14:textId="77777777" w:rsidR="007A54F3" w:rsidRPr="00D15CEF" w:rsidRDefault="007A54F3" w:rsidP="007A54F3">
            <w:pPr>
              <w:numPr>
                <w:ilvl w:val="0"/>
                <w:numId w:val="2"/>
              </w:numPr>
              <w:jc w:val="both"/>
              <w:rPr>
                <w:rFonts w:ascii="Arial" w:hAnsi="Arial" w:cs="Arial"/>
                <w:bCs/>
                <w:sz w:val="20"/>
                <w:szCs w:val="20"/>
              </w:rPr>
            </w:pPr>
            <w:r w:rsidRPr="003E6CA5">
              <w:rPr>
                <w:rFonts w:ascii="Arial" w:hAnsi="Arial" w:cs="Arial"/>
                <w:b/>
                <w:sz w:val="20"/>
                <w:szCs w:val="20"/>
              </w:rPr>
              <w:t>Índice de severidad:</w:t>
            </w:r>
            <w:r>
              <w:rPr>
                <w:rFonts w:ascii="Arial" w:hAnsi="Arial" w:cs="Arial"/>
                <w:bCs/>
                <w:sz w:val="20"/>
                <w:szCs w:val="20"/>
              </w:rPr>
              <w:t xml:space="preserve"> es el más usado en la práctica </w:t>
            </w:r>
            <w:r w:rsidRPr="003E6CA5">
              <w:rPr>
                <w:rFonts w:ascii="Arial" w:hAnsi="Arial" w:cs="Arial"/>
                <w:bCs/>
                <w:sz w:val="20"/>
                <w:szCs w:val="20"/>
              </w:rPr>
              <w:t>clínica, categoriza la gravedad de la erupción en leve, moderada, grave y muy grave en base a la proporción relativa de las lesiones en relación con el área de la superficie corporal</w:t>
            </w:r>
            <w:r>
              <w:rPr>
                <w:rFonts w:ascii="Arial" w:hAnsi="Arial" w:cs="Arial"/>
                <w:bCs/>
                <w:sz w:val="20"/>
                <w:szCs w:val="20"/>
              </w:rPr>
              <w:t>.</w:t>
            </w:r>
          </w:p>
          <w:p w14:paraId="7BEBA5C0" w14:textId="77777777" w:rsidR="007A54F3" w:rsidRDefault="007A54F3" w:rsidP="007A54F3">
            <w:pPr>
              <w:numPr>
                <w:ilvl w:val="0"/>
                <w:numId w:val="2"/>
              </w:numPr>
              <w:jc w:val="both"/>
              <w:rPr>
                <w:rFonts w:ascii="Arial" w:hAnsi="Arial" w:cs="Arial"/>
                <w:bCs/>
                <w:sz w:val="20"/>
                <w:szCs w:val="20"/>
              </w:rPr>
            </w:pPr>
            <w:r w:rsidRPr="00911A50">
              <w:rPr>
                <w:rFonts w:ascii="Arial" w:hAnsi="Arial" w:cs="Arial"/>
                <w:b/>
                <w:bCs/>
                <w:sz w:val="20"/>
                <w:szCs w:val="20"/>
              </w:rPr>
              <w:t>Investigator global assessment (IGA):</w:t>
            </w:r>
            <w:r>
              <w:rPr>
                <w:rFonts w:ascii="Arial" w:hAnsi="Arial" w:cs="Arial"/>
                <w:bCs/>
                <w:sz w:val="20"/>
                <w:szCs w:val="20"/>
              </w:rPr>
              <w:t xml:space="preserve"> </w:t>
            </w:r>
            <w:r w:rsidRPr="00B24A66">
              <w:rPr>
                <w:rFonts w:ascii="Arial" w:hAnsi="Arial" w:cs="Arial"/>
                <w:bCs/>
                <w:sz w:val="20"/>
                <w:szCs w:val="20"/>
              </w:rPr>
              <w:t xml:space="preserve">ofrece una </w:t>
            </w:r>
            <w:r>
              <w:rPr>
                <w:rFonts w:ascii="Arial" w:hAnsi="Arial" w:cs="Arial"/>
                <w:bCs/>
                <w:sz w:val="20"/>
                <w:szCs w:val="20"/>
              </w:rPr>
              <w:t>escala</w:t>
            </w:r>
            <w:r w:rsidRPr="00B24A66">
              <w:rPr>
                <w:rFonts w:ascii="Arial" w:hAnsi="Arial" w:cs="Arial"/>
                <w:bCs/>
                <w:sz w:val="20"/>
                <w:szCs w:val="20"/>
              </w:rPr>
              <w:t xml:space="preserve"> simple de 5 puntos de </w:t>
            </w:r>
            <w:r w:rsidRPr="00911A50">
              <w:rPr>
                <w:rFonts w:ascii="Arial" w:hAnsi="Arial" w:cs="Arial"/>
                <w:bCs/>
                <w:sz w:val="20"/>
                <w:szCs w:val="20"/>
              </w:rPr>
              <w:t>0 (claro), 1 (casi claro), 2 (leve), 3 (moderado) y 4 (severo</w:t>
            </w:r>
            <w:r>
              <w:rPr>
                <w:rFonts w:ascii="Arial" w:hAnsi="Arial" w:cs="Arial"/>
                <w:bCs/>
                <w:sz w:val="20"/>
                <w:szCs w:val="20"/>
              </w:rPr>
              <w:t>). Limitaciones: no incluye la superficie corporal afectada.</w:t>
            </w:r>
          </w:p>
          <w:p w14:paraId="1A42B60E" w14:textId="77777777" w:rsidR="007A54F3" w:rsidRPr="0051654D" w:rsidRDefault="007A54F3" w:rsidP="007A54F3">
            <w:pPr>
              <w:numPr>
                <w:ilvl w:val="0"/>
                <w:numId w:val="2"/>
              </w:numPr>
              <w:jc w:val="both"/>
              <w:rPr>
                <w:rFonts w:ascii="Arial" w:hAnsi="Arial" w:cs="Arial"/>
                <w:bCs/>
                <w:sz w:val="20"/>
                <w:szCs w:val="20"/>
              </w:rPr>
            </w:pPr>
            <w:r w:rsidRPr="00B24A66">
              <w:rPr>
                <w:rFonts w:ascii="Arial" w:hAnsi="Arial" w:cs="Arial"/>
                <w:bCs/>
                <w:sz w:val="20"/>
                <w:szCs w:val="20"/>
              </w:rPr>
              <w:t xml:space="preserve"> </w:t>
            </w:r>
            <w:r w:rsidRPr="00911A50">
              <w:rPr>
                <w:rFonts w:ascii="Arial" w:hAnsi="Arial" w:cs="Arial"/>
                <w:b/>
                <w:sz w:val="20"/>
                <w:szCs w:val="20"/>
              </w:rPr>
              <w:t>Eczema Area and Severity Index (EASI),</w:t>
            </w:r>
            <w:r w:rsidRPr="00B24A66">
              <w:rPr>
                <w:rFonts w:ascii="Arial" w:hAnsi="Arial" w:cs="Arial"/>
                <w:bCs/>
                <w:sz w:val="20"/>
                <w:szCs w:val="20"/>
              </w:rPr>
              <w:t xml:space="preserve"> que ofrece una evaluación más detallada de la superficie corporal afectada y el eritema, el edema o la papulación, la excoriación y la liquenificación.</w:t>
            </w:r>
            <w:r>
              <w:rPr>
                <w:rFonts w:ascii="Arial" w:hAnsi="Arial" w:cs="Arial"/>
                <w:bCs/>
                <w:sz w:val="20"/>
                <w:szCs w:val="20"/>
              </w:rPr>
              <w:t xml:space="preserve"> El EASI máximo es 72, por encima de 50 se considera muy severa, entre 50-21 severo, 21-7 moderado, 7-1 leve, 0-1 claro.</w:t>
            </w:r>
          </w:p>
          <w:p w14:paraId="0C4F01F1" w14:textId="77777777" w:rsidR="007A54F3" w:rsidRPr="00547734" w:rsidRDefault="007A54F3" w:rsidP="007A54F3">
            <w:pPr>
              <w:numPr>
                <w:ilvl w:val="0"/>
                <w:numId w:val="2"/>
              </w:numPr>
              <w:jc w:val="both"/>
              <w:rPr>
                <w:rFonts w:ascii="Arial" w:hAnsi="Arial" w:cs="Arial"/>
                <w:bCs/>
                <w:sz w:val="20"/>
                <w:szCs w:val="20"/>
              </w:rPr>
            </w:pPr>
            <w:r w:rsidRPr="00911A50">
              <w:rPr>
                <w:rFonts w:ascii="Arial" w:hAnsi="Arial" w:cs="Arial"/>
                <w:b/>
                <w:sz w:val="20"/>
                <w:szCs w:val="20"/>
              </w:rPr>
              <w:t>Numeric Rating Scale (NRS):</w:t>
            </w:r>
            <w:r>
              <w:rPr>
                <w:rFonts w:ascii="Arial" w:hAnsi="Arial" w:cs="Arial"/>
                <w:sz w:val="20"/>
                <w:szCs w:val="20"/>
              </w:rPr>
              <w:t xml:space="preserve"> </w:t>
            </w:r>
            <w:r w:rsidRPr="00911A50">
              <w:rPr>
                <w:rFonts w:ascii="Arial" w:hAnsi="Arial" w:cs="Arial"/>
                <w:sz w:val="20"/>
                <w:szCs w:val="20"/>
              </w:rPr>
              <w:t>es un método subjetivo utilizado por los pacientes para evaluar el grado de prurito</w:t>
            </w:r>
            <w:r>
              <w:rPr>
                <w:rFonts w:ascii="Arial" w:hAnsi="Arial" w:cs="Arial"/>
                <w:sz w:val="20"/>
                <w:szCs w:val="20"/>
              </w:rPr>
              <w:t>. Consiste en una escala numérica que mide la intensidad del prurito (0-10), siendo 10 la mayor intensidad.</w:t>
            </w:r>
          </w:p>
          <w:p w14:paraId="4E0A3FA2" w14:textId="77777777" w:rsidR="007A54F3" w:rsidRPr="00547734" w:rsidRDefault="007A54F3" w:rsidP="007A54F3">
            <w:pPr>
              <w:numPr>
                <w:ilvl w:val="0"/>
                <w:numId w:val="2"/>
              </w:numPr>
              <w:jc w:val="both"/>
              <w:rPr>
                <w:rFonts w:ascii="Arial" w:hAnsi="Arial" w:cs="Arial"/>
                <w:b/>
                <w:sz w:val="20"/>
                <w:szCs w:val="20"/>
              </w:rPr>
            </w:pPr>
            <w:r w:rsidRPr="00547734">
              <w:rPr>
                <w:rFonts w:ascii="Arial" w:hAnsi="Arial" w:cs="Arial"/>
                <w:b/>
                <w:sz w:val="20"/>
                <w:szCs w:val="20"/>
              </w:rPr>
              <w:t>Sleep Disturbance NRS</w:t>
            </w:r>
            <w:r>
              <w:rPr>
                <w:rFonts w:ascii="Arial" w:hAnsi="Arial" w:cs="Arial"/>
                <w:b/>
                <w:sz w:val="20"/>
                <w:szCs w:val="20"/>
              </w:rPr>
              <w:t>(</w:t>
            </w:r>
            <w:r w:rsidRPr="00547734">
              <w:rPr>
                <w:rFonts w:ascii="Arial" w:hAnsi="Arial" w:cs="Arial"/>
                <w:b/>
                <w:sz w:val="20"/>
                <w:szCs w:val="20"/>
              </w:rPr>
              <w:t>SD-NRS</w:t>
            </w:r>
            <w:r>
              <w:rPr>
                <w:rFonts w:ascii="Arial" w:hAnsi="Arial" w:cs="Arial"/>
                <w:b/>
                <w:sz w:val="20"/>
                <w:szCs w:val="20"/>
              </w:rPr>
              <w:t xml:space="preserve">): </w:t>
            </w:r>
            <w:r w:rsidRPr="00547734">
              <w:rPr>
                <w:rFonts w:ascii="Arial" w:hAnsi="Arial" w:cs="Arial"/>
                <w:bCs/>
                <w:sz w:val="20"/>
                <w:szCs w:val="20"/>
              </w:rPr>
              <w:t>escala numérica de 0-10 que mide el medir el impacto del prurito nocturno en la calidad del sueño, siendo 0 ninguna alteración y 10 máxima alteración del sueño</w:t>
            </w:r>
            <w:r>
              <w:rPr>
                <w:rFonts w:ascii="Arial" w:hAnsi="Arial" w:cs="Arial"/>
                <w:b/>
                <w:bCs/>
                <w:sz w:val="20"/>
                <w:szCs w:val="20"/>
              </w:rPr>
              <w:t xml:space="preserve">. </w:t>
            </w:r>
          </w:p>
          <w:p w14:paraId="7A3815D2" w14:textId="77777777" w:rsidR="007A54F3" w:rsidRDefault="007A54F3" w:rsidP="007A54F3">
            <w:pPr>
              <w:numPr>
                <w:ilvl w:val="0"/>
                <w:numId w:val="2"/>
              </w:numPr>
              <w:jc w:val="both"/>
              <w:rPr>
                <w:rFonts w:ascii="Arial" w:hAnsi="Arial" w:cs="Arial"/>
                <w:bCs/>
                <w:sz w:val="20"/>
                <w:szCs w:val="20"/>
              </w:rPr>
            </w:pPr>
            <w:r w:rsidRPr="00911A50">
              <w:rPr>
                <w:rFonts w:ascii="Arial" w:hAnsi="Arial" w:cs="Arial"/>
                <w:b/>
                <w:sz w:val="20"/>
                <w:szCs w:val="20"/>
              </w:rPr>
              <w:t>SCORAD (Scoring</w:t>
            </w:r>
            <w:r>
              <w:rPr>
                <w:rFonts w:ascii="Arial" w:hAnsi="Arial" w:cs="Arial"/>
                <w:b/>
                <w:sz w:val="20"/>
                <w:szCs w:val="20"/>
              </w:rPr>
              <w:t xml:space="preserve"> </w:t>
            </w:r>
            <w:r w:rsidRPr="00911A50">
              <w:rPr>
                <w:rFonts w:ascii="Arial" w:hAnsi="Arial" w:cs="Arial"/>
                <w:b/>
                <w:sz w:val="20"/>
                <w:szCs w:val="20"/>
              </w:rPr>
              <w:t>Atopic Dermatitis).</w:t>
            </w:r>
            <w:r>
              <w:rPr>
                <w:rFonts w:ascii="Arial" w:hAnsi="Arial" w:cs="Arial"/>
                <w:bCs/>
                <w:sz w:val="20"/>
                <w:szCs w:val="20"/>
              </w:rPr>
              <w:t xml:space="preserve"> Se calcula en base a la superficie corporal afectada, a la intensidad (</w:t>
            </w:r>
            <w:r w:rsidRPr="00911A50">
              <w:rPr>
                <w:rFonts w:ascii="Arial" w:hAnsi="Arial" w:cs="Arial"/>
                <w:bCs/>
                <w:sz w:val="20"/>
                <w:szCs w:val="20"/>
              </w:rPr>
              <w:t>eritema, edema/pápulas, supuración/costras, excoriaciones, liquenificación y sequedad</w:t>
            </w:r>
            <w:r>
              <w:rPr>
                <w:rFonts w:ascii="Arial" w:hAnsi="Arial" w:cs="Arial"/>
                <w:bCs/>
                <w:sz w:val="20"/>
                <w:szCs w:val="20"/>
              </w:rPr>
              <w:t>) y síntomas percibidos por el paciente.</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{"citationID":"clwOtgsc","properties":{"formattedCitation":"(1,4)","plainCitation":"(1,4)","noteIndex":0},"citationItems":[{"id":6,"uris":["http://zotero.org/users/18702181/items/NFG963CD"],"itemData":{"id":6,"type":"article-journal","abstract":"This is the English version of the 2024 clinical practice guidelines for the management of atopic dermatitis (AD). AD is a disease characterized by relapsing eczema with pruritus as a primary lesion. A crucial aspect of AD treatment is the prompt induction of remission via the suppression of existing skin inflammation and pruritus. To achieve this, topical anti-inflammatory drugs, such as topical corticosteroids, tacrolimus ointment, delgocitinib ointment, and difamilast ointment, have been used. However, the following treatments should be considered in addition to topical therapy for patients with refractory moderate-to-severe AD: oral cyclosporine, subcutaneous injections of biologics (dupilumab, nemolizumab, tralokinumab), oral Janus kinase inhibitors (baricitinib, upadacitinib, abrocitinib), and phototherapy. In these revised guidelines, descriptions of five new drugs, namely, difamilast, nemolizumab, tralokinumab, upadacitinib, and abrocitinib, have been added. The guidelines present recommendations to review clinical research articles, evaluate the balance between the advantages and disadvantages of medical activities, and optimize medical activity-related patient outcomes with respect to several important points requiring decision-making in clinical practice.","container-title":"The Journal of Dermatology","DOI":"10.1111/1346-8138.17544","ISSN":"1346-8138","issue":"2","journalAbbreviation":"J Dermatol","language":"eng","page":"e70-e142","PMID":"39707640","source":"PubMed","title":"English version of clinical practice guidelines for the management of atopic dermatitis 2024","volume":"52","author":[{"family":"Saeki","given":"Hidehisa"},{"family":"Ohya","given":"Yukihiro"},{"family":"Arakawa","given":"Hirokazu"},{"family":"Ichiyama","given":"Susumu"},{"family":"Katsunuma","given":"Toshio"},{"family":"Katoh","given":"Norito"},{"family":"Tanaka","given":"Akio"},{"family":"Tanizaki","given":"Hideaki"},{"family":"Tsunemi","given":"Yuichiro"},{"family":"Nakahara","given":"Takeshi"},{"family":"Nagao","given":"Mizuho"},{"family":"Narita","given":"Masami"},{"family":"Hide","given":"Michihiro"},{"family":"Fujisawa","given":"Takao"},{"family":"Futamura","given":"Masaki"},{"family":"Masuda","given":"Koji"},{"family":"Matsubara","given":"Tomoyo"},{"family":"Murota","given":"Hiroyuki"},{"family":"Yamamoto-Hanada","given":"Kiwako"},{"family":"Furuta","given":"Junichi"}],"issued":{"date-parts":[["2025",2]]}}},{"id":17,"uris":["http://zotero.org/users/18702181/items/BTQ9URCQ"],"itemData":{"id":17,"type":"article-journal","abstract":"Atopic dermatitis (AD) severity measurement scales are important in clinical trials as objective outcome measures and are often required for government and private insurance plans. These scales are sometimes underused by clinicians due to a variety of factors including time constraints and lack familiarity. We conducted a literature review on the most commonly used AD measurement scales and provide succinct user guides and scoring explanations, advantages and disadvantages, and interscale comparisons.","container-title":"Journal of Cutaneous Medicine and Surgery","DOI":"10.1177/1203475420923644","ISSN":"1615-7109","issue":"4","journalAbbreviation":"J Cutan Med Surg","language":"eng","page":"399-404","PMID":"32396013","source":"PubMed","title":"Common Atopic Dermatitis Rating Scales: A Practical Approach and Brief Review","title-short":"Common Atopic Dermatitis Rating Scales","volume":"24","author":[{"family":"Yang","given":"Yue Bo"},{"family":"Lynde","given":"Charles W."},{"family":"Fleming","given":"Patrick"}],"issued":{"date-parts":[["2020"]]}}}],"schema":"https://github.com/citation-style-language/schema/raw/master/csl-citation.json"} </w:instrText>
            </w:r>
            <w:r w:rsidR="00646A51">
              <w:rPr>
                <w:rFonts w:ascii="Arial" w:hAnsi="Arial" w:cs="Arial"/>
                <w:bCs/>
                <w:sz w:val="20"/>
                <w:szCs w:val="20"/>
              </w:rPr>
              <w:fldChar w:fldCharType="separate"/>
            </w:r>
            <w:r w:rsidRPr="00A24290">
              <w:rPr>
                <w:rFonts w:ascii="Arial" w:hAnsi="Arial" w:cs="Arial"/>
                <w:sz w:val="20"/>
              </w:rPr>
              <w:t>(1,4)</w:t>
            </w:r>
            <w:r w:rsidR="00646A51">
              <w:rPr>
                <w:rFonts w:ascii="Arial" w:hAnsi="Arial" w:cs="Arial"/>
                <w:bCs/>
                <w:sz w:val="20"/>
                <w:szCs w:val="20"/>
              </w:rPr>
              <w:fldChar w:fldCharType="end"/>
            </w:r>
            <w:r>
              <w:rPr>
                <w:rFonts w:ascii="Arial" w:hAnsi="Arial" w:cs="Arial"/>
                <w:bCs/>
                <w:sz w:val="20"/>
                <w:szCs w:val="20"/>
              </w:rPr>
              <w:t xml:space="preserve"> </w:t>
            </w:r>
          </w:p>
          <w:p w14:paraId="54AA0FAD" w14:textId="77777777" w:rsidR="007A54F3" w:rsidRPr="006F6ABB" w:rsidRDefault="007A54F3" w:rsidP="007A54F3">
            <w:pPr>
              <w:ind w:left="720"/>
              <w:jc w:val="both"/>
              <w:rPr>
                <w:rFonts w:ascii="Arial" w:hAnsi="Arial" w:cs="Arial"/>
                <w:bCs/>
                <w:sz w:val="20"/>
                <w:szCs w:val="20"/>
              </w:rPr>
            </w:pPr>
          </w:p>
        </w:tc>
      </w:tr>
      <w:tr w:rsidR="007A54F3" w:rsidRPr="006F6ABB" w14:paraId="5108FA18" w14:textId="77777777" w:rsidTr="00E96731">
        <w:trPr>
          <w:cantSplit/>
        </w:trPr>
        <w:tc>
          <w:tcPr>
            <w:tcW w:w="1702" w:type="dxa"/>
            <w:shd w:val="clear" w:color="auto" w:fill="E6E6E6"/>
          </w:tcPr>
          <w:p w14:paraId="712E6720" w14:textId="77777777" w:rsidR="007A54F3" w:rsidRPr="006F6ABB" w:rsidRDefault="007A54F3" w:rsidP="007A54F3">
            <w:pPr>
              <w:jc w:val="both"/>
              <w:rPr>
                <w:rFonts w:ascii="Arial" w:hAnsi="Arial" w:cs="Arial"/>
                <w:sz w:val="20"/>
                <w:szCs w:val="20"/>
              </w:rPr>
            </w:pPr>
            <w:r w:rsidRPr="006F6ABB">
              <w:rPr>
                <w:rFonts w:ascii="Arial" w:hAnsi="Arial" w:cs="Arial"/>
                <w:bCs/>
                <w:sz w:val="20"/>
                <w:szCs w:val="20"/>
              </w:rPr>
              <w:t>Carga de la enfermedad</w:t>
            </w:r>
          </w:p>
        </w:tc>
        <w:tc>
          <w:tcPr>
            <w:tcW w:w="7371" w:type="dxa"/>
          </w:tcPr>
          <w:p w14:paraId="1C372080" w14:textId="77777777" w:rsidR="007A54F3" w:rsidRDefault="007A54F3" w:rsidP="007A54F3">
            <w:pPr>
              <w:jc w:val="both"/>
              <w:rPr>
                <w:rFonts w:ascii="Arial" w:hAnsi="Arial" w:cs="Arial"/>
                <w:bCs/>
                <w:sz w:val="20"/>
                <w:szCs w:val="20"/>
              </w:rPr>
            </w:pPr>
          </w:p>
          <w:p w14:paraId="09E69B4E" w14:textId="77777777" w:rsidR="007A54F3" w:rsidRDefault="007A54F3" w:rsidP="007A54F3">
            <w:pPr>
              <w:jc w:val="both"/>
              <w:rPr>
                <w:rFonts w:ascii="Arial" w:hAnsi="Arial" w:cs="Arial"/>
                <w:bCs/>
                <w:sz w:val="20"/>
                <w:szCs w:val="20"/>
              </w:rPr>
            </w:pPr>
            <w:r>
              <w:rPr>
                <w:rFonts w:ascii="Arial" w:hAnsi="Arial" w:cs="Arial"/>
                <w:bCs/>
                <w:sz w:val="20"/>
                <w:szCs w:val="20"/>
              </w:rPr>
              <w:t>En 2023 hubo 2113 altas hospitalarias en pacientes con d</w:t>
            </w:r>
            <w:r w:rsidRPr="00945310">
              <w:rPr>
                <w:rFonts w:ascii="Arial" w:hAnsi="Arial" w:cs="Arial"/>
                <w:bCs/>
                <w:sz w:val="20"/>
                <w:szCs w:val="20"/>
              </w:rPr>
              <w:t>ermatitis, eczema y trastornos papuloescamosos</w:t>
            </w:r>
            <w:r>
              <w:rPr>
                <w:rFonts w:ascii="Arial" w:hAnsi="Arial" w:cs="Arial"/>
                <w:bCs/>
                <w:sz w:val="20"/>
                <w:szCs w:val="20"/>
              </w:rPr>
              <w:t xml:space="preserve">, de las cuales 60 fueron en menores de un año, y 259 menores de 15 años. </w:t>
            </w:r>
          </w:p>
          <w:p w14:paraId="6EE0B9C7" w14:textId="77777777" w:rsidR="007A54F3" w:rsidRDefault="007A54F3" w:rsidP="007A54F3">
            <w:pPr>
              <w:jc w:val="both"/>
              <w:rPr>
                <w:rFonts w:ascii="Arial" w:hAnsi="Arial" w:cs="Arial"/>
                <w:bCs/>
                <w:sz w:val="20"/>
                <w:szCs w:val="20"/>
              </w:rPr>
            </w:pPr>
            <w:r>
              <w:rPr>
                <w:rFonts w:ascii="Arial" w:hAnsi="Arial" w:cs="Arial"/>
                <w:bCs/>
                <w:sz w:val="20"/>
                <w:szCs w:val="20"/>
              </w:rPr>
              <w:t>Además, la DA moderada-grave puede limitar en gran medida la calidad de vida, ya que e</w:t>
            </w:r>
            <w:r w:rsidRPr="006D5B9C">
              <w:rPr>
                <w:rFonts w:ascii="Arial" w:hAnsi="Arial" w:cs="Arial"/>
                <w:bCs/>
                <w:sz w:val="20"/>
                <w:szCs w:val="20"/>
              </w:rPr>
              <w:t xml:space="preserve">l prurito, que es intenso en la mayoría de los pacientes, </w:t>
            </w:r>
            <w:r>
              <w:rPr>
                <w:rFonts w:ascii="Arial" w:hAnsi="Arial" w:cs="Arial"/>
                <w:bCs/>
                <w:sz w:val="20"/>
                <w:szCs w:val="20"/>
              </w:rPr>
              <w:t>p</w:t>
            </w:r>
            <w:r w:rsidRPr="006D5B9C">
              <w:rPr>
                <w:rFonts w:ascii="Arial" w:hAnsi="Arial" w:cs="Arial"/>
                <w:bCs/>
                <w:sz w:val="20"/>
                <w:szCs w:val="20"/>
              </w:rPr>
              <w:t>uede causar graves alteraciones en la calidad y la duración del sueño.</w:t>
            </w:r>
            <w:r>
              <w:rPr>
                <w:rFonts w:ascii="Arial" w:hAnsi="Arial" w:cs="Arial"/>
                <w:bCs/>
                <w:sz w:val="20"/>
                <w:szCs w:val="20"/>
              </w:rPr>
              <w:t xml:space="preserve"> </w:t>
            </w:r>
            <w:r w:rsidRPr="006D5B9C">
              <w:rPr>
                <w:rFonts w:ascii="Arial" w:hAnsi="Arial" w:cs="Arial"/>
                <w:bCs/>
                <w:sz w:val="20"/>
                <w:szCs w:val="20"/>
              </w:rPr>
              <w:t>Estas alteraciones del sueño tienen repercusiones en la concentración y se han asociado con una disminución de la productividad laboral o del potencial académico</w:t>
            </w:r>
            <w:r>
              <w:rPr>
                <w:rFonts w:ascii="Arial" w:hAnsi="Arial" w:cs="Arial"/>
                <w:bCs/>
                <w:sz w:val="20"/>
                <w:szCs w:val="20"/>
              </w:rPr>
              <w:t>.</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{"citationID":"x26Q6eiD","properties":{"formattedCitation":"(5)","plainCitation":"(5)","noteIndex":0},"citationItems":[{"id":31,"uris":["http://zotero.org/users/18702181/items/7H7KVXVG"],"itemData":{"id":31,"type":"article-journal","container-title":"The Lancet","DOI":"10.1016/S0140-6736(24)01203-0","ISSN":"0140-6736, 1474-547X","issue":"10451","journalAbbreviation":"The Lancet","language":"English","page":"445-460","PMID":"39067461","publisher":"Elsevier","source":"www.thelancet.com","title":"Nemolizumab with concomitant topical therapy in adolescents and adults with moderate-to-severe atopic dermatitis (ARCADIA 1 and ARCADIA 2): results from two replicate, double-blind, randomised controlled phase 3 trials","title-short":"Nemolizumab with concomitant topical therapy in adolescents and adults with moderate-to-severe atopic dermatitis (ARCADIA 1 and ARCADIA 2)","volume":"404","author":[{"family":"Silverberg","given":"Jonathan I."},{"family":"Wollenberg","given":"Andreas"},{"family":"Reich","given":"Adam"},{"family":"Thaçi","given":"Diamant"},{"family":"Legat","given":"Franz J."},{"family":"Papp","given":"Kim A."},{"family":"Gold","given":"Linda Stein"},{"family":"Bouaziz","given":"Jean-David"},{"family":"Pink","given":"Andrew E."},{"family":"Carrascosa","given":"José Manuel"},{"family":"Rewerska","given":"Barbara"},{"family":"Szepietowski","given":"Jacek C."},{"family":"Krasowska","given":"Dorota"},{"family":"Havlíčková","given":"Blanka"},{"family":"Kalowska","given":"Monika"},{"family":"Magnolo","given":"Nina"},{"family":"Pauser","given":"Sylvia"},{"family":"Nami","given":"Navid"},{"family":"Sauder","given":"Maxwell B."},{"family":"Jain","given":"Vipul"},{"family":"Padlewska","given":"Kamila"},{"family":"Cheong","given":"Soo Yeon"},{"family":"Morel","given":"Patricia Fleuranceau"},{"family":"Ulianov","given":"Liliana"},{"family":"Piketty","given":"Christophe"}],"issued":{"date-parts":[["2024",8,3]]}}}],"schema":"https://github.com/citation-style-language/schema/raw/master/csl-citation.json"} </w:instrText>
            </w:r>
            <w:r w:rsidR="00646A51">
              <w:rPr>
                <w:rFonts w:ascii="Arial" w:hAnsi="Arial" w:cs="Arial"/>
                <w:bCs/>
                <w:sz w:val="20"/>
                <w:szCs w:val="20"/>
              </w:rPr>
              <w:fldChar w:fldCharType="separate"/>
            </w:r>
            <w:r w:rsidRPr="00A24290">
              <w:rPr>
                <w:rFonts w:ascii="Arial" w:hAnsi="Arial" w:cs="Arial"/>
                <w:sz w:val="20"/>
              </w:rPr>
              <w:t>(5)</w:t>
            </w:r>
            <w:r w:rsidR="00646A51">
              <w:rPr>
                <w:rFonts w:ascii="Arial" w:hAnsi="Arial" w:cs="Arial"/>
                <w:bCs/>
                <w:sz w:val="20"/>
                <w:szCs w:val="20"/>
              </w:rPr>
              <w:fldChar w:fldCharType="end"/>
            </w:r>
            <w:r>
              <w:rPr>
                <w:rFonts w:ascii="Arial" w:hAnsi="Arial" w:cs="Arial"/>
                <w:bCs/>
                <w:sz w:val="20"/>
                <w:szCs w:val="20"/>
              </w:rPr>
              <w:t xml:space="preserve"> </w:t>
            </w:r>
          </w:p>
          <w:p w14:paraId="3E43FB35" w14:textId="77777777" w:rsidR="007A54F3" w:rsidRPr="006F6ABB" w:rsidRDefault="007A54F3" w:rsidP="007A54F3">
            <w:pPr>
              <w:jc w:val="both"/>
              <w:rPr>
                <w:rFonts w:ascii="Arial" w:hAnsi="Arial" w:cs="Arial"/>
                <w:bCs/>
                <w:sz w:val="20"/>
                <w:szCs w:val="20"/>
              </w:rPr>
            </w:pPr>
          </w:p>
        </w:tc>
      </w:tr>
    </w:tbl>
    <w:p w14:paraId="606F3C64" w14:textId="77777777" w:rsidR="00BC3E8E" w:rsidRPr="006F6ABB" w:rsidRDefault="00BC3E8E" w:rsidP="00A764D8">
      <w:pPr>
        <w:jc w:val="both"/>
        <w:rPr>
          <w:rFonts w:ascii="Arial" w:hAnsi="Arial" w:cs="Arial"/>
          <w:color w:val="0000FF"/>
          <w:sz w:val="20"/>
          <w:szCs w:val="20"/>
          <w:u w:val="single"/>
        </w:rPr>
      </w:pPr>
    </w:p>
    <w:p w14:paraId="266CA1B8" w14:textId="77777777" w:rsidR="00BC3E8E" w:rsidRDefault="00BC3E8E" w:rsidP="00A764D8">
      <w:pPr>
        <w:jc w:val="both"/>
        <w:rPr>
          <w:rFonts w:ascii="Arial" w:hAnsi="Arial" w:cs="Arial"/>
          <w:b/>
          <w:bCs/>
          <w:color w:val="000080"/>
          <w:sz w:val="20"/>
          <w:szCs w:val="20"/>
        </w:rPr>
      </w:pPr>
    </w:p>
    <w:p w14:paraId="3084DE12" w14:textId="77777777" w:rsidR="00A0211B" w:rsidRDefault="00A0211B" w:rsidP="00A764D8">
      <w:pPr>
        <w:jc w:val="both"/>
        <w:rPr>
          <w:rFonts w:ascii="Arial" w:hAnsi="Arial" w:cs="Arial"/>
          <w:b/>
          <w:bCs/>
          <w:color w:val="000080"/>
          <w:sz w:val="20"/>
          <w:szCs w:val="20"/>
        </w:rPr>
      </w:pPr>
    </w:p>
    <w:p w14:paraId="7448244A" w14:textId="77777777" w:rsidR="00A0211B" w:rsidRDefault="00A0211B" w:rsidP="00A764D8">
      <w:pPr>
        <w:jc w:val="both"/>
        <w:rPr>
          <w:rFonts w:ascii="Arial" w:hAnsi="Arial" w:cs="Arial"/>
          <w:b/>
          <w:bCs/>
          <w:color w:val="000080"/>
          <w:sz w:val="20"/>
          <w:szCs w:val="20"/>
        </w:rPr>
      </w:pPr>
    </w:p>
    <w:p w14:paraId="0EA51D3A" w14:textId="77777777" w:rsidR="00A0211B" w:rsidRPr="006F6ABB" w:rsidRDefault="00A0211B" w:rsidP="00A764D8">
      <w:pPr>
        <w:jc w:val="both"/>
        <w:rPr>
          <w:rFonts w:ascii="Arial" w:hAnsi="Arial" w:cs="Arial"/>
          <w:b/>
          <w:bCs/>
          <w:color w:val="000080"/>
          <w:sz w:val="20"/>
          <w:szCs w:val="20"/>
        </w:rPr>
      </w:pPr>
    </w:p>
    <w:p w14:paraId="6F5EF4BD" w14:textId="77777777" w:rsidR="00BC3E8E" w:rsidRPr="00EC69B7" w:rsidRDefault="00BC3E8E" w:rsidP="00A764D8">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9" w:name="_Toc344399624"/>
      <w:bookmarkStart w:id="20" w:name="_Toc348931351"/>
      <w:bookmarkStart w:id="21" w:name="_Toc216191074"/>
      <w:r w:rsidRPr="00EC69B7">
        <w:rPr>
          <w:rFonts w:cs="Arial"/>
          <w:sz w:val="20"/>
        </w:rPr>
        <w:t>3.2.b Tratamiento actual de la enfermedad: evidencias</w:t>
      </w:r>
      <w:bookmarkEnd w:id="19"/>
      <w:bookmarkEnd w:id="20"/>
      <w:bookmarkEnd w:id="21"/>
      <w:r w:rsidRPr="00EC69B7">
        <w:rPr>
          <w:rFonts w:cs="Arial"/>
          <w:sz w:val="20"/>
        </w:rPr>
        <w:t xml:space="preserve"> </w:t>
      </w:r>
    </w:p>
    <w:p w14:paraId="28DFD91E" w14:textId="77777777" w:rsidR="00742FA7" w:rsidRDefault="00742FA7" w:rsidP="00A764D8">
      <w:pPr>
        <w:jc w:val="both"/>
        <w:rPr>
          <w:rFonts w:ascii="Arial" w:hAnsi="Arial" w:cs="Arial"/>
          <w:sz w:val="20"/>
          <w:szCs w:val="20"/>
        </w:rPr>
      </w:pPr>
    </w:p>
    <w:p w14:paraId="2E992173" w14:textId="77777777" w:rsidR="00BE04CF" w:rsidRDefault="00BE04CF" w:rsidP="00A764D8">
      <w:pPr>
        <w:jc w:val="both"/>
        <w:rPr>
          <w:rFonts w:ascii="Arial" w:hAnsi="Arial" w:cs="Arial"/>
          <w:sz w:val="20"/>
          <w:szCs w:val="20"/>
        </w:rPr>
      </w:pPr>
      <w:r w:rsidRPr="00BE04CF">
        <w:rPr>
          <w:rFonts w:ascii="Arial" w:hAnsi="Arial" w:cs="Arial"/>
          <w:sz w:val="20"/>
          <w:szCs w:val="20"/>
        </w:rPr>
        <w:t xml:space="preserve">El </w:t>
      </w:r>
      <w:r w:rsidRPr="00BE04CF">
        <w:rPr>
          <w:rFonts w:ascii="Arial" w:hAnsi="Arial" w:cs="Arial"/>
          <w:b/>
          <w:bCs/>
          <w:sz w:val="20"/>
          <w:szCs w:val="20"/>
        </w:rPr>
        <w:t>objetivo</w:t>
      </w:r>
      <w:r w:rsidRPr="00BE04CF">
        <w:rPr>
          <w:rFonts w:ascii="Arial" w:hAnsi="Arial" w:cs="Arial"/>
          <w:sz w:val="20"/>
          <w:szCs w:val="20"/>
        </w:rPr>
        <w:t xml:space="preserve"> principal del </w:t>
      </w:r>
      <w:r w:rsidRPr="00BE04CF">
        <w:rPr>
          <w:rFonts w:ascii="Arial" w:hAnsi="Arial" w:cs="Arial"/>
          <w:b/>
          <w:bCs/>
          <w:sz w:val="20"/>
          <w:szCs w:val="20"/>
        </w:rPr>
        <w:t xml:space="preserve">tratamiento </w:t>
      </w:r>
      <w:r w:rsidRPr="00BE04CF">
        <w:rPr>
          <w:rFonts w:ascii="Arial" w:hAnsi="Arial" w:cs="Arial"/>
          <w:sz w:val="20"/>
          <w:szCs w:val="20"/>
        </w:rPr>
        <w:t xml:space="preserve">de la </w:t>
      </w:r>
      <w:r w:rsidR="00C80ACF">
        <w:rPr>
          <w:rFonts w:ascii="Arial" w:hAnsi="Arial" w:cs="Arial"/>
          <w:sz w:val="20"/>
          <w:szCs w:val="20"/>
        </w:rPr>
        <w:t xml:space="preserve">DA </w:t>
      </w:r>
      <w:r w:rsidRPr="00BE04CF">
        <w:rPr>
          <w:rFonts w:ascii="Arial" w:hAnsi="Arial" w:cs="Arial"/>
          <w:sz w:val="20"/>
          <w:szCs w:val="20"/>
        </w:rPr>
        <w:t xml:space="preserve">es lograr el control de la enfermedad, induciendo una remisión rápida mediante la supresión de la inflamación y el prurito, y mantenerla a largo plazo para mejorar la calidad de vida del paciente. Esto implica reducir los síntomas cutáneos, minimizar los riesgos terapéuticos y controlar los factores que exacerban la enfermedad. </w:t>
      </w:r>
    </w:p>
    <w:p w14:paraId="43A5128B" w14:textId="77777777" w:rsidR="00A0211B" w:rsidRDefault="00A0211B" w:rsidP="00A764D8">
      <w:pPr>
        <w:jc w:val="both"/>
        <w:rPr>
          <w:rFonts w:ascii="Arial" w:hAnsi="Arial" w:cs="Arial"/>
          <w:sz w:val="20"/>
          <w:szCs w:val="20"/>
        </w:rPr>
      </w:pPr>
    </w:p>
    <w:p w14:paraId="2EC52933" w14:textId="77777777" w:rsidR="00742FA7" w:rsidRDefault="00742FA7" w:rsidP="00A764D8">
      <w:pPr>
        <w:jc w:val="both"/>
        <w:rPr>
          <w:rFonts w:ascii="Arial" w:hAnsi="Arial" w:cs="Arial"/>
          <w:sz w:val="20"/>
          <w:szCs w:val="20"/>
        </w:rPr>
      </w:pPr>
      <w:r w:rsidRPr="00742FA7">
        <w:rPr>
          <w:rFonts w:ascii="Arial" w:hAnsi="Arial" w:cs="Arial"/>
          <w:sz w:val="20"/>
          <w:szCs w:val="20"/>
        </w:rPr>
        <w:t>Para la mayoría de las personas con DA, el uso de emolientes y tratamientos tópicos es suficiente para mantener el control de la enfermedad. Sin embargo, en los casos más graves o extensos, con afectación importante de la calidad de vida o resistencia al tratamiento tópico optimizado, puede considerarse el uso de fototerapia o terapias sistémicas.</w:t>
      </w:r>
    </w:p>
    <w:p w14:paraId="5CCA6709" w14:textId="77777777" w:rsidR="005A0341" w:rsidRDefault="005A0341" w:rsidP="00A764D8">
      <w:pPr>
        <w:jc w:val="both"/>
        <w:rPr>
          <w:rFonts w:ascii="Arial" w:hAnsi="Arial" w:cs="Arial"/>
          <w:sz w:val="20"/>
          <w:szCs w:val="20"/>
        </w:rPr>
      </w:pPr>
    </w:p>
    <w:p w14:paraId="5BDFB87B" w14:textId="77777777" w:rsidR="005A0341" w:rsidRPr="00742FA7" w:rsidRDefault="005A0341" w:rsidP="005A0341">
      <w:pPr>
        <w:jc w:val="both"/>
        <w:rPr>
          <w:rFonts w:ascii="Arial" w:hAnsi="Arial" w:cs="Arial"/>
          <w:sz w:val="20"/>
          <w:szCs w:val="20"/>
        </w:rPr>
      </w:pPr>
      <w:r>
        <w:rPr>
          <w:rFonts w:ascii="Arial" w:hAnsi="Arial" w:cs="Arial"/>
          <w:sz w:val="20"/>
          <w:szCs w:val="20"/>
        </w:rPr>
        <w:t xml:space="preserve">La </w:t>
      </w:r>
      <w:r w:rsidRPr="00BE04CF">
        <w:rPr>
          <w:rFonts w:ascii="Arial" w:hAnsi="Arial" w:cs="Arial"/>
          <w:b/>
          <w:bCs/>
          <w:sz w:val="20"/>
          <w:szCs w:val="20"/>
        </w:rPr>
        <w:t xml:space="preserve">guía </w:t>
      </w:r>
      <w:r w:rsidR="00C80ACF">
        <w:rPr>
          <w:rFonts w:ascii="Arial" w:hAnsi="Arial" w:cs="Arial"/>
          <w:b/>
          <w:bCs/>
          <w:sz w:val="20"/>
          <w:szCs w:val="20"/>
        </w:rPr>
        <w:t xml:space="preserve">del </w:t>
      </w:r>
      <w:r w:rsidR="00C80ACF" w:rsidRPr="00C80ACF">
        <w:rPr>
          <w:rFonts w:ascii="Arial" w:hAnsi="Arial" w:cs="Arial"/>
          <w:b/>
          <w:bCs/>
          <w:sz w:val="20"/>
          <w:szCs w:val="20"/>
        </w:rPr>
        <w:t>National Institute for Health and Care Excellence</w:t>
      </w:r>
      <w:r w:rsidR="00C80ACF">
        <w:rPr>
          <w:rFonts w:ascii="Arial" w:hAnsi="Arial" w:cs="Arial"/>
          <w:b/>
          <w:bCs/>
          <w:sz w:val="20"/>
          <w:szCs w:val="20"/>
        </w:rPr>
        <w:t xml:space="preserve"> (</w:t>
      </w:r>
      <w:r w:rsidRPr="00BE04CF">
        <w:rPr>
          <w:rFonts w:ascii="Arial" w:hAnsi="Arial" w:cs="Arial"/>
          <w:b/>
          <w:bCs/>
          <w:sz w:val="20"/>
          <w:szCs w:val="20"/>
        </w:rPr>
        <w:t>NICE</w:t>
      </w:r>
      <w:r w:rsidR="00C80ACF">
        <w:rPr>
          <w:rFonts w:ascii="Arial" w:hAnsi="Arial" w:cs="Arial"/>
          <w:b/>
          <w:bCs/>
          <w:sz w:val="20"/>
          <w:szCs w:val="20"/>
        </w:rPr>
        <w:t>)</w:t>
      </w:r>
      <w:r w:rsidRPr="00BE04CF">
        <w:rPr>
          <w:rFonts w:ascii="Arial" w:hAnsi="Arial" w:cs="Arial"/>
          <w:b/>
          <w:bCs/>
          <w:sz w:val="20"/>
          <w:szCs w:val="20"/>
        </w:rPr>
        <w:t xml:space="preserve"> </w:t>
      </w:r>
      <w:r w:rsidR="00646A51">
        <w:rPr>
          <w:rFonts w:ascii="Arial" w:hAnsi="Arial" w:cs="Arial"/>
          <w:b/>
          <w:bCs/>
          <w:sz w:val="20"/>
          <w:szCs w:val="20"/>
          <w:u w:val="single"/>
        </w:rPr>
        <w:fldChar w:fldCharType="begin"/>
      </w:r>
      <w:r w:rsidR="00511A83">
        <w:rPr>
          <w:rFonts w:ascii="Arial" w:hAnsi="Arial" w:cs="Arial"/>
          <w:b/>
          <w:bCs/>
          <w:sz w:val="20"/>
          <w:szCs w:val="20"/>
          <w:u w:val="single"/>
        </w:rPr>
        <w:instrText xml:space="preserve"> ADDIN ZOTERO_ITEM CSL_CITATION {"citationID":"e7pF6BeP","properties":{"formattedCitation":"(6)","plainCitation":"(6)","noteIndex":0},"citationItems":[{"id":19,"uris":["http://zotero.org/users/18702181/items/D23SH82W"],"itemData":{"id":19,"type":"book","call-number":"NBK617252","collection-title":"National Institute for Health and Care Excellence: Technology Appraisals","ISBN":"978-1-4731-7082-7","language":"eng","note":"PMID: 40828954","publisher":"National Institute for Health and Care Excellence (NICE)","publisher-place":"London","source":"PubMed","title":"Nemolizumab for treating moderate to severe atopic dermatitis in people 12 years and over","URL":"http://www.ncbi.nlm.nih.gov/books/NBK617252/","accessed":{"date-parts":[["2025",11,5]]},"issued":{"date-parts":[["2025"]]}}}],"schema":"https://github.com/citation-style-language/schema/raw/master/csl-citation.json"} </w:instrText>
      </w:r>
      <w:r w:rsidR="00646A51">
        <w:rPr>
          <w:rFonts w:ascii="Arial" w:hAnsi="Arial" w:cs="Arial"/>
          <w:b/>
          <w:bCs/>
          <w:sz w:val="20"/>
          <w:szCs w:val="20"/>
          <w:u w:val="single"/>
        </w:rPr>
        <w:fldChar w:fldCharType="separate"/>
      </w:r>
      <w:r w:rsidR="00A24290" w:rsidRPr="00A24290">
        <w:rPr>
          <w:rFonts w:ascii="Arial" w:hAnsi="Arial" w:cs="Arial"/>
          <w:sz w:val="20"/>
        </w:rPr>
        <w:t>(6)</w:t>
      </w:r>
      <w:r w:rsidR="00646A51">
        <w:rPr>
          <w:rFonts w:ascii="Arial" w:hAnsi="Arial" w:cs="Arial"/>
          <w:b/>
          <w:bCs/>
          <w:sz w:val="20"/>
          <w:szCs w:val="20"/>
          <w:u w:val="single"/>
        </w:rPr>
        <w:fldChar w:fldCharType="end"/>
      </w:r>
      <w:r>
        <w:rPr>
          <w:rFonts w:ascii="Arial" w:hAnsi="Arial" w:cs="Arial"/>
          <w:sz w:val="20"/>
          <w:szCs w:val="20"/>
        </w:rPr>
        <w:t xml:space="preserve"> recomienda </w:t>
      </w:r>
      <w:r w:rsidRPr="005A0341">
        <w:rPr>
          <w:rFonts w:ascii="Arial" w:hAnsi="Arial" w:cs="Arial"/>
          <w:sz w:val="20"/>
          <w:szCs w:val="20"/>
        </w:rPr>
        <w:t xml:space="preserve">inicialmente </w:t>
      </w:r>
      <w:r w:rsidR="00A0211B">
        <w:rPr>
          <w:rFonts w:ascii="Arial" w:hAnsi="Arial" w:cs="Arial"/>
          <w:sz w:val="20"/>
          <w:szCs w:val="20"/>
        </w:rPr>
        <w:t xml:space="preserve">el tratamiento </w:t>
      </w:r>
      <w:r w:rsidRPr="005A0341">
        <w:rPr>
          <w:rFonts w:ascii="Arial" w:hAnsi="Arial" w:cs="Arial"/>
          <w:sz w:val="20"/>
          <w:szCs w:val="20"/>
        </w:rPr>
        <w:t>con emolientes, corticosteroides tópicos</w:t>
      </w:r>
      <w:r w:rsidR="00A0211B">
        <w:rPr>
          <w:rFonts w:ascii="Arial" w:hAnsi="Arial" w:cs="Arial"/>
          <w:sz w:val="20"/>
          <w:szCs w:val="20"/>
        </w:rPr>
        <w:t xml:space="preserve"> (TCS)</w:t>
      </w:r>
      <w:r w:rsidRPr="005A0341">
        <w:rPr>
          <w:rFonts w:ascii="Arial" w:hAnsi="Arial" w:cs="Arial"/>
          <w:sz w:val="20"/>
          <w:szCs w:val="20"/>
        </w:rPr>
        <w:t xml:space="preserve"> e inhibidores tópicos de la calcineurina</w:t>
      </w:r>
      <w:r w:rsidR="00A0211B">
        <w:rPr>
          <w:rFonts w:ascii="Arial" w:hAnsi="Arial" w:cs="Arial"/>
          <w:sz w:val="20"/>
          <w:szCs w:val="20"/>
        </w:rPr>
        <w:t xml:space="preserve"> (TCI)</w:t>
      </w:r>
      <w:r w:rsidRPr="005A0341">
        <w:rPr>
          <w:rFonts w:ascii="Arial" w:hAnsi="Arial" w:cs="Arial"/>
          <w:sz w:val="20"/>
          <w:szCs w:val="20"/>
        </w:rPr>
        <w:t>. Cuando la afección no ha respondido adecuadamente al tratamiento tópico, se puede</w:t>
      </w:r>
      <w:r>
        <w:rPr>
          <w:rFonts w:ascii="Arial" w:hAnsi="Arial" w:cs="Arial"/>
          <w:sz w:val="20"/>
          <w:szCs w:val="20"/>
        </w:rPr>
        <w:t xml:space="preserve"> iniciar tratamiento con </w:t>
      </w:r>
      <w:r w:rsidRPr="005A0341">
        <w:rPr>
          <w:rFonts w:ascii="Arial" w:hAnsi="Arial" w:cs="Arial"/>
          <w:sz w:val="20"/>
          <w:szCs w:val="20"/>
        </w:rPr>
        <w:t>inmunosupresores sistémicos de primera línea</w:t>
      </w:r>
      <w:r>
        <w:rPr>
          <w:rFonts w:ascii="Arial" w:hAnsi="Arial" w:cs="Arial"/>
          <w:sz w:val="20"/>
          <w:szCs w:val="20"/>
        </w:rPr>
        <w:t xml:space="preserve">, incluyendo </w:t>
      </w:r>
      <w:r w:rsidRPr="005A0341">
        <w:rPr>
          <w:rFonts w:ascii="Arial" w:hAnsi="Arial" w:cs="Arial"/>
          <w:sz w:val="20"/>
          <w:szCs w:val="20"/>
        </w:rPr>
        <w:t>azatioprina</w:t>
      </w:r>
      <w:r>
        <w:rPr>
          <w:rFonts w:ascii="Arial" w:hAnsi="Arial" w:cs="Arial"/>
          <w:sz w:val="20"/>
          <w:szCs w:val="20"/>
        </w:rPr>
        <w:t xml:space="preserve"> (AZA)</w:t>
      </w:r>
      <w:r w:rsidRPr="005A0341">
        <w:rPr>
          <w:rFonts w:ascii="Arial" w:hAnsi="Arial" w:cs="Arial"/>
          <w:sz w:val="20"/>
          <w:szCs w:val="20"/>
        </w:rPr>
        <w:t>, ciclosporina, metotrexato</w:t>
      </w:r>
      <w:r>
        <w:rPr>
          <w:rFonts w:ascii="Arial" w:hAnsi="Arial" w:cs="Arial"/>
          <w:sz w:val="20"/>
          <w:szCs w:val="20"/>
        </w:rPr>
        <w:t xml:space="preserve"> (MTX)</w:t>
      </w:r>
      <w:r w:rsidRPr="005A0341">
        <w:rPr>
          <w:rFonts w:ascii="Arial" w:hAnsi="Arial" w:cs="Arial"/>
          <w:sz w:val="20"/>
          <w:szCs w:val="20"/>
        </w:rPr>
        <w:t xml:space="preserve"> y micofenolato mofetilo</w:t>
      </w:r>
      <w:r>
        <w:rPr>
          <w:rFonts w:ascii="Arial" w:hAnsi="Arial" w:cs="Arial"/>
          <w:sz w:val="20"/>
          <w:szCs w:val="20"/>
        </w:rPr>
        <w:t xml:space="preserve"> (MFF)</w:t>
      </w:r>
      <w:r w:rsidRPr="005A0341">
        <w:rPr>
          <w:rFonts w:ascii="Arial" w:hAnsi="Arial" w:cs="Arial"/>
          <w:sz w:val="20"/>
          <w:szCs w:val="20"/>
        </w:rPr>
        <w:t>. Si la afección no responde a los inmunosupresores sistémicos de primera línea, o si estos no se toleran o no son adecuados, se puede ofrecer un medicamento biológico (dupilumab, lebrikizumab</w:t>
      </w:r>
      <w:r>
        <w:rPr>
          <w:rFonts w:ascii="Arial" w:hAnsi="Arial" w:cs="Arial"/>
          <w:sz w:val="20"/>
          <w:szCs w:val="20"/>
        </w:rPr>
        <w:t>,</w:t>
      </w:r>
      <w:r w:rsidR="00C80ACF">
        <w:rPr>
          <w:rFonts w:ascii="Arial" w:hAnsi="Arial" w:cs="Arial"/>
          <w:sz w:val="20"/>
          <w:szCs w:val="20"/>
        </w:rPr>
        <w:t xml:space="preserve"> </w:t>
      </w:r>
      <w:r w:rsidRPr="005A0341">
        <w:rPr>
          <w:rFonts w:ascii="Arial" w:hAnsi="Arial" w:cs="Arial"/>
          <w:sz w:val="20"/>
          <w:szCs w:val="20"/>
        </w:rPr>
        <w:t>tralokinumab</w:t>
      </w:r>
      <w:r>
        <w:rPr>
          <w:rFonts w:ascii="Arial" w:hAnsi="Arial" w:cs="Arial"/>
          <w:sz w:val="20"/>
          <w:szCs w:val="20"/>
        </w:rPr>
        <w:t xml:space="preserve"> o nemolizumab</w:t>
      </w:r>
      <w:r w:rsidRPr="005A0341">
        <w:rPr>
          <w:rFonts w:ascii="Arial" w:hAnsi="Arial" w:cs="Arial"/>
          <w:sz w:val="20"/>
          <w:szCs w:val="20"/>
        </w:rPr>
        <w:t>) o un inhibidor de la Janus quinasa (</w:t>
      </w:r>
      <w:r w:rsidR="00687E7A">
        <w:rPr>
          <w:rFonts w:ascii="Arial" w:hAnsi="Arial" w:cs="Arial"/>
          <w:sz w:val="20"/>
          <w:szCs w:val="20"/>
        </w:rPr>
        <w:t>i</w:t>
      </w:r>
      <w:r w:rsidRPr="005A0341">
        <w:rPr>
          <w:rFonts w:ascii="Arial" w:hAnsi="Arial" w:cs="Arial"/>
          <w:sz w:val="20"/>
          <w:szCs w:val="20"/>
        </w:rPr>
        <w:t>JAK) (abrocitinib, baricitinib o upadacitinib)</w:t>
      </w:r>
      <w:r>
        <w:rPr>
          <w:rFonts w:ascii="Arial" w:hAnsi="Arial" w:cs="Arial"/>
          <w:sz w:val="20"/>
          <w:szCs w:val="20"/>
        </w:rPr>
        <w:t>.</w:t>
      </w:r>
    </w:p>
    <w:p w14:paraId="30B53C53" w14:textId="77777777" w:rsidR="00742FA7" w:rsidRPr="00742FA7" w:rsidRDefault="00742FA7" w:rsidP="00A764D8">
      <w:pPr>
        <w:jc w:val="both"/>
        <w:rPr>
          <w:rFonts w:ascii="Arial" w:hAnsi="Arial" w:cs="Arial"/>
          <w:sz w:val="20"/>
          <w:szCs w:val="20"/>
        </w:rPr>
      </w:pPr>
    </w:p>
    <w:p w14:paraId="33D7F65F" w14:textId="77777777" w:rsidR="00742FA7" w:rsidRPr="00742FA7" w:rsidRDefault="00742FA7" w:rsidP="00A764D8">
      <w:pPr>
        <w:jc w:val="both"/>
        <w:rPr>
          <w:rFonts w:ascii="Arial" w:hAnsi="Arial" w:cs="Arial"/>
          <w:sz w:val="20"/>
          <w:szCs w:val="20"/>
        </w:rPr>
      </w:pPr>
      <w:r w:rsidRPr="00742FA7">
        <w:rPr>
          <w:rFonts w:ascii="Arial" w:hAnsi="Arial" w:cs="Arial"/>
          <w:sz w:val="20"/>
          <w:szCs w:val="20"/>
        </w:rPr>
        <w:t xml:space="preserve">Las nuevas guías de la </w:t>
      </w:r>
      <w:r w:rsidRPr="0053248A">
        <w:rPr>
          <w:rFonts w:ascii="Arial" w:hAnsi="Arial" w:cs="Arial"/>
          <w:b/>
          <w:bCs/>
          <w:sz w:val="20"/>
          <w:szCs w:val="20"/>
        </w:rPr>
        <w:t>Academia Americana de Dermatología (AAD)</w:t>
      </w:r>
      <w:r>
        <w:rPr>
          <w:rFonts w:ascii="Arial" w:hAnsi="Arial" w:cs="Arial"/>
          <w:sz w:val="20"/>
          <w:szCs w:val="20"/>
        </w:rPr>
        <w:t xml:space="preserve"> de 2024-2025</w:t>
      </w:r>
      <w:r w:rsidRPr="00742FA7">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{"citationID":"W516uVvt","properties":{"formattedCitation":"(7,8)","plainCitation":"(7,8)","noteIndex":0},"citationItems":[{"id":15,"uris":["http://zotero.org/users/18702181/items/Q5B9E6HU"],"itemData":{"id":15,"type":"article-journal","abstract":"BACKGROUND: For people with atopic dermatitis (AD) refractory to topical therapies, treatment with phototherapy and systemic therapies can be considered. Multiple biologic therapies and Janus kinase (JAK)inhibitors have been approved since 2014 to treat AD. These guidelines update the 2014 recommendations for management of AD with phototherapy and systemic therapies.\nOBJECTIVE: To provide evidence-based recommendations on the use of phototherapy and systemic therapies for AD in adults.\nMETHODS: A multidisciplinary workgroup conducted a systematic review and applied the GRADE approach for assessing the certainty of evidence and formulating and grading recommendations.\nRESULTS: The workgroup developed 11 recommendations on the management of AD in adults with phototherapy and systemic agents, including biologics, oral JAK inhibitors, and other immunomodulatory medications.\nLIMITATIONS: Most randomized controlled trials of phototherapy and systemic therapies for AD are of short duration with subsequent extension studies, limiting comparative long-term efficacy and safety conclusions.\nCONCLUSIONS: We make strong recommendations for the use of dupilumab, tralokinumab, abrocitinib, baricitinib, and upadacitinib. We make conditional recommendations in favor of using phototherapy, azathioprine, cyclosporine, methotrexate, and mycophenolate, and against the use of systemic corticosteroids.","container-title":"Journal of the American Academy of Dermatology","DOI":"10.1016/j.jaad.2023.08.102","ISSN":"1097-6787","issue":"2","journalAbbreviation":"J Am Acad Dermatol","language":"eng","page":"e43-e56","PMID":"37943240","source":"PubMed","title":"Guidelines of care for the management of atopic dermatitis in adults with phototherapy and systemic therapies","volume":"90","author":[{"family":"Davis","given":"Dawn M. R."},{"family":"Drucker","given":"Aaron M."},{"family":"Alikhan","given":"Ali"},{"family":"Bercovitch","given":"Lionel"},{"family":"Cohen","given":"David E."},{"family":"Darr","given":"Jennifer M."},{"family":"Eichenfield","given":"Lawrence F."},{"family":"Frazer-Green","given":"Lindsy"},{"family":"Paller","given":"Amy S."},{"family":"Schwarzenberger","given":"Kathryn"},{"family":"Silverberg","given":"Jonathan I."},{"family":"Singh","given":"Anne Marie"},{"family":"Wu","given":"Peggy A."},{"family":"Sidbury","given":"Robert"}],"issued":{"date-parts":[["2024",2]]}}},{"id":12,"uris":["http://zotero.org/users/18702181/items/K4JDKALR"],"itemData":{"id":12,"type":"article-journal","container-title":"Journal of the American Academy of Dermatology","DOI":"10.1016/j.jaad.2025.05.1386","ISSN":"0190-9622, 1097-6787","issue":"3","journalAbbreviation":"Journal of the American Academy of Dermatology","language":"English","page":"745.e1-745.e7","PMID":"40531067","publisher":"Elsevier","source":"www.jaad.org","title":"Focused update: Guidelines of care for the management of atopic dermatitis in adults","title-short":"Focused update","volume":"93","author":[{"family":"Davis","given":"Dawn M. R."},{"family":"Frazer-Green","given":"Lindsy"},{"family":"Alikhan","given":"Ali"},{"family":"Bercovitch","given":"Lionel"},{"family":"Cohen","given":"David E."},{"family":"Darr","given":"Jennifer M."},{"family":"Drucker","given":"Aaron M."},{"family":"Eichenfield","given":"Lawrence F."},{"family":"Paller","given":"Amy S."},{"family":"Schwarzenberger","given":"Kathryn"},{"family":"Silverberg","given":"Jonathan I."},{"family":"Singh","given":"Anne Marie"},{"family":"Wu","given":"Peggy A."},{"family":"Sidbury","given":"Robert"}],"issued":{"date-parts":[["2025",9,1]]}}}],"schema":"https://github.com/citation-style-language/schema/raw/master/csl-citation.json"} </w:instrText>
      </w:r>
      <w:r w:rsidR="00646A51">
        <w:rPr>
          <w:rFonts w:ascii="Arial" w:hAnsi="Arial" w:cs="Arial"/>
          <w:sz w:val="20"/>
          <w:szCs w:val="20"/>
        </w:rPr>
        <w:fldChar w:fldCharType="separate"/>
      </w:r>
      <w:r w:rsidR="00A24290" w:rsidRPr="00A24290">
        <w:rPr>
          <w:rFonts w:ascii="Arial" w:hAnsi="Arial" w:cs="Arial"/>
          <w:sz w:val="20"/>
        </w:rPr>
        <w:t>(7,8)</w:t>
      </w:r>
      <w:r w:rsidR="00646A51">
        <w:rPr>
          <w:rFonts w:ascii="Arial" w:hAnsi="Arial" w:cs="Arial"/>
          <w:sz w:val="20"/>
          <w:szCs w:val="20"/>
        </w:rPr>
        <w:fldChar w:fldCharType="end"/>
      </w:r>
      <w:r w:rsidR="0053248A">
        <w:rPr>
          <w:rFonts w:ascii="Arial" w:hAnsi="Arial" w:cs="Arial"/>
          <w:sz w:val="20"/>
          <w:szCs w:val="20"/>
        </w:rPr>
        <w:t xml:space="preserve"> </w:t>
      </w:r>
      <w:r w:rsidRPr="00742FA7">
        <w:rPr>
          <w:rFonts w:ascii="Arial" w:hAnsi="Arial" w:cs="Arial"/>
          <w:sz w:val="20"/>
          <w:szCs w:val="20"/>
        </w:rPr>
        <w:t xml:space="preserve">actualizan las recomendaciones de 2014 </w:t>
      </w:r>
      <w:r w:rsidR="00BE04CF">
        <w:rPr>
          <w:rFonts w:ascii="Arial" w:hAnsi="Arial" w:cs="Arial"/>
          <w:sz w:val="20"/>
          <w:szCs w:val="20"/>
        </w:rPr>
        <w:t>incorporando nuevas terapias tópicas y sistémicas.</w:t>
      </w:r>
    </w:p>
    <w:p w14:paraId="7F137984" w14:textId="77777777" w:rsidR="00742FA7" w:rsidRPr="00742FA7" w:rsidRDefault="00742FA7" w:rsidP="00A764D8">
      <w:pPr>
        <w:jc w:val="both"/>
        <w:rPr>
          <w:rFonts w:ascii="Arial" w:hAnsi="Arial" w:cs="Arial"/>
          <w:sz w:val="20"/>
          <w:szCs w:val="20"/>
        </w:rPr>
      </w:pPr>
    </w:p>
    <w:p w14:paraId="2929C972" w14:textId="77777777" w:rsidR="00325F55" w:rsidRPr="00687E7A" w:rsidRDefault="00B7120A" w:rsidP="00687E7A">
      <w:pPr>
        <w:jc w:val="both"/>
        <w:rPr>
          <w:rFonts w:ascii="Arial" w:hAnsi="Arial" w:cs="Arial"/>
          <w:b/>
          <w:bCs/>
          <w:sz w:val="20"/>
          <w:szCs w:val="20"/>
        </w:rPr>
      </w:pPr>
      <w:r w:rsidRPr="00BE04CF">
        <w:rPr>
          <w:rFonts w:ascii="Arial" w:hAnsi="Arial" w:cs="Arial"/>
          <w:b/>
          <w:bCs/>
          <w:sz w:val="20"/>
          <w:szCs w:val="20"/>
          <w:u w:val="single"/>
        </w:rPr>
        <w:t>Terapias tópicas</w:t>
      </w:r>
      <w:r w:rsidR="001A55AD">
        <w:rPr>
          <w:rFonts w:ascii="Arial" w:hAnsi="Arial" w:cs="Arial"/>
          <w:b/>
          <w:bCs/>
          <w:sz w:val="20"/>
          <w:szCs w:val="20"/>
        </w:rPr>
        <w:t>.</w:t>
      </w:r>
      <w:r w:rsidRPr="00742FA7">
        <w:rPr>
          <w:rFonts w:ascii="Arial" w:hAnsi="Arial" w:cs="Arial"/>
          <w:b/>
          <w:bCs/>
          <w:sz w:val="20"/>
          <w:szCs w:val="20"/>
        </w:rPr>
        <w:t xml:space="preserve"> </w:t>
      </w:r>
      <w:r w:rsidR="001A55AD" w:rsidRPr="001A55AD">
        <w:rPr>
          <w:rFonts w:ascii="Arial" w:hAnsi="Arial" w:cs="Arial"/>
          <w:sz w:val="20"/>
          <w:szCs w:val="20"/>
        </w:rPr>
        <w:t>Las terapias clásicas son con</w:t>
      </w:r>
      <w:r w:rsidR="000E5558">
        <w:rPr>
          <w:rFonts w:ascii="Arial" w:hAnsi="Arial" w:cs="Arial"/>
          <w:sz w:val="20"/>
          <w:szCs w:val="20"/>
        </w:rPr>
        <w:t xml:space="preserve"> TCS</w:t>
      </w:r>
      <w:r w:rsidR="001A55AD" w:rsidRPr="001A55AD">
        <w:rPr>
          <w:rFonts w:ascii="Arial" w:hAnsi="Arial" w:cs="Arial"/>
          <w:sz w:val="20"/>
          <w:szCs w:val="20"/>
        </w:rPr>
        <w:t xml:space="preserve"> o </w:t>
      </w:r>
      <w:r w:rsidR="000E5558">
        <w:rPr>
          <w:rFonts w:ascii="Arial" w:hAnsi="Arial" w:cs="Arial"/>
          <w:sz w:val="20"/>
          <w:szCs w:val="20"/>
        </w:rPr>
        <w:t>TCI</w:t>
      </w:r>
      <w:r w:rsidR="001A55AD" w:rsidRPr="001A55AD">
        <w:rPr>
          <w:rFonts w:ascii="Arial" w:hAnsi="Arial" w:cs="Arial"/>
          <w:sz w:val="20"/>
          <w:szCs w:val="20"/>
        </w:rPr>
        <w:t>, pero actualmente se incluyen</w:t>
      </w:r>
      <w:r w:rsidR="00C80ACF">
        <w:rPr>
          <w:rFonts w:ascii="Arial" w:hAnsi="Arial" w:cs="Arial"/>
          <w:sz w:val="20"/>
          <w:szCs w:val="20"/>
        </w:rPr>
        <w:t xml:space="preserve"> la </w:t>
      </w:r>
      <w:r w:rsidR="00C80ACF" w:rsidRPr="00687E7A">
        <w:rPr>
          <w:rFonts w:ascii="Arial" w:hAnsi="Arial" w:cs="Arial"/>
          <w:sz w:val="20"/>
          <w:szCs w:val="20"/>
        </w:rPr>
        <w:t>c</w:t>
      </w:r>
      <w:r w:rsidRPr="00687E7A">
        <w:rPr>
          <w:rFonts w:ascii="Arial" w:hAnsi="Arial" w:cs="Arial"/>
          <w:sz w:val="20"/>
          <w:szCs w:val="20"/>
        </w:rPr>
        <w:t>rema de</w:t>
      </w:r>
      <w:r w:rsidRPr="00325F55">
        <w:rPr>
          <w:rFonts w:ascii="Arial" w:hAnsi="Arial" w:cs="Arial"/>
          <w:b/>
          <w:bCs/>
          <w:sz w:val="20"/>
          <w:szCs w:val="20"/>
        </w:rPr>
        <w:t xml:space="preserve"> Tapinarof al 1</w:t>
      </w:r>
      <w:r w:rsidR="00687E7A" w:rsidRPr="00325F55">
        <w:rPr>
          <w:rFonts w:ascii="Arial" w:hAnsi="Arial" w:cs="Arial"/>
          <w:b/>
          <w:bCs/>
          <w:sz w:val="20"/>
          <w:szCs w:val="20"/>
        </w:rPr>
        <w:t>%,</w:t>
      </w:r>
      <w:r w:rsidR="00687E7A" w:rsidRPr="00687E7A">
        <w:rPr>
          <w:rFonts w:ascii="Arial" w:hAnsi="Arial" w:cs="Arial"/>
          <w:sz w:val="20"/>
          <w:szCs w:val="20"/>
        </w:rPr>
        <w:t xml:space="preserve"> y la c</w:t>
      </w:r>
      <w:r w:rsidR="00325F55" w:rsidRPr="00687E7A">
        <w:rPr>
          <w:rFonts w:ascii="Arial" w:hAnsi="Arial" w:cs="Arial"/>
          <w:sz w:val="20"/>
          <w:szCs w:val="20"/>
        </w:rPr>
        <w:t>rema de</w:t>
      </w:r>
      <w:r w:rsidR="00325F55" w:rsidRPr="00325F55">
        <w:rPr>
          <w:rFonts w:ascii="Arial" w:hAnsi="Arial" w:cs="Arial"/>
          <w:b/>
          <w:bCs/>
          <w:color w:val="303030"/>
          <w:sz w:val="21"/>
          <w:szCs w:val="21"/>
          <w:shd w:val="clear" w:color="auto" w:fill="FFFFFF"/>
        </w:rPr>
        <w:t xml:space="preserve"> </w:t>
      </w:r>
      <w:r w:rsidR="00325F55" w:rsidRPr="00325F55">
        <w:rPr>
          <w:rFonts w:ascii="Arial" w:hAnsi="Arial" w:cs="Arial"/>
          <w:b/>
          <w:bCs/>
          <w:sz w:val="20"/>
          <w:szCs w:val="20"/>
        </w:rPr>
        <w:t>Roflumilast 0.15%,</w:t>
      </w:r>
      <w:r w:rsidR="00687E7A">
        <w:rPr>
          <w:rFonts w:ascii="Arial" w:hAnsi="Arial" w:cs="Arial"/>
          <w:sz w:val="20"/>
          <w:szCs w:val="20"/>
        </w:rPr>
        <w:t xml:space="preserve"> autorizadas en estados unidos, pero no en Europa. </w:t>
      </w:r>
      <w:r w:rsidR="00325F55">
        <w:rPr>
          <w:rFonts w:ascii="Arial" w:hAnsi="Arial" w:cs="Arial"/>
          <w:sz w:val="20"/>
          <w:szCs w:val="20"/>
        </w:rPr>
        <w:t xml:space="preserve"> </w:t>
      </w:r>
    </w:p>
    <w:p w14:paraId="4321E412" w14:textId="77777777" w:rsidR="001A686D" w:rsidRDefault="001A686D" w:rsidP="001A686D">
      <w:pPr>
        <w:ind w:left="720"/>
        <w:jc w:val="both"/>
        <w:rPr>
          <w:rFonts w:ascii="Arial" w:hAnsi="Arial" w:cs="Arial"/>
          <w:sz w:val="20"/>
          <w:szCs w:val="20"/>
        </w:rPr>
      </w:pPr>
    </w:p>
    <w:p w14:paraId="06374F39" w14:textId="77777777" w:rsidR="00B52C6B" w:rsidRPr="00687E7A" w:rsidRDefault="00B52C6B" w:rsidP="00687E7A">
      <w:pPr>
        <w:jc w:val="both"/>
        <w:rPr>
          <w:rFonts w:ascii="Arial" w:hAnsi="Arial" w:cs="Arial"/>
          <w:sz w:val="20"/>
          <w:szCs w:val="20"/>
        </w:rPr>
      </w:pPr>
      <w:r w:rsidRPr="00B52C6B">
        <w:rPr>
          <w:rFonts w:ascii="Arial" w:hAnsi="Arial" w:cs="Arial"/>
          <w:sz w:val="20"/>
          <w:szCs w:val="20"/>
        </w:rPr>
        <w:t>Ademá</w:t>
      </w:r>
      <w:r>
        <w:rPr>
          <w:rFonts w:ascii="Arial" w:hAnsi="Arial" w:cs="Arial"/>
          <w:sz w:val="20"/>
          <w:szCs w:val="20"/>
        </w:rPr>
        <w:t xml:space="preserve">s, </w:t>
      </w:r>
      <w:r w:rsidRPr="00B52C6B">
        <w:rPr>
          <w:rFonts w:ascii="Arial" w:hAnsi="Arial" w:cs="Arial"/>
          <w:sz w:val="20"/>
          <w:szCs w:val="20"/>
        </w:rPr>
        <w:t xml:space="preserve">en la </w:t>
      </w:r>
      <w:r w:rsidRPr="001A686D">
        <w:rPr>
          <w:rFonts w:ascii="Arial" w:hAnsi="Arial" w:cs="Arial"/>
          <w:sz w:val="20"/>
          <w:szCs w:val="20"/>
        </w:rPr>
        <w:t>guía de la</w:t>
      </w:r>
      <w:r w:rsidRPr="001A686D">
        <w:rPr>
          <w:rFonts w:ascii="Arial" w:hAnsi="Arial" w:cs="Arial"/>
          <w:b/>
          <w:bCs/>
          <w:sz w:val="20"/>
          <w:szCs w:val="20"/>
        </w:rPr>
        <w:t xml:space="preserve"> </w:t>
      </w:r>
      <w:r w:rsidR="001A686D">
        <w:rPr>
          <w:rFonts w:ascii="Arial" w:hAnsi="Arial" w:cs="Arial"/>
          <w:b/>
          <w:bCs/>
          <w:sz w:val="20"/>
          <w:szCs w:val="20"/>
        </w:rPr>
        <w:t xml:space="preserve">Japanese Dermatological Association (JDA) </w:t>
      </w:r>
      <w:r w:rsidRPr="00B52C6B">
        <w:rPr>
          <w:rFonts w:ascii="Arial" w:hAnsi="Arial" w:cs="Arial"/>
          <w:sz w:val="20"/>
          <w:szCs w:val="20"/>
        </w:rPr>
        <w:t>se inc</w:t>
      </w:r>
      <w:r w:rsidR="00C66B4B">
        <w:rPr>
          <w:rFonts w:ascii="Arial" w:hAnsi="Arial" w:cs="Arial"/>
          <w:sz w:val="20"/>
          <w:szCs w:val="20"/>
        </w:rPr>
        <w:t>orporan</w:t>
      </w:r>
      <w:r w:rsidRPr="00B52C6B">
        <w:rPr>
          <w:rFonts w:ascii="Arial" w:hAnsi="Arial" w:cs="Arial"/>
          <w:sz w:val="20"/>
          <w:szCs w:val="20"/>
        </w:rPr>
        <w:t xml:space="preserve"> otras </w:t>
      </w:r>
      <w:r w:rsidRPr="00687E7A">
        <w:rPr>
          <w:rFonts w:ascii="Arial" w:hAnsi="Arial" w:cs="Arial"/>
          <w:sz w:val="20"/>
          <w:szCs w:val="20"/>
        </w:rPr>
        <w:t>como:</w:t>
      </w:r>
      <w:r w:rsidR="00687E7A" w:rsidRPr="00687E7A">
        <w:rPr>
          <w:rFonts w:ascii="Arial" w:hAnsi="Arial" w:cs="Arial"/>
          <w:sz w:val="20"/>
          <w:szCs w:val="20"/>
        </w:rPr>
        <w:t xml:space="preserve"> ungüento </w:t>
      </w:r>
      <w:r w:rsidRPr="00687E7A">
        <w:rPr>
          <w:rFonts w:ascii="Arial" w:hAnsi="Arial" w:cs="Arial"/>
          <w:b/>
          <w:bCs/>
          <w:sz w:val="20"/>
          <w:szCs w:val="20"/>
        </w:rPr>
        <w:t>Delgocitinib</w:t>
      </w:r>
      <w:r w:rsidRPr="00687E7A">
        <w:rPr>
          <w:rFonts w:ascii="Arial" w:hAnsi="Arial" w:cs="Arial"/>
          <w:sz w:val="20"/>
          <w:szCs w:val="20"/>
        </w:rPr>
        <w:t xml:space="preserve"> (</w:t>
      </w:r>
      <w:r w:rsidR="00687E7A">
        <w:rPr>
          <w:rFonts w:ascii="Arial" w:hAnsi="Arial" w:cs="Arial"/>
          <w:sz w:val="20"/>
          <w:szCs w:val="20"/>
        </w:rPr>
        <w:t>i</w:t>
      </w:r>
      <w:r w:rsidRPr="00687E7A">
        <w:rPr>
          <w:rFonts w:ascii="Arial" w:hAnsi="Arial" w:cs="Arial"/>
          <w:sz w:val="20"/>
          <w:szCs w:val="20"/>
        </w:rPr>
        <w:t>JAK)</w:t>
      </w:r>
      <w:r w:rsidR="00687E7A" w:rsidRPr="00687E7A">
        <w:rPr>
          <w:rFonts w:ascii="Arial" w:hAnsi="Arial" w:cs="Arial"/>
          <w:sz w:val="20"/>
          <w:szCs w:val="20"/>
        </w:rPr>
        <w:t xml:space="preserve"> autorizado en España para la indicación de eccema crónico de manos, per</w:t>
      </w:r>
      <w:r w:rsidR="00A0211B">
        <w:rPr>
          <w:rFonts w:ascii="Arial" w:hAnsi="Arial" w:cs="Arial"/>
          <w:sz w:val="20"/>
          <w:szCs w:val="20"/>
        </w:rPr>
        <w:t xml:space="preserve">o no en DA, </w:t>
      </w:r>
      <w:r w:rsidR="00687E7A" w:rsidRPr="00687E7A">
        <w:rPr>
          <w:rFonts w:ascii="Arial" w:hAnsi="Arial" w:cs="Arial"/>
          <w:sz w:val="20"/>
          <w:szCs w:val="20"/>
        </w:rPr>
        <w:t>y ungüento de</w:t>
      </w:r>
      <w:r w:rsidR="00687E7A" w:rsidRPr="00687E7A">
        <w:rPr>
          <w:rFonts w:ascii="Arial" w:hAnsi="Arial" w:cs="Arial"/>
          <w:b/>
          <w:bCs/>
          <w:sz w:val="20"/>
          <w:szCs w:val="20"/>
        </w:rPr>
        <w:t xml:space="preserve"> </w:t>
      </w:r>
      <w:r w:rsidRPr="00687E7A">
        <w:rPr>
          <w:rFonts w:ascii="Arial" w:hAnsi="Arial" w:cs="Arial"/>
          <w:b/>
          <w:bCs/>
          <w:sz w:val="20"/>
          <w:szCs w:val="20"/>
        </w:rPr>
        <w:t>Difamilast</w:t>
      </w:r>
      <w:r w:rsidRPr="00687E7A">
        <w:rPr>
          <w:rFonts w:ascii="Arial" w:hAnsi="Arial" w:cs="Arial"/>
          <w:sz w:val="20"/>
          <w:szCs w:val="20"/>
        </w:rPr>
        <w:t xml:space="preserve"> (</w:t>
      </w:r>
      <w:r w:rsidR="00687E7A" w:rsidRPr="00687E7A">
        <w:rPr>
          <w:rFonts w:ascii="Arial" w:hAnsi="Arial" w:cs="Arial"/>
          <w:sz w:val="20"/>
          <w:szCs w:val="20"/>
        </w:rPr>
        <w:t>i</w:t>
      </w:r>
      <w:r w:rsidRPr="00687E7A">
        <w:rPr>
          <w:rFonts w:ascii="Arial" w:hAnsi="Arial" w:cs="Arial"/>
          <w:sz w:val="20"/>
          <w:szCs w:val="20"/>
        </w:rPr>
        <w:t>nhibidor de PDE4)</w:t>
      </w:r>
      <w:r w:rsidR="00687E7A" w:rsidRPr="00687E7A">
        <w:rPr>
          <w:rFonts w:ascii="Arial" w:hAnsi="Arial" w:cs="Arial"/>
          <w:sz w:val="20"/>
          <w:szCs w:val="20"/>
        </w:rPr>
        <w:t xml:space="preserve"> no autorizado en Europa.</w:t>
      </w:r>
      <w:r w:rsidRPr="00687E7A">
        <w:rPr>
          <w:rFonts w:ascii="Arial" w:hAnsi="Arial" w:cs="Arial"/>
          <w:sz w:val="20"/>
          <w:szCs w:val="20"/>
        </w:rPr>
        <w:t xml:space="preserve"> </w:t>
      </w:r>
    </w:p>
    <w:p w14:paraId="12E6F887" w14:textId="77777777" w:rsidR="00B52C6B" w:rsidRPr="00325F55" w:rsidRDefault="00B52C6B" w:rsidP="00B52C6B">
      <w:pPr>
        <w:jc w:val="both"/>
        <w:rPr>
          <w:rFonts w:ascii="Arial" w:hAnsi="Arial" w:cs="Arial"/>
          <w:sz w:val="20"/>
          <w:szCs w:val="20"/>
        </w:rPr>
      </w:pPr>
    </w:p>
    <w:p w14:paraId="41D91D13" w14:textId="77777777" w:rsidR="00742FA7" w:rsidRDefault="004B1636" w:rsidP="00A764D8">
      <w:pPr>
        <w:jc w:val="both"/>
        <w:rPr>
          <w:rFonts w:ascii="Arial" w:hAnsi="Arial" w:cs="Arial"/>
          <w:sz w:val="20"/>
          <w:szCs w:val="20"/>
        </w:rPr>
      </w:pPr>
      <w:r w:rsidRPr="00BE04CF">
        <w:rPr>
          <w:rFonts w:ascii="Arial" w:hAnsi="Arial" w:cs="Arial"/>
          <w:b/>
          <w:bCs/>
          <w:sz w:val="20"/>
          <w:szCs w:val="20"/>
          <w:u w:val="single"/>
        </w:rPr>
        <w:t>Fototerapia</w:t>
      </w:r>
      <w:r>
        <w:rPr>
          <w:rFonts w:ascii="Arial" w:hAnsi="Arial" w:cs="Arial"/>
          <w:sz w:val="20"/>
          <w:szCs w:val="20"/>
        </w:rPr>
        <w:t>: Según la A</w:t>
      </w:r>
      <w:r w:rsidR="00655179">
        <w:rPr>
          <w:rFonts w:ascii="Arial" w:hAnsi="Arial" w:cs="Arial"/>
          <w:sz w:val="20"/>
          <w:szCs w:val="20"/>
        </w:rPr>
        <w:t>A</w:t>
      </w:r>
      <w:r>
        <w:rPr>
          <w:rFonts w:ascii="Arial" w:hAnsi="Arial" w:cs="Arial"/>
          <w:sz w:val="20"/>
          <w:szCs w:val="20"/>
        </w:rPr>
        <w:t xml:space="preserve">D se recomienda solo de forma condicional en adultos y con una evidencia de calidad baja. </w:t>
      </w:r>
      <w:r w:rsidRPr="004B1636">
        <w:rPr>
          <w:rFonts w:ascii="Arial" w:hAnsi="Arial" w:cs="Arial"/>
          <w:sz w:val="20"/>
          <w:szCs w:val="20"/>
        </w:rPr>
        <w:t xml:space="preserve">El </w:t>
      </w:r>
      <w:r w:rsidR="00B23A9B">
        <w:rPr>
          <w:rFonts w:ascii="Arial" w:hAnsi="Arial" w:cs="Arial"/>
          <w:sz w:val="20"/>
          <w:szCs w:val="20"/>
        </w:rPr>
        <w:t xml:space="preserve">ultravioleta </w:t>
      </w:r>
      <w:r w:rsidRPr="004B1636">
        <w:rPr>
          <w:rFonts w:ascii="Arial" w:hAnsi="Arial" w:cs="Arial"/>
          <w:sz w:val="20"/>
          <w:szCs w:val="20"/>
        </w:rPr>
        <w:t>B de banda estrecha es la modalidad más utilizada.</w:t>
      </w:r>
      <w:r w:rsidR="00742FA7">
        <w:rPr>
          <w:rFonts w:ascii="Arial" w:hAnsi="Arial" w:cs="Arial"/>
          <w:sz w:val="20"/>
          <w:szCs w:val="20"/>
        </w:rPr>
        <w:t xml:space="preserve"> </w:t>
      </w:r>
    </w:p>
    <w:p w14:paraId="413D2710" w14:textId="77777777" w:rsidR="004B1636" w:rsidRDefault="004B1636" w:rsidP="00A764D8">
      <w:pPr>
        <w:jc w:val="both"/>
        <w:rPr>
          <w:rFonts w:ascii="Arial" w:hAnsi="Arial" w:cs="Arial"/>
          <w:sz w:val="20"/>
          <w:szCs w:val="20"/>
        </w:rPr>
      </w:pPr>
      <w:r w:rsidRPr="00742FA7">
        <w:rPr>
          <w:rFonts w:ascii="Arial" w:hAnsi="Arial" w:cs="Arial"/>
          <w:sz w:val="20"/>
          <w:szCs w:val="20"/>
        </w:rPr>
        <w:t xml:space="preserve">Se señala que no hay suficiente evidencia para hacer una recomendación sobre el uso de </w:t>
      </w:r>
      <w:r w:rsidR="00B23A9B" w:rsidRPr="00B23A9B">
        <w:rPr>
          <w:rFonts w:ascii="Arial" w:hAnsi="Arial" w:cs="Arial"/>
          <w:sz w:val="20"/>
          <w:szCs w:val="20"/>
        </w:rPr>
        <w:t xml:space="preserve">fotoquimioterapia con psoraleno y luz ultravioleta </w:t>
      </w:r>
      <w:r w:rsidR="00B23A9B">
        <w:rPr>
          <w:rFonts w:ascii="Arial" w:hAnsi="Arial" w:cs="Arial"/>
          <w:sz w:val="20"/>
          <w:szCs w:val="20"/>
        </w:rPr>
        <w:t>A (</w:t>
      </w:r>
      <w:r w:rsidRPr="00742FA7">
        <w:rPr>
          <w:rFonts w:ascii="Arial" w:hAnsi="Arial" w:cs="Arial"/>
          <w:sz w:val="20"/>
          <w:szCs w:val="20"/>
        </w:rPr>
        <w:t>PUVA</w:t>
      </w:r>
      <w:r w:rsidR="00B23A9B">
        <w:rPr>
          <w:rFonts w:ascii="Arial" w:hAnsi="Arial" w:cs="Arial"/>
          <w:sz w:val="20"/>
          <w:szCs w:val="20"/>
        </w:rPr>
        <w:t>)</w:t>
      </w:r>
      <w:r w:rsidRPr="00742FA7">
        <w:rPr>
          <w:rFonts w:ascii="Arial" w:hAnsi="Arial" w:cs="Arial"/>
          <w:sz w:val="20"/>
          <w:szCs w:val="20"/>
        </w:rPr>
        <w:t xml:space="preserve">. </w:t>
      </w:r>
      <w:r w:rsidR="00B7120A" w:rsidRPr="00742FA7">
        <w:rPr>
          <w:rFonts w:ascii="Arial" w:hAnsi="Arial" w:cs="Arial"/>
          <w:sz w:val="20"/>
          <w:szCs w:val="20"/>
        </w:rPr>
        <w:t>Además,</w:t>
      </w:r>
      <w:r w:rsidRPr="00742FA7">
        <w:rPr>
          <w:rFonts w:ascii="Arial" w:hAnsi="Arial" w:cs="Arial"/>
          <w:sz w:val="20"/>
          <w:szCs w:val="20"/>
        </w:rPr>
        <w:t xml:space="preserve"> requiere una administración de 2-3 veces a la semana en un centro médico, pudiendo ser una limitación para la calidad de vida del paciente.</w:t>
      </w:r>
      <w:r w:rsidR="00A0211B">
        <w:rPr>
          <w:rFonts w:ascii="Arial" w:hAnsi="Arial" w:cs="Arial"/>
          <w:sz w:val="20"/>
          <w:szCs w:val="20"/>
        </w:rPr>
        <w:t xml:space="preserve"> En la </w:t>
      </w:r>
      <w:r w:rsidR="00A0211B" w:rsidRPr="00A0211B">
        <w:rPr>
          <w:rFonts w:ascii="Arial" w:hAnsi="Arial" w:cs="Arial"/>
          <w:sz w:val="20"/>
          <w:szCs w:val="20"/>
        </w:rPr>
        <w:t>guía europea EuroGuiDerm</w:t>
      </w:r>
      <w:r w:rsidR="00A0211B" w:rsidRPr="00251FEE">
        <w:rPr>
          <w:rFonts w:ascii="Arial" w:hAnsi="Arial" w:cs="Arial"/>
          <w:sz w:val="20"/>
          <w:szCs w:val="20"/>
        </w:rPr>
        <w:t xml:space="preserve"> (2025</w:t>
      </w:r>
      <w:r w:rsidR="00A0211B">
        <w:rPr>
          <w:rFonts w:ascii="Arial" w:hAnsi="Arial" w:cs="Arial"/>
          <w:sz w:val="20"/>
          <w:szCs w:val="20"/>
        </w:rPr>
        <w:t>) establece la fototerapia en un escalón de tratamiento por debajo de los biológicos, los iJAK y la ciclosporina</w:t>
      </w:r>
      <w:r w:rsidR="0075635A">
        <w:rPr>
          <w:rFonts w:ascii="Arial" w:hAnsi="Arial" w:cs="Arial"/>
          <w:sz w:val="20"/>
          <w:szCs w:val="20"/>
        </w:rPr>
        <w:t>.</w:t>
      </w:r>
      <w:r w:rsidRPr="00742FA7">
        <w:rPr>
          <w:rFonts w:ascii="Arial" w:hAnsi="Arial" w:cs="Arial"/>
          <w:sz w:val="20"/>
          <w:szCs w:val="20"/>
        </w:rPr>
        <w:t xml:space="preserve"> </w:t>
      </w:r>
      <w:r w:rsidR="00646A51" w:rsidRPr="00742FA7">
        <w:rPr>
          <w:rFonts w:ascii="Arial" w:hAnsi="Arial" w:cs="Arial"/>
          <w:sz w:val="20"/>
          <w:szCs w:val="20"/>
        </w:rPr>
        <w:fldChar w:fldCharType="begin"/>
      </w:r>
      <w:r w:rsidR="00511A83">
        <w:rPr>
          <w:rFonts w:ascii="Arial" w:hAnsi="Arial" w:cs="Arial"/>
          <w:sz w:val="20"/>
          <w:szCs w:val="20"/>
        </w:rPr>
        <w:instrText xml:space="preserve"> ADDIN ZOTERO_ITEM CSL_CITATION {"citationID":"Y3bzR3KJ","properties":{"formattedCitation":"(8)","plainCitation":"(8)","noteIndex":0},"citationItems":[{"id":12,"uris":["http://zotero.org/users/18702181/items/K4JDKALR"],"itemData":{"id":12,"type":"article-journal","container-title":"Journal of the American Academy of Dermatology","DOI":"10.1016/j.jaad.2025.05.1386","ISSN":"0190-9622, 1097-6787","issue":"3","journalAbbreviation":"Journal of the American Academy of Dermatology","language":"English","page":"745.e1-745.e7","PMID":"40531067","publisher":"Elsevier","source":"www.jaad.org","title":"Focused update: Guidelines of care for the management of atopic dermatitis in adults","title-short":"Focused update","volume":"93","author":[{"family":"Davis","given":"Dawn M. R."},{"family":"Frazer-Green","given":"Lindsy"},{"family":"Alikhan","given":"Ali"},{"family":"Bercovitch","given":"Lionel"},{"family":"Cohen","given":"David E."},{"family":"Darr","given":"Jennifer M."},{"family":"Drucker","given":"Aaron M."},{"family":"Eichenfield","given":"Lawrence F."},{"family":"Paller","given":"Amy S."},{"family":"Schwarzenberger","given":"Kathryn"},{"family":"Silverberg","given":"Jonathan I."},{"family":"Singh","given":"Anne Marie"},{"family":"Wu","given":"Peggy A."},{"family":"Sidbury","given":"Robert"}],"issued":{"date-parts":[["2025",9,1]]}}}],"schema":"https://github.com/citation-style-language/schema/raw/master/csl-citation.json"} </w:instrText>
      </w:r>
      <w:r w:rsidR="00646A51" w:rsidRPr="00742FA7">
        <w:rPr>
          <w:rFonts w:ascii="Arial" w:hAnsi="Arial" w:cs="Arial"/>
          <w:sz w:val="20"/>
          <w:szCs w:val="20"/>
        </w:rPr>
        <w:fldChar w:fldCharType="separate"/>
      </w:r>
      <w:r w:rsidR="009A05C3" w:rsidRPr="009A05C3">
        <w:rPr>
          <w:rFonts w:ascii="Arial" w:hAnsi="Arial" w:cs="Arial"/>
          <w:sz w:val="20"/>
        </w:rPr>
        <w:t>(8)</w:t>
      </w:r>
      <w:r w:rsidR="00646A51" w:rsidRPr="00742FA7">
        <w:rPr>
          <w:rFonts w:ascii="Arial" w:hAnsi="Arial" w:cs="Arial"/>
          <w:sz w:val="20"/>
          <w:szCs w:val="20"/>
        </w:rPr>
        <w:fldChar w:fldCharType="end"/>
      </w:r>
    </w:p>
    <w:p w14:paraId="62105D63" w14:textId="77777777" w:rsidR="00742FA7" w:rsidRDefault="00742FA7" w:rsidP="00A764D8">
      <w:pPr>
        <w:jc w:val="both"/>
        <w:rPr>
          <w:rFonts w:ascii="Arial" w:hAnsi="Arial" w:cs="Arial"/>
          <w:sz w:val="20"/>
          <w:szCs w:val="20"/>
        </w:rPr>
      </w:pPr>
    </w:p>
    <w:p w14:paraId="28DB913B" w14:textId="77777777" w:rsidR="00742FA7" w:rsidRDefault="00742FA7" w:rsidP="00A764D8">
      <w:pPr>
        <w:jc w:val="both"/>
        <w:rPr>
          <w:rFonts w:ascii="Arial" w:hAnsi="Arial" w:cs="Arial"/>
          <w:sz w:val="20"/>
          <w:szCs w:val="20"/>
        </w:rPr>
      </w:pPr>
      <w:r w:rsidRPr="00742FA7">
        <w:rPr>
          <w:rFonts w:ascii="Arial" w:hAnsi="Arial" w:cs="Arial"/>
          <w:sz w:val="20"/>
          <w:szCs w:val="20"/>
        </w:rPr>
        <w:t xml:space="preserve">Las </w:t>
      </w:r>
      <w:r w:rsidRPr="00BE04CF">
        <w:rPr>
          <w:rFonts w:ascii="Arial" w:hAnsi="Arial" w:cs="Arial"/>
          <w:b/>
          <w:bCs/>
          <w:sz w:val="20"/>
          <w:szCs w:val="20"/>
          <w:u w:val="single"/>
        </w:rPr>
        <w:t>terapias sistémicas</w:t>
      </w:r>
      <w:r w:rsidRPr="00742FA7">
        <w:rPr>
          <w:rFonts w:ascii="Arial" w:hAnsi="Arial" w:cs="Arial"/>
          <w:sz w:val="20"/>
          <w:szCs w:val="20"/>
        </w:rPr>
        <w:t xml:space="preserve"> incluyen fármacos orales (inmunosupresores, corticosteroides, antimetabolitos e </w:t>
      </w:r>
      <w:r w:rsidR="00687E7A">
        <w:rPr>
          <w:rFonts w:ascii="Arial" w:hAnsi="Arial" w:cs="Arial"/>
          <w:sz w:val="20"/>
          <w:szCs w:val="20"/>
        </w:rPr>
        <w:t>i</w:t>
      </w:r>
      <w:r w:rsidRPr="00742FA7">
        <w:rPr>
          <w:rFonts w:ascii="Arial" w:hAnsi="Arial" w:cs="Arial"/>
          <w:sz w:val="20"/>
          <w:szCs w:val="20"/>
        </w:rPr>
        <w:t>JAK) y medicamentos inyectables (biológicos)</w:t>
      </w:r>
      <w:r w:rsidR="00A764D8">
        <w:rPr>
          <w:rFonts w:ascii="Arial" w:hAnsi="Arial" w:cs="Arial"/>
          <w:sz w:val="20"/>
          <w:szCs w:val="20"/>
        </w:rPr>
        <w:t>.</w:t>
      </w:r>
    </w:p>
    <w:p w14:paraId="0A5F5E5A" w14:textId="77777777" w:rsidR="00024E8F" w:rsidRDefault="00024E8F" w:rsidP="00A764D8">
      <w:pPr>
        <w:jc w:val="both"/>
        <w:rPr>
          <w:rFonts w:ascii="Arial" w:hAnsi="Arial" w:cs="Arial"/>
          <w:b/>
          <w:bCs/>
          <w:sz w:val="20"/>
          <w:szCs w:val="20"/>
        </w:rPr>
      </w:pPr>
    </w:p>
    <w:p w14:paraId="07B354FA" w14:textId="77777777" w:rsidR="00024E8F" w:rsidRDefault="00024E8F" w:rsidP="00A764D8">
      <w:pPr>
        <w:jc w:val="both"/>
        <w:rPr>
          <w:rFonts w:ascii="Arial" w:hAnsi="Arial" w:cs="Arial"/>
          <w:sz w:val="20"/>
          <w:szCs w:val="20"/>
        </w:rPr>
      </w:pPr>
      <w:r w:rsidRPr="00024E8F">
        <w:rPr>
          <w:rFonts w:ascii="Arial" w:hAnsi="Arial" w:cs="Arial"/>
          <w:sz w:val="20"/>
          <w:szCs w:val="20"/>
        </w:rPr>
        <w:t xml:space="preserve">Los </w:t>
      </w:r>
      <w:r w:rsidRPr="00024E8F">
        <w:rPr>
          <w:rFonts w:ascii="Arial" w:hAnsi="Arial" w:cs="Arial"/>
          <w:b/>
          <w:bCs/>
          <w:sz w:val="20"/>
          <w:szCs w:val="20"/>
        </w:rPr>
        <w:t>inmunosupresores sistémicos convencionales,</w:t>
      </w:r>
      <w:r w:rsidRPr="00024E8F">
        <w:rPr>
          <w:rFonts w:ascii="Arial" w:hAnsi="Arial" w:cs="Arial"/>
          <w:sz w:val="20"/>
          <w:szCs w:val="20"/>
        </w:rPr>
        <w:t xml:space="preserve"> como los</w:t>
      </w:r>
      <w:r>
        <w:rPr>
          <w:rFonts w:ascii="Arial" w:hAnsi="Arial" w:cs="Arial"/>
          <w:sz w:val="20"/>
          <w:szCs w:val="20"/>
        </w:rPr>
        <w:t xml:space="preserve"> </w:t>
      </w:r>
      <w:r w:rsidRPr="00024E8F">
        <w:rPr>
          <w:rFonts w:ascii="Arial" w:hAnsi="Arial" w:cs="Arial"/>
          <w:sz w:val="20"/>
          <w:szCs w:val="20"/>
        </w:rPr>
        <w:t>corticosteroides sistémicos (</w:t>
      </w:r>
      <w:r w:rsidR="00B23A9B">
        <w:rPr>
          <w:rFonts w:ascii="Arial" w:hAnsi="Arial" w:cs="Arial"/>
          <w:sz w:val="20"/>
          <w:szCs w:val="20"/>
        </w:rPr>
        <w:t>CS</w:t>
      </w:r>
      <w:r w:rsidRPr="00024E8F">
        <w:rPr>
          <w:rFonts w:ascii="Arial" w:hAnsi="Arial" w:cs="Arial"/>
          <w:sz w:val="20"/>
          <w:szCs w:val="20"/>
        </w:rPr>
        <w:t xml:space="preserve">), la ciclosporina, AZA, MMF, y MTX se utilizaban tradicionalmente para tratar la </w:t>
      </w:r>
      <w:r w:rsidR="0075635A">
        <w:rPr>
          <w:rFonts w:ascii="Arial" w:hAnsi="Arial" w:cs="Arial"/>
          <w:sz w:val="20"/>
          <w:szCs w:val="20"/>
        </w:rPr>
        <w:t>D</w:t>
      </w:r>
      <w:r w:rsidRPr="00024E8F">
        <w:rPr>
          <w:rFonts w:ascii="Arial" w:hAnsi="Arial" w:cs="Arial"/>
          <w:sz w:val="20"/>
          <w:szCs w:val="20"/>
        </w:rPr>
        <w:t xml:space="preserve">A difícil de tratar. La mayoría no estaban autorizados para esta indicación. Estos fármacos pueden dividirse a grandes rasgos en dos grupos: los CS y la ciclosporina tienen un rápido inicio de acción y pueden utilizarse para tratar los brotes de </w:t>
      </w:r>
      <w:r w:rsidR="00BE04CF">
        <w:rPr>
          <w:rFonts w:ascii="Arial" w:hAnsi="Arial" w:cs="Arial"/>
          <w:sz w:val="20"/>
          <w:szCs w:val="20"/>
        </w:rPr>
        <w:t>DA</w:t>
      </w:r>
      <w:r w:rsidRPr="00024E8F">
        <w:rPr>
          <w:rFonts w:ascii="Arial" w:hAnsi="Arial" w:cs="Arial"/>
          <w:sz w:val="20"/>
          <w:szCs w:val="20"/>
        </w:rPr>
        <w:t xml:space="preserve"> o para cubrir el tiempo hasta el inicio de la acción de los inmunosupresores sistémicos de acción más lenta,</w:t>
      </w:r>
      <w:r>
        <w:rPr>
          <w:rFonts w:ascii="Arial" w:hAnsi="Arial" w:cs="Arial"/>
          <w:sz w:val="20"/>
          <w:szCs w:val="20"/>
        </w:rPr>
        <w:t xml:space="preserve"> </w:t>
      </w:r>
      <w:r w:rsidRPr="00024E8F">
        <w:rPr>
          <w:rFonts w:ascii="Arial" w:hAnsi="Arial" w:cs="Arial"/>
          <w:sz w:val="20"/>
          <w:szCs w:val="20"/>
        </w:rPr>
        <w:t>como el MTX, la AZA y el MMF</w:t>
      </w:r>
      <w:r w:rsidR="0075635A">
        <w:rPr>
          <w:rFonts w:ascii="Arial" w:hAnsi="Arial" w:cs="Arial"/>
          <w:sz w:val="20"/>
          <w:szCs w:val="20"/>
        </w:rPr>
        <w:t>.</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{"citationID":"OEdsBDww","properties":{"formattedCitation":"(9)","plainCitation":"(9)","noteIndex":0},"citationItems":[{"id":3,"uris":["http://zotero.org/users/18702181/items/IWZWKQHK"],"itemData":{"id":3,"type":"article-journal","abstract":"The evidence</w:instrText>
      </w:r>
      <w:r w:rsidR="00511A83">
        <w:rPr>
          <w:rFonts w:ascii="Cambria Math" w:hAnsi="Cambria Math" w:cs="Cambria Math"/>
          <w:sz w:val="20"/>
          <w:szCs w:val="20"/>
        </w:rPr>
        <w:instrText>‐</w:instrText>
      </w:r>
      <w:r w:rsidR="00511A83">
        <w:rPr>
          <w:rFonts w:ascii="Arial" w:hAnsi="Arial" w:cs="Arial"/>
          <w:sz w:val="20"/>
          <w:szCs w:val="20"/>
        </w:rPr>
        <w:instrText xml:space="preserve"> and consensus</w:instrText>
      </w:r>
      <w:r w:rsidR="00511A83">
        <w:rPr>
          <w:rFonts w:ascii="Cambria Math" w:hAnsi="Cambria Math" w:cs="Cambria Math"/>
          <w:sz w:val="20"/>
          <w:szCs w:val="20"/>
        </w:rPr>
        <w:instrText>‐</w:instrText>
      </w:r>
      <w:r w:rsidR="00511A83">
        <w:rPr>
          <w:rFonts w:ascii="Arial" w:hAnsi="Arial" w:cs="Arial"/>
          <w:sz w:val="20"/>
          <w:szCs w:val="20"/>
        </w:rPr>
        <w:instrText>based living guideline on atopic eczema was developed in accordance with the EuroGuiDerm Guideline and Consensus Statement Development Manual. The original EuroGuiDerm Guideline on atopic eczema was published in June 2022. Since then, the part of the guideline dealing with systemic therapy has been updated twice. This paper summarizes the results of the second update. Twenty</w:instrText>
      </w:r>
      <w:r w:rsidR="00511A83">
        <w:rPr>
          <w:rFonts w:ascii="Cambria Math" w:hAnsi="Cambria Math" w:cs="Cambria Math"/>
          <w:sz w:val="20"/>
          <w:szCs w:val="20"/>
        </w:rPr>
        <w:instrText>‐</w:instrText>
      </w:r>
      <w:r w:rsidR="00511A83">
        <w:rPr>
          <w:rFonts w:ascii="Arial" w:hAnsi="Arial" w:cs="Arial"/>
          <w:sz w:val="20"/>
          <w:szCs w:val="20"/>
        </w:rPr>
        <w:instrText>eight experts (including clinicians and patient representatives) from 12 European countries participated. The updated guideline provides guidance on which patients should be treated with systemic therapies, as well as recommendations and detailed information on each systemic drug. The systemic treatment options discussed in the guideline comprise conventional immunosuppressive drugs (azathioprine, ciclosporin, glucocorticosteroids, methotrexate and mycophenolate mofetil), biologics (dupilumab, lebrikizumab, nemolizumab and tralokinumab) and Janus kinase (JAK) inhibitors (abrocitinib, baricitinib and upadacitinib). Additionally, the updated guidelines address considerations for paediatric, adolescent, pregnant and breastfeeding patients. For all other aspects, please refer to the 2022 version., The updated guideline includes a new evidence</w:instrText>
      </w:r>
      <w:r w:rsidR="00511A83">
        <w:rPr>
          <w:rFonts w:ascii="Cambria Math" w:hAnsi="Cambria Math" w:cs="Cambria Math"/>
          <w:sz w:val="20"/>
          <w:szCs w:val="20"/>
        </w:rPr>
        <w:instrText>‐</w:instrText>
      </w:r>
      <w:r w:rsidR="00511A83">
        <w:rPr>
          <w:rFonts w:ascii="Arial" w:hAnsi="Arial" w:cs="Arial"/>
          <w:sz w:val="20"/>
          <w:szCs w:val="20"/>
        </w:rPr>
        <w:instrText>based recommendation for the IL</w:instrText>
      </w:r>
      <w:r w:rsidR="00511A83">
        <w:rPr>
          <w:rFonts w:ascii="Cambria Math" w:hAnsi="Cambria Math" w:cs="Cambria Math"/>
          <w:sz w:val="20"/>
          <w:szCs w:val="20"/>
        </w:rPr>
        <w:instrText>‐</w:instrText>
      </w:r>
      <w:r w:rsidR="00511A83">
        <w:rPr>
          <w:rFonts w:ascii="Arial" w:hAnsi="Arial" w:cs="Arial"/>
          <w:sz w:val="20"/>
          <w:szCs w:val="20"/>
        </w:rPr>
        <w:instrText>13 inhibitor lebrikizumab. In addition, the Janus kinase inhibitors baricitinib and abrocitinib, which were initially only approved for adult patients, are now also recommended for children from the age of 2 and adolescents from the age of 12, respectively.","container-title":"Journal of the European Academy of Dermatology and Venereology","DOI":"10.1111/jdv.20639","ISSN":"0926-9959","issue":"9","journalAbbreviation":"J Eur Acad Dermatol Venereol","page":"1537-1566","PMID":"40317496","PMCID":"PMC12376260","source":"PubMed Central","title":"European Guideline (EuroGuiDerm) on atopic eczema: Living update","title-short":"European Guideline (EuroGuiDerm) on atopic eczema","volume":"39","author":[{"family":"Wollenberg","given":"A."},{"family":"Kinberger","given":"M."},{"family":"Arents","given":"B."},{"family":"Aszodi","given":"N."},{"family":"Barbarot","given":"S."},{"family":"Bieber","given":"T."},{"family":"Brough","given":"H. A."},{"family":"Calzavara</w:instrText>
      </w:r>
      <w:r w:rsidR="00511A83">
        <w:rPr>
          <w:rFonts w:ascii="Cambria Math" w:hAnsi="Cambria Math" w:cs="Cambria Math"/>
          <w:sz w:val="20"/>
          <w:szCs w:val="20"/>
        </w:rPr>
        <w:instrText>‐</w:instrText>
      </w:r>
      <w:r w:rsidR="00511A83">
        <w:rPr>
          <w:rFonts w:ascii="Arial" w:hAnsi="Arial" w:cs="Arial"/>
          <w:sz w:val="20"/>
          <w:szCs w:val="20"/>
        </w:rPr>
        <w:instrText>Pinton","given":"P."},{"family":"Christen</w:instrText>
      </w:r>
      <w:r w:rsidR="00511A83">
        <w:rPr>
          <w:rFonts w:ascii="Cambria Math" w:hAnsi="Cambria Math" w:cs="Cambria Math"/>
          <w:sz w:val="20"/>
          <w:szCs w:val="20"/>
        </w:rPr>
        <w:instrText>‐</w:instrText>
      </w:r>
      <w:r w:rsidR="00511A83">
        <w:rPr>
          <w:rFonts w:ascii="Arial" w:hAnsi="Arial" w:cs="Arial"/>
          <w:sz w:val="20"/>
          <w:szCs w:val="20"/>
        </w:rPr>
        <w:instrText>Zaech","given":"S."},{"family":"Deleuran","given":"M."},{"family":"Dittmann","given":"M."},{"family":"Fosse","given":"N."},{"family":"Gáspár","given":"K."},{"family":"Gerbens","given":"L. A. A."},{"family":"Gieler","given":"U."},{"family":"Girolomoni","given":"G."},{"family":"Gregoriou","given":"S."},{"family":"Holland","given":"S."},{"family":"Mortz","given":"C. G."},{"family":"Nast","given":"A."},{"family":"Nygaard","given":"U."},{"family":"Rehbinder","given":"E. M."},{"family":"Ring","given":"J."},{"family":"Rossi","given":"M."},{"family":"Serra</w:instrText>
      </w:r>
      <w:r w:rsidR="00511A83">
        <w:rPr>
          <w:rFonts w:ascii="Cambria Math" w:hAnsi="Cambria Math" w:cs="Cambria Math"/>
          <w:sz w:val="20"/>
          <w:szCs w:val="20"/>
        </w:rPr>
        <w:instrText>‐</w:instrText>
      </w:r>
      <w:r w:rsidR="00511A83">
        <w:rPr>
          <w:rFonts w:ascii="Arial" w:hAnsi="Arial" w:cs="Arial"/>
          <w:sz w:val="20"/>
          <w:szCs w:val="20"/>
        </w:rPr>
        <w:instrText xml:space="preserve">Baldrich","given":"E."},{"family":"Simon","given":"D."},{"family":"Szalai","given":"Z. Z."},{"family":"Szepietowski","given":"J. C."},{"family":"Torrelo","given":"A."},{"family":"Werfel","given":"T."},{"family":"Werner","given":"R. N."},{"family":"Flohr","given":"C."}],"issued":{"date-parts":[["2025",9]]}}}],"schema":"https://github.com/citation-style-language/schema/raw/master/csl-citation.json"} </w:instrText>
      </w:r>
      <w:r w:rsidR="00646A51">
        <w:rPr>
          <w:rFonts w:ascii="Arial" w:hAnsi="Arial" w:cs="Arial"/>
          <w:sz w:val="20"/>
          <w:szCs w:val="20"/>
        </w:rPr>
        <w:fldChar w:fldCharType="separate"/>
      </w:r>
      <w:r w:rsidR="00A24290" w:rsidRPr="00A24290">
        <w:rPr>
          <w:rFonts w:ascii="Arial" w:hAnsi="Arial" w:cs="Arial"/>
          <w:sz w:val="20"/>
        </w:rPr>
        <w:t>(9)</w:t>
      </w:r>
      <w:r w:rsidR="00646A51">
        <w:rPr>
          <w:rFonts w:ascii="Arial" w:hAnsi="Arial" w:cs="Arial"/>
          <w:sz w:val="20"/>
          <w:szCs w:val="20"/>
        </w:rPr>
        <w:fldChar w:fldCharType="end"/>
      </w:r>
    </w:p>
    <w:p w14:paraId="05CFA9BB" w14:textId="77777777" w:rsidR="00251FEE" w:rsidRDefault="00251FEE" w:rsidP="00A764D8">
      <w:pPr>
        <w:jc w:val="both"/>
        <w:rPr>
          <w:rFonts w:ascii="Arial" w:hAnsi="Arial" w:cs="Arial"/>
          <w:sz w:val="20"/>
          <w:szCs w:val="20"/>
        </w:rPr>
      </w:pPr>
    </w:p>
    <w:p w14:paraId="0AAF132C" w14:textId="77777777" w:rsidR="00FD653C" w:rsidRDefault="00251FEE" w:rsidP="00A764D8">
      <w:pPr>
        <w:jc w:val="both"/>
        <w:rPr>
          <w:rFonts w:ascii="Arial" w:hAnsi="Arial" w:cs="Arial"/>
          <w:sz w:val="20"/>
          <w:szCs w:val="20"/>
        </w:rPr>
      </w:pPr>
      <w:r w:rsidRPr="00251FEE">
        <w:rPr>
          <w:rFonts w:ascii="Arial" w:hAnsi="Arial" w:cs="Arial"/>
          <w:sz w:val="20"/>
          <w:szCs w:val="20"/>
        </w:rPr>
        <w:t xml:space="preserve">Según la </w:t>
      </w:r>
      <w:r w:rsidRPr="00251FEE">
        <w:rPr>
          <w:rFonts w:ascii="Arial" w:hAnsi="Arial" w:cs="Arial"/>
          <w:b/>
          <w:bCs/>
          <w:sz w:val="20"/>
          <w:szCs w:val="20"/>
        </w:rPr>
        <w:t>guía europea EuroGuiDerm</w:t>
      </w:r>
      <w:r w:rsidRPr="00251FEE">
        <w:rPr>
          <w:rFonts w:ascii="Arial" w:hAnsi="Arial" w:cs="Arial"/>
          <w:sz w:val="20"/>
          <w:szCs w:val="20"/>
        </w:rPr>
        <w:t xml:space="preserve"> (2025)</w:t>
      </w:r>
      <w:r w:rsidR="0075635A">
        <w:rPr>
          <w:rFonts w:ascii="Arial" w:hAnsi="Arial" w:cs="Arial"/>
          <w:sz w:val="20"/>
          <w:szCs w:val="20"/>
        </w:rPr>
        <w:t>,</w:t>
      </w:r>
      <w:r>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{"citationID":"g9lFf6P5","properties":{"formattedCitation":"(9)","plainCitation":"(9)","noteIndex":0},"citationItems":[{"id":3,"uris":["http://zotero.org/users/18702181/items/IWZWKQHK"],"itemData":{"id":3,"type":"article-journal","abstract":"The evidence</w:instrText>
      </w:r>
      <w:r w:rsidR="00511A83">
        <w:rPr>
          <w:rFonts w:ascii="Cambria Math" w:hAnsi="Cambria Math" w:cs="Cambria Math"/>
          <w:sz w:val="20"/>
          <w:szCs w:val="20"/>
        </w:rPr>
        <w:instrText>‐</w:instrText>
      </w:r>
      <w:r w:rsidR="00511A83">
        <w:rPr>
          <w:rFonts w:ascii="Arial" w:hAnsi="Arial" w:cs="Arial"/>
          <w:sz w:val="20"/>
          <w:szCs w:val="20"/>
        </w:rPr>
        <w:instrText xml:space="preserve"> and consensus</w:instrText>
      </w:r>
      <w:r w:rsidR="00511A83">
        <w:rPr>
          <w:rFonts w:ascii="Cambria Math" w:hAnsi="Cambria Math" w:cs="Cambria Math"/>
          <w:sz w:val="20"/>
          <w:szCs w:val="20"/>
        </w:rPr>
        <w:instrText>‐</w:instrText>
      </w:r>
      <w:r w:rsidR="00511A83">
        <w:rPr>
          <w:rFonts w:ascii="Arial" w:hAnsi="Arial" w:cs="Arial"/>
          <w:sz w:val="20"/>
          <w:szCs w:val="20"/>
        </w:rPr>
        <w:instrText>based living guideline on atopic eczema was developed in accordance with the EuroGuiDerm Guideline and Consensus Statement Development Manual. The original EuroGuiDerm Guideline on atopic eczema was published in June 2022. Since then, the part of the guideline dealing with systemic therapy has been updated twice. This paper summarizes the results of the second update. Twenty</w:instrText>
      </w:r>
      <w:r w:rsidR="00511A83">
        <w:rPr>
          <w:rFonts w:ascii="Cambria Math" w:hAnsi="Cambria Math" w:cs="Cambria Math"/>
          <w:sz w:val="20"/>
          <w:szCs w:val="20"/>
        </w:rPr>
        <w:instrText>‐</w:instrText>
      </w:r>
      <w:r w:rsidR="00511A83">
        <w:rPr>
          <w:rFonts w:ascii="Arial" w:hAnsi="Arial" w:cs="Arial"/>
          <w:sz w:val="20"/>
          <w:szCs w:val="20"/>
        </w:rPr>
        <w:instrText>eight experts (including clinicians and patient representatives) from 12 European countries participated. The updated guideline provides guidance on which patients should be treated with systemic therapies, as well as recommendations and detailed information on each systemic drug. The systemic treatment options discussed in the guideline comprise conventional immunosuppressive drugs (azathioprine, ciclosporin, glucocorticosteroids, methotrexate and mycophenolate mofetil), biologics (dupilumab, lebrikizumab, nemolizumab and tralokinumab) and Janus kinase (JAK) inhibitors (abrocitinib, baricitinib and upadacitinib). Additionally, the updated guidelines address considerations for paediatric, adolescent, pregnant and breastfeeding patients. For all other aspects, please refer to the 2022 version., The updated guideline includes a new evidence</w:instrText>
      </w:r>
      <w:r w:rsidR="00511A83">
        <w:rPr>
          <w:rFonts w:ascii="Cambria Math" w:hAnsi="Cambria Math" w:cs="Cambria Math"/>
          <w:sz w:val="20"/>
          <w:szCs w:val="20"/>
        </w:rPr>
        <w:instrText>‐</w:instrText>
      </w:r>
      <w:r w:rsidR="00511A83">
        <w:rPr>
          <w:rFonts w:ascii="Arial" w:hAnsi="Arial" w:cs="Arial"/>
          <w:sz w:val="20"/>
          <w:szCs w:val="20"/>
        </w:rPr>
        <w:instrText>based recommendation for the IL</w:instrText>
      </w:r>
      <w:r w:rsidR="00511A83">
        <w:rPr>
          <w:rFonts w:ascii="Cambria Math" w:hAnsi="Cambria Math" w:cs="Cambria Math"/>
          <w:sz w:val="20"/>
          <w:szCs w:val="20"/>
        </w:rPr>
        <w:instrText>‐</w:instrText>
      </w:r>
      <w:r w:rsidR="00511A83">
        <w:rPr>
          <w:rFonts w:ascii="Arial" w:hAnsi="Arial" w:cs="Arial"/>
          <w:sz w:val="20"/>
          <w:szCs w:val="20"/>
        </w:rPr>
        <w:instrText>13 inhibitor lebrikizumab. In addition, the Janus kinase inhibitors baricitinib and abrocitinib, which were initially only approved for adult patients, are now also recommended for children from the age of 2 and adolescents from the age of 12, respectively.","container-title":"Journal of the European Academy of Dermatology and Venereology","DOI":"10.1111/jdv.20639","ISSN":"0926-9959","issue":"9","journalAbbreviation":"J Eur Acad Dermatol Venereol","page":"1537-1566","PMID":"40317496","PMCID":"PMC12376260","source":"PubMed Central","title":"European Guideline (EuroGuiDerm) on atopic eczema: Living update","title-short":"European Guideline (EuroGuiDerm) on atopic eczema","volume":"39","author":[{"family":"Wollenberg","given":"A."},{"family":"Kinberger","given":"M."},{"family":"Arents","given":"B."},{"family":"Aszodi","given":"N."},{"family":"Barbarot","given":"S."},{"family":"Bieber","given":"T."},{"family":"Brough","given":"H. A."},{"family":"Calzavara</w:instrText>
      </w:r>
      <w:r w:rsidR="00511A83">
        <w:rPr>
          <w:rFonts w:ascii="Cambria Math" w:hAnsi="Cambria Math" w:cs="Cambria Math"/>
          <w:sz w:val="20"/>
          <w:szCs w:val="20"/>
        </w:rPr>
        <w:instrText>‐</w:instrText>
      </w:r>
      <w:r w:rsidR="00511A83">
        <w:rPr>
          <w:rFonts w:ascii="Arial" w:hAnsi="Arial" w:cs="Arial"/>
          <w:sz w:val="20"/>
          <w:szCs w:val="20"/>
        </w:rPr>
        <w:instrText>Pinton","given":"P."},{"family":"Christen</w:instrText>
      </w:r>
      <w:r w:rsidR="00511A83">
        <w:rPr>
          <w:rFonts w:ascii="Cambria Math" w:hAnsi="Cambria Math" w:cs="Cambria Math"/>
          <w:sz w:val="20"/>
          <w:szCs w:val="20"/>
        </w:rPr>
        <w:instrText>‐</w:instrText>
      </w:r>
      <w:r w:rsidR="00511A83">
        <w:rPr>
          <w:rFonts w:ascii="Arial" w:hAnsi="Arial" w:cs="Arial"/>
          <w:sz w:val="20"/>
          <w:szCs w:val="20"/>
        </w:rPr>
        <w:instrText>Zaech","given":"S."},{"family":"Deleuran","given":"M."},{"family":"Dittmann","given":"M."},{"family":"Fosse","given":"N."},{"family":"Gáspár","given":"K."},{"family":"Gerbens","given":"L. A. A."},{"family":"Gieler","given":"U."},{"family":"Girolomoni","given":"G."},{"family":"Gregoriou","given":"S."},{"family":"Holland","given":"S."},{"family":"Mortz","given":"C. G."},{"family":"Nast","given":"A."},{"family":"Nygaard","given":"U."},{"family":"Rehbinder","given":"E. M."},{"family":"Ring","given":"J."},{"family":"Rossi","given":"M."},{"family":"Serra</w:instrText>
      </w:r>
      <w:r w:rsidR="00511A83">
        <w:rPr>
          <w:rFonts w:ascii="Cambria Math" w:hAnsi="Cambria Math" w:cs="Cambria Math"/>
          <w:sz w:val="20"/>
          <w:szCs w:val="20"/>
        </w:rPr>
        <w:instrText>‐</w:instrText>
      </w:r>
      <w:r w:rsidR="00511A83">
        <w:rPr>
          <w:rFonts w:ascii="Arial" w:hAnsi="Arial" w:cs="Arial"/>
          <w:sz w:val="20"/>
          <w:szCs w:val="20"/>
        </w:rPr>
        <w:instrText xml:space="preserve">Baldrich","given":"E."},{"family":"Simon","given":"D."},{"family":"Szalai","given":"Z. Z."},{"family":"Szepietowski","given":"J. C."},{"family":"Torrelo","given":"A."},{"family":"Werfel","given":"T."},{"family":"Werner","given":"R. N."},{"family":"Flohr","given":"C."}],"issued":{"date-parts":[["2025",9]]}}}],"schema":"https://github.com/citation-style-language/schema/raw/master/csl-citation.json"} </w:instrText>
      </w:r>
      <w:r w:rsidR="00646A51">
        <w:rPr>
          <w:rFonts w:ascii="Arial" w:hAnsi="Arial" w:cs="Arial"/>
          <w:sz w:val="20"/>
          <w:szCs w:val="20"/>
        </w:rPr>
        <w:fldChar w:fldCharType="separate"/>
      </w:r>
      <w:r w:rsidR="00A24290" w:rsidRPr="00A24290">
        <w:rPr>
          <w:rFonts w:ascii="Arial" w:hAnsi="Arial" w:cs="Arial"/>
          <w:sz w:val="20"/>
        </w:rPr>
        <w:t>(9)</w:t>
      </w:r>
      <w:r w:rsidR="00646A51">
        <w:rPr>
          <w:rFonts w:ascii="Arial" w:hAnsi="Arial" w:cs="Arial"/>
          <w:sz w:val="20"/>
          <w:szCs w:val="20"/>
        </w:rPr>
        <w:fldChar w:fldCharType="end"/>
      </w:r>
      <w:r w:rsidRPr="00251FEE">
        <w:rPr>
          <w:rFonts w:ascii="Arial" w:hAnsi="Arial" w:cs="Arial"/>
          <w:sz w:val="20"/>
          <w:szCs w:val="20"/>
        </w:rPr>
        <w:t xml:space="preserve"> la </w:t>
      </w:r>
      <w:r>
        <w:rPr>
          <w:rFonts w:ascii="Arial" w:hAnsi="Arial" w:cs="Arial"/>
          <w:sz w:val="20"/>
          <w:szCs w:val="20"/>
        </w:rPr>
        <w:t>A</w:t>
      </w:r>
      <w:r w:rsidRPr="00251FEE">
        <w:rPr>
          <w:rFonts w:ascii="Arial" w:hAnsi="Arial" w:cs="Arial"/>
          <w:sz w:val="20"/>
          <w:szCs w:val="20"/>
        </w:rPr>
        <w:t>ZA presenta una eficacia comparable a la del MTX, aunque inferior a la de</w:t>
      </w:r>
      <w:r w:rsidR="0075635A">
        <w:rPr>
          <w:rFonts w:ascii="Arial" w:hAnsi="Arial" w:cs="Arial"/>
          <w:sz w:val="20"/>
          <w:szCs w:val="20"/>
        </w:rPr>
        <w:t xml:space="preserve"> biológicos, iJAK</w:t>
      </w:r>
      <w:r w:rsidRPr="00251FEE">
        <w:rPr>
          <w:rFonts w:ascii="Arial" w:hAnsi="Arial" w:cs="Arial"/>
          <w:sz w:val="20"/>
          <w:szCs w:val="20"/>
        </w:rPr>
        <w:t xml:space="preserve"> y ciclosporina en la reducción de los signos clínicos de la DA. </w:t>
      </w:r>
      <w:r w:rsidR="00FD653C">
        <w:rPr>
          <w:rFonts w:ascii="Arial" w:hAnsi="Arial" w:cs="Arial"/>
          <w:sz w:val="20"/>
          <w:szCs w:val="20"/>
        </w:rPr>
        <w:t xml:space="preserve">La ciclosporina </w:t>
      </w:r>
      <w:r w:rsidR="00FD653C" w:rsidRPr="00FD653C">
        <w:rPr>
          <w:rFonts w:ascii="Arial" w:hAnsi="Arial" w:cs="Arial"/>
          <w:sz w:val="20"/>
          <w:szCs w:val="20"/>
        </w:rPr>
        <w:t xml:space="preserve">recibe la misma fuerza de recomendación que los biológicos y los iJAK para el control de la enfermedad, </w:t>
      </w:r>
      <w:r w:rsidR="00FD653C">
        <w:rPr>
          <w:rFonts w:ascii="Arial" w:hAnsi="Arial" w:cs="Arial"/>
          <w:sz w:val="20"/>
          <w:szCs w:val="20"/>
        </w:rPr>
        <w:t xml:space="preserve">ya que </w:t>
      </w:r>
      <w:r w:rsidR="00FD653C" w:rsidRPr="00FD653C">
        <w:rPr>
          <w:rFonts w:ascii="Arial" w:hAnsi="Arial" w:cs="Arial"/>
          <w:sz w:val="20"/>
          <w:szCs w:val="20"/>
        </w:rPr>
        <w:t>e</w:t>
      </w:r>
      <w:r w:rsidR="00FD653C">
        <w:rPr>
          <w:rFonts w:ascii="Arial" w:hAnsi="Arial" w:cs="Arial"/>
          <w:sz w:val="20"/>
          <w:szCs w:val="20"/>
        </w:rPr>
        <w:t xml:space="preserve">s </w:t>
      </w:r>
      <w:r w:rsidR="00FD653C" w:rsidRPr="00FD653C">
        <w:rPr>
          <w:rFonts w:ascii="Arial" w:hAnsi="Arial" w:cs="Arial"/>
          <w:sz w:val="20"/>
          <w:szCs w:val="20"/>
        </w:rPr>
        <w:t xml:space="preserve">valorada por su rapidez de acción, lo que la </w:t>
      </w:r>
      <w:r w:rsidR="00FD653C" w:rsidRPr="00FD653C">
        <w:rPr>
          <w:rFonts w:ascii="Arial" w:hAnsi="Arial" w:cs="Arial"/>
          <w:sz w:val="20"/>
          <w:szCs w:val="20"/>
        </w:rPr>
        <w:lastRenderedPageBreak/>
        <w:t>hace útil para el control agudo. No obstante, tiene limitaciones significativas de uso a largo plazo debido a la toxicidad renal, a diferencia de los biológicos y los iJAK</w:t>
      </w:r>
      <w:r w:rsidR="00687E7A">
        <w:rPr>
          <w:rFonts w:ascii="Arial" w:hAnsi="Arial" w:cs="Arial"/>
          <w:sz w:val="20"/>
          <w:szCs w:val="20"/>
        </w:rPr>
        <w:t>.</w:t>
      </w:r>
    </w:p>
    <w:p w14:paraId="797F4736" w14:textId="77777777" w:rsidR="00FD653C" w:rsidRDefault="00FD653C" w:rsidP="00A764D8">
      <w:pPr>
        <w:jc w:val="both"/>
        <w:rPr>
          <w:rFonts w:ascii="Arial" w:hAnsi="Arial" w:cs="Arial"/>
          <w:sz w:val="20"/>
          <w:szCs w:val="20"/>
        </w:rPr>
      </w:pPr>
    </w:p>
    <w:p w14:paraId="22DBE6B8" w14:textId="77777777" w:rsidR="00FD653C" w:rsidRDefault="00251FEE" w:rsidP="00A764D8">
      <w:pPr>
        <w:jc w:val="both"/>
        <w:rPr>
          <w:rFonts w:ascii="Arial" w:hAnsi="Arial" w:cs="Arial"/>
          <w:sz w:val="20"/>
          <w:szCs w:val="20"/>
        </w:rPr>
      </w:pPr>
      <w:r w:rsidRPr="00B80D68">
        <w:rPr>
          <w:rFonts w:ascii="Arial" w:hAnsi="Arial" w:cs="Arial"/>
          <w:sz w:val="20"/>
          <w:szCs w:val="20"/>
        </w:rPr>
        <w:t>La</w:t>
      </w:r>
      <w:r w:rsidRPr="00FD653C">
        <w:rPr>
          <w:rFonts w:ascii="Arial" w:hAnsi="Arial" w:cs="Arial"/>
          <w:b/>
          <w:bCs/>
          <w:sz w:val="20"/>
          <w:szCs w:val="20"/>
        </w:rPr>
        <w:t xml:space="preserve"> AAD</w:t>
      </w:r>
      <w:r w:rsidR="005161B7">
        <w:rPr>
          <w:rFonts w:ascii="Arial" w:hAnsi="Arial" w:cs="Arial"/>
          <w:b/>
          <w:bCs/>
          <w:sz w:val="20"/>
          <w:szCs w:val="20"/>
        </w:rPr>
        <w:t xml:space="preserve"> </w:t>
      </w:r>
      <w:r w:rsidR="00646A51">
        <w:rPr>
          <w:rFonts w:ascii="Arial" w:hAnsi="Arial" w:cs="Arial"/>
          <w:b/>
          <w:bCs/>
          <w:sz w:val="20"/>
          <w:szCs w:val="20"/>
        </w:rPr>
        <w:fldChar w:fldCharType="begin"/>
      </w:r>
      <w:r w:rsidR="00511A83">
        <w:rPr>
          <w:rFonts w:ascii="Arial" w:hAnsi="Arial" w:cs="Arial"/>
          <w:b/>
          <w:bCs/>
          <w:sz w:val="20"/>
          <w:szCs w:val="20"/>
        </w:rPr>
        <w:instrText xml:space="preserve"> ADDIN ZOTERO_ITEM CSL_CITATION {"citationID":"T5bvA81J","properties":{"formattedCitation":"(7)","plainCitation":"(7)","noteIndex":0},"citationItems":[{"id":15,"uris":["http://zotero.org/users/18702181/items/Q5B9E6HU"],"itemData":{"id":15,"type":"article-journal","abstract":"BACKGROUND: For people with atopic dermatitis (AD) refractory to topical therapies, treatment with phototherapy and systemic therapies can be considered. Multiple biologic therapies and Janus kinase (JAK)inhibitors have been approved since 2014 to treat AD. These guidelines update the 2014 recommendations for management of AD with phototherapy and systemic therapies.\nOBJECTIVE: To provide evidence-based recommendations on the use of phototherapy and systemic therapies for AD in adults.\nMETHODS: A multidisciplinary workgroup conducted a systematic review and applied the GRADE approach for assessing the certainty of evidence and formulating and grading recommendations.\nRESULTS: The workgroup developed 11 recommendations on the management of AD in adults with phototherapy and systemic agents, including biologics, oral JAK inhibitors, and other immunomodulatory medications.\nLIMITATIONS: Most randomized controlled trials of phototherapy and systemic therapies for AD are of short duration with subsequent extension studies, limiting comparative long-term efficacy and safety conclusions.\nCONCLUSIONS: We make strong recommendations for the use of dupilumab, tralokinumab, abrocitinib, baricitinib, and upadacitinib. We make conditional recommendations in favor of using phototherapy, azathioprine, cyclosporine, methotrexate, and mycophenolate, and against the use of systemic corticosteroids.","container-title":"Journal of the American Academy of Dermatology","DOI":"10.1016/j.jaad.2023.08.102","ISSN":"1097-6787","issue":"2","journalAbbreviation":"J Am Acad Dermatol","language":"eng","page":"e43-e56","PMID":"37943240","source":"PubMed","title":"Guidelines of care for the management of atopic dermatitis in adults with phototherapy and systemic therapies","volume":"90","author":[{"family":"Davis","given":"Dawn M. R."},{"family":"Drucker","given":"Aaron M."},{"family":"Alikhan","given":"Ali"},{"family":"Bercovitch","given":"Lionel"},{"family":"Cohen","given":"David E."},{"family":"Darr","given":"Jennifer M."},{"family":"Eichenfield","given":"Lawrence F."},{"family":"Frazer-Green","given":"Lindsy"},{"family":"Paller","given":"Amy S."},{"family":"Schwarzenberger","given":"Kathryn"},{"family":"Silverberg","given":"Jonathan I."},{"family":"Singh","given":"Anne Marie"},{"family":"Wu","given":"Peggy A."},{"family":"Sidbury","given":"Robert"}],"issued":{"date-parts":[["2024",2]]}}}],"schema":"https://github.com/citation-style-language/schema/raw/master/csl-citation.json"} </w:instrText>
      </w:r>
      <w:r w:rsidR="00646A51">
        <w:rPr>
          <w:rFonts w:ascii="Arial" w:hAnsi="Arial" w:cs="Arial"/>
          <w:b/>
          <w:bCs/>
          <w:sz w:val="20"/>
          <w:szCs w:val="20"/>
        </w:rPr>
        <w:fldChar w:fldCharType="separate"/>
      </w:r>
      <w:r w:rsidR="00A24290" w:rsidRPr="00A24290">
        <w:rPr>
          <w:rFonts w:ascii="Arial" w:hAnsi="Arial" w:cs="Arial"/>
          <w:sz w:val="20"/>
        </w:rPr>
        <w:t>(7)</w:t>
      </w:r>
      <w:r w:rsidR="00646A51">
        <w:rPr>
          <w:rFonts w:ascii="Arial" w:hAnsi="Arial" w:cs="Arial"/>
          <w:b/>
          <w:bCs/>
          <w:sz w:val="20"/>
          <w:szCs w:val="20"/>
        </w:rPr>
        <w:fldChar w:fldCharType="end"/>
      </w:r>
      <w:r w:rsidR="005161B7">
        <w:rPr>
          <w:rFonts w:ascii="Arial" w:hAnsi="Arial" w:cs="Arial"/>
          <w:sz w:val="20"/>
          <w:szCs w:val="20"/>
        </w:rPr>
        <w:t xml:space="preserve"> </w:t>
      </w:r>
      <w:r w:rsidRPr="00B80D68">
        <w:rPr>
          <w:rFonts w:ascii="Arial" w:hAnsi="Arial" w:cs="Arial"/>
          <w:sz w:val="20"/>
          <w:szCs w:val="20"/>
        </w:rPr>
        <w:t>señala que los inmunosupresores convencionales no deben considerarse tratamientos de primera línea debido a la menor solidez de la evidencia y al riesgo de efectos adversos graves y toxicidad orgánica</w:t>
      </w:r>
      <w:r w:rsidR="000C4E0A" w:rsidRPr="00B80D68">
        <w:rPr>
          <w:rFonts w:ascii="Arial" w:hAnsi="Arial" w:cs="Arial"/>
          <w:sz w:val="20"/>
          <w:szCs w:val="20"/>
        </w:rPr>
        <w:t xml:space="preserve"> por lo que su uso es una recomendación débil</w:t>
      </w:r>
      <w:r w:rsidRPr="00B80D68">
        <w:rPr>
          <w:rFonts w:ascii="Arial" w:hAnsi="Arial" w:cs="Arial"/>
          <w:sz w:val="20"/>
          <w:szCs w:val="20"/>
        </w:rPr>
        <w:t>.</w:t>
      </w:r>
      <w:r w:rsidRPr="00251FEE">
        <w:rPr>
          <w:rFonts w:ascii="Arial" w:hAnsi="Arial" w:cs="Arial"/>
          <w:sz w:val="20"/>
          <w:szCs w:val="20"/>
        </w:rPr>
        <w:t xml:space="preserve"> </w:t>
      </w:r>
      <w:r w:rsidR="00FD653C">
        <w:rPr>
          <w:rFonts w:ascii="Arial" w:hAnsi="Arial" w:cs="Arial"/>
          <w:sz w:val="20"/>
          <w:szCs w:val="20"/>
        </w:rPr>
        <w:t xml:space="preserve">En el caso de la ciclosporina considera que </w:t>
      </w:r>
      <w:r w:rsidR="00FD653C" w:rsidRPr="00FD653C">
        <w:rPr>
          <w:rFonts w:ascii="Arial" w:hAnsi="Arial" w:cs="Arial"/>
          <w:sz w:val="20"/>
          <w:szCs w:val="20"/>
        </w:rPr>
        <w:t>se encuentra en un nivel inferior que los biológicos/iJAK, ya que estos últimos tienen recomendaciones fuertes basadas en evidencia de certeza moderada, y la ciclosporina tiene una recomendación condicional limitada en el tiempo, basada en evidencia de certeza baja</w:t>
      </w:r>
      <w:r w:rsidR="00FD653C">
        <w:rPr>
          <w:rFonts w:ascii="Arial" w:hAnsi="Arial" w:cs="Arial"/>
          <w:sz w:val="20"/>
          <w:szCs w:val="20"/>
        </w:rPr>
        <w:t>.</w:t>
      </w:r>
    </w:p>
    <w:p w14:paraId="692EDD4F" w14:textId="77777777" w:rsidR="00FD653C" w:rsidRDefault="00FD653C" w:rsidP="00A764D8">
      <w:pPr>
        <w:jc w:val="both"/>
        <w:rPr>
          <w:rFonts w:ascii="Arial" w:hAnsi="Arial" w:cs="Arial"/>
          <w:sz w:val="20"/>
          <w:szCs w:val="20"/>
        </w:rPr>
      </w:pPr>
    </w:p>
    <w:p w14:paraId="45ED0FF1" w14:textId="77777777" w:rsidR="00B52C6B" w:rsidRPr="00B52C6B" w:rsidRDefault="00B52C6B" w:rsidP="00B52C6B">
      <w:pPr>
        <w:jc w:val="both"/>
        <w:rPr>
          <w:rFonts w:ascii="Arial" w:hAnsi="Arial" w:cs="Arial"/>
          <w:sz w:val="20"/>
          <w:szCs w:val="20"/>
        </w:rPr>
      </w:pPr>
      <w:r>
        <w:rPr>
          <w:rFonts w:ascii="Arial" w:hAnsi="Arial" w:cs="Arial"/>
          <w:sz w:val="20"/>
          <w:szCs w:val="20"/>
        </w:rPr>
        <w:t>La</w:t>
      </w:r>
      <w:r w:rsidR="00FE022B">
        <w:rPr>
          <w:rFonts w:ascii="Arial" w:hAnsi="Arial" w:cs="Arial"/>
          <w:sz w:val="20"/>
          <w:szCs w:val="20"/>
        </w:rPr>
        <w:t xml:space="preserve"> </w:t>
      </w:r>
      <w:r w:rsidR="00FE022B" w:rsidRPr="00B52C6B">
        <w:rPr>
          <w:rFonts w:ascii="Arial" w:hAnsi="Arial" w:cs="Arial"/>
          <w:b/>
          <w:bCs/>
          <w:sz w:val="20"/>
          <w:szCs w:val="20"/>
        </w:rPr>
        <w:t xml:space="preserve">guía </w:t>
      </w:r>
      <w:r w:rsidRPr="00B52C6B">
        <w:rPr>
          <w:rFonts w:ascii="Arial" w:hAnsi="Arial" w:cs="Arial"/>
          <w:b/>
          <w:bCs/>
          <w:sz w:val="20"/>
          <w:szCs w:val="20"/>
        </w:rPr>
        <w:t>de la</w:t>
      </w:r>
      <w:r w:rsidR="001A686D">
        <w:rPr>
          <w:rFonts w:ascii="Arial" w:hAnsi="Arial" w:cs="Arial"/>
          <w:b/>
          <w:bCs/>
          <w:sz w:val="20"/>
          <w:szCs w:val="20"/>
        </w:rPr>
        <w:t xml:space="preserve"> JDA</w:t>
      </w:r>
      <w:r w:rsidR="005161B7">
        <w:rPr>
          <w:rFonts w:ascii="Arial" w:hAnsi="Arial" w:cs="Arial"/>
          <w:b/>
          <w:bCs/>
          <w:sz w:val="20"/>
          <w:szCs w:val="20"/>
        </w:rPr>
        <w:t xml:space="preserve"> </w:t>
      </w:r>
      <w:r w:rsidR="00646A51">
        <w:rPr>
          <w:rFonts w:ascii="Arial" w:hAnsi="Arial" w:cs="Arial"/>
          <w:b/>
          <w:bCs/>
          <w:sz w:val="20"/>
          <w:szCs w:val="20"/>
        </w:rPr>
        <w:fldChar w:fldCharType="begin"/>
      </w:r>
      <w:r w:rsidR="00511A83">
        <w:rPr>
          <w:rFonts w:ascii="Arial" w:hAnsi="Arial" w:cs="Arial"/>
          <w:b/>
          <w:bCs/>
          <w:sz w:val="20"/>
          <w:szCs w:val="20"/>
        </w:rPr>
        <w:instrText xml:space="preserve"> ADDIN ZOTERO_ITEM CSL_CITATION {"citationID":"WyzrgvH0","properties":{"formattedCitation":"(1)","plainCitation":"(1)","noteIndex":0},"citationItems":[{"id":6,"uris":["http://zotero.org/users/18702181/items/NFG963CD"],"itemData":{"id":6,"type":"article-journal","abstract":"This is the English version of the 2024 clinical practice guidelines for the management of atopic dermatitis (AD). AD is a disease characterized by relapsing eczema with pruritus as a primary lesion. A crucial aspect of AD treatment is the prompt induction of remission via the suppression of existing skin inflammation and pruritus. To achieve this, topical anti-inflammatory drugs, such as topical corticosteroids, tacrolimus ointment, delgocitinib ointment, and difamilast ointment, have been used. However, the following treatments should be considered in addition to topical therapy for patients with refractory moderate-to-severe AD: oral cyclosporine, subcutaneous injections of biologics (dupilumab, nemolizumab, tralokinumab), oral Janus kinase inhibitors (baricitinib, upadacitinib, abrocitinib), and phototherapy. In these revised guidelines, descriptions of five new drugs, namely, difamilast, nemolizumab, tralokinumab, upadacitinib, and abrocitinib, have been added. The guidelines present recommendations to review clinical research articles, evaluate the balance between the advantages and disadvantages of medical activities, and optimize medical activity-related patient outcomes with respect to several important points requiring decision-making in clinical practice.","container-title":"The Journal of Dermatology","DOI":"10.1111/1346-8138.17544","ISSN":"1346-8138","issue":"2","journalAbbreviation":"J Dermatol","language":"eng","page":"e70-e142","PMID":"39707640","source":"PubMed","title":"English version of clinical practice guidelines for the management of atopic dermatitis 2024","volume":"52","author":[{"family":"Saeki","given":"Hidehisa"},{"family":"Ohya","given":"Yukihiro"},{"family":"Arakawa","given":"Hirokazu"},{"family":"Ichiyama","given":"Susumu"},{"family":"Katsunuma","given":"Toshio"},{"family":"Katoh","given":"Norito"},{"family":"Tanaka","given":"Akio"},{"family":"Tanizaki","given":"Hideaki"},{"family":"Tsunemi","given":"Yuichiro"},{"family":"Nakahara","given":"Takeshi"},{"family":"Nagao","given":"Mizuho"},{"family":"Narita","given":"Masami"},{"family":"Hide","given":"Michihiro"},{"family":"Fujisawa","given":"Takao"},{"family":"Futamura","given":"Masaki"},{"family":"Masuda","given":"Koji"},{"family":"Matsubara","given":"Tomoyo"},{"family":"Murota","given":"Hiroyuki"},{"family":"Yamamoto-Hanada","given":"Kiwako"},{"family":"Furuta","given":"Junichi"}],"issued":{"date-parts":[["2025",2]]}}}],"schema":"https://github.com/citation-style-language/schema/raw/master/csl-citation.json"} </w:instrText>
      </w:r>
      <w:r w:rsidR="00646A51">
        <w:rPr>
          <w:rFonts w:ascii="Arial" w:hAnsi="Arial" w:cs="Arial"/>
          <w:b/>
          <w:bCs/>
          <w:sz w:val="20"/>
          <w:szCs w:val="20"/>
        </w:rPr>
        <w:fldChar w:fldCharType="separate"/>
      </w:r>
      <w:r w:rsidR="005161B7" w:rsidRPr="005161B7">
        <w:rPr>
          <w:rFonts w:ascii="Arial" w:hAnsi="Arial" w:cs="Arial"/>
          <w:sz w:val="20"/>
        </w:rPr>
        <w:t>(1)</w:t>
      </w:r>
      <w:r w:rsidR="00646A51">
        <w:rPr>
          <w:rFonts w:ascii="Arial" w:hAnsi="Arial" w:cs="Arial"/>
          <w:b/>
          <w:bCs/>
          <w:sz w:val="20"/>
          <w:szCs w:val="20"/>
        </w:rPr>
        <w:fldChar w:fldCharType="end"/>
      </w:r>
      <w:r>
        <w:rPr>
          <w:rFonts w:ascii="Arial" w:hAnsi="Arial" w:cs="Arial"/>
          <w:b/>
          <w:bCs/>
          <w:sz w:val="20"/>
          <w:szCs w:val="20"/>
        </w:rPr>
        <w:t xml:space="preserve"> </w:t>
      </w:r>
      <w:r w:rsidRPr="00B52C6B">
        <w:rPr>
          <w:rFonts w:ascii="Arial" w:hAnsi="Arial" w:cs="Arial"/>
          <w:sz w:val="20"/>
          <w:szCs w:val="20"/>
        </w:rPr>
        <w:t>está alineada con la europea y</w:t>
      </w:r>
      <w:r w:rsidR="00A3793E">
        <w:rPr>
          <w:rFonts w:ascii="Arial" w:hAnsi="Arial" w:cs="Arial"/>
          <w:sz w:val="20"/>
          <w:szCs w:val="20"/>
        </w:rPr>
        <w:t xml:space="preserve"> con NICE, y</w:t>
      </w:r>
      <w:r w:rsidRPr="00B52C6B">
        <w:rPr>
          <w:rFonts w:ascii="Arial" w:hAnsi="Arial" w:cs="Arial"/>
          <w:sz w:val="20"/>
          <w:szCs w:val="20"/>
        </w:rPr>
        <w:t xml:space="preserve"> recomienda el uso de</w:t>
      </w:r>
      <w:r>
        <w:rPr>
          <w:rFonts w:ascii="Arial" w:hAnsi="Arial" w:cs="Arial"/>
          <w:b/>
          <w:bCs/>
          <w:sz w:val="20"/>
          <w:szCs w:val="20"/>
        </w:rPr>
        <w:t xml:space="preserve"> </w:t>
      </w:r>
      <w:r w:rsidRPr="00B52C6B">
        <w:rPr>
          <w:rFonts w:ascii="Arial" w:hAnsi="Arial" w:cs="Arial"/>
          <w:sz w:val="20"/>
          <w:szCs w:val="20"/>
        </w:rPr>
        <w:t xml:space="preserve">ciclosporina para pacientes con dermatitis atópica </w:t>
      </w:r>
      <w:r w:rsidRPr="00873477">
        <w:rPr>
          <w:rFonts w:ascii="Arial" w:hAnsi="Arial" w:cs="Arial"/>
          <w:sz w:val="20"/>
          <w:szCs w:val="20"/>
        </w:rPr>
        <w:t>muy</w:t>
      </w:r>
      <w:r w:rsidR="00480595" w:rsidRPr="00873477">
        <w:rPr>
          <w:rFonts w:ascii="Arial" w:hAnsi="Arial" w:cs="Arial"/>
          <w:sz w:val="20"/>
          <w:szCs w:val="20"/>
        </w:rPr>
        <w:t xml:space="preserve"> severa</w:t>
      </w:r>
      <w:r w:rsidRPr="00873477">
        <w:rPr>
          <w:rFonts w:ascii="Arial" w:hAnsi="Arial" w:cs="Arial"/>
          <w:sz w:val="20"/>
          <w:szCs w:val="20"/>
        </w:rPr>
        <w:t>,</w:t>
      </w:r>
      <w:r w:rsidRPr="00B52C6B">
        <w:rPr>
          <w:rFonts w:ascii="Arial" w:hAnsi="Arial" w:cs="Arial"/>
          <w:sz w:val="20"/>
          <w:szCs w:val="20"/>
        </w:rPr>
        <w:t xml:space="preserve"> mayores de 16 años, en quienes los tratamientos convencionales no han mostrado eficacia suficiente. </w:t>
      </w:r>
    </w:p>
    <w:p w14:paraId="32896E23" w14:textId="77777777" w:rsidR="005A0341" w:rsidRDefault="00B52C6B" w:rsidP="00B52C6B">
      <w:pPr>
        <w:jc w:val="both"/>
        <w:rPr>
          <w:rFonts w:ascii="Arial" w:hAnsi="Arial" w:cs="Arial"/>
          <w:sz w:val="20"/>
          <w:szCs w:val="20"/>
        </w:rPr>
      </w:pPr>
      <w:r w:rsidRPr="00B52C6B">
        <w:rPr>
          <w:rFonts w:ascii="Arial" w:hAnsi="Arial" w:cs="Arial"/>
          <w:sz w:val="20"/>
          <w:szCs w:val="20"/>
        </w:rPr>
        <w:t>Dado que la seguridad a largo plazo no está establecida, se recomienda cambiar cuanto antes a tratamiento tópico convencional una vez se logre la mejoría clínica. Si se requiere una administración prolongada, debe optarse por pautas intermitentes de 2 semanas o periodos de suspensión más largos.</w:t>
      </w:r>
    </w:p>
    <w:p w14:paraId="5D530988" w14:textId="77777777" w:rsidR="00B52C6B" w:rsidRDefault="00B52C6B" w:rsidP="00B52C6B">
      <w:pPr>
        <w:jc w:val="both"/>
        <w:rPr>
          <w:rFonts w:ascii="Arial" w:hAnsi="Arial" w:cs="Arial"/>
          <w:sz w:val="20"/>
          <w:szCs w:val="20"/>
        </w:rPr>
      </w:pPr>
    </w:p>
    <w:p w14:paraId="55A197EC" w14:textId="77777777" w:rsidR="00024E8F" w:rsidRDefault="000C4E0A" w:rsidP="00A764D8">
      <w:pPr>
        <w:jc w:val="both"/>
        <w:rPr>
          <w:rFonts w:ascii="Arial" w:hAnsi="Arial" w:cs="Arial"/>
          <w:sz w:val="20"/>
          <w:szCs w:val="20"/>
        </w:rPr>
      </w:pPr>
      <w:r>
        <w:rPr>
          <w:rFonts w:ascii="Arial" w:hAnsi="Arial" w:cs="Arial"/>
          <w:sz w:val="20"/>
          <w:szCs w:val="20"/>
        </w:rPr>
        <w:t>Por otro lado, en cuanto a l</w:t>
      </w:r>
      <w:r w:rsidRPr="000C4E0A">
        <w:rPr>
          <w:rFonts w:ascii="Arial" w:hAnsi="Arial" w:cs="Arial"/>
          <w:sz w:val="20"/>
          <w:szCs w:val="20"/>
        </w:rPr>
        <w:t xml:space="preserve">os </w:t>
      </w:r>
      <w:r>
        <w:rPr>
          <w:rFonts w:ascii="Arial" w:hAnsi="Arial" w:cs="Arial"/>
          <w:sz w:val="20"/>
          <w:szCs w:val="20"/>
        </w:rPr>
        <w:t xml:space="preserve">CS </w:t>
      </w:r>
      <w:r w:rsidRPr="000C4E0A">
        <w:rPr>
          <w:rFonts w:ascii="Arial" w:hAnsi="Arial" w:cs="Arial"/>
          <w:sz w:val="20"/>
          <w:szCs w:val="20"/>
        </w:rPr>
        <w:t>tienen una relación riesgo/beneficio desfavorable</w:t>
      </w:r>
      <w:r>
        <w:rPr>
          <w:rFonts w:ascii="Arial" w:hAnsi="Arial" w:cs="Arial"/>
          <w:sz w:val="20"/>
          <w:szCs w:val="20"/>
        </w:rPr>
        <w:t xml:space="preserve"> </w:t>
      </w:r>
      <w:r w:rsidRPr="000C4E0A">
        <w:rPr>
          <w:rFonts w:ascii="Arial" w:hAnsi="Arial" w:cs="Arial"/>
          <w:sz w:val="20"/>
          <w:szCs w:val="20"/>
        </w:rPr>
        <w:t>para el tratamiento a largo plazo de la</w:t>
      </w:r>
      <w:r>
        <w:rPr>
          <w:rFonts w:ascii="Arial" w:hAnsi="Arial" w:cs="Arial"/>
          <w:sz w:val="20"/>
          <w:szCs w:val="20"/>
        </w:rPr>
        <w:t xml:space="preserve"> DA</w:t>
      </w:r>
      <w:r w:rsidRPr="000C4E0A">
        <w:rPr>
          <w:rFonts w:ascii="Arial" w:hAnsi="Arial" w:cs="Arial"/>
          <w:sz w:val="20"/>
          <w:szCs w:val="20"/>
        </w:rPr>
        <w:t xml:space="preserve"> en adultos y niños</w:t>
      </w:r>
      <w:r>
        <w:rPr>
          <w:rFonts w:ascii="Arial" w:hAnsi="Arial" w:cs="Arial"/>
          <w:sz w:val="20"/>
          <w:szCs w:val="20"/>
        </w:rPr>
        <w:t xml:space="preserve">. Por tanto, </w:t>
      </w:r>
      <w:r w:rsidR="00B52C6B">
        <w:rPr>
          <w:rFonts w:ascii="Arial" w:hAnsi="Arial" w:cs="Arial"/>
          <w:sz w:val="20"/>
          <w:szCs w:val="20"/>
        </w:rPr>
        <w:t xml:space="preserve">todas las guías coinciden en que </w:t>
      </w:r>
      <w:r>
        <w:rPr>
          <w:rFonts w:ascii="Arial" w:hAnsi="Arial" w:cs="Arial"/>
          <w:sz w:val="20"/>
          <w:szCs w:val="20"/>
        </w:rPr>
        <w:t>no se recomienda utilizar CS ya que la evidencia es baja y hay un</w:t>
      </w:r>
      <w:r w:rsidRPr="000C4E0A">
        <w:rPr>
          <w:rFonts w:ascii="Arial" w:hAnsi="Arial" w:cs="Arial"/>
          <w:sz w:val="20"/>
          <w:szCs w:val="20"/>
        </w:rPr>
        <w:t xml:space="preserve"> riesgo sustancial de</w:t>
      </w:r>
      <w:r>
        <w:rPr>
          <w:rFonts w:ascii="Arial" w:hAnsi="Arial" w:cs="Arial"/>
          <w:sz w:val="20"/>
          <w:szCs w:val="20"/>
        </w:rPr>
        <w:t xml:space="preserve"> </w:t>
      </w:r>
      <w:r w:rsidRPr="000C4E0A">
        <w:rPr>
          <w:rFonts w:ascii="Arial" w:hAnsi="Arial" w:cs="Arial"/>
          <w:sz w:val="20"/>
          <w:szCs w:val="20"/>
        </w:rPr>
        <w:t>eventos adversos graves con los corticosteroides sistémicos, incluso con un uso a corto plazo</w:t>
      </w:r>
      <w:r>
        <w:rPr>
          <w:rFonts w:ascii="Arial" w:hAnsi="Arial" w:cs="Arial"/>
          <w:sz w:val="20"/>
          <w:szCs w:val="20"/>
        </w:rPr>
        <w:t>. Se</w:t>
      </w:r>
      <w:r w:rsidRPr="000C4E0A">
        <w:rPr>
          <w:rFonts w:ascii="Arial" w:hAnsi="Arial" w:cs="Arial"/>
          <w:sz w:val="20"/>
          <w:szCs w:val="20"/>
        </w:rPr>
        <w:t xml:space="preserve"> pueden considerar tratamientos cortos</w:t>
      </w:r>
      <w:r>
        <w:rPr>
          <w:rFonts w:ascii="Arial" w:hAnsi="Arial" w:cs="Arial"/>
          <w:sz w:val="20"/>
          <w:szCs w:val="20"/>
        </w:rPr>
        <w:t xml:space="preserve"> </w:t>
      </w:r>
      <w:r w:rsidRPr="000C4E0A">
        <w:rPr>
          <w:rFonts w:ascii="Arial" w:hAnsi="Arial" w:cs="Arial"/>
          <w:sz w:val="20"/>
          <w:szCs w:val="20"/>
        </w:rPr>
        <w:t xml:space="preserve">con </w:t>
      </w:r>
      <w:r>
        <w:rPr>
          <w:rFonts w:ascii="Arial" w:hAnsi="Arial" w:cs="Arial"/>
          <w:sz w:val="20"/>
          <w:szCs w:val="20"/>
        </w:rPr>
        <w:t xml:space="preserve">CS </w:t>
      </w:r>
      <w:r w:rsidRPr="000C4E0A">
        <w:rPr>
          <w:rFonts w:ascii="Arial" w:hAnsi="Arial" w:cs="Arial"/>
          <w:sz w:val="20"/>
          <w:szCs w:val="20"/>
        </w:rPr>
        <w:t>en circunstancias limitadas,</w:t>
      </w:r>
      <w:r>
        <w:rPr>
          <w:rFonts w:ascii="Arial" w:hAnsi="Arial" w:cs="Arial"/>
          <w:sz w:val="20"/>
          <w:szCs w:val="20"/>
        </w:rPr>
        <w:t xml:space="preserve"> </w:t>
      </w:r>
      <w:r w:rsidRPr="000C4E0A">
        <w:rPr>
          <w:rFonts w:ascii="Arial" w:hAnsi="Arial" w:cs="Arial"/>
          <w:sz w:val="20"/>
          <w:szCs w:val="20"/>
        </w:rPr>
        <w:t>como cuando no hay otras opciones disponibles,</w:t>
      </w:r>
      <w:r w:rsidR="00B52C6B">
        <w:rPr>
          <w:rFonts w:ascii="Arial" w:hAnsi="Arial" w:cs="Arial"/>
          <w:sz w:val="20"/>
          <w:szCs w:val="20"/>
        </w:rPr>
        <w:t xml:space="preserve"> en exacerbaciones y </w:t>
      </w:r>
      <w:r w:rsidR="00BD5ED6">
        <w:rPr>
          <w:rFonts w:ascii="Arial" w:hAnsi="Arial" w:cs="Arial"/>
          <w:sz w:val="20"/>
          <w:szCs w:val="20"/>
        </w:rPr>
        <w:t xml:space="preserve">brotes, </w:t>
      </w:r>
      <w:r w:rsidR="00BD5ED6" w:rsidRPr="000C4E0A">
        <w:rPr>
          <w:rFonts w:ascii="Arial" w:hAnsi="Arial" w:cs="Arial"/>
          <w:sz w:val="20"/>
          <w:szCs w:val="20"/>
        </w:rPr>
        <w:t>o</w:t>
      </w:r>
      <w:r w:rsidRPr="000C4E0A">
        <w:rPr>
          <w:rFonts w:ascii="Arial" w:hAnsi="Arial" w:cs="Arial"/>
          <w:sz w:val="20"/>
          <w:szCs w:val="20"/>
        </w:rPr>
        <w:t xml:space="preserve"> como puente hacia otras terapias a largo plazo</w:t>
      </w:r>
      <w:r w:rsidR="00BD5ED6">
        <w:rPr>
          <w:rFonts w:ascii="Arial" w:hAnsi="Arial" w:cs="Arial"/>
          <w:sz w:val="20"/>
          <w:szCs w:val="20"/>
        </w:rPr>
        <w:t>.</w:t>
      </w:r>
      <w:r>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{"citationID":"N7TiYCd0","properties":{"formattedCitation":"(1,7,9)","plainCitation":"(1,7,9)","noteIndex":0},"citationItems":[{"id":6,"uris":["http://zotero.org/users/18702181/items/NFG963CD"],"itemData":{"id":6,"type":"article-journal","abstract":"This is the English version of the 2024 clinical practice guidelines for the management of atopic dermatitis (AD). AD is a disease characterized by relapsing eczema with pruritus as a primary lesion. A crucial aspect of AD treatment is the prompt induction of remission via the suppression of existing skin inflammation and pruritus. To achieve this, topical anti-inflammatory drugs, such as topical corticosteroids, tacrolimus ointment, delgocitinib ointment, and difamilast ointment, have been used. However, the following treatments should be considered in addition to topical therapy for patients with refractory moderate-to-severe AD: oral cyclosporine, subcutaneous injections of biologics (dupilumab, nemolizumab, tralokinumab), oral Janus kinase inhibitors (baricitinib, upadacitinib, abrocitinib), and phototherapy. In these revised guidelines, descriptions of five new drugs, namely, difamilast, nemolizumab, tralokinumab, upadacitinib, and abrocitinib, have been added. The guidelines present recommendations to review clinical research articles, evaluate the balance between the advantages and disadvantages of medical activities, and optimize medical activity-related patient outcomes with respect to several important points requiring decision-making in clinical practice.","container-title":"The Journal of Dermatology","DOI":"10.1111/1346-8138.17544","ISSN":"1346-8138","issue":"2","journalAbbreviation":"J Dermatol","language":"eng","page":"e70-e142","PMID":"39707640","source":"PubMed","title":"English version of clinical practice guidelines for the management of atopic dermatitis 2024","volume":"52","author":[{"family":"Saeki","given":"Hidehisa"},{"family":"Ohya","given":"Yukihiro"},{"family":"Arakawa","given":"Hirokazu"},{"family":"Ichiyama","given":"Susumu"},{"family":"Katsunuma","given":"Toshio"},{"family":"Katoh","given":"Norito"},{"family":"Tanaka","given":"Akio"},{"family":"Tanizaki","given":"Hideaki"},{"family":"Tsunemi","given":"Yuichiro"},{"family":"Nakahara","given":"Takeshi"},{"family":"Nagao","given":"Mizuho"},{"family":"Narita","given":"Masami"},{"family":"Hide","given":"Michihiro"},{"family":"Fujisawa","given":"Takao"},{"family":"Futamura","given":"Masaki"},{"family":"Masuda","given":"Koji"},{"family":"Matsubara","given":"Tomoyo"},{"family":"Murota","given":"Hiroyuki"},{"family":"Yamamoto-Hanada","given":"Kiwako"},{"family":"Furuta","given":"Junichi"}],"issued":{"date-parts":[["2025",2]]}}},{"id":15,"uris":["http://zotero.org/users/18702181/items/Q5B9E6HU"],"itemData":{"id":15,"type":"article-journal","abstract":"BACKGROUND: For people with atopic dermatitis (AD) refractory to topical therapies, treatment with phototherapy and systemic therapies can be considered. Multiple biologic therapies and Janus kinase (JAK)inhibitors have been approved since 2014 to treat AD. These guidelines update the 2014 recommendations for management of AD with phototherapy and systemic therapies.\nOBJECTIVE: To provide evidence-based recommendations on the use of phototherapy and systemic therapies for AD in adults.\nMETHODS: A multidisciplinary workgroup conducted a systematic review and applied the GRADE approach for assessing the certainty of evidence and formulating and grading recommendations.\nRESULTS: The workgroup developed 11 recommendations on the management of AD in adults with phototherapy and systemic agents, including biologics, oral JAK inhibitors, and other immunomodulatory medications.\nLIMITATIONS: Most randomized controlled trials of phototherapy and systemic therapies for AD are of short duration with subsequent extension studies, limiting comparative long-term efficacy and safety conclusions.\nCONCLUSIONS: We make strong recommendations for the use of dupilumab, tralokinumab, abrocitinib, baricitinib, and upadacitinib. We make conditional recommendations in favor of using phototherapy, azathioprine, cyclosporine, methotrexate, and mycophenolate, and against the use of systemic corticosteroids.","container-title":"Journal of the American Academy of Dermatology","DOI":"10.1016/j.jaad.2023.08.102","ISSN":"1097-6787","issue":"2","journalAbbreviation":"J Am Acad Dermatol","language":"eng","page":"e43-e56","PMID":"37943240","source":"PubMed","title":"Guidelines of care for the management of atopic dermatitis in adults with phototherapy and systemic therapies","volume":"90","author":[{"family":"Davis","given":"Dawn M. R."},{"family":"Drucker","given":"Aaron M."},{"family":"Alikhan","given":"Ali"},{"family":"Bercovitch","given":"Lionel"},{"family":"Cohen","given":"David E."},{"family":"Darr","given":"Jennifer M."},{"family":"Eichenfield","given":"Lawrence F."},{"family":"Frazer-Green","given":"Lindsy"},{"family":"Paller","given":"Amy S."},{"family":"Schwarzenberger","given":"Kathryn"},{"family":"Silverberg","given":"Jonathan I."},{"family":"Singh","given":"Anne Marie"},{"family":"Wu","given":"Peggy A."},{"family":"Sidbury","given":"Robert"}],"issued":{"date-parts":[["2024",2]]}}},{"id":3,"uris":["http://zotero.org/users/18702181/items/IWZWKQHK"],"itemData":{"id":3,"type":"article-journal","abstract":"The evidence</w:instrText>
      </w:r>
      <w:r w:rsidR="00511A83">
        <w:rPr>
          <w:rFonts w:ascii="Cambria Math" w:hAnsi="Cambria Math" w:cs="Cambria Math"/>
          <w:sz w:val="20"/>
          <w:szCs w:val="20"/>
        </w:rPr>
        <w:instrText>‐</w:instrText>
      </w:r>
      <w:r w:rsidR="00511A83">
        <w:rPr>
          <w:rFonts w:ascii="Arial" w:hAnsi="Arial" w:cs="Arial"/>
          <w:sz w:val="20"/>
          <w:szCs w:val="20"/>
        </w:rPr>
        <w:instrText xml:space="preserve"> and consensus</w:instrText>
      </w:r>
      <w:r w:rsidR="00511A83">
        <w:rPr>
          <w:rFonts w:ascii="Cambria Math" w:hAnsi="Cambria Math" w:cs="Cambria Math"/>
          <w:sz w:val="20"/>
          <w:szCs w:val="20"/>
        </w:rPr>
        <w:instrText>‐</w:instrText>
      </w:r>
      <w:r w:rsidR="00511A83">
        <w:rPr>
          <w:rFonts w:ascii="Arial" w:hAnsi="Arial" w:cs="Arial"/>
          <w:sz w:val="20"/>
          <w:szCs w:val="20"/>
        </w:rPr>
        <w:instrText>based living guideline on atopic eczema was developed in accordance with the EuroGuiDerm Guideline and Consensus Statement Development Manual. The original EuroGuiDerm Guideline on atopic eczema was published in June 2022. Since then, the part of the guideline dealing with systemic therapy has been updated twice. This paper summarizes the results of the second update. Twenty</w:instrText>
      </w:r>
      <w:r w:rsidR="00511A83">
        <w:rPr>
          <w:rFonts w:ascii="Cambria Math" w:hAnsi="Cambria Math" w:cs="Cambria Math"/>
          <w:sz w:val="20"/>
          <w:szCs w:val="20"/>
        </w:rPr>
        <w:instrText>‐</w:instrText>
      </w:r>
      <w:r w:rsidR="00511A83">
        <w:rPr>
          <w:rFonts w:ascii="Arial" w:hAnsi="Arial" w:cs="Arial"/>
          <w:sz w:val="20"/>
          <w:szCs w:val="20"/>
        </w:rPr>
        <w:instrText>eight experts (including clinicians and patient representatives) from 12 European countries participated. The updated guideline provides guidance on which patients should be treated with systemic therapies, as well as recommendations and detailed information on each systemic drug. The systemic treatment options discussed in the guideline comprise conventional immunosuppressive drugs (azathioprine, ciclosporin, glucocorticosteroids, methotrexate and mycophenolate mofetil), biologics (dupilumab, lebrikizumab, nemolizumab and tralokinumab) and Janus kinase (JAK) inhibitors (abrocitinib, baricitinib and upadacitinib). Additionally, the updated guidelines address considerations for paediatric, adolescent, pregnant and breastfeeding patients. For all other aspects, please refer to the 2022 version., The updated guideline includes a new evidence</w:instrText>
      </w:r>
      <w:r w:rsidR="00511A83">
        <w:rPr>
          <w:rFonts w:ascii="Cambria Math" w:hAnsi="Cambria Math" w:cs="Cambria Math"/>
          <w:sz w:val="20"/>
          <w:szCs w:val="20"/>
        </w:rPr>
        <w:instrText>‐</w:instrText>
      </w:r>
      <w:r w:rsidR="00511A83">
        <w:rPr>
          <w:rFonts w:ascii="Arial" w:hAnsi="Arial" w:cs="Arial"/>
          <w:sz w:val="20"/>
          <w:szCs w:val="20"/>
        </w:rPr>
        <w:instrText>based recommendation for the IL</w:instrText>
      </w:r>
      <w:r w:rsidR="00511A83">
        <w:rPr>
          <w:rFonts w:ascii="Cambria Math" w:hAnsi="Cambria Math" w:cs="Cambria Math"/>
          <w:sz w:val="20"/>
          <w:szCs w:val="20"/>
        </w:rPr>
        <w:instrText>‐</w:instrText>
      </w:r>
      <w:r w:rsidR="00511A83">
        <w:rPr>
          <w:rFonts w:ascii="Arial" w:hAnsi="Arial" w:cs="Arial"/>
          <w:sz w:val="20"/>
          <w:szCs w:val="20"/>
        </w:rPr>
        <w:instrText>13 inhibitor lebrikizumab. In addition, the Janus kinase inhibitors baricitinib and abrocitinib, which were initially only approved for adult patients, are now also recommended for children from the age of 2 and adolescents from the age of 12, respectively.","container-title":"Journal of the European Academy of Dermatology and Venereology","DOI":"10.1111/jdv.20639","ISSN":"0926-9959","issue":"9","journalAbbreviation":"J Eur Acad Dermatol Venereol","page":"1537-1566","PMID":"40317496","PMCID":"PMC12376260","source":"PubMed Central","title":"European Guideline (EuroGuiDerm) on atopic eczema: Living update","title-short":"European Guideline (EuroGuiDerm) on atopic eczema","volume":"39","author":[{"family":"Wollenberg","given":"A."},{"family":"Kinberger","given":"M."},{"family":"Arents","given":"B."},{"family":"Aszodi","given":"N."},{"family":"Barbarot","given":"S."},{"family":"Bieber","given":"T."},{"family":"Brough","given":"H. A."},{"family":"Calzavara</w:instrText>
      </w:r>
      <w:r w:rsidR="00511A83">
        <w:rPr>
          <w:rFonts w:ascii="Cambria Math" w:hAnsi="Cambria Math" w:cs="Cambria Math"/>
          <w:sz w:val="20"/>
          <w:szCs w:val="20"/>
        </w:rPr>
        <w:instrText>‐</w:instrText>
      </w:r>
      <w:r w:rsidR="00511A83">
        <w:rPr>
          <w:rFonts w:ascii="Arial" w:hAnsi="Arial" w:cs="Arial"/>
          <w:sz w:val="20"/>
          <w:szCs w:val="20"/>
        </w:rPr>
        <w:instrText>Pinton","given":"P."},{"family":"Christen</w:instrText>
      </w:r>
      <w:r w:rsidR="00511A83">
        <w:rPr>
          <w:rFonts w:ascii="Cambria Math" w:hAnsi="Cambria Math" w:cs="Cambria Math"/>
          <w:sz w:val="20"/>
          <w:szCs w:val="20"/>
        </w:rPr>
        <w:instrText>‐</w:instrText>
      </w:r>
      <w:r w:rsidR="00511A83">
        <w:rPr>
          <w:rFonts w:ascii="Arial" w:hAnsi="Arial" w:cs="Arial"/>
          <w:sz w:val="20"/>
          <w:szCs w:val="20"/>
        </w:rPr>
        <w:instrText>Zaech","given":"S."},{"family":"Deleuran","given":"M."},{"family":"Dittmann","given":"M."},{"family":"Fosse","given":"N."},{"family":"Gáspár","given":"K."},{"family":"Gerbens","given":"L. A. A."},{"family":"Gieler","given":"U."},{"family":"Girolomoni","given":"G."},{"family":"Gregoriou","given":"S."},{"family":"Holland","given":"S."},{"family":"Mortz","given":"C. G."},{"family":"Nast","given":"A."},{"family":"Nygaard","given":"U."},{"family":"Rehbinder","given":"E. M."},{"family":"Ring","given":"J."},{"family":"Rossi","given":"M."},{"family":"Serra</w:instrText>
      </w:r>
      <w:r w:rsidR="00511A83">
        <w:rPr>
          <w:rFonts w:ascii="Cambria Math" w:hAnsi="Cambria Math" w:cs="Cambria Math"/>
          <w:sz w:val="20"/>
          <w:szCs w:val="20"/>
        </w:rPr>
        <w:instrText>‐</w:instrText>
      </w:r>
      <w:r w:rsidR="00511A83">
        <w:rPr>
          <w:rFonts w:ascii="Arial" w:hAnsi="Arial" w:cs="Arial"/>
          <w:sz w:val="20"/>
          <w:szCs w:val="20"/>
        </w:rPr>
        <w:instrText xml:space="preserve">Baldrich","given":"E."},{"family":"Simon","given":"D."},{"family":"Szalai","given":"Z. Z."},{"family":"Szepietowski","given":"J. C."},{"family":"Torrelo","given":"A."},{"family":"Werfel","given":"T."},{"family":"Werner","given":"R. N."},{"family":"Flohr","given":"C."}],"issued":{"date-parts":[["2025",9]]}}}],"schema":"https://github.com/citation-style-language/schema/raw/master/csl-citation.json"} </w:instrText>
      </w:r>
      <w:r w:rsidR="00646A51">
        <w:rPr>
          <w:rFonts w:ascii="Arial" w:hAnsi="Arial" w:cs="Arial"/>
          <w:sz w:val="20"/>
          <w:szCs w:val="20"/>
        </w:rPr>
        <w:fldChar w:fldCharType="separate"/>
      </w:r>
      <w:r w:rsidR="00A24290" w:rsidRPr="00A24290">
        <w:rPr>
          <w:rFonts w:ascii="Arial" w:hAnsi="Arial" w:cs="Arial"/>
          <w:sz w:val="20"/>
        </w:rPr>
        <w:t>(1,7,9)</w:t>
      </w:r>
      <w:r w:rsidR="00646A51">
        <w:rPr>
          <w:rFonts w:ascii="Arial" w:hAnsi="Arial" w:cs="Arial"/>
          <w:sz w:val="20"/>
          <w:szCs w:val="20"/>
        </w:rPr>
        <w:fldChar w:fldCharType="end"/>
      </w:r>
    </w:p>
    <w:p w14:paraId="334E19B1" w14:textId="77777777" w:rsidR="006F7062" w:rsidRDefault="006F7062" w:rsidP="00A764D8">
      <w:pPr>
        <w:jc w:val="both"/>
        <w:rPr>
          <w:rFonts w:ascii="Arial" w:hAnsi="Arial" w:cs="Arial"/>
          <w:sz w:val="20"/>
          <w:szCs w:val="20"/>
        </w:rPr>
      </w:pPr>
    </w:p>
    <w:p w14:paraId="563C76CA" w14:textId="77777777" w:rsidR="006F7062" w:rsidRPr="006F7062" w:rsidRDefault="006F7062" w:rsidP="00A764D8">
      <w:pPr>
        <w:jc w:val="both"/>
        <w:rPr>
          <w:rFonts w:ascii="Arial" w:hAnsi="Arial" w:cs="Arial"/>
          <w:b/>
          <w:bCs/>
          <w:sz w:val="20"/>
          <w:szCs w:val="20"/>
          <w:u w:val="single"/>
        </w:rPr>
      </w:pPr>
      <w:r w:rsidRPr="006F7062">
        <w:rPr>
          <w:rFonts w:ascii="Arial" w:hAnsi="Arial" w:cs="Arial"/>
          <w:b/>
          <w:bCs/>
          <w:sz w:val="20"/>
          <w:szCs w:val="20"/>
          <w:u w:val="single"/>
        </w:rPr>
        <w:t>Nuevas terapias</w:t>
      </w:r>
    </w:p>
    <w:p w14:paraId="68A5F4E7" w14:textId="77777777" w:rsidR="00174E39" w:rsidRDefault="006F7062" w:rsidP="00A764D8">
      <w:pPr>
        <w:jc w:val="both"/>
        <w:rPr>
          <w:rFonts w:ascii="Arial" w:hAnsi="Arial" w:cs="Arial"/>
          <w:sz w:val="20"/>
          <w:szCs w:val="20"/>
        </w:rPr>
      </w:pPr>
      <w:r w:rsidRPr="006F7062">
        <w:rPr>
          <w:rFonts w:ascii="Arial" w:hAnsi="Arial" w:cs="Arial"/>
          <w:sz w:val="20"/>
          <w:szCs w:val="20"/>
        </w:rPr>
        <w:t>Ambos grupos (iJAK y biológicos) generalmente son considerados terapias avanzadas de segunda línea sistémica (o superior) para adultos, después del fracaso de terapias tópicas y, a menudo, de inmunosupresores convencionales</w:t>
      </w:r>
      <w:r>
        <w:rPr>
          <w:rFonts w:ascii="Arial" w:hAnsi="Arial" w:cs="Arial"/>
          <w:sz w:val="20"/>
          <w:szCs w:val="20"/>
        </w:rPr>
        <w:t>.</w:t>
      </w:r>
    </w:p>
    <w:p w14:paraId="41B133BC" w14:textId="77777777" w:rsidR="006F7062" w:rsidRDefault="006F7062" w:rsidP="00A764D8">
      <w:pPr>
        <w:jc w:val="both"/>
        <w:rPr>
          <w:rFonts w:ascii="Arial" w:hAnsi="Arial" w:cs="Arial"/>
          <w:sz w:val="20"/>
          <w:szCs w:val="20"/>
        </w:rPr>
      </w:pPr>
    </w:p>
    <w:p w14:paraId="461A89C4" w14:textId="77777777" w:rsidR="00174E39" w:rsidRDefault="00174E39" w:rsidP="00A764D8">
      <w:pPr>
        <w:jc w:val="both"/>
        <w:rPr>
          <w:rFonts w:ascii="Arial" w:hAnsi="Arial" w:cs="Arial"/>
          <w:b/>
          <w:bCs/>
          <w:sz w:val="20"/>
          <w:szCs w:val="20"/>
        </w:rPr>
      </w:pPr>
      <w:r>
        <w:rPr>
          <w:rFonts w:ascii="Arial" w:hAnsi="Arial" w:cs="Arial"/>
          <w:b/>
          <w:bCs/>
          <w:sz w:val="20"/>
          <w:szCs w:val="20"/>
        </w:rPr>
        <w:t>Inhibidores de J</w:t>
      </w:r>
      <w:r w:rsidR="00C92D8C">
        <w:rPr>
          <w:rFonts w:ascii="Arial" w:hAnsi="Arial" w:cs="Arial"/>
          <w:b/>
          <w:bCs/>
          <w:sz w:val="20"/>
          <w:szCs w:val="20"/>
        </w:rPr>
        <w:t>anus</w:t>
      </w:r>
      <w:r>
        <w:rPr>
          <w:rFonts w:ascii="Arial" w:hAnsi="Arial" w:cs="Arial"/>
          <w:b/>
          <w:bCs/>
          <w:sz w:val="20"/>
          <w:szCs w:val="20"/>
        </w:rPr>
        <w:t xml:space="preserve"> quinasa</w:t>
      </w:r>
      <w:r w:rsidR="00FD653C">
        <w:rPr>
          <w:rFonts w:ascii="Arial" w:hAnsi="Arial" w:cs="Arial"/>
          <w:b/>
          <w:bCs/>
          <w:sz w:val="20"/>
          <w:szCs w:val="20"/>
        </w:rPr>
        <w:t xml:space="preserve"> (iJAK)</w:t>
      </w:r>
    </w:p>
    <w:p w14:paraId="0323EF36" w14:textId="77777777" w:rsidR="00174E39" w:rsidRPr="00174E39" w:rsidRDefault="00174E39">
      <w:pPr>
        <w:numPr>
          <w:ilvl w:val="0"/>
          <w:numId w:val="3"/>
        </w:numPr>
        <w:jc w:val="both"/>
        <w:rPr>
          <w:rFonts w:ascii="Arial" w:hAnsi="Arial" w:cs="Arial"/>
          <w:sz w:val="20"/>
          <w:szCs w:val="20"/>
        </w:rPr>
      </w:pPr>
      <w:r w:rsidRPr="00174E39">
        <w:rPr>
          <w:rFonts w:ascii="Arial" w:hAnsi="Arial" w:cs="Arial"/>
          <w:sz w:val="20"/>
          <w:szCs w:val="20"/>
        </w:rPr>
        <w:t>Upadacitinib</w:t>
      </w:r>
    </w:p>
    <w:p w14:paraId="149C9747" w14:textId="77777777" w:rsidR="00174E39" w:rsidRDefault="00174E39">
      <w:pPr>
        <w:numPr>
          <w:ilvl w:val="0"/>
          <w:numId w:val="3"/>
        </w:numPr>
        <w:jc w:val="both"/>
        <w:rPr>
          <w:rFonts w:ascii="Arial" w:hAnsi="Arial" w:cs="Arial"/>
          <w:sz w:val="20"/>
          <w:szCs w:val="20"/>
        </w:rPr>
      </w:pPr>
      <w:r w:rsidRPr="00174E39">
        <w:rPr>
          <w:rFonts w:ascii="Arial" w:hAnsi="Arial" w:cs="Arial"/>
          <w:sz w:val="20"/>
          <w:szCs w:val="20"/>
        </w:rPr>
        <w:t>Abrocitinib</w:t>
      </w:r>
    </w:p>
    <w:p w14:paraId="56643C29" w14:textId="77777777" w:rsidR="00E04CC9" w:rsidRDefault="00E04CC9">
      <w:pPr>
        <w:numPr>
          <w:ilvl w:val="0"/>
          <w:numId w:val="3"/>
        </w:numPr>
        <w:jc w:val="both"/>
        <w:rPr>
          <w:rFonts w:ascii="Arial" w:hAnsi="Arial" w:cs="Arial"/>
          <w:sz w:val="20"/>
          <w:szCs w:val="20"/>
        </w:rPr>
      </w:pPr>
      <w:r>
        <w:rPr>
          <w:rFonts w:ascii="Arial" w:hAnsi="Arial" w:cs="Arial"/>
          <w:sz w:val="20"/>
          <w:szCs w:val="20"/>
        </w:rPr>
        <w:t>Baricitinib</w:t>
      </w:r>
      <w:r w:rsidR="001A686D">
        <w:rPr>
          <w:rFonts w:ascii="Arial" w:hAnsi="Arial" w:cs="Arial"/>
          <w:sz w:val="20"/>
          <w:szCs w:val="20"/>
        </w:rPr>
        <w:t>.</w:t>
      </w:r>
      <w:r w:rsidR="001A686D" w:rsidRPr="001A686D">
        <w:t xml:space="preserve"> </w:t>
      </w:r>
      <w:r w:rsidR="001A686D" w:rsidRPr="001A686D">
        <w:rPr>
          <w:rFonts w:ascii="Arial" w:hAnsi="Arial" w:cs="Arial"/>
          <w:sz w:val="20"/>
          <w:szCs w:val="20"/>
        </w:rPr>
        <w:t xml:space="preserve">No está aprobado por la FDA </w:t>
      </w:r>
      <w:r w:rsidR="001A686D">
        <w:rPr>
          <w:rFonts w:ascii="Arial" w:hAnsi="Arial" w:cs="Arial"/>
          <w:sz w:val="20"/>
          <w:szCs w:val="20"/>
        </w:rPr>
        <w:t xml:space="preserve">en </w:t>
      </w:r>
      <w:r w:rsidR="00FE18E3">
        <w:rPr>
          <w:rFonts w:ascii="Arial" w:hAnsi="Arial" w:cs="Arial"/>
          <w:sz w:val="20"/>
          <w:szCs w:val="20"/>
        </w:rPr>
        <w:t>E</w:t>
      </w:r>
      <w:r w:rsidR="001A686D">
        <w:rPr>
          <w:rFonts w:ascii="Arial" w:hAnsi="Arial" w:cs="Arial"/>
          <w:sz w:val="20"/>
          <w:szCs w:val="20"/>
        </w:rPr>
        <w:t xml:space="preserve">stados </w:t>
      </w:r>
      <w:r w:rsidR="00FE18E3">
        <w:rPr>
          <w:rFonts w:ascii="Arial" w:hAnsi="Arial" w:cs="Arial"/>
          <w:sz w:val="20"/>
          <w:szCs w:val="20"/>
        </w:rPr>
        <w:t>U</w:t>
      </w:r>
      <w:r w:rsidR="001A686D">
        <w:rPr>
          <w:rFonts w:ascii="Arial" w:hAnsi="Arial" w:cs="Arial"/>
          <w:sz w:val="20"/>
          <w:szCs w:val="20"/>
        </w:rPr>
        <w:t xml:space="preserve">nidos </w:t>
      </w:r>
      <w:r w:rsidR="001A686D" w:rsidRPr="001A686D">
        <w:rPr>
          <w:rFonts w:ascii="Arial" w:hAnsi="Arial" w:cs="Arial"/>
          <w:sz w:val="20"/>
          <w:szCs w:val="20"/>
        </w:rPr>
        <w:t>para la DA, pero sí en Europ</w:t>
      </w:r>
      <w:r w:rsidR="001A686D">
        <w:rPr>
          <w:rFonts w:ascii="Arial" w:hAnsi="Arial" w:cs="Arial"/>
          <w:sz w:val="20"/>
          <w:szCs w:val="20"/>
        </w:rPr>
        <w:t xml:space="preserve">a. </w:t>
      </w:r>
    </w:p>
    <w:p w14:paraId="5E64D8AB" w14:textId="77777777" w:rsidR="005161B7" w:rsidRDefault="005161B7" w:rsidP="00FD653C">
      <w:pPr>
        <w:jc w:val="both"/>
        <w:rPr>
          <w:rFonts w:ascii="Arial" w:hAnsi="Arial" w:cs="Arial"/>
          <w:sz w:val="20"/>
          <w:szCs w:val="20"/>
        </w:rPr>
      </w:pPr>
    </w:p>
    <w:p w14:paraId="5DD907EA" w14:textId="77777777" w:rsidR="007D43ED" w:rsidRDefault="007D43ED" w:rsidP="00FD653C">
      <w:pPr>
        <w:jc w:val="both"/>
        <w:rPr>
          <w:rFonts w:ascii="Arial" w:hAnsi="Arial" w:cs="Arial"/>
          <w:sz w:val="20"/>
          <w:szCs w:val="20"/>
        </w:rPr>
      </w:pPr>
      <w:r w:rsidRPr="007D43ED">
        <w:rPr>
          <w:rFonts w:ascii="Arial" w:hAnsi="Arial" w:cs="Arial"/>
          <w:sz w:val="20"/>
          <w:szCs w:val="20"/>
        </w:rPr>
        <w:t xml:space="preserve">Los pacientes con DA que presentan enfermedades inflamatorias concomitantes, como alopecia areata, artritis reumatoide, artritis idiopática juvenil, espondilitis anquilosante, artritis psoriásica o enfermedades inflamatorias intestinales, probablemente experimenten efectos beneficiosos con el tratamiento, aunque la magnitud del efecto puede variar según el </w:t>
      </w:r>
      <w:r w:rsidR="00FD653C">
        <w:rPr>
          <w:rFonts w:ascii="Arial" w:hAnsi="Arial" w:cs="Arial"/>
          <w:sz w:val="20"/>
          <w:szCs w:val="20"/>
        </w:rPr>
        <w:t>i</w:t>
      </w:r>
      <w:r w:rsidRPr="007D43ED">
        <w:rPr>
          <w:rFonts w:ascii="Arial" w:hAnsi="Arial" w:cs="Arial"/>
          <w:sz w:val="20"/>
          <w:szCs w:val="20"/>
        </w:rPr>
        <w:t>JAK utilizado</w:t>
      </w:r>
      <w:r w:rsidR="00BD5ED6">
        <w:rPr>
          <w:rFonts w:ascii="Arial" w:hAnsi="Arial" w:cs="Arial"/>
          <w:sz w:val="20"/>
          <w:szCs w:val="20"/>
        </w:rPr>
        <w:t>.</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{"citationID":"LK2frlyL","properties":{"formattedCitation":"(9)","plainCitation":"(9)","noteIndex":0},"citationItems":[{"id":3,"uris":["http://zotero.org/users/18702181/items/IWZWKQHK"],"itemData":{"id":3,"type":"article-journal","abstract":"The evidence</w:instrText>
      </w:r>
      <w:r w:rsidR="00511A83">
        <w:rPr>
          <w:rFonts w:ascii="Cambria Math" w:hAnsi="Cambria Math" w:cs="Cambria Math"/>
          <w:sz w:val="20"/>
          <w:szCs w:val="20"/>
        </w:rPr>
        <w:instrText>‐</w:instrText>
      </w:r>
      <w:r w:rsidR="00511A83">
        <w:rPr>
          <w:rFonts w:ascii="Arial" w:hAnsi="Arial" w:cs="Arial"/>
          <w:sz w:val="20"/>
          <w:szCs w:val="20"/>
        </w:rPr>
        <w:instrText xml:space="preserve"> and consensus</w:instrText>
      </w:r>
      <w:r w:rsidR="00511A83">
        <w:rPr>
          <w:rFonts w:ascii="Cambria Math" w:hAnsi="Cambria Math" w:cs="Cambria Math"/>
          <w:sz w:val="20"/>
          <w:szCs w:val="20"/>
        </w:rPr>
        <w:instrText>‐</w:instrText>
      </w:r>
      <w:r w:rsidR="00511A83">
        <w:rPr>
          <w:rFonts w:ascii="Arial" w:hAnsi="Arial" w:cs="Arial"/>
          <w:sz w:val="20"/>
          <w:szCs w:val="20"/>
        </w:rPr>
        <w:instrText>based living guideline on atopic eczema was developed in accordance with the EuroGuiDerm Guideline and Consensus Statement Development Manual. The original EuroGuiDerm Guideline on atopic eczema was published in June 2022. Since then, the part of the guideline dealing with systemic therapy has been updated twice. This paper summarizes the results of the second update. Twenty</w:instrText>
      </w:r>
      <w:r w:rsidR="00511A83">
        <w:rPr>
          <w:rFonts w:ascii="Cambria Math" w:hAnsi="Cambria Math" w:cs="Cambria Math"/>
          <w:sz w:val="20"/>
          <w:szCs w:val="20"/>
        </w:rPr>
        <w:instrText>‐</w:instrText>
      </w:r>
      <w:r w:rsidR="00511A83">
        <w:rPr>
          <w:rFonts w:ascii="Arial" w:hAnsi="Arial" w:cs="Arial"/>
          <w:sz w:val="20"/>
          <w:szCs w:val="20"/>
        </w:rPr>
        <w:instrText>eight experts (including clinicians and patient representatives) from 12 European countries participated. The updated guideline provides guidance on which patients should be treated with systemic therapies, as well as recommendations and detailed information on each systemic drug. The systemic treatment options discussed in the guideline comprise conventional immunosuppressive drugs (azathioprine, ciclosporin, glucocorticosteroids, methotrexate and mycophenolate mofetil), biologics (dupilumab, lebrikizumab, nemolizumab and tralokinumab) and Janus kinase (JAK) inhibitors (abrocitinib, baricitinib and upadacitinib). Additionally, the updated guidelines address considerations for paediatric, adolescent, pregnant and breastfeeding patients. For all other aspects, please refer to the 2022 version., The updated guideline includes a new evidence</w:instrText>
      </w:r>
      <w:r w:rsidR="00511A83">
        <w:rPr>
          <w:rFonts w:ascii="Cambria Math" w:hAnsi="Cambria Math" w:cs="Cambria Math"/>
          <w:sz w:val="20"/>
          <w:szCs w:val="20"/>
        </w:rPr>
        <w:instrText>‐</w:instrText>
      </w:r>
      <w:r w:rsidR="00511A83">
        <w:rPr>
          <w:rFonts w:ascii="Arial" w:hAnsi="Arial" w:cs="Arial"/>
          <w:sz w:val="20"/>
          <w:szCs w:val="20"/>
        </w:rPr>
        <w:instrText>based recommendation for the IL</w:instrText>
      </w:r>
      <w:r w:rsidR="00511A83">
        <w:rPr>
          <w:rFonts w:ascii="Cambria Math" w:hAnsi="Cambria Math" w:cs="Cambria Math"/>
          <w:sz w:val="20"/>
          <w:szCs w:val="20"/>
        </w:rPr>
        <w:instrText>‐</w:instrText>
      </w:r>
      <w:r w:rsidR="00511A83">
        <w:rPr>
          <w:rFonts w:ascii="Arial" w:hAnsi="Arial" w:cs="Arial"/>
          <w:sz w:val="20"/>
          <w:szCs w:val="20"/>
        </w:rPr>
        <w:instrText>13 inhibitor lebrikizumab. In addition, the Janus kinase inhibitors baricitinib and abrocitinib, which were initially only approved for adult patients, are now also recommended for children from the age of 2 and adolescents from the age of 12, respectively.","container-title":"Journal of the European Academy of Dermatology and Venereology","DOI":"10.1111/jdv.20639","ISSN":"0926-9959","issue":"9","journalAbbreviation":"J Eur Acad Dermatol Venereol","page":"1537-1566","PMID":"40317496","PMCID":"PMC12376260","source":"PubMed Central","title":"European Guideline (EuroGuiDerm) on atopic eczema: Living update","title-short":"European Guideline (EuroGuiDerm) on atopic eczema","volume":"39","author":[{"family":"Wollenberg","given":"A."},{"family":"Kinberger","given":"M."},{"family":"Arents","given":"B."},{"family":"Aszodi","given":"N."},{"family":"Barbarot","given":"S."},{"family":"Bieber","given":"T."},{"family":"Brough","given":"H. A."},{"family":"Calzavara</w:instrText>
      </w:r>
      <w:r w:rsidR="00511A83">
        <w:rPr>
          <w:rFonts w:ascii="Cambria Math" w:hAnsi="Cambria Math" w:cs="Cambria Math"/>
          <w:sz w:val="20"/>
          <w:szCs w:val="20"/>
        </w:rPr>
        <w:instrText>‐</w:instrText>
      </w:r>
      <w:r w:rsidR="00511A83">
        <w:rPr>
          <w:rFonts w:ascii="Arial" w:hAnsi="Arial" w:cs="Arial"/>
          <w:sz w:val="20"/>
          <w:szCs w:val="20"/>
        </w:rPr>
        <w:instrText>Pinton","given":"P."},{"family":"Christen</w:instrText>
      </w:r>
      <w:r w:rsidR="00511A83">
        <w:rPr>
          <w:rFonts w:ascii="Cambria Math" w:hAnsi="Cambria Math" w:cs="Cambria Math"/>
          <w:sz w:val="20"/>
          <w:szCs w:val="20"/>
        </w:rPr>
        <w:instrText>‐</w:instrText>
      </w:r>
      <w:r w:rsidR="00511A83">
        <w:rPr>
          <w:rFonts w:ascii="Arial" w:hAnsi="Arial" w:cs="Arial"/>
          <w:sz w:val="20"/>
          <w:szCs w:val="20"/>
        </w:rPr>
        <w:instrText>Zaech","given":"S."},{"family":"Deleuran","given":"M."},{"family":"Dittmann","given":"M."},{"family":"Fosse","given":"N."},{"family":"Gáspár","given":"K."},{"family":"Gerbens","given":"L. A. A."},{"family":"Gieler","given":"U."},{"family":"Girolomoni","given":"G."},{"family":"Gregoriou","given":"S."},{"family":"Holland","given":"S."},{"family":"Mortz","given":"C. G."},{"family":"Nast","given":"A."},{"family":"Nygaard","given":"U."},{"family":"Rehbinder","given":"E. M."},{"family":"Ring","given":"J."},{"family":"Rossi","given":"M."},{"family":"Serra</w:instrText>
      </w:r>
      <w:r w:rsidR="00511A83">
        <w:rPr>
          <w:rFonts w:ascii="Cambria Math" w:hAnsi="Cambria Math" w:cs="Cambria Math"/>
          <w:sz w:val="20"/>
          <w:szCs w:val="20"/>
        </w:rPr>
        <w:instrText>‐</w:instrText>
      </w:r>
      <w:r w:rsidR="00511A83">
        <w:rPr>
          <w:rFonts w:ascii="Arial" w:hAnsi="Arial" w:cs="Arial"/>
          <w:sz w:val="20"/>
          <w:szCs w:val="20"/>
        </w:rPr>
        <w:instrText xml:space="preserve">Baldrich","given":"E."},{"family":"Simon","given":"D."},{"family":"Szalai","given":"Z. Z."},{"family":"Szepietowski","given":"J. C."},{"family":"Torrelo","given":"A."},{"family":"Werfel","given":"T."},{"family":"Werner","given":"R. N."},{"family":"Flohr","given":"C."}],"issued":{"date-parts":[["2025",9]]}}}],"schema":"https://github.com/citation-style-language/schema/raw/master/csl-citation.json"} </w:instrText>
      </w:r>
      <w:r w:rsidR="00646A51">
        <w:rPr>
          <w:rFonts w:ascii="Arial" w:hAnsi="Arial" w:cs="Arial"/>
          <w:sz w:val="20"/>
          <w:szCs w:val="20"/>
        </w:rPr>
        <w:fldChar w:fldCharType="separate"/>
      </w:r>
      <w:r w:rsidR="00A24290" w:rsidRPr="00A24290">
        <w:rPr>
          <w:rFonts w:ascii="Arial" w:hAnsi="Arial" w:cs="Arial"/>
          <w:sz w:val="20"/>
        </w:rPr>
        <w:t>(9)</w:t>
      </w:r>
      <w:r w:rsidR="00646A51">
        <w:rPr>
          <w:rFonts w:ascii="Arial" w:hAnsi="Arial" w:cs="Arial"/>
          <w:sz w:val="20"/>
          <w:szCs w:val="20"/>
        </w:rPr>
        <w:fldChar w:fldCharType="end"/>
      </w:r>
      <w:r w:rsidR="00FD653C" w:rsidRPr="00FD653C">
        <w:t xml:space="preserve"> </w:t>
      </w:r>
      <w:r w:rsidR="00FD653C">
        <w:rPr>
          <w:rFonts w:ascii="Arial" w:hAnsi="Arial" w:cs="Arial"/>
          <w:sz w:val="20"/>
          <w:szCs w:val="20"/>
        </w:rPr>
        <w:t xml:space="preserve">También se debe tener en cuenta que </w:t>
      </w:r>
      <w:r w:rsidR="00FD653C" w:rsidRPr="00FD653C">
        <w:rPr>
          <w:rFonts w:ascii="Arial" w:hAnsi="Arial" w:cs="Arial"/>
          <w:sz w:val="20"/>
          <w:szCs w:val="20"/>
        </w:rPr>
        <w:t>actúan más rápidamente que los medicamentos biológicos. Sin embargo, pueden no ser adecuados para todas las personas, ya que tienen un mayor riesgo de tromboembolia venosa y de eventos cardiovasculares</w:t>
      </w:r>
      <w:r w:rsidR="00BD5ED6">
        <w:rPr>
          <w:rFonts w:ascii="Arial" w:hAnsi="Arial" w:cs="Arial"/>
          <w:sz w:val="20"/>
          <w:szCs w:val="20"/>
        </w:rPr>
        <w:t>.</w:t>
      </w:r>
      <w:r w:rsidR="00A3793E">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{"citationID":"oz1t2G5w","properties":{"formattedCitation":"(6)","plainCitation":"(6)","noteIndex":0},"citationItems":[{"id":19,"uris":["http://zotero.org/users/18702181/items/D23SH82W"],"itemData":{"id":19,"type":"book","call-number":"NBK617252","collection-title":"National Institute for Health and Care Excellence: Technology Appraisals","ISBN":"978-1-4731-7082-7","language":"eng","note":"PMID: 40828954","publisher":"National Institute for Health and Care Excellence (NICE)","publisher-place":"London","source":"PubMed","title":"Nemolizumab for treating moderate to severe atopic dermatitis in people 12 years and over","URL":"http://www.ncbi.nlm.nih.gov/books/NBK617252/","accessed":{"date-parts":[["2025",11,5]]},"issued":{"date-parts":[["2025"]]}}}],"schema":"https://github.com/citation-style-language/schema/raw/master/csl-citation.json"} </w:instrText>
      </w:r>
      <w:r w:rsidR="00646A51">
        <w:rPr>
          <w:rFonts w:ascii="Arial" w:hAnsi="Arial" w:cs="Arial"/>
          <w:sz w:val="20"/>
          <w:szCs w:val="20"/>
        </w:rPr>
        <w:fldChar w:fldCharType="separate"/>
      </w:r>
      <w:r w:rsidR="00A24290" w:rsidRPr="00A24290">
        <w:rPr>
          <w:rFonts w:ascii="Arial" w:hAnsi="Arial" w:cs="Arial"/>
          <w:sz w:val="20"/>
        </w:rPr>
        <w:t>(6)</w:t>
      </w:r>
      <w:r w:rsidR="00646A51">
        <w:rPr>
          <w:rFonts w:ascii="Arial" w:hAnsi="Arial" w:cs="Arial"/>
          <w:sz w:val="20"/>
          <w:szCs w:val="20"/>
        </w:rPr>
        <w:fldChar w:fldCharType="end"/>
      </w:r>
    </w:p>
    <w:p w14:paraId="6A117625" w14:textId="77777777" w:rsidR="002D48B8" w:rsidRPr="007D43ED" w:rsidRDefault="002D48B8" w:rsidP="007D43ED">
      <w:pPr>
        <w:jc w:val="both"/>
        <w:rPr>
          <w:rFonts w:ascii="Arial" w:hAnsi="Arial" w:cs="Arial"/>
          <w:sz w:val="20"/>
          <w:szCs w:val="20"/>
        </w:rPr>
      </w:pPr>
    </w:p>
    <w:p w14:paraId="3AEE56FD" w14:textId="77777777" w:rsidR="00742FA7" w:rsidRPr="00174E39" w:rsidRDefault="00174E39" w:rsidP="00A764D8">
      <w:pPr>
        <w:jc w:val="both"/>
        <w:rPr>
          <w:rFonts w:ascii="Arial" w:hAnsi="Arial" w:cs="Arial"/>
          <w:sz w:val="20"/>
          <w:szCs w:val="20"/>
        </w:rPr>
      </w:pPr>
      <w:r w:rsidRPr="00174E39">
        <w:rPr>
          <w:rFonts w:ascii="Arial" w:hAnsi="Arial" w:cs="Arial"/>
          <w:b/>
          <w:bCs/>
          <w:sz w:val="20"/>
          <w:szCs w:val="20"/>
        </w:rPr>
        <w:t>Tratamientos b</w:t>
      </w:r>
      <w:r w:rsidR="00742FA7" w:rsidRPr="00174E39">
        <w:rPr>
          <w:rFonts w:ascii="Arial" w:hAnsi="Arial" w:cs="Arial"/>
          <w:b/>
          <w:bCs/>
          <w:sz w:val="20"/>
          <w:szCs w:val="20"/>
        </w:rPr>
        <w:t>iológicos</w:t>
      </w:r>
      <w:r w:rsidR="00742FA7" w:rsidRPr="00174E39">
        <w:rPr>
          <w:rFonts w:ascii="Arial" w:hAnsi="Arial" w:cs="Arial"/>
          <w:sz w:val="20"/>
          <w:szCs w:val="20"/>
        </w:rPr>
        <w:t xml:space="preserve"> </w:t>
      </w:r>
      <w:r w:rsidRPr="00174E39">
        <w:rPr>
          <w:rFonts w:ascii="Arial" w:hAnsi="Arial" w:cs="Arial"/>
          <w:sz w:val="20"/>
          <w:szCs w:val="20"/>
        </w:rPr>
        <w:t xml:space="preserve">indicados en la DA moderada-severa. </w:t>
      </w:r>
    </w:p>
    <w:p w14:paraId="648BF0D0" w14:textId="77777777" w:rsidR="00A764D8" w:rsidRPr="002D48B8" w:rsidRDefault="00742FA7">
      <w:pPr>
        <w:pStyle w:val="NormalWeb"/>
        <w:numPr>
          <w:ilvl w:val="0"/>
          <w:numId w:val="3"/>
        </w:numPr>
        <w:jc w:val="both"/>
        <w:rPr>
          <w:rFonts w:ascii="Arial" w:hAnsi="Arial" w:cs="Arial"/>
          <w:sz w:val="20"/>
          <w:szCs w:val="20"/>
        </w:rPr>
      </w:pPr>
      <w:r w:rsidRPr="002D48B8">
        <w:rPr>
          <w:rFonts w:ascii="Arial" w:hAnsi="Arial" w:cs="Arial"/>
          <w:sz w:val="20"/>
          <w:szCs w:val="20"/>
        </w:rPr>
        <w:t>Dupilumab</w:t>
      </w:r>
      <w:r w:rsidR="00174E39" w:rsidRPr="002D48B8">
        <w:rPr>
          <w:rFonts w:ascii="Arial" w:hAnsi="Arial" w:cs="Arial"/>
          <w:sz w:val="20"/>
          <w:szCs w:val="20"/>
        </w:rPr>
        <w:t xml:space="preserve"> (</w:t>
      </w:r>
      <w:r w:rsidR="00F973B4" w:rsidRPr="002D48B8">
        <w:rPr>
          <w:rFonts w:ascii="Arial" w:hAnsi="Arial" w:cs="Arial"/>
          <w:sz w:val="20"/>
          <w:szCs w:val="20"/>
        </w:rPr>
        <w:t>anti-</w:t>
      </w:r>
      <w:r w:rsidR="00174E39" w:rsidRPr="002D48B8">
        <w:rPr>
          <w:rFonts w:ascii="Arial" w:hAnsi="Arial" w:cs="Arial"/>
          <w:sz w:val="20"/>
          <w:szCs w:val="20"/>
        </w:rPr>
        <w:t>IL4</w:t>
      </w:r>
      <w:r w:rsidR="00F973B4" w:rsidRPr="002D48B8">
        <w:rPr>
          <w:rFonts w:ascii="Arial" w:hAnsi="Arial" w:cs="Arial"/>
          <w:sz w:val="20"/>
          <w:szCs w:val="20"/>
        </w:rPr>
        <w:t>/IL13</w:t>
      </w:r>
      <w:r w:rsidR="00174E39" w:rsidRPr="002D48B8">
        <w:rPr>
          <w:rFonts w:ascii="Arial" w:hAnsi="Arial" w:cs="Arial"/>
          <w:sz w:val="20"/>
          <w:szCs w:val="20"/>
        </w:rPr>
        <w:t>):</w:t>
      </w:r>
      <w:r w:rsidRPr="002D48B8">
        <w:rPr>
          <w:rFonts w:ascii="Arial" w:hAnsi="Arial" w:cs="Arial"/>
          <w:sz w:val="20"/>
          <w:szCs w:val="20"/>
        </w:rPr>
        <w:t xml:space="preserve"> </w:t>
      </w:r>
      <w:r w:rsidR="0061038D" w:rsidRPr="002D48B8">
        <w:rPr>
          <w:rFonts w:ascii="Arial" w:hAnsi="Arial" w:cs="Arial"/>
          <w:sz w:val="20"/>
          <w:szCs w:val="20"/>
        </w:rPr>
        <w:t>1º</w:t>
      </w:r>
      <w:r w:rsidRPr="002D48B8">
        <w:rPr>
          <w:rFonts w:ascii="Arial" w:hAnsi="Arial" w:cs="Arial"/>
          <w:sz w:val="20"/>
          <w:szCs w:val="20"/>
        </w:rPr>
        <w:t xml:space="preserve"> tratamiento sistémico dirigido aprobado</w:t>
      </w:r>
      <w:r w:rsidR="00174E39" w:rsidRPr="002D48B8">
        <w:rPr>
          <w:rFonts w:ascii="Arial" w:hAnsi="Arial" w:cs="Arial"/>
          <w:sz w:val="20"/>
          <w:szCs w:val="20"/>
        </w:rPr>
        <w:t>.</w:t>
      </w:r>
      <w:r w:rsidR="009C088C" w:rsidRPr="002D48B8">
        <w:rPr>
          <w:rFonts w:ascii="Arial" w:hAnsi="Arial" w:cs="Arial"/>
          <w:sz w:val="20"/>
          <w:szCs w:val="20"/>
        </w:rPr>
        <w:t xml:space="preserve"> Los pacientes con dermatitis atópica y comorbilidades </w:t>
      </w:r>
      <w:r w:rsidR="00A764D8" w:rsidRPr="002D48B8">
        <w:rPr>
          <w:rFonts w:ascii="Arial" w:hAnsi="Arial" w:cs="Arial"/>
          <w:sz w:val="20"/>
          <w:szCs w:val="20"/>
        </w:rPr>
        <w:t xml:space="preserve">como </w:t>
      </w:r>
      <w:r w:rsidR="009C088C" w:rsidRPr="002D48B8">
        <w:rPr>
          <w:rFonts w:ascii="Arial" w:hAnsi="Arial" w:cs="Arial"/>
          <w:sz w:val="20"/>
          <w:szCs w:val="20"/>
        </w:rPr>
        <w:t>prurigo nodular, asma, rinosinusitis crónica co</w:t>
      </w:r>
      <w:r w:rsidR="002D48B8">
        <w:rPr>
          <w:rFonts w:ascii="Arial" w:hAnsi="Arial" w:cs="Arial"/>
          <w:sz w:val="20"/>
          <w:szCs w:val="20"/>
        </w:rPr>
        <w:t>n p</w:t>
      </w:r>
      <w:r w:rsidR="009C088C" w:rsidRPr="002D48B8">
        <w:rPr>
          <w:rFonts w:ascii="Arial" w:hAnsi="Arial" w:cs="Arial"/>
          <w:sz w:val="20"/>
          <w:szCs w:val="20"/>
        </w:rPr>
        <w:t>ólipos nasales o esofagitis eosinofílica</w:t>
      </w:r>
      <w:r w:rsidR="00A764D8" w:rsidRPr="002D48B8">
        <w:rPr>
          <w:rFonts w:ascii="Arial" w:hAnsi="Arial" w:cs="Arial"/>
          <w:sz w:val="20"/>
          <w:szCs w:val="20"/>
        </w:rPr>
        <w:t xml:space="preserve"> </w:t>
      </w:r>
      <w:r w:rsidR="009C088C" w:rsidRPr="002D48B8">
        <w:rPr>
          <w:rFonts w:ascii="Arial" w:hAnsi="Arial" w:cs="Arial"/>
          <w:sz w:val="20"/>
          <w:szCs w:val="20"/>
        </w:rPr>
        <w:t>pueden beneficiarse también del tratamiento con dupilumab en estas enfermedades</w:t>
      </w:r>
      <w:r w:rsidR="00BD5ED6">
        <w:rPr>
          <w:rFonts w:ascii="Arial" w:hAnsi="Arial" w:cs="Arial"/>
          <w:sz w:val="20"/>
          <w:szCs w:val="20"/>
        </w:rPr>
        <w:t>.</w:t>
      </w:r>
      <w:r w:rsidR="00646A51" w:rsidRPr="002D48B8">
        <w:rPr>
          <w:rFonts w:ascii="Arial" w:hAnsi="Arial" w:cs="Arial"/>
          <w:sz w:val="20"/>
          <w:szCs w:val="20"/>
        </w:rPr>
        <w:fldChar w:fldCharType="begin"/>
      </w:r>
      <w:r w:rsidR="00511A83">
        <w:rPr>
          <w:rFonts w:ascii="Arial" w:hAnsi="Arial" w:cs="Arial"/>
          <w:sz w:val="20"/>
          <w:szCs w:val="20"/>
        </w:rPr>
        <w:instrText xml:space="preserve"> ADDIN ZOTERO_ITEM CSL_CITATION {"citationID":"Q7iWFFEE","properties":{"formattedCitation":"(9)","plainCitation":"(9)","noteIndex":0},"citationItems":[{"id":3,"uris":["http://zotero.org/users/18702181/items/IWZWKQHK"],"itemData":{"id":3,"type":"article-journal","abstract":"The evidence</w:instrText>
      </w:r>
      <w:r w:rsidR="00511A83">
        <w:rPr>
          <w:rFonts w:ascii="Cambria Math" w:hAnsi="Cambria Math" w:cs="Cambria Math"/>
          <w:sz w:val="20"/>
          <w:szCs w:val="20"/>
        </w:rPr>
        <w:instrText>‐</w:instrText>
      </w:r>
      <w:r w:rsidR="00511A83">
        <w:rPr>
          <w:rFonts w:ascii="Arial" w:hAnsi="Arial" w:cs="Arial"/>
          <w:sz w:val="20"/>
          <w:szCs w:val="20"/>
        </w:rPr>
        <w:instrText xml:space="preserve"> and consensus</w:instrText>
      </w:r>
      <w:r w:rsidR="00511A83">
        <w:rPr>
          <w:rFonts w:ascii="Cambria Math" w:hAnsi="Cambria Math" w:cs="Cambria Math"/>
          <w:sz w:val="20"/>
          <w:szCs w:val="20"/>
        </w:rPr>
        <w:instrText>‐</w:instrText>
      </w:r>
      <w:r w:rsidR="00511A83">
        <w:rPr>
          <w:rFonts w:ascii="Arial" w:hAnsi="Arial" w:cs="Arial"/>
          <w:sz w:val="20"/>
          <w:szCs w:val="20"/>
        </w:rPr>
        <w:instrText>based living guideline on atopic eczema was developed in accordance with the EuroGuiDerm Guideline and Consensus Statement Development Manual. The original EuroGuiDerm Guideline on atopic eczema was published in June 2022. Since then, the part of the guideline dealing with systemic therapy has been updated twice. This paper summarizes the results of the second update. Twenty</w:instrText>
      </w:r>
      <w:r w:rsidR="00511A83">
        <w:rPr>
          <w:rFonts w:ascii="Cambria Math" w:hAnsi="Cambria Math" w:cs="Cambria Math"/>
          <w:sz w:val="20"/>
          <w:szCs w:val="20"/>
        </w:rPr>
        <w:instrText>‐</w:instrText>
      </w:r>
      <w:r w:rsidR="00511A83">
        <w:rPr>
          <w:rFonts w:ascii="Arial" w:hAnsi="Arial" w:cs="Arial"/>
          <w:sz w:val="20"/>
          <w:szCs w:val="20"/>
        </w:rPr>
        <w:instrText>eight experts (including clinicians and patient representatives) from 12 European countries participated. The updated guideline provides guidance on which patients should be treated with systemic therapies, as well as recommendations and detailed information on each systemic drug. The systemic treatment options discussed in the guideline comprise conventional immunosuppressive drugs (azathioprine, ciclosporin, glucocorticosteroids, methotrexate and mycophenolate mofetil), biologics (dupilumab, lebrikizumab, nemolizumab and tralokinumab) and Janus kinase (JAK) inhibitors (abrocitinib, baricitinib and upadacitinib). Additionally, the updated guidelines address considerations for paediatric, adolescent, pregnant and breastfeeding patients. For all other aspects, please refer to the 2022 version., The updated guideline includes a new evidence</w:instrText>
      </w:r>
      <w:r w:rsidR="00511A83">
        <w:rPr>
          <w:rFonts w:ascii="Cambria Math" w:hAnsi="Cambria Math" w:cs="Cambria Math"/>
          <w:sz w:val="20"/>
          <w:szCs w:val="20"/>
        </w:rPr>
        <w:instrText>‐</w:instrText>
      </w:r>
      <w:r w:rsidR="00511A83">
        <w:rPr>
          <w:rFonts w:ascii="Arial" w:hAnsi="Arial" w:cs="Arial"/>
          <w:sz w:val="20"/>
          <w:szCs w:val="20"/>
        </w:rPr>
        <w:instrText>based recommendation for the IL</w:instrText>
      </w:r>
      <w:r w:rsidR="00511A83">
        <w:rPr>
          <w:rFonts w:ascii="Cambria Math" w:hAnsi="Cambria Math" w:cs="Cambria Math"/>
          <w:sz w:val="20"/>
          <w:szCs w:val="20"/>
        </w:rPr>
        <w:instrText>‐</w:instrText>
      </w:r>
      <w:r w:rsidR="00511A83">
        <w:rPr>
          <w:rFonts w:ascii="Arial" w:hAnsi="Arial" w:cs="Arial"/>
          <w:sz w:val="20"/>
          <w:szCs w:val="20"/>
        </w:rPr>
        <w:instrText>13 inhibitor lebrikizumab. In addition, the Janus kinase inhibitors baricitinib and abrocitinib, which were initially only approved for adult patients, are now also recommended for children from the age of 2 and adolescents from the age of 12, respectively.","container-title":"Journal of the European Academy of Dermatology and Venereology","DOI":"10.1111/jdv.20639","ISSN":"0926-9959","issue":"9","journalAbbreviation":"J Eur Acad Dermatol Venereol","page":"1537-1566","PMID":"40317496","PMCID":"PMC12376260","source":"PubMed Central","title":"European Guideline (EuroGuiDerm) on atopic eczema: Living update","title-short":"European Guideline (EuroGuiDerm) on atopic eczema","volume":"39","author":[{"family":"Wollenberg","given":"A."},{"family":"Kinberger","given":"M."},{"family":"Arents","given":"B."},{"family":"Aszodi","given":"N."},{"family":"Barbarot","given":"S."},{"family":"Bieber","given":"T."},{"family":"Brough","given":"H. A."},{"family":"Calzavara</w:instrText>
      </w:r>
      <w:r w:rsidR="00511A83">
        <w:rPr>
          <w:rFonts w:ascii="Cambria Math" w:hAnsi="Cambria Math" w:cs="Cambria Math"/>
          <w:sz w:val="20"/>
          <w:szCs w:val="20"/>
        </w:rPr>
        <w:instrText>‐</w:instrText>
      </w:r>
      <w:r w:rsidR="00511A83">
        <w:rPr>
          <w:rFonts w:ascii="Arial" w:hAnsi="Arial" w:cs="Arial"/>
          <w:sz w:val="20"/>
          <w:szCs w:val="20"/>
        </w:rPr>
        <w:instrText>Pinton","given":"P."},{"family":"Christen</w:instrText>
      </w:r>
      <w:r w:rsidR="00511A83">
        <w:rPr>
          <w:rFonts w:ascii="Cambria Math" w:hAnsi="Cambria Math" w:cs="Cambria Math"/>
          <w:sz w:val="20"/>
          <w:szCs w:val="20"/>
        </w:rPr>
        <w:instrText>‐</w:instrText>
      </w:r>
      <w:r w:rsidR="00511A83">
        <w:rPr>
          <w:rFonts w:ascii="Arial" w:hAnsi="Arial" w:cs="Arial"/>
          <w:sz w:val="20"/>
          <w:szCs w:val="20"/>
        </w:rPr>
        <w:instrText>Zaech","given":"S."},{"family":"Deleuran","given":"M."},{"family":"Dittmann","given":"M."},{"family":"Fosse","given":"N."},{"family":"Gáspár","given":"K."},{"family":"Gerbens","given":"L. A. A."},{"family":"Gieler","given":"U."},{"family":"Girolomoni","given":"G."},{"family":"Gregoriou","given":"S."},{"family":"Holland","given":"S."},{"family":"Mortz","given":"C. G."},{"family":"Nast","given":"A."},{"family":"Nygaard","given":"U."},{"family":"Rehbinder","given":"E. M."},{"family":"Ring","given":"J."},{"family":"Rossi","given":"M."},{"family":"Serra</w:instrText>
      </w:r>
      <w:r w:rsidR="00511A83">
        <w:rPr>
          <w:rFonts w:ascii="Cambria Math" w:hAnsi="Cambria Math" w:cs="Cambria Math"/>
          <w:sz w:val="20"/>
          <w:szCs w:val="20"/>
        </w:rPr>
        <w:instrText>‐</w:instrText>
      </w:r>
      <w:r w:rsidR="00511A83">
        <w:rPr>
          <w:rFonts w:ascii="Arial" w:hAnsi="Arial" w:cs="Arial"/>
          <w:sz w:val="20"/>
          <w:szCs w:val="20"/>
        </w:rPr>
        <w:instrText xml:space="preserve">Baldrich","given":"E."},{"family":"Simon","given":"D."},{"family":"Szalai","given":"Z. Z."},{"family":"Szepietowski","given":"J. C."},{"family":"Torrelo","given":"A."},{"family":"Werfel","given":"T."},{"family":"Werner","given":"R. N."},{"family":"Flohr","given":"C."}],"issued":{"date-parts":[["2025",9]]}}}],"schema":"https://github.com/citation-style-language/schema/raw/master/csl-citation.json"} </w:instrText>
      </w:r>
      <w:r w:rsidR="00646A51" w:rsidRPr="002D48B8">
        <w:rPr>
          <w:rFonts w:ascii="Arial" w:hAnsi="Arial" w:cs="Arial"/>
          <w:sz w:val="20"/>
          <w:szCs w:val="20"/>
        </w:rPr>
        <w:fldChar w:fldCharType="separate"/>
      </w:r>
      <w:r w:rsidR="00A24290" w:rsidRPr="00A24290">
        <w:rPr>
          <w:rFonts w:ascii="Arial" w:hAnsi="Arial" w:cs="Arial"/>
          <w:sz w:val="20"/>
        </w:rPr>
        <w:t>(9)</w:t>
      </w:r>
      <w:r w:rsidR="00646A51" w:rsidRPr="002D48B8">
        <w:rPr>
          <w:rFonts w:ascii="Arial" w:hAnsi="Arial" w:cs="Arial"/>
          <w:sz w:val="20"/>
          <w:szCs w:val="20"/>
        </w:rPr>
        <w:fldChar w:fldCharType="end"/>
      </w:r>
    </w:p>
    <w:p w14:paraId="67A251A6" w14:textId="77777777" w:rsidR="0061038D" w:rsidRPr="00A764D8" w:rsidRDefault="00A764D8">
      <w:pPr>
        <w:pStyle w:val="NormalWeb"/>
        <w:numPr>
          <w:ilvl w:val="0"/>
          <w:numId w:val="3"/>
        </w:numPr>
        <w:jc w:val="both"/>
        <w:rPr>
          <w:rFonts w:ascii="Arial" w:hAnsi="Arial" w:cs="Arial"/>
          <w:sz w:val="20"/>
          <w:szCs w:val="20"/>
        </w:rPr>
      </w:pPr>
      <w:r>
        <w:rPr>
          <w:rFonts w:ascii="Arial" w:hAnsi="Arial" w:cs="Arial"/>
          <w:sz w:val="20"/>
          <w:szCs w:val="20"/>
        </w:rPr>
        <w:t>T</w:t>
      </w:r>
      <w:r w:rsidR="0061038D" w:rsidRPr="00A764D8">
        <w:rPr>
          <w:rFonts w:ascii="Arial" w:hAnsi="Arial" w:cs="Arial"/>
          <w:sz w:val="20"/>
          <w:szCs w:val="20"/>
        </w:rPr>
        <w:t>ralokinumab</w:t>
      </w:r>
      <w:r w:rsidR="00174E39" w:rsidRPr="00A764D8">
        <w:rPr>
          <w:rFonts w:ascii="Arial" w:hAnsi="Arial" w:cs="Arial"/>
          <w:sz w:val="20"/>
          <w:szCs w:val="20"/>
        </w:rPr>
        <w:t xml:space="preserve"> </w:t>
      </w:r>
      <w:r w:rsidR="009C088C" w:rsidRPr="00A764D8">
        <w:rPr>
          <w:rFonts w:ascii="Arial" w:hAnsi="Arial" w:cs="Arial"/>
          <w:sz w:val="20"/>
          <w:szCs w:val="20"/>
        </w:rPr>
        <w:t>(</w:t>
      </w:r>
      <w:r w:rsidR="00174E39" w:rsidRPr="00A764D8">
        <w:rPr>
          <w:rFonts w:ascii="Arial" w:hAnsi="Arial" w:cs="Arial"/>
          <w:sz w:val="20"/>
          <w:szCs w:val="20"/>
        </w:rPr>
        <w:t>anti-IL13)</w:t>
      </w:r>
      <w:r w:rsidR="0061038D" w:rsidRPr="00A764D8">
        <w:rPr>
          <w:rFonts w:ascii="Arial" w:hAnsi="Arial" w:cs="Arial"/>
          <w:sz w:val="20"/>
          <w:szCs w:val="20"/>
        </w:rPr>
        <w:t xml:space="preserve"> </w:t>
      </w:r>
    </w:p>
    <w:p w14:paraId="59233155" w14:textId="77777777" w:rsidR="0061038D" w:rsidRPr="00174E39" w:rsidRDefault="0061038D">
      <w:pPr>
        <w:numPr>
          <w:ilvl w:val="0"/>
          <w:numId w:val="3"/>
        </w:numPr>
        <w:jc w:val="both"/>
        <w:rPr>
          <w:rFonts w:ascii="Arial" w:hAnsi="Arial" w:cs="Arial"/>
          <w:sz w:val="20"/>
          <w:szCs w:val="20"/>
        </w:rPr>
      </w:pPr>
      <w:r w:rsidRPr="00174E39">
        <w:rPr>
          <w:rFonts w:ascii="Arial" w:hAnsi="Arial" w:cs="Arial"/>
          <w:sz w:val="20"/>
          <w:szCs w:val="20"/>
        </w:rPr>
        <w:t>Lebrikizumab</w:t>
      </w:r>
      <w:r w:rsidR="00174E39" w:rsidRPr="00174E39">
        <w:rPr>
          <w:rFonts w:ascii="Arial" w:hAnsi="Arial" w:cs="Arial"/>
          <w:sz w:val="20"/>
          <w:szCs w:val="20"/>
        </w:rPr>
        <w:t xml:space="preserve"> (anti-IL13)</w:t>
      </w:r>
    </w:p>
    <w:p w14:paraId="36287687" w14:textId="77777777" w:rsidR="00E161D1" w:rsidRPr="00B83F84" w:rsidRDefault="00174E39">
      <w:pPr>
        <w:numPr>
          <w:ilvl w:val="0"/>
          <w:numId w:val="3"/>
        </w:numPr>
        <w:jc w:val="both"/>
      </w:pPr>
      <w:r w:rsidRPr="00E161D1">
        <w:rPr>
          <w:rFonts w:ascii="Arial" w:hAnsi="Arial" w:cs="Arial"/>
          <w:sz w:val="20"/>
          <w:szCs w:val="20"/>
        </w:rPr>
        <w:t>Nemolizumab (anti IL-31</w:t>
      </w:r>
      <w:r w:rsidR="00F14564">
        <w:rPr>
          <w:rFonts w:ascii="Arial" w:hAnsi="Arial" w:cs="Arial"/>
          <w:sz w:val="20"/>
          <w:szCs w:val="20"/>
        </w:rPr>
        <w:t>)</w:t>
      </w:r>
    </w:p>
    <w:p w14:paraId="4957DB0E" w14:textId="77777777" w:rsidR="00B83F84" w:rsidRDefault="00B83F84" w:rsidP="00B83F84">
      <w:pPr>
        <w:jc w:val="both"/>
        <w:rPr>
          <w:rFonts w:ascii="Arial" w:hAnsi="Arial" w:cs="Arial"/>
          <w:sz w:val="20"/>
          <w:szCs w:val="20"/>
        </w:rPr>
      </w:pPr>
    </w:p>
    <w:p w14:paraId="4A7B82E6" w14:textId="77777777" w:rsidR="00B83F84" w:rsidRDefault="00B83F84" w:rsidP="00B83F84">
      <w:pPr>
        <w:jc w:val="both"/>
        <w:rPr>
          <w:rFonts w:ascii="Arial" w:hAnsi="Arial" w:cs="Arial"/>
          <w:sz w:val="20"/>
          <w:szCs w:val="20"/>
        </w:rPr>
      </w:pPr>
    </w:p>
    <w:p w14:paraId="7F599116" w14:textId="77777777" w:rsidR="00B83F84" w:rsidRDefault="00B83F84" w:rsidP="00B83F84">
      <w:pPr>
        <w:jc w:val="both"/>
        <w:rPr>
          <w:rFonts w:ascii="Arial" w:hAnsi="Arial" w:cs="Arial"/>
          <w:sz w:val="20"/>
          <w:szCs w:val="20"/>
        </w:rPr>
      </w:pPr>
    </w:p>
    <w:p w14:paraId="2A1FE989" w14:textId="77777777" w:rsidR="00B83F84" w:rsidRDefault="00B83F84" w:rsidP="00B83F84">
      <w:pPr>
        <w:jc w:val="both"/>
        <w:rPr>
          <w:rFonts w:ascii="Arial" w:hAnsi="Arial" w:cs="Arial"/>
          <w:sz w:val="20"/>
          <w:szCs w:val="20"/>
        </w:rPr>
      </w:pPr>
    </w:p>
    <w:p w14:paraId="254F0004" w14:textId="77777777" w:rsidR="00B83F84" w:rsidRDefault="00B83F84" w:rsidP="00B83F84">
      <w:pPr>
        <w:jc w:val="both"/>
        <w:rPr>
          <w:rFonts w:ascii="Arial" w:hAnsi="Arial" w:cs="Arial"/>
          <w:sz w:val="20"/>
          <w:szCs w:val="20"/>
        </w:rPr>
      </w:pPr>
    </w:p>
    <w:p w14:paraId="62C06BB9" w14:textId="77777777" w:rsidR="00B83F84" w:rsidRPr="00873477" w:rsidRDefault="00B83F84" w:rsidP="00B83F84">
      <w:pPr>
        <w:jc w:val="both"/>
      </w:pPr>
    </w:p>
    <w:p w14:paraId="0AF182FC" w14:textId="77777777" w:rsidR="00873477" w:rsidRPr="00873477" w:rsidRDefault="00873477" w:rsidP="00873477">
      <w:pPr>
        <w:ind w:left="720"/>
        <w:jc w:val="both"/>
      </w:pPr>
    </w:p>
    <w:p w14:paraId="6E3AAACD"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22" w:name="_Toc344399625"/>
      <w:bookmarkStart w:id="23" w:name="_Toc348931352"/>
      <w:bookmarkStart w:id="24" w:name="_Toc216191075"/>
      <w:r w:rsidRPr="00E3472F">
        <w:rPr>
          <w:rFonts w:cs="Arial"/>
          <w:sz w:val="20"/>
        </w:rPr>
        <w:t>3.3 Características comparadas con otras alternativas similares</w:t>
      </w:r>
      <w:bookmarkEnd w:id="22"/>
      <w:bookmarkEnd w:id="23"/>
      <w:bookmarkEnd w:id="24"/>
      <w:r w:rsidRPr="00E3472F">
        <w:rPr>
          <w:rFonts w:cs="Arial"/>
          <w:sz w:val="20"/>
        </w:rPr>
        <w:t xml:space="preserve"> </w:t>
      </w:r>
    </w:p>
    <w:p w14:paraId="5BB76F96" w14:textId="77777777" w:rsidR="00BC3E8E" w:rsidRPr="00116D51" w:rsidRDefault="00BC3E8E" w:rsidP="00116D51">
      <w:pPr>
        <w:jc w:val="both"/>
        <w:rPr>
          <w:rFonts w:ascii="Arial" w:hAnsi="Arial" w:cs="Arial"/>
          <w:b/>
          <w:sz w:val="20"/>
          <w:szCs w:val="20"/>
        </w:rPr>
      </w:pPr>
    </w:p>
    <w:p w14:paraId="2740A3BD" w14:textId="77777777" w:rsidR="00873477" w:rsidRDefault="00064525" w:rsidP="00116D51">
      <w:pPr>
        <w:jc w:val="both"/>
        <w:rPr>
          <w:rFonts w:ascii="Arial" w:hAnsi="Arial" w:cs="Arial"/>
          <w:bCs/>
          <w:sz w:val="20"/>
          <w:szCs w:val="20"/>
        </w:rPr>
      </w:pPr>
      <w:r>
        <w:rPr>
          <w:rFonts w:ascii="Arial" w:hAnsi="Arial" w:cs="Arial"/>
          <w:bCs/>
          <w:sz w:val="20"/>
          <w:szCs w:val="20"/>
        </w:rPr>
        <w:t xml:space="preserve">En la tabla </w:t>
      </w:r>
      <w:r w:rsidR="001F4DCE">
        <w:rPr>
          <w:rFonts w:ascii="Arial" w:hAnsi="Arial" w:cs="Arial"/>
          <w:bCs/>
          <w:sz w:val="20"/>
          <w:szCs w:val="20"/>
        </w:rPr>
        <w:t>3</w:t>
      </w:r>
      <w:r>
        <w:rPr>
          <w:rFonts w:ascii="Arial" w:hAnsi="Arial" w:cs="Arial"/>
          <w:bCs/>
          <w:sz w:val="20"/>
          <w:szCs w:val="20"/>
        </w:rPr>
        <w:t xml:space="preserve"> se resumen las características de las alternativas en segunda línea de tratamiento. </w:t>
      </w:r>
    </w:p>
    <w:p w14:paraId="75D63FC1" w14:textId="77777777" w:rsidR="00AB2E8A" w:rsidRPr="00064525" w:rsidRDefault="00AB2E8A" w:rsidP="00116D51">
      <w:pPr>
        <w:jc w:val="both"/>
        <w:rPr>
          <w:rFonts w:ascii="Arial" w:hAnsi="Arial" w:cs="Arial"/>
          <w:bCs/>
          <w:sz w:val="20"/>
          <w:szCs w:val="20"/>
        </w:rPr>
      </w:pPr>
    </w:p>
    <w:p w14:paraId="3758D4DC" w14:textId="77777777" w:rsidR="00064525" w:rsidRPr="00064525" w:rsidRDefault="00064525" w:rsidP="00064525">
      <w:pPr>
        <w:jc w:val="both"/>
        <w:rPr>
          <w:rFonts w:ascii="Arial" w:hAnsi="Arial" w:cs="Arial"/>
          <w:bCs/>
          <w:sz w:val="20"/>
          <w:szCs w:val="20"/>
        </w:rPr>
      </w:pPr>
      <w:r w:rsidRPr="00064525">
        <w:rPr>
          <w:rFonts w:ascii="Arial" w:hAnsi="Arial" w:cs="Arial"/>
          <w:bCs/>
          <w:sz w:val="20"/>
          <w:szCs w:val="20"/>
        </w:rPr>
        <w:t xml:space="preserve">*Posología de dupilumab en pediatría: </w:t>
      </w:r>
    </w:p>
    <w:p w14:paraId="65EADE9A" w14:textId="77777777" w:rsidR="00064525" w:rsidRPr="00064525" w:rsidRDefault="00064525" w:rsidP="00064525">
      <w:pPr>
        <w:jc w:val="both"/>
        <w:rPr>
          <w:rFonts w:ascii="Arial" w:hAnsi="Arial" w:cs="Arial"/>
          <w:bCs/>
          <w:sz w:val="20"/>
          <w:szCs w:val="20"/>
        </w:rPr>
      </w:pPr>
      <w:r w:rsidRPr="00064525">
        <w:rPr>
          <w:rFonts w:ascii="Arial" w:hAnsi="Arial" w:cs="Arial"/>
          <w:bCs/>
          <w:sz w:val="20"/>
          <w:szCs w:val="20"/>
        </w:rPr>
        <w:t>De 6 meses a 6 años:</w:t>
      </w:r>
    </w:p>
    <w:p w14:paraId="7E6A9C3F" w14:textId="77777777" w:rsidR="00064525" w:rsidRPr="00064525" w:rsidRDefault="00064525">
      <w:pPr>
        <w:numPr>
          <w:ilvl w:val="0"/>
          <w:numId w:val="9"/>
        </w:numPr>
        <w:jc w:val="both"/>
        <w:rPr>
          <w:rFonts w:ascii="Arial" w:hAnsi="Arial" w:cs="Arial"/>
          <w:bCs/>
          <w:sz w:val="20"/>
          <w:szCs w:val="20"/>
        </w:rPr>
      </w:pPr>
      <w:r w:rsidRPr="00064525">
        <w:rPr>
          <w:rFonts w:ascii="Arial" w:hAnsi="Arial" w:cs="Arial"/>
          <w:bCs/>
          <w:sz w:val="20"/>
          <w:szCs w:val="20"/>
        </w:rPr>
        <w:t>5–&lt;15 kg: 200 mg cada 4 semanas</w:t>
      </w:r>
      <w:r w:rsidR="00E71C86">
        <w:rPr>
          <w:rFonts w:ascii="Arial" w:hAnsi="Arial" w:cs="Arial"/>
          <w:bCs/>
          <w:sz w:val="20"/>
          <w:szCs w:val="20"/>
        </w:rPr>
        <w:t xml:space="preserve"> (Q4W)</w:t>
      </w:r>
    </w:p>
    <w:p w14:paraId="5AF92914" w14:textId="77777777" w:rsidR="00064525" w:rsidRPr="00064525" w:rsidRDefault="00064525">
      <w:pPr>
        <w:numPr>
          <w:ilvl w:val="0"/>
          <w:numId w:val="9"/>
        </w:numPr>
        <w:jc w:val="both"/>
        <w:rPr>
          <w:rFonts w:ascii="Arial" w:hAnsi="Arial" w:cs="Arial"/>
          <w:bCs/>
          <w:sz w:val="20"/>
          <w:szCs w:val="20"/>
        </w:rPr>
      </w:pPr>
      <w:r w:rsidRPr="00064525">
        <w:rPr>
          <w:rFonts w:ascii="Arial" w:hAnsi="Arial" w:cs="Arial"/>
          <w:bCs/>
          <w:sz w:val="20"/>
          <w:szCs w:val="20"/>
        </w:rPr>
        <w:t xml:space="preserve">15–&lt;30 kg: 300 mg </w:t>
      </w:r>
      <w:r w:rsidR="00E71C86">
        <w:rPr>
          <w:rFonts w:ascii="Arial" w:hAnsi="Arial" w:cs="Arial"/>
          <w:bCs/>
          <w:sz w:val="20"/>
          <w:szCs w:val="20"/>
        </w:rPr>
        <w:t>Q4W</w:t>
      </w:r>
    </w:p>
    <w:p w14:paraId="23A9B86A" w14:textId="77777777" w:rsidR="00064525" w:rsidRPr="00064525" w:rsidRDefault="00064525" w:rsidP="00064525">
      <w:pPr>
        <w:jc w:val="both"/>
        <w:rPr>
          <w:rFonts w:ascii="Arial" w:hAnsi="Arial" w:cs="Arial"/>
          <w:bCs/>
          <w:sz w:val="20"/>
          <w:szCs w:val="20"/>
        </w:rPr>
      </w:pPr>
      <w:r w:rsidRPr="00064525">
        <w:rPr>
          <w:rFonts w:ascii="Arial" w:hAnsi="Arial" w:cs="Arial"/>
          <w:bCs/>
          <w:sz w:val="20"/>
          <w:szCs w:val="20"/>
        </w:rPr>
        <w:t>De 6 a 11 años:</w:t>
      </w:r>
    </w:p>
    <w:p w14:paraId="41146D4F" w14:textId="77777777" w:rsidR="00064525" w:rsidRPr="00064525" w:rsidRDefault="00064525">
      <w:pPr>
        <w:numPr>
          <w:ilvl w:val="0"/>
          <w:numId w:val="10"/>
        </w:numPr>
        <w:jc w:val="both"/>
        <w:rPr>
          <w:rFonts w:ascii="Arial" w:hAnsi="Arial" w:cs="Arial"/>
          <w:bCs/>
          <w:sz w:val="20"/>
          <w:szCs w:val="20"/>
        </w:rPr>
      </w:pPr>
      <w:r w:rsidRPr="00064525">
        <w:rPr>
          <w:rFonts w:ascii="Arial" w:hAnsi="Arial" w:cs="Arial"/>
          <w:bCs/>
          <w:sz w:val="20"/>
          <w:szCs w:val="20"/>
        </w:rPr>
        <w:t xml:space="preserve">15–&lt;60 kg: 300 mg los días 1 y 15, luego 300 mg </w:t>
      </w:r>
      <w:r w:rsidR="00E71C86">
        <w:rPr>
          <w:rFonts w:ascii="Arial" w:hAnsi="Arial" w:cs="Arial"/>
          <w:bCs/>
          <w:sz w:val="20"/>
          <w:szCs w:val="20"/>
        </w:rPr>
        <w:t>Q4W</w:t>
      </w:r>
    </w:p>
    <w:p w14:paraId="47B24F62" w14:textId="77777777" w:rsidR="00064525" w:rsidRPr="00064525" w:rsidRDefault="00064525">
      <w:pPr>
        <w:numPr>
          <w:ilvl w:val="0"/>
          <w:numId w:val="10"/>
        </w:numPr>
        <w:jc w:val="both"/>
        <w:rPr>
          <w:rFonts w:ascii="Arial" w:hAnsi="Arial" w:cs="Arial"/>
          <w:bCs/>
          <w:sz w:val="20"/>
          <w:szCs w:val="20"/>
        </w:rPr>
      </w:pPr>
      <w:r w:rsidRPr="00064525">
        <w:rPr>
          <w:rFonts w:ascii="Arial" w:hAnsi="Arial" w:cs="Arial"/>
          <w:bCs/>
          <w:sz w:val="20"/>
          <w:szCs w:val="20"/>
        </w:rPr>
        <w:t>≥60 kg: 600 mg el día 1, luego 300 mg cada 2 semanas</w:t>
      </w:r>
      <w:r w:rsidR="00E71C86">
        <w:rPr>
          <w:rFonts w:ascii="Arial" w:hAnsi="Arial" w:cs="Arial"/>
          <w:bCs/>
          <w:sz w:val="20"/>
          <w:szCs w:val="20"/>
        </w:rPr>
        <w:t xml:space="preserve"> (Q2W)</w:t>
      </w:r>
    </w:p>
    <w:p w14:paraId="1E9C3AB8" w14:textId="77777777" w:rsidR="00064525" w:rsidRPr="00064525" w:rsidRDefault="00064525" w:rsidP="00064525">
      <w:pPr>
        <w:jc w:val="both"/>
        <w:rPr>
          <w:rFonts w:ascii="Arial" w:hAnsi="Arial" w:cs="Arial"/>
          <w:bCs/>
          <w:sz w:val="20"/>
          <w:szCs w:val="20"/>
        </w:rPr>
      </w:pPr>
      <w:r w:rsidRPr="00064525">
        <w:rPr>
          <w:rFonts w:ascii="Arial" w:hAnsi="Arial" w:cs="Arial"/>
          <w:bCs/>
          <w:sz w:val="20"/>
          <w:szCs w:val="20"/>
        </w:rPr>
        <w:t>De 12 a 17 años:</w:t>
      </w:r>
    </w:p>
    <w:p w14:paraId="6A856FB2" w14:textId="77777777" w:rsidR="00064525" w:rsidRDefault="00064525">
      <w:pPr>
        <w:numPr>
          <w:ilvl w:val="0"/>
          <w:numId w:val="11"/>
        </w:numPr>
        <w:jc w:val="both"/>
        <w:rPr>
          <w:rFonts w:ascii="Arial" w:hAnsi="Arial" w:cs="Arial"/>
          <w:bCs/>
          <w:sz w:val="20"/>
          <w:szCs w:val="20"/>
        </w:rPr>
      </w:pPr>
      <w:r w:rsidRPr="00064525">
        <w:rPr>
          <w:rFonts w:ascii="Arial" w:hAnsi="Arial" w:cs="Arial"/>
          <w:bCs/>
          <w:sz w:val="20"/>
          <w:szCs w:val="20"/>
        </w:rPr>
        <w:t xml:space="preserve">&lt;60 kg: 400 mg el día 1, luego 200 mg </w:t>
      </w:r>
      <w:r w:rsidR="00E71C86">
        <w:rPr>
          <w:rFonts w:ascii="Arial" w:hAnsi="Arial" w:cs="Arial"/>
          <w:bCs/>
          <w:sz w:val="20"/>
          <w:szCs w:val="20"/>
        </w:rPr>
        <w:t>Q2W</w:t>
      </w:r>
    </w:p>
    <w:p w14:paraId="1C1AEB1D" w14:textId="77777777" w:rsidR="00E71C86" w:rsidRPr="00064525" w:rsidRDefault="00E71C86">
      <w:pPr>
        <w:numPr>
          <w:ilvl w:val="0"/>
          <w:numId w:val="11"/>
        </w:numPr>
        <w:jc w:val="both"/>
        <w:rPr>
          <w:rFonts w:ascii="Arial" w:hAnsi="Arial" w:cs="Arial"/>
          <w:bCs/>
          <w:sz w:val="20"/>
          <w:szCs w:val="20"/>
        </w:rPr>
      </w:pPr>
      <w:r>
        <w:rPr>
          <w:rFonts w:ascii="Arial" w:hAnsi="Arial" w:cs="Arial"/>
          <w:bCs/>
          <w:sz w:val="20"/>
          <w:szCs w:val="20"/>
        </w:rPr>
        <w:t>≥60Kg: 600 mg día 1, luego 300 mg Q2W</w:t>
      </w:r>
    </w:p>
    <w:p w14:paraId="4FBA7D25" w14:textId="77777777" w:rsidR="00064525" w:rsidRPr="00E71C86" w:rsidRDefault="00064525" w:rsidP="00E71C86">
      <w:pPr>
        <w:ind w:left="720"/>
        <w:jc w:val="both"/>
        <w:rPr>
          <w:rFonts w:ascii="Arial" w:hAnsi="Arial" w:cs="Arial"/>
          <w:bCs/>
          <w:sz w:val="20"/>
          <w:szCs w:val="20"/>
        </w:rPr>
        <w:sectPr w:rsidR="00064525" w:rsidRPr="00E71C86" w:rsidSect="00873477">
          <w:headerReference w:type="default" r:id="rId10"/>
          <w:footerReference w:type="default" r:id="rId11"/>
          <w:pgSz w:w="11906" w:h="16838"/>
          <w:pgMar w:top="1418" w:right="1469" w:bottom="1418" w:left="1701" w:header="709" w:footer="709" w:gutter="0"/>
          <w:cols w:space="708"/>
          <w:docGrid w:linePitch="360"/>
        </w:sectPr>
      </w:pPr>
    </w:p>
    <w:tbl>
      <w:tblPr>
        <w:tblW w:w="1616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1"/>
        <w:gridCol w:w="1951"/>
        <w:gridCol w:w="2599"/>
        <w:gridCol w:w="1500"/>
        <w:gridCol w:w="1706"/>
        <w:gridCol w:w="1985"/>
        <w:gridCol w:w="1615"/>
        <w:gridCol w:w="2354"/>
        <w:gridCol w:w="1190"/>
      </w:tblGrid>
      <w:tr w:rsidR="00F34E2F" w:rsidRPr="00EE2E78" w14:paraId="3500E2C5" w14:textId="77777777" w:rsidTr="00F34E2F">
        <w:tc>
          <w:tcPr>
            <w:tcW w:w="16161" w:type="dxa"/>
            <w:gridSpan w:val="9"/>
            <w:shd w:val="clear" w:color="auto" w:fill="CCFF99"/>
            <w:vAlign w:val="center"/>
          </w:tcPr>
          <w:p w14:paraId="405FC477" w14:textId="77777777" w:rsidR="00F34E2F" w:rsidRPr="00116D51" w:rsidRDefault="00AB2E8A" w:rsidP="00F34E2F">
            <w:pPr>
              <w:jc w:val="center"/>
              <w:rPr>
                <w:rFonts w:ascii="Arial" w:hAnsi="Arial" w:cs="Arial"/>
                <w:b/>
                <w:sz w:val="20"/>
                <w:szCs w:val="20"/>
              </w:rPr>
            </w:pPr>
            <w:r>
              <w:rPr>
                <w:rFonts w:ascii="Arial" w:hAnsi="Arial" w:cs="Arial"/>
                <w:b/>
                <w:sz w:val="20"/>
                <w:szCs w:val="20"/>
              </w:rPr>
              <w:lastRenderedPageBreak/>
              <w:t xml:space="preserve">Tabla </w:t>
            </w:r>
            <w:r w:rsidR="001F4DCE">
              <w:rPr>
                <w:rFonts w:ascii="Arial" w:hAnsi="Arial" w:cs="Arial"/>
                <w:b/>
                <w:sz w:val="20"/>
                <w:szCs w:val="20"/>
              </w:rPr>
              <w:t>3</w:t>
            </w:r>
            <w:r>
              <w:rPr>
                <w:rFonts w:ascii="Arial" w:hAnsi="Arial" w:cs="Arial"/>
                <w:b/>
                <w:sz w:val="20"/>
                <w:szCs w:val="20"/>
              </w:rPr>
              <w:t xml:space="preserve">. </w:t>
            </w:r>
            <w:r w:rsidR="00F34E2F" w:rsidRPr="00116D51">
              <w:rPr>
                <w:rFonts w:ascii="Arial" w:hAnsi="Arial" w:cs="Arial"/>
                <w:b/>
                <w:sz w:val="20"/>
                <w:szCs w:val="20"/>
              </w:rPr>
              <w:t xml:space="preserve">Características diferenciales comparadas con otras alternativas </w:t>
            </w:r>
            <w:r w:rsidR="00646A51">
              <w:rPr>
                <w:rFonts w:ascii="Arial" w:hAnsi="Arial" w:cs="Arial"/>
                <w:b/>
                <w:color w:val="CCFFCC"/>
                <w:sz w:val="20"/>
                <w:szCs w:val="20"/>
              </w:rPr>
              <w:fldChar w:fldCharType="begin"/>
            </w:r>
            <w:r>
              <w:rPr>
                <w:rFonts w:ascii="Arial" w:hAnsi="Arial" w:cs="Arial"/>
                <w:b/>
                <w:color w:val="CCFFCC"/>
                <w:sz w:val="20"/>
                <w:szCs w:val="20"/>
              </w:rPr>
              <w:instrText xml:space="preserve"> ADDIN ZOTERO_ITEM CSL_CITATION {"citationID":"kDOvJLqj","properties":{"formattedCitation":"(10,11)","plainCitation":"(10,11)","noteIndex":0},"citationItems":[{"id":200,"uris":["http://zotero.org/users/18702181/items/XBWGF6HJ"],"itemData":{"id":200,"type":"webpage","title":"Ministerio de Sanidad - Profesionales de la Salud - Buscador situación financiación medicamentos","URL":"https://www.sanidad.gob.es/profesionales/medicamentos.do","accessed":{"date-parts":[["2025",12,9]]}}},{"id":198,"uris":["http://zotero.org/users/18702181/items/X3VNL295"],"itemData":{"id":198,"type":"webpage","title":".:: CIMA ::. Centro de información de medicamentos","URL":"https://cima.aemps.es/cima/publico/home.html","accessed":{"date-parts":[["2025",12,9]]}}}],"schema":"https://github.com/citation-style-language/schema/raw/master/csl-citation.json"} </w:instrText>
            </w:r>
            <w:r w:rsidR="00646A51">
              <w:rPr>
                <w:rFonts w:ascii="Arial" w:hAnsi="Arial" w:cs="Arial"/>
                <w:b/>
                <w:color w:val="CCFFCC"/>
                <w:sz w:val="20"/>
                <w:szCs w:val="20"/>
              </w:rPr>
              <w:fldChar w:fldCharType="separate"/>
            </w:r>
            <w:r w:rsidRPr="00AB2E8A">
              <w:rPr>
                <w:rFonts w:ascii="Arial" w:hAnsi="Arial" w:cs="Arial"/>
                <w:sz w:val="20"/>
              </w:rPr>
              <w:t>(10,11)</w:t>
            </w:r>
            <w:r w:rsidR="00646A51">
              <w:rPr>
                <w:rFonts w:ascii="Arial" w:hAnsi="Arial" w:cs="Arial"/>
                <w:b/>
                <w:color w:val="CCFFCC"/>
                <w:sz w:val="20"/>
                <w:szCs w:val="20"/>
              </w:rPr>
              <w:fldChar w:fldCharType="end"/>
            </w:r>
          </w:p>
        </w:tc>
      </w:tr>
      <w:tr w:rsidR="00494C98" w:rsidRPr="00EE2E78" w14:paraId="5F00D101" w14:textId="77777777" w:rsidTr="00511A83">
        <w:trPr>
          <w:trHeight w:val="274"/>
        </w:trPr>
        <w:tc>
          <w:tcPr>
            <w:tcW w:w="1261" w:type="dxa"/>
            <w:shd w:val="clear" w:color="auto" w:fill="D9D9D9"/>
            <w:vAlign w:val="center"/>
          </w:tcPr>
          <w:p w14:paraId="7E087BBA" w14:textId="77777777" w:rsidR="0047722D" w:rsidRPr="00AA1167" w:rsidRDefault="0047722D" w:rsidP="00BC3E8E">
            <w:pPr>
              <w:pStyle w:val="Encabezado"/>
              <w:tabs>
                <w:tab w:val="clear" w:pos="4252"/>
                <w:tab w:val="clear" w:pos="8504"/>
              </w:tabs>
              <w:rPr>
                <w:rFonts w:ascii="Arial" w:hAnsi="Arial" w:cs="Arial"/>
                <w:b/>
                <w:bCs/>
                <w:sz w:val="20"/>
                <w:szCs w:val="20"/>
              </w:rPr>
            </w:pPr>
            <w:r w:rsidRPr="00AA1167">
              <w:rPr>
                <w:rFonts w:ascii="Arial" w:hAnsi="Arial" w:cs="Arial"/>
                <w:b/>
                <w:bCs/>
                <w:sz w:val="16"/>
                <w:szCs w:val="20"/>
              </w:rPr>
              <w:t>Nombre</w:t>
            </w:r>
          </w:p>
        </w:tc>
        <w:tc>
          <w:tcPr>
            <w:tcW w:w="1951" w:type="dxa"/>
            <w:shd w:val="clear" w:color="auto" w:fill="D9D9D9"/>
            <w:vAlign w:val="center"/>
          </w:tcPr>
          <w:p w14:paraId="267F7872" w14:textId="77777777" w:rsidR="0047722D" w:rsidRDefault="0047722D" w:rsidP="00824A1E">
            <w:pPr>
              <w:pStyle w:val="Encabezado"/>
              <w:tabs>
                <w:tab w:val="clear" w:pos="4252"/>
                <w:tab w:val="clear" w:pos="8504"/>
              </w:tabs>
              <w:jc w:val="center"/>
              <w:rPr>
                <w:rFonts w:ascii="Arial" w:hAnsi="Arial" w:cs="Arial"/>
                <w:b/>
                <w:bCs/>
                <w:sz w:val="16"/>
                <w:szCs w:val="20"/>
              </w:rPr>
            </w:pPr>
            <w:r w:rsidRPr="00AA1167">
              <w:rPr>
                <w:rFonts w:ascii="Arial" w:hAnsi="Arial" w:cs="Arial"/>
                <w:b/>
                <w:bCs/>
                <w:sz w:val="16"/>
                <w:szCs w:val="20"/>
              </w:rPr>
              <w:t>Nemolizumab</w:t>
            </w:r>
          </w:p>
          <w:p w14:paraId="033C7A38" w14:textId="77777777" w:rsidR="00494C98" w:rsidRPr="00AA1167" w:rsidRDefault="00494C98" w:rsidP="00824A1E">
            <w:pPr>
              <w:pStyle w:val="Encabezado"/>
              <w:tabs>
                <w:tab w:val="clear" w:pos="4252"/>
                <w:tab w:val="clear" w:pos="8504"/>
              </w:tabs>
              <w:jc w:val="center"/>
              <w:rPr>
                <w:rFonts w:ascii="Arial" w:hAnsi="Arial" w:cs="Arial"/>
                <w:b/>
                <w:bCs/>
                <w:sz w:val="16"/>
                <w:szCs w:val="20"/>
              </w:rPr>
            </w:pPr>
            <w:r>
              <w:rPr>
                <w:rFonts w:ascii="Arial" w:hAnsi="Arial" w:cs="Arial"/>
                <w:b/>
                <w:bCs/>
                <w:sz w:val="16"/>
                <w:szCs w:val="20"/>
              </w:rPr>
              <w:t>(anti-IL-31)</w:t>
            </w:r>
          </w:p>
        </w:tc>
        <w:tc>
          <w:tcPr>
            <w:tcW w:w="2599" w:type="dxa"/>
            <w:shd w:val="clear" w:color="auto" w:fill="D9D9D9"/>
            <w:vAlign w:val="center"/>
          </w:tcPr>
          <w:p w14:paraId="422970CA" w14:textId="77777777" w:rsidR="0047722D" w:rsidRDefault="0047722D" w:rsidP="00824A1E">
            <w:pPr>
              <w:pStyle w:val="Encabezado"/>
              <w:tabs>
                <w:tab w:val="clear" w:pos="4252"/>
                <w:tab w:val="clear" w:pos="8504"/>
              </w:tabs>
              <w:jc w:val="center"/>
              <w:rPr>
                <w:rFonts w:ascii="Arial" w:hAnsi="Arial" w:cs="Arial"/>
                <w:b/>
                <w:bCs/>
                <w:sz w:val="16"/>
                <w:szCs w:val="20"/>
              </w:rPr>
            </w:pPr>
            <w:r w:rsidRPr="00AA1167">
              <w:rPr>
                <w:rFonts w:ascii="Arial" w:hAnsi="Arial" w:cs="Arial"/>
                <w:b/>
                <w:bCs/>
                <w:sz w:val="16"/>
                <w:szCs w:val="20"/>
              </w:rPr>
              <w:t>Dupilumab</w:t>
            </w:r>
          </w:p>
          <w:p w14:paraId="4AD8C2F0" w14:textId="77777777" w:rsidR="00494C98" w:rsidRPr="00AA1167" w:rsidRDefault="00646A51" w:rsidP="00824A1E">
            <w:pPr>
              <w:pStyle w:val="Encabezado"/>
              <w:tabs>
                <w:tab w:val="clear" w:pos="4252"/>
                <w:tab w:val="clear" w:pos="8504"/>
              </w:tabs>
              <w:jc w:val="center"/>
              <w:rPr>
                <w:rFonts w:ascii="Arial" w:hAnsi="Arial" w:cs="Arial"/>
                <w:b/>
                <w:bCs/>
                <w:sz w:val="20"/>
                <w:szCs w:val="20"/>
              </w:rPr>
            </w:pPr>
            <w:r w:rsidRPr="00412973">
              <w:rPr>
                <w:rFonts w:ascii="Arial" w:hAnsi="Arial" w:cs="Arial"/>
                <w:b/>
                <w:bCs/>
                <w:sz w:val="16"/>
                <w:szCs w:val="20"/>
              </w:rPr>
              <w:t>(anti-receptor común de IL-4 e IL13)</w:t>
            </w:r>
          </w:p>
        </w:tc>
        <w:tc>
          <w:tcPr>
            <w:tcW w:w="1500" w:type="dxa"/>
            <w:shd w:val="clear" w:color="auto" w:fill="D9D9D9"/>
            <w:vAlign w:val="center"/>
          </w:tcPr>
          <w:p w14:paraId="78BB3B97" w14:textId="77777777" w:rsidR="0047722D" w:rsidRDefault="0047722D" w:rsidP="00824A1E">
            <w:pPr>
              <w:pStyle w:val="Encabezado"/>
              <w:tabs>
                <w:tab w:val="clear" w:pos="4252"/>
                <w:tab w:val="clear" w:pos="8504"/>
              </w:tabs>
              <w:jc w:val="center"/>
              <w:rPr>
                <w:rFonts w:ascii="Arial" w:hAnsi="Arial" w:cs="Arial"/>
                <w:b/>
                <w:bCs/>
                <w:sz w:val="16"/>
                <w:szCs w:val="20"/>
              </w:rPr>
            </w:pPr>
            <w:r w:rsidRPr="00AA1167">
              <w:rPr>
                <w:rFonts w:ascii="Arial" w:hAnsi="Arial" w:cs="Arial"/>
                <w:b/>
                <w:bCs/>
                <w:sz w:val="16"/>
                <w:szCs w:val="20"/>
              </w:rPr>
              <w:t>Tralokinumab</w:t>
            </w:r>
          </w:p>
          <w:p w14:paraId="41E9F7DB" w14:textId="77777777" w:rsidR="00494C98" w:rsidRPr="00AA1167" w:rsidRDefault="00494C98" w:rsidP="00824A1E">
            <w:pPr>
              <w:pStyle w:val="Encabezado"/>
              <w:tabs>
                <w:tab w:val="clear" w:pos="4252"/>
                <w:tab w:val="clear" w:pos="8504"/>
              </w:tabs>
              <w:jc w:val="center"/>
              <w:rPr>
                <w:rFonts w:ascii="Arial" w:hAnsi="Arial" w:cs="Arial"/>
                <w:b/>
                <w:bCs/>
                <w:sz w:val="20"/>
                <w:szCs w:val="20"/>
              </w:rPr>
            </w:pPr>
            <w:r>
              <w:rPr>
                <w:rFonts w:ascii="Arial" w:hAnsi="Arial" w:cs="Arial"/>
                <w:b/>
                <w:bCs/>
                <w:sz w:val="16"/>
                <w:szCs w:val="20"/>
              </w:rPr>
              <w:t>(anti-IL-13)</w:t>
            </w:r>
          </w:p>
        </w:tc>
        <w:tc>
          <w:tcPr>
            <w:tcW w:w="1706" w:type="dxa"/>
            <w:shd w:val="clear" w:color="auto" w:fill="D9D9D9"/>
            <w:vAlign w:val="center"/>
          </w:tcPr>
          <w:p w14:paraId="47D66AE5" w14:textId="77777777" w:rsidR="0047722D" w:rsidRDefault="0047722D" w:rsidP="00824A1E">
            <w:pPr>
              <w:pStyle w:val="Encabezado"/>
              <w:tabs>
                <w:tab w:val="clear" w:pos="4252"/>
                <w:tab w:val="clear" w:pos="8504"/>
              </w:tabs>
              <w:jc w:val="center"/>
              <w:rPr>
                <w:rFonts w:ascii="Arial" w:hAnsi="Arial" w:cs="Arial"/>
                <w:b/>
                <w:bCs/>
                <w:sz w:val="16"/>
                <w:szCs w:val="20"/>
              </w:rPr>
            </w:pPr>
            <w:r w:rsidRPr="00AA1167">
              <w:rPr>
                <w:rFonts w:ascii="Arial" w:hAnsi="Arial" w:cs="Arial"/>
                <w:b/>
                <w:bCs/>
                <w:sz w:val="16"/>
                <w:szCs w:val="20"/>
              </w:rPr>
              <w:t>Lebrikizumab</w:t>
            </w:r>
          </w:p>
          <w:p w14:paraId="07CFA0F9" w14:textId="77777777" w:rsidR="00494C98" w:rsidRPr="00AA1167" w:rsidRDefault="00494C98" w:rsidP="00824A1E">
            <w:pPr>
              <w:pStyle w:val="Encabezado"/>
              <w:tabs>
                <w:tab w:val="clear" w:pos="4252"/>
                <w:tab w:val="clear" w:pos="8504"/>
              </w:tabs>
              <w:jc w:val="center"/>
              <w:rPr>
                <w:rFonts w:ascii="Arial" w:hAnsi="Arial" w:cs="Arial"/>
                <w:b/>
                <w:bCs/>
                <w:sz w:val="20"/>
                <w:szCs w:val="20"/>
              </w:rPr>
            </w:pPr>
            <w:r>
              <w:rPr>
                <w:rFonts w:ascii="Arial" w:hAnsi="Arial" w:cs="Arial"/>
                <w:b/>
                <w:bCs/>
                <w:sz w:val="16"/>
                <w:szCs w:val="20"/>
              </w:rPr>
              <w:t>(anti-IL-13)</w:t>
            </w:r>
          </w:p>
        </w:tc>
        <w:tc>
          <w:tcPr>
            <w:tcW w:w="1985" w:type="dxa"/>
            <w:shd w:val="clear" w:color="auto" w:fill="D9D9D9"/>
            <w:vAlign w:val="center"/>
          </w:tcPr>
          <w:p w14:paraId="435F1266" w14:textId="77777777" w:rsidR="0047722D" w:rsidRDefault="0047722D" w:rsidP="00824A1E">
            <w:pPr>
              <w:pStyle w:val="Encabezado"/>
              <w:tabs>
                <w:tab w:val="clear" w:pos="4252"/>
                <w:tab w:val="clear" w:pos="8504"/>
              </w:tabs>
              <w:jc w:val="center"/>
              <w:rPr>
                <w:rFonts w:ascii="Arial" w:hAnsi="Arial" w:cs="Arial"/>
                <w:b/>
                <w:bCs/>
                <w:sz w:val="16"/>
                <w:szCs w:val="20"/>
              </w:rPr>
            </w:pPr>
            <w:r w:rsidRPr="00AA1167">
              <w:rPr>
                <w:rFonts w:ascii="Arial" w:hAnsi="Arial" w:cs="Arial"/>
                <w:b/>
                <w:bCs/>
                <w:sz w:val="16"/>
                <w:szCs w:val="20"/>
              </w:rPr>
              <w:t>Upadacitinib</w:t>
            </w:r>
          </w:p>
          <w:p w14:paraId="3151B7C2" w14:textId="77777777" w:rsidR="00494C98" w:rsidRPr="00AA1167" w:rsidRDefault="00494C98" w:rsidP="00824A1E">
            <w:pPr>
              <w:pStyle w:val="Encabezado"/>
              <w:tabs>
                <w:tab w:val="clear" w:pos="4252"/>
                <w:tab w:val="clear" w:pos="8504"/>
              </w:tabs>
              <w:jc w:val="center"/>
              <w:rPr>
                <w:rFonts w:ascii="Arial" w:hAnsi="Arial" w:cs="Arial"/>
                <w:b/>
                <w:bCs/>
                <w:sz w:val="16"/>
                <w:szCs w:val="20"/>
              </w:rPr>
            </w:pPr>
            <w:r>
              <w:rPr>
                <w:rFonts w:ascii="Arial" w:hAnsi="Arial" w:cs="Arial"/>
                <w:b/>
                <w:bCs/>
                <w:sz w:val="16"/>
                <w:szCs w:val="20"/>
              </w:rPr>
              <w:t>(iJAK1)</w:t>
            </w:r>
          </w:p>
        </w:tc>
        <w:tc>
          <w:tcPr>
            <w:tcW w:w="1615" w:type="dxa"/>
            <w:shd w:val="clear" w:color="auto" w:fill="D9D9D9"/>
            <w:vAlign w:val="center"/>
          </w:tcPr>
          <w:p w14:paraId="27036C1D" w14:textId="77777777" w:rsidR="0047722D" w:rsidRDefault="0047722D" w:rsidP="00824A1E">
            <w:pPr>
              <w:pStyle w:val="Encabezado"/>
              <w:tabs>
                <w:tab w:val="clear" w:pos="4252"/>
                <w:tab w:val="clear" w:pos="8504"/>
              </w:tabs>
              <w:jc w:val="center"/>
              <w:rPr>
                <w:rFonts w:ascii="Arial" w:hAnsi="Arial" w:cs="Arial"/>
                <w:b/>
                <w:bCs/>
                <w:sz w:val="16"/>
                <w:szCs w:val="20"/>
              </w:rPr>
            </w:pPr>
            <w:r w:rsidRPr="00AA1167">
              <w:rPr>
                <w:rFonts w:ascii="Arial" w:hAnsi="Arial" w:cs="Arial"/>
                <w:b/>
                <w:bCs/>
                <w:sz w:val="16"/>
                <w:szCs w:val="20"/>
              </w:rPr>
              <w:t>Abrocitinib</w:t>
            </w:r>
          </w:p>
          <w:p w14:paraId="495757D2" w14:textId="77777777" w:rsidR="00494C98" w:rsidRPr="00AA1167" w:rsidRDefault="00494C98" w:rsidP="00824A1E">
            <w:pPr>
              <w:pStyle w:val="Encabezado"/>
              <w:tabs>
                <w:tab w:val="clear" w:pos="4252"/>
                <w:tab w:val="clear" w:pos="8504"/>
              </w:tabs>
              <w:jc w:val="center"/>
              <w:rPr>
                <w:rFonts w:ascii="Arial" w:hAnsi="Arial" w:cs="Arial"/>
                <w:b/>
                <w:bCs/>
                <w:sz w:val="16"/>
                <w:szCs w:val="20"/>
              </w:rPr>
            </w:pPr>
            <w:r>
              <w:rPr>
                <w:rFonts w:ascii="Arial" w:hAnsi="Arial" w:cs="Arial"/>
                <w:b/>
                <w:bCs/>
                <w:sz w:val="16"/>
                <w:szCs w:val="20"/>
              </w:rPr>
              <w:t>(iJAK1)</w:t>
            </w:r>
          </w:p>
        </w:tc>
        <w:tc>
          <w:tcPr>
            <w:tcW w:w="2354" w:type="dxa"/>
            <w:shd w:val="clear" w:color="auto" w:fill="D9D9D9"/>
            <w:vAlign w:val="center"/>
          </w:tcPr>
          <w:p w14:paraId="36D0F17A" w14:textId="77777777" w:rsidR="0047722D" w:rsidRDefault="0047722D" w:rsidP="00824A1E">
            <w:pPr>
              <w:pStyle w:val="Encabezado"/>
              <w:tabs>
                <w:tab w:val="clear" w:pos="4252"/>
                <w:tab w:val="clear" w:pos="8504"/>
              </w:tabs>
              <w:jc w:val="center"/>
              <w:rPr>
                <w:rFonts w:ascii="Arial" w:hAnsi="Arial" w:cs="Arial"/>
                <w:b/>
                <w:bCs/>
                <w:sz w:val="16"/>
                <w:szCs w:val="20"/>
              </w:rPr>
            </w:pPr>
            <w:r w:rsidRPr="00AA1167">
              <w:rPr>
                <w:rFonts w:ascii="Arial" w:hAnsi="Arial" w:cs="Arial"/>
                <w:b/>
                <w:bCs/>
                <w:sz w:val="16"/>
                <w:szCs w:val="20"/>
              </w:rPr>
              <w:t>Baricitinib</w:t>
            </w:r>
          </w:p>
          <w:p w14:paraId="08CC952A" w14:textId="77777777" w:rsidR="00494C98" w:rsidRPr="00AA1167" w:rsidRDefault="00494C98" w:rsidP="00824A1E">
            <w:pPr>
              <w:pStyle w:val="Encabezado"/>
              <w:tabs>
                <w:tab w:val="clear" w:pos="4252"/>
                <w:tab w:val="clear" w:pos="8504"/>
              </w:tabs>
              <w:jc w:val="center"/>
              <w:rPr>
                <w:rFonts w:ascii="Arial" w:hAnsi="Arial" w:cs="Arial"/>
                <w:b/>
                <w:bCs/>
                <w:sz w:val="16"/>
                <w:szCs w:val="20"/>
              </w:rPr>
            </w:pPr>
            <w:r>
              <w:rPr>
                <w:rFonts w:ascii="Arial" w:hAnsi="Arial" w:cs="Arial"/>
                <w:b/>
                <w:bCs/>
                <w:sz w:val="16"/>
                <w:szCs w:val="20"/>
              </w:rPr>
              <w:t>(iJAK 1 y 2)</w:t>
            </w:r>
          </w:p>
        </w:tc>
        <w:tc>
          <w:tcPr>
            <w:tcW w:w="1190" w:type="dxa"/>
            <w:shd w:val="clear" w:color="auto" w:fill="D9D9D9"/>
            <w:vAlign w:val="center"/>
          </w:tcPr>
          <w:p w14:paraId="2B831672" w14:textId="77777777" w:rsidR="0047722D" w:rsidRPr="00AA1167" w:rsidRDefault="0047722D" w:rsidP="00824A1E">
            <w:pPr>
              <w:pStyle w:val="Encabezado"/>
              <w:tabs>
                <w:tab w:val="clear" w:pos="4252"/>
                <w:tab w:val="clear" w:pos="8504"/>
              </w:tabs>
              <w:jc w:val="center"/>
              <w:rPr>
                <w:rFonts w:ascii="Arial" w:hAnsi="Arial" w:cs="Arial"/>
                <w:b/>
                <w:bCs/>
                <w:sz w:val="16"/>
                <w:szCs w:val="20"/>
              </w:rPr>
            </w:pPr>
            <w:r w:rsidRPr="00AA1167">
              <w:rPr>
                <w:rFonts w:ascii="Arial" w:hAnsi="Arial" w:cs="Arial"/>
                <w:b/>
                <w:bCs/>
                <w:sz w:val="16"/>
                <w:szCs w:val="20"/>
              </w:rPr>
              <w:t>Ciclosporina</w:t>
            </w:r>
          </w:p>
        </w:tc>
      </w:tr>
      <w:tr w:rsidR="00494C98" w:rsidRPr="006F6ABB" w14:paraId="7BD207E2" w14:textId="77777777" w:rsidTr="00511A83">
        <w:tc>
          <w:tcPr>
            <w:tcW w:w="1261" w:type="dxa"/>
            <w:vAlign w:val="center"/>
          </w:tcPr>
          <w:p w14:paraId="3D5EF90B" w14:textId="77777777" w:rsidR="0047722D" w:rsidRPr="00AB2E8A" w:rsidRDefault="0047722D" w:rsidP="00BC3E8E">
            <w:pPr>
              <w:rPr>
                <w:rFonts w:ascii="Arial" w:hAnsi="Arial" w:cs="Arial"/>
                <w:b/>
                <w:bCs/>
                <w:sz w:val="16"/>
              </w:rPr>
            </w:pPr>
            <w:r w:rsidRPr="00AB2E8A">
              <w:rPr>
                <w:rFonts w:ascii="Arial" w:hAnsi="Arial" w:cs="Arial"/>
                <w:b/>
                <w:bCs/>
                <w:sz w:val="16"/>
              </w:rPr>
              <w:t>Presentación</w:t>
            </w:r>
          </w:p>
        </w:tc>
        <w:tc>
          <w:tcPr>
            <w:tcW w:w="1951" w:type="dxa"/>
            <w:vAlign w:val="center"/>
          </w:tcPr>
          <w:p w14:paraId="7F84E120" w14:textId="77777777" w:rsidR="0047722D" w:rsidRDefault="0047722D" w:rsidP="00BC3E8E">
            <w:pPr>
              <w:jc w:val="center"/>
              <w:rPr>
                <w:rFonts w:ascii="Arial" w:hAnsi="Arial" w:cs="Arial"/>
                <w:sz w:val="16"/>
                <w:szCs w:val="16"/>
              </w:rPr>
            </w:pPr>
            <w:r w:rsidRPr="00E161D1">
              <w:rPr>
                <w:rFonts w:ascii="Arial" w:hAnsi="Arial" w:cs="Arial"/>
                <w:sz w:val="16"/>
                <w:szCs w:val="16"/>
              </w:rPr>
              <w:t>Nemluvio 30 mg, pluma precargada</w:t>
            </w:r>
          </w:p>
        </w:tc>
        <w:tc>
          <w:tcPr>
            <w:tcW w:w="2599" w:type="dxa"/>
            <w:vAlign w:val="center"/>
          </w:tcPr>
          <w:p w14:paraId="27BD896E" w14:textId="77777777" w:rsidR="0047722D" w:rsidRPr="006F6ABB" w:rsidRDefault="0047722D" w:rsidP="00BC3E8E">
            <w:pPr>
              <w:jc w:val="center"/>
              <w:rPr>
                <w:rFonts w:ascii="Arial" w:hAnsi="Arial" w:cs="Arial"/>
                <w:sz w:val="16"/>
              </w:rPr>
            </w:pPr>
            <w:r>
              <w:rPr>
                <w:rFonts w:ascii="Arial" w:hAnsi="Arial" w:cs="Arial"/>
                <w:sz w:val="16"/>
                <w:szCs w:val="16"/>
              </w:rPr>
              <w:t>Dupixent 300 mg jeringa precargada</w:t>
            </w:r>
          </w:p>
        </w:tc>
        <w:tc>
          <w:tcPr>
            <w:tcW w:w="1500" w:type="dxa"/>
            <w:vAlign w:val="center"/>
          </w:tcPr>
          <w:p w14:paraId="2D4DFDBB" w14:textId="77777777" w:rsidR="0047722D" w:rsidRPr="006F6ABB" w:rsidRDefault="0047722D" w:rsidP="00BC3E8E">
            <w:pPr>
              <w:jc w:val="center"/>
              <w:rPr>
                <w:rFonts w:ascii="Arial" w:hAnsi="Arial" w:cs="Arial"/>
                <w:sz w:val="16"/>
              </w:rPr>
            </w:pPr>
            <w:r>
              <w:rPr>
                <w:rFonts w:ascii="Arial" w:hAnsi="Arial" w:cs="Arial"/>
                <w:sz w:val="16"/>
              </w:rPr>
              <w:t>Adtralza 300 mg pluma precargada</w:t>
            </w:r>
          </w:p>
        </w:tc>
        <w:tc>
          <w:tcPr>
            <w:tcW w:w="1706" w:type="dxa"/>
            <w:vAlign w:val="center"/>
          </w:tcPr>
          <w:p w14:paraId="240BAE53" w14:textId="77777777" w:rsidR="0047722D" w:rsidRPr="006F6ABB" w:rsidRDefault="0047722D" w:rsidP="00BC3E8E">
            <w:pPr>
              <w:jc w:val="center"/>
              <w:rPr>
                <w:rFonts w:ascii="Arial" w:hAnsi="Arial" w:cs="Arial"/>
                <w:sz w:val="16"/>
              </w:rPr>
            </w:pPr>
            <w:r>
              <w:rPr>
                <w:rFonts w:ascii="Arial" w:hAnsi="Arial" w:cs="Arial"/>
                <w:sz w:val="16"/>
              </w:rPr>
              <w:t>Ebglyss 250 mg pluma/jeringa precargada</w:t>
            </w:r>
          </w:p>
        </w:tc>
        <w:tc>
          <w:tcPr>
            <w:tcW w:w="1985" w:type="dxa"/>
            <w:vAlign w:val="center"/>
          </w:tcPr>
          <w:p w14:paraId="6F2B7340" w14:textId="77777777" w:rsidR="0047722D" w:rsidRDefault="0047722D" w:rsidP="00BC3E8E">
            <w:pPr>
              <w:jc w:val="center"/>
              <w:rPr>
                <w:rFonts w:ascii="Arial" w:hAnsi="Arial" w:cs="Arial"/>
                <w:sz w:val="16"/>
              </w:rPr>
            </w:pPr>
            <w:r>
              <w:rPr>
                <w:rFonts w:ascii="Arial" w:hAnsi="Arial" w:cs="Arial"/>
                <w:sz w:val="16"/>
              </w:rPr>
              <w:t>Rinvoq 15 o 30 mg comprimidos</w:t>
            </w:r>
          </w:p>
          <w:p w14:paraId="70F15AEE" w14:textId="77777777" w:rsidR="0047722D" w:rsidRPr="006F6ABB" w:rsidRDefault="0047722D" w:rsidP="00BC3E8E">
            <w:pPr>
              <w:jc w:val="center"/>
              <w:rPr>
                <w:rFonts w:ascii="Arial" w:hAnsi="Arial" w:cs="Arial"/>
                <w:sz w:val="16"/>
              </w:rPr>
            </w:pPr>
          </w:p>
        </w:tc>
        <w:tc>
          <w:tcPr>
            <w:tcW w:w="1615" w:type="dxa"/>
            <w:vAlign w:val="center"/>
          </w:tcPr>
          <w:p w14:paraId="763A3FE3" w14:textId="77777777" w:rsidR="0047722D" w:rsidRDefault="0047722D" w:rsidP="00BC3E8E">
            <w:pPr>
              <w:jc w:val="center"/>
              <w:rPr>
                <w:rFonts w:ascii="Arial" w:hAnsi="Arial" w:cs="Arial"/>
                <w:sz w:val="16"/>
              </w:rPr>
            </w:pPr>
            <w:r>
              <w:rPr>
                <w:rFonts w:ascii="Arial" w:hAnsi="Arial" w:cs="Arial"/>
                <w:sz w:val="16"/>
              </w:rPr>
              <w:t xml:space="preserve">Cibinqo 100 mg o 200mg comprimidos </w:t>
            </w:r>
          </w:p>
          <w:p w14:paraId="33B1E92B" w14:textId="77777777" w:rsidR="0047722D" w:rsidRPr="006F6ABB" w:rsidRDefault="0047722D" w:rsidP="00BC3E8E">
            <w:pPr>
              <w:jc w:val="center"/>
              <w:rPr>
                <w:rFonts w:ascii="Arial" w:hAnsi="Arial" w:cs="Arial"/>
                <w:sz w:val="16"/>
              </w:rPr>
            </w:pPr>
          </w:p>
        </w:tc>
        <w:tc>
          <w:tcPr>
            <w:tcW w:w="2354" w:type="dxa"/>
            <w:vAlign w:val="center"/>
          </w:tcPr>
          <w:p w14:paraId="4B4ADA48" w14:textId="77777777" w:rsidR="0047722D" w:rsidRPr="006F6ABB" w:rsidRDefault="0047722D" w:rsidP="0047722D">
            <w:pPr>
              <w:jc w:val="center"/>
              <w:rPr>
                <w:rFonts w:ascii="Arial" w:hAnsi="Arial" w:cs="Arial"/>
                <w:sz w:val="16"/>
              </w:rPr>
            </w:pPr>
            <w:r>
              <w:rPr>
                <w:rFonts w:ascii="Arial" w:hAnsi="Arial" w:cs="Arial"/>
                <w:sz w:val="16"/>
              </w:rPr>
              <w:t>Olumiant 2 mg o 4 mg comprimidos recubiertos</w:t>
            </w:r>
          </w:p>
        </w:tc>
        <w:tc>
          <w:tcPr>
            <w:tcW w:w="1190" w:type="dxa"/>
            <w:vAlign w:val="center"/>
          </w:tcPr>
          <w:p w14:paraId="11A4D6D3" w14:textId="77777777" w:rsidR="0047722D" w:rsidRDefault="006C53CB" w:rsidP="0047722D">
            <w:pPr>
              <w:jc w:val="center"/>
              <w:rPr>
                <w:rFonts w:ascii="Arial" w:hAnsi="Arial" w:cs="Arial"/>
                <w:sz w:val="16"/>
              </w:rPr>
            </w:pPr>
            <w:r>
              <w:rPr>
                <w:rFonts w:ascii="Arial" w:hAnsi="Arial" w:cs="Arial"/>
                <w:sz w:val="16"/>
                <w:szCs w:val="16"/>
              </w:rPr>
              <w:t>Cápsulas blandas 25 mg, 50 mg, 100 mg</w:t>
            </w:r>
          </w:p>
        </w:tc>
      </w:tr>
      <w:tr w:rsidR="00494C98" w:rsidRPr="006F6ABB" w14:paraId="2DABD1B8" w14:textId="77777777" w:rsidTr="00511A83">
        <w:tc>
          <w:tcPr>
            <w:tcW w:w="1261" w:type="dxa"/>
            <w:vAlign w:val="center"/>
          </w:tcPr>
          <w:p w14:paraId="438561E3" w14:textId="77777777" w:rsidR="0047722D" w:rsidRPr="00AB2E8A" w:rsidRDefault="0047722D" w:rsidP="00BC3E8E">
            <w:pPr>
              <w:rPr>
                <w:rFonts w:ascii="Arial" w:hAnsi="Arial" w:cs="Arial"/>
                <w:b/>
                <w:bCs/>
                <w:sz w:val="16"/>
              </w:rPr>
            </w:pPr>
            <w:r w:rsidRPr="00AB2E8A">
              <w:rPr>
                <w:rFonts w:ascii="Arial" w:hAnsi="Arial" w:cs="Arial"/>
                <w:b/>
                <w:bCs/>
                <w:sz w:val="16"/>
              </w:rPr>
              <w:t>Posología</w:t>
            </w:r>
          </w:p>
        </w:tc>
        <w:tc>
          <w:tcPr>
            <w:tcW w:w="1951" w:type="dxa"/>
            <w:vAlign w:val="center"/>
          </w:tcPr>
          <w:p w14:paraId="6F0913CF" w14:textId="77777777" w:rsidR="0047722D" w:rsidRPr="00E161D1" w:rsidRDefault="00E22D56" w:rsidP="00E161D1">
            <w:pPr>
              <w:jc w:val="center"/>
              <w:rPr>
                <w:rFonts w:ascii="Arial" w:hAnsi="Arial" w:cs="Arial"/>
                <w:sz w:val="16"/>
              </w:rPr>
            </w:pPr>
            <w:r>
              <w:rPr>
                <w:rFonts w:ascii="Arial" w:hAnsi="Arial" w:cs="Arial"/>
                <w:sz w:val="16"/>
              </w:rPr>
              <w:t xml:space="preserve">Dosis inicial (D0): </w:t>
            </w:r>
            <w:r w:rsidR="0047722D" w:rsidRPr="00E161D1">
              <w:rPr>
                <w:rFonts w:ascii="Arial" w:hAnsi="Arial" w:cs="Arial"/>
                <w:sz w:val="16"/>
              </w:rPr>
              <w:t>60 mg</w:t>
            </w:r>
            <w:r w:rsidR="0047722D">
              <w:rPr>
                <w:rFonts w:ascii="Arial" w:hAnsi="Arial" w:cs="Arial"/>
                <w:sz w:val="16"/>
              </w:rPr>
              <w:t xml:space="preserve"> </w:t>
            </w:r>
            <w:r>
              <w:rPr>
                <w:rFonts w:ascii="Arial" w:hAnsi="Arial" w:cs="Arial"/>
                <w:sz w:val="16"/>
              </w:rPr>
              <w:t xml:space="preserve">Dosis mantenimiento (Dm): </w:t>
            </w:r>
            <w:r w:rsidR="0047722D" w:rsidRPr="00E161D1">
              <w:rPr>
                <w:rFonts w:ascii="Arial" w:hAnsi="Arial" w:cs="Arial"/>
                <w:sz w:val="16"/>
              </w:rPr>
              <w:t>30 mg cada 4 semanas</w:t>
            </w:r>
            <w:r>
              <w:rPr>
                <w:rFonts w:ascii="Arial" w:hAnsi="Arial" w:cs="Arial"/>
                <w:sz w:val="16"/>
              </w:rPr>
              <w:t xml:space="preserve"> (Q4W)</w:t>
            </w:r>
          </w:p>
          <w:p w14:paraId="4A49DDF1" w14:textId="77777777" w:rsidR="0047722D" w:rsidRPr="0053248A" w:rsidRDefault="0047722D" w:rsidP="00E161D1">
            <w:pPr>
              <w:jc w:val="center"/>
              <w:rPr>
                <w:rFonts w:ascii="Arial" w:hAnsi="Arial" w:cs="Arial"/>
                <w:sz w:val="16"/>
              </w:rPr>
            </w:pPr>
            <w:r w:rsidRPr="00E161D1">
              <w:rPr>
                <w:rFonts w:ascii="Arial" w:hAnsi="Arial" w:cs="Arial"/>
                <w:sz w:val="16"/>
              </w:rPr>
              <w:t>Tras 16 semanas</w:t>
            </w:r>
            <w:r>
              <w:rPr>
                <w:rFonts w:ascii="Arial" w:hAnsi="Arial" w:cs="Arial"/>
                <w:sz w:val="16"/>
              </w:rPr>
              <w:t xml:space="preserve"> si hay </w:t>
            </w:r>
            <w:r w:rsidRPr="00E161D1">
              <w:rPr>
                <w:rFonts w:ascii="Arial" w:hAnsi="Arial" w:cs="Arial"/>
                <w:sz w:val="16"/>
              </w:rPr>
              <w:t>respuesta clínica</w:t>
            </w:r>
            <w:r>
              <w:rPr>
                <w:rFonts w:ascii="Arial" w:hAnsi="Arial" w:cs="Arial"/>
                <w:sz w:val="16"/>
              </w:rPr>
              <w:t xml:space="preserve">: </w:t>
            </w:r>
            <w:r w:rsidRPr="00E161D1">
              <w:rPr>
                <w:rFonts w:ascii="Arial" w:hAnsi="Arial" w:cs="Arial"/>
                <w:sz w:val="16"/>
              </w:rPr>
              <w:t xml:space="preserve"> 30 mg cada 8 semanas</w:t>
            </w:r>
            <w:r w:rsidR="00E22D56">
              <w:rPr>
                <w:rFonts w:ascii="Arial" w:hAnsi="Arial" w:cs="Arial"/>
                <w:sz w:val="16"/>
              </w:rPr>
              <w:t xml:space="preserve"> (Q8W). Administración subcutánea (SC)</w:t>
            </w:r>
          </w:p>
        </w:tc>
        <w:tc>
          <w:tcPr>
            <w:tcW w:w="2599" w:type="dxa"/>
            <w:vAlign w:val="center"/>
          </w:tcPr>
          <w:p w14:paraId="0ED43634" w14:textId="77777777" w:rsidR="0047722D" w:rsidRDefault="00E22D56" w:rsidP="00BC3E8E">
            <w:pPr>
              <w:jc w:val="center"/>
              <w:rPr>
                <w:rFonts w:ascii="Arial" w:hAnsi="Arial" w:cs="Arial"/>
                <w:sz w:val="16"/>
              </w:rPr>
            </w:pPr>
            <w:r>
              <w:rPr>
                <w:rFonts w:ascii="Arial" w:hAnsi="Arial" w:cs="Arial"/>
                <w:sz w:val="16"/>
              </w:rPr>
              <w:t xml:space="preserve">D0: </w:t>
            </w:r>
            <w:r w:rsidR="0047722D" w:rsidRPr="0053248A">
              <w:rPr>
                <w:rFonts w:ascii="Arial" w:hAnsi="Arial" w:cs="Arial"/>
                <w:sz w:val="16"/>
              </w:rPr>
              <w:t>600 mg SC</w:t>
            </w:r>
            <w:r>
              <w:rPr>
                <w:rFonts w:ascii="Arial" w:hAnsi="Arial" w:cs="Arial"/>
                <w:sz w:val="16"/>
              </w:rPr>
              <w:t xml:space="preserve">, Dm: </w:t>
            </w:r>
            <w:r w:rsidR="0047722D" w:rsidRPr="0053248A">
              <w:rPr>
                <w:rFonts w:ascii="Arial" w:hAnsi="Arial" w:cs="Arial"/>
                <w:sz w:val="16"/>
              </w:rPr>
              <w:t xml:space="preserve">300 mg </w:t>
            </w:r>
            <w:r>
              <w:rPr>
                <w:rFonts w:ascii="Arial" w:hAnsi="Arial" w:cs="Arial"/>
                <w:sz w:val="16"/>
              </w:rPr>
              <w:t xml:space="preserve">SC </w:t>
            </w:r>
            <w:r w:rsidR="0047722D" w:rsidRPr="0053248A">
              <w:rPr>
                <w:rFonts w:ascii="Arial" w:hAnsi="Arial" w:cs="Arial"/>
                <w:sz w:val="16"/>
              </w:rPr>
              <w:t>cada 2 semanas</w:t>
            </w:r>
            <w:r w:rsidR="0047722D">
              <w:rPr>
                <w:rFonts w:ascii="Arial" w:hAnsi="Arial" w:cs="Arial"/>
                <w:sz w:val="16"/>
              </w:rPr>
              <w:t xml:space="preserve"> </w:t>
            </w:r>
            <w:r>
              <w:rPr>
                <w:rFonts w:ascii="Arial" w:hAnsi="Arial" w:cs="Arial"/>
                <w:sz w:val="16"/>
              </w:rPr>
              <w:t xml:space="preserve">(Q2W) </w:t>
            </w:r>
            <w:r w:rsidR="0047722D">
              <w:rPr>
                <w:rFonts w:ascii="Arial" w:hAnsi="Arial" w:cs="Arial"/>
                <w:sz w:val="16"/>
              </w:rPr>
              <w:t>en adultos.</w:t>
            </w:r>
          </w:p>
          <w:p w14:paraId="7E301F96" w14:textId="77777777" w:rsidR="0047722D" w:rsidRPr="0053248A" w:rsidRDefault="0047722D" w:rsidP="00BC3E8E">
            <w:pPr>
              <w:jc w:val="center"/>
              <w:rPr>
                <w:rFonts w:ascii="Arial" w:hAnsi="Arial" w:cs="Arial"/>
                <w:sz w:val="16"/>
              </w:rPr>
            </w:pPr>
            <w:r>
              <w:rPr>
                <w:rFonts w:ascii="Arial" w:hAnsi="Arial" w:cs="Arial"/>
                <w:sz w:val="16"/>
              </w:rPr>
              <w:t>*Posología en pediatría</w:t>
            </w:r>
          </w:p>
        </w:tc>
        <w:tc>
          <w:tcPr>
            <w:tcW w:w="1500" w:type="dxa"/>
            <w:vAlign w:val="center"/>
          </w:tcPr>
          <w:p w14:paraId="1738AE43" w14:textId="77777777" w:rsidR="0047722D" w:rsidRPr="006F6ABB" w:rsidRDefault="00E22D56" w:rsidP="00BC3E8E">
            <w:pPr>
              <w:jc w:val="center"/>
              <w:rPr>
                <w:rFonts w:ascii="Arial" w:hAnsi="Arial" w:cs="Arial"/>
                <w:sz w:val="16"/>
              </w:rPr>
            </w:pPr>
            <w:r>
              <w:rPr>
                <w:rFonts w:ascii="Arial" w:hAnsi="Arial" w:cs="Arial"/>
                <w:sz w:val="16"/>
              </w:rPr>
              <w:t xml:space="preserve">D0: </w:t>
            </w:r>
            <w:r w:rsidR="0047722D">
              <w:rPr>
                <w:rFonts w:ascii="Arial" w:hAnsi="Arial" w:cs="Arial"/>
                <w:sz w:val="16"/>
              </w:rPr>
              <w:t xml:space="preserve">600 mg SC </w:t>
            </w:r>
            <w:r>
              <w:rPr>
                <w:rFonts w:ascii="Arial" w:hAnsi="Arial" w:cs="Arial"/>
                <w:sz w:val="16"/>
              </w:rPr>
              <w:t xml:space="preserve">Dm: </w:t>
            </w:r>
            <w:r w:rsidR="0047722D">
              <w:rPr>
                <w:rFonts w:ascii="Arial" w:hAnsi="Arial" w:cs="Arial"/>
                <w:sz w:val="16"/>
              </w:rPr>
              <w:t xml:space="preserve">300 mg </w:t>
            </w:r>
            <w:r>
              <w:rPr>
                <w:rFonts w:ascii="Arial" w:hAnsi="Arial" w:cs="Arial"/>
                <w:sz w:val="16"/>
              </w:rPr>
              <w:t>Q2W SC</w:t>
            </w:r>
            <w:r w:rsidR="00BA4134">
              <w:rPr>
                <w:rFonts w:ascii="Arial" w:hAnsi="Arial" w:cs="Arial"/>
                <w:sz w:val="16"/>
              </w:rPr>
              <w:t>. (Puede reducirse a Q4W si control de enfermedad)</w:t>
            </w:r>
          </w:p>
        </w:tc>
        <w:tc>
          <w:tcPr>
            <w:tcW w:w="1706" w:type="dxa"/>
            <w:vAlign w:val="center"/>
          </w:tcPr>
          <w:p w14:paraId="7482020D" w14:textId="77777777" w:rsidR="0047722D" w:rsidRPr="006F6ABB" w:rsidRDefault="00E22D56" w:rsidP="00BC3E8E">
            <w:pPr>
              <w:jc w:val="center"/>
              <w:rPr>
                <w:rFonts w:ascii="Arial" w:hAnsi="Arial" w:cs="Arial"/>
                <w:sz w:val="16"/>
              </w:rPr>
            </w:pPr>
            <w:r>
              <w:rPr>
                <w:rFonts w:ascii="Arial" w:hAnsi="Arial" w:cs="Arial"/>
                <w:sz w:val="16"/>
              </w:rPr>
              <w:t xml:space="preserve">D0: </w:t>
            </w:r>
            <w:r w:rsidR="0047722D">
              <w:rPr>
                <w:rFonts w:ascii="Arial" w:hAnsi="Arial" w:cs="Arial"/>
                <w:sz w:val="16"/>
              </w:rPr>
              <w:t>500 mg</w:t>
            </w:r>
            <w:r>
              <w:rPr>
                <w:rFonts w:ascii="Arial" w:hAnsi="Arial" w:cs="Arial"/>
                <w:sz w:val="16"/>
              </w:rPr>
              <w:t xml:space="preserve"> SC</w:t>
            </w:r>
            <w:r w:rsidR="0047722D">
              <w:rPr>
                <w:rFonts w:ascii="Arial" w:hAnsi="Arial" w:cs="Arial"/>
                <w:sz w:val="16"/>
              </w:rPr>
              <w:t xml:space="preserve"> en semanas 0,</w:t>
            </w:r>
            <w:r>
              <w:rPr>
                <w:rFonts w:ascii="Arial" w:hAnsi="Arial" w:cs="Arial"/>
                <w:sz w:val="16"/>
              </w:rPr>
              <w:t>2</w:t>
            </w:r>
            <w:r w:rsidR="0047722D">
              <w:rPr>
                <w:rFonts w:ascii="Arial" w:hAnsi="Arial" w:cs="Arial"/>
                <w:sz w:val="16"/>
              </w:rPr>
              <w:t xml:space="preserve"> </w:t>
            </w:r>
            <w:r>
              <w:rPr>
                <w:rFonts w:ascii="Arial" w:hAnsi="Arial" w:cs="Arial"/>
                <w:sz w:val="16"/>
              </w:rPr>
              <w:t xml:space="preserve">Dm: </w:t>
            </w:r>
            <w:r w:rsidR="0047722D">
              <w:rPr>
                <w:rFonts w:ascii="Arial" w:hAnsi="Arial" w:cs="Arial"/>
                <w:sz w:val="16"/>
              </w:rPr>
              <w:t xml:space="preserve">250 mg SC </w:t>
            </w:r>
            <w:r>
              <w:rPr>
                <w:rFonts w:ascii="Arial" w:hAnsi="Arial" w:cs="Arial"/>
                <w:sz w:val="16"/>
              </w:rPr>
              <w:t xml:space="preserve">Q2W </w:t>
            </w:r>
            <w:r w:rsidR="0047722D">
              <w:rPr>
                <w:rFonts w:ascii="Arial" w:hAnsi="Arial" w:cs="Arial"/>
                <w:sz w:val="16"/>
              </w:rPr>
              <w:t xml:space="preserve">hasta semana 16. Posteriormente 250mg </w:t>
            </w:r>
            <w:r>
              <w:rPr>
                <w:rFonts w:ascii="Arial" w:hAnsi="Arial" w:cs="Arial"/>
                <w:sz w:val="16"/>
              </w:rPr>
              <w:t>Q4W.</w:t>
            </w:r>
          </w:p>
        </w:tc>
        <w:tc>
          <w:tcPr>
            <w:tcW w:w="1985" w:type="dxa"/>
            <w:vAlign w:val="center"/>
          </w:tcPr>
          <w:p w14:paraId="3A959207" w14:textId="77777777" w:rsidR="0047722D" w:rsidRPr="006F6ABB" w:rsidRDefault="0047722D" w:rsidP="00BC3E8E">
            <w:pPr>
              <w:jc w:val="center"/>
              <w:rPr>
                <w:rFonts w:ascii="Arial" w:hAnsi="Arial" w:cs="Arial"/>
                <w:sz w:val="16"/>
              </w:rPr>
            </w:pPr>
            <w:r>
              <w:rPr>
                <w:rFonts w:ascii="Arial" w:hAnsi="Arial" w:cs="Arial"/>
                <w:sz w:val="16"/>
              </w:rPr>
              <w:t>15 mg</w:t>
            </w:r>
            <w:r w:rsidR="00E22D56">
              <w:rPr>
                <w:rFonts w:ascii="Arial" w:hAnsi="Arial" w:cs="Arial"/>
                <w:sz w:val="16"/>
              </w:rPr>
              <w:t>/dia</w:t>
            </w:r>
            <w:r>
              <w:rPr>
                <w:rFonts w:ascii="Arial" w:hAnsi="Arial" w:cs="Arial"/>
                <w:sz w:val="16"/>
              </w:rPr>
              <w:t xml:space="preserve"> (si riesgo de tromboembolismo venoso (TEV), neoplasia o cardiovascular) o 30 mg</w:t>
            </w:r>
            <w:r w:rsidR="00E22D56">
              <w:rPr>
                <w:rFonts w:ascii="Arial" w:hAnsi="Arial" w:cs="Arial"/>
                <w:sz w:val="16"/>
              </w:rPr>
              <w:t>/día</w:t>
            </w:r>
            <w:r>
              <w:rPr>
                <w:rFonts w:ascii="Arial" w:hAnsi="Arial" w:cs="Arial"/>
                <w:sz w:val="16"/>
              </w:rPr>
              <w:t xml:space="preserve"> </w:t>
            </w:r>
            <w:r w:rsidR="00E22D56">
              <w:rPr>
                <w:rFonts w:ascii="Arial" w:hAnsi="Arial" w:cs="Arial"/>
                <w:sz w:val="16"/>
              </w:rPr>
              <w:t xml:space="preserve">si </w:t>
            </w:r>
            <w:r>
              <w:rPr>
                <w:rFonts w:ascii="Arial" w:hAnsi="Arial" w:cs="Arial"/>
                <w:sz w:val="16"/>
              </w:rPr>
              <w:t>bajo riesgo y elevada carga de la enfermedad</w:t>
            </w:r>
            <w:r w:rsidR="00BA4134">
              <w:rPr>
                <w:rFonts w:ascii="Arial" w:hAnsi="Arial" w:cs="Arial"/>
                <w:sz w:val="16"/>
              </w:rPr>
              <w:t xml:space="preserve">. 15 mg/día en adolescentes. </w:t>
            </w:r>
          </w:p>
        </w:tc>
        <w:tc>
          <w:tcPr>
            <w:tcW w:w="1615" w:type="dxa"/>
            <w:vAlign w:val="center"/>
          </w:tcPr>
          <w:p w14:paraId="170FE033" w14:textId="77777777" w:rsidR="0047722D" w:rsidRPr="006F6ABB" w:rsidRDefault="0047722D" w:rsidP="00BC3E8E">
            <w:pPr>
              <w:jc w:val="center"/>
              <w:rPr>
                <w:rFonts w:ascii="Arial" w:hAnsi="Arial" w:cs="Arial"/>
                <w:sz w:val="16"/>
              </w:rPr>
            </w:pPr>
            <w:r>
              <w:rPr>
                <w:rFonts w:ascii="Arial" w:hAnsi="Arial" w:cs="Arial"/>
                <w:sz w:val="16"/>
              </w:rPr>
              <w:t xml:space="preserve">100 mg/día </w:t>
            </w:r>
            <w:r w:rsidR="00E22D56">
              <w:rPr>
                <w:rFonts w:ascii="Arial" w:hAnsi="Arial" w:cs="Arial"/>
                <w:sz w:val="16"/>
              </w:rPr>
              <w:t>(</w:t>
            </w:r>
            <w:r>
              <w:rPr>
                <w:rFonts w:ascii="Arial" w:hAnsi="Arial" w:cs="Arial"/>
                <w:sz w:val="16"/>
              </w:rPr>
              <w:t>si riesgo de TEV, cardiovascular o neoplasia</w:t>
            </w:r>
            <w:r w:rsidR="00E22D56">
              <w:rPr>
                <w:rFonts w:ascii="Arial" w:hAnsi="Arial" w:cs="Arial"/>
                <w:sz w:val="16"/>
              </w:rPr>
              <w:t>)</w:t>
            </w:r>
            <w:r>
              <w:rPr>
                <w:rFonts w:ascii="Arial" w:hAnsi="Arial" w:cs="Arial"/>
                <w:sz w:val="16"/>
              </w:rPr>
              <w:t xml:space="preserve"> o 200 mg si no hay riesgo, alta carga de la enfermedad o respuesta insuficiente. </w:t>
            </w:r>
          </w:p>
        </w:tc>
        <w:tc>
          <w:tcPr>
            <w:tcW w:w="2354" w:type="dxa"/>
            <w:vAlign w:val="center"/>
          </w:tcPr>
          <w:p w14:paraId="5718CD35" w14:textId="77777777" w:rsidR="0047722D" w:rsidRPr="006F6ABB" w:rsidRDefault="0047722D" w:rsidP="00BC3E8E">
            <w:pPr>
              <w:jc w:val="center"/>
              <w:rPr>
                <w:rFonts w:ascii="Arial" w:hAnsi="Arial" w:cs="Arial"/>
                <w:sz w:val="16"/>
              </w:rPr>
            </w:pPr>
            <w:r>
              <w:rPr>
                <w:rFonts w:ascii="Arial" w:hAnsi="Arial" w:cs="Arial"/>
                <w:sz w:val="16"/>
              </w:rPr>
              <w:t>4 mg /día que se pueden reducir a 2 mg/día si hay un buen control de la enfermedad</w:t>
            </w:r>
            <w:r w:rsidR="00BA4134">
              <w:rPr>
                <w:rFonts w:ascii="Arial" w:hAnsi="Arial" w:cs="Arial"/>
                <w:sz w:val="16"/>
              </w:rPr>
              <w:t xml:space="preserve"> o si hay factores de riesgo.</w:t>
            </w:r>
          </w:p>
        </w:tc>
        <w:tc>
          <w:tcPr>
            <w:tcW w:w="1190" w:type="dxa"/>
            <w:vAlign w:val="center"/>
          </w:tcPr>
          <w:p w14:paraId="6D854B6F" w14:textId="77777777" w:rsidR="0047722D" w:rsidRDefault="006C53CB" w:rsidP="00BC3E8E">
            <w:pPr>
              <w:jc w:val="center"/>
              <w:rPr>
                <w:rFonts w:ascii="Arial" w:hAnsi="Arial" w:cs="Arial"/>
                <w:sz w:val="16"/>
              </w:rPr>
            </w:pPr>
            <w:r w:rsidRPr="006C53CB">
              <w:rPr>
                <w:rFonts w:ascii="Arial" w:hAnsi="Arial" w:cs="Arial"/>
                <w:sz w:val="16"/>
              </w:rPr>
              <w:t>2,5-5 mg/kg/día (reducción de dosis gradual tras control de enfermedad)</w:t>
            </w:r>
          </w:p>
        </w:tc>
      </w:tr>
      <w:tr w:rsidR="00494C98" w:rsidRPr="006F6ABB" w14:paraId="4F2C4B5E" w14:textId="77777777" w:rsidTr="00511A83">
        <w:tc>
          <w:tcPr>
            <w:tcW w:w="1261" w:type="dxa"/>
            <w:vAlign w:val="center"/>
          </w:tcPr>
          <w:p w14:paraId="33994501" w14:textId="77777777" w:rsidR="0047722D" w:rsidRPr="00AB2E8A" w:rsidDel="00C50164" w:rsidRDefault="0047722D" w:rsidP="00BC3E8E">
            <w:pPr>
              <w:rPr>
                <w:rFonts w:ascii="Arial" w:hAnsi="Arial" w:cs="Arial"/>
                <w:b/>
                <w:bCs/>
                <w:sz w:val="16"/>
                <w:lang w:val="es-ES_tradnl"/>
              </w:rPr>
            </w:pPr>
            <w:r w:rsidRPr="00AB2E8A">
              <w:rPr>
                <w:rFonts w:ascii="Arial" w:hAnsi="Arial" w:cs="Arial"/>
                <w:b/>
                <w:bCs/>
                <w:sz w:val="16"/>
                <w:lang w:val="es-ES_tradnl"/>
              </w:rPr>
              <w:t>Indicación aprobada en FT</w:t>
            </w:r>
          </w:p>
        </w:tc>
        <w:tc>
          <w:tcPr>
            <w:tcW w:w="1951" w:type="dxa"/>
            <w:vAlign w:val="center"/>
          </w:tcPr>
          <w:p w14:paraId="19F903F1" w14:textId="77777777" w:rsidR="0047722D" w:rsidRPr="00A076E0" w:rsidRDefault="0047722D" w:rsidP="00BC3E8E">
            <w:pPr>
              <w:jc w:val="center"/>
              <w:rPr>
                <w:rFonts w:ascii="Arial" w:hAnsi="Arial" w:cs="Arial"/>
                <w:sz w:val="16"/>
                <w:szCs w:val="16"/>
              </w:rPr>
            </w:pPr>
            <w:r>
              <w:rPr>
                <w:rFonts w:ascii="Arial" w:hAnsi="Arial" w:cs="Arial"/>
                <w:sz w:val="16"/>
                <w:szCs w:val="16"/>
              </w:rPr>
              <w:t xml:space="preserve">DA </w:t>
            </w:r>
            <w:r w:rsidRPr="00E161D1">
              <w:rPr>
                <w:rFonts w:ascii="Arial" w:hAnsi="Arial" w:cs="Arial"/>
                <w:sz w:val="16"/>
                <w:szCs w:val="16"/>
              </w:rPr>
              <w:t xml:space="preserve">moderada a grave en </w:t>
            </w:r>
            <w:r w:rsidRPr="005161B7">
              <w:rPr>
                <w:rFonts w:ascii="Arial" w:hAnsi="Arial" w:cs="Arial"/>
                <w:b/>
                <w:bCs/>
                <w:sz w:val="16"/>
                <w:szCs w:val="16"/>
              </w:rPr>
              <w:t xml:space="preserve">pacientes </w:t>
            </w:r>
            <w:r w:rsidR="00873477" w:rsidRPr="005161B7">
              <w:rPr>
                <w:rFonts w:ascii="Arial" w:hAnsi="Arial" w:cs="Arial"/>
                <w:b/>
                <w:bCs/>
                <w:sz w:val="16"/>
                <w:szCs w:val="16"/>
              </w:rPr>
              <w:t>≥</w:t>
            </w:r>
            <w:r w:rsidRPr="005161B7">
              <w:rPr>
                <w:rFonts w:ascii="Arial" w:hAnsi="Arial" w:cs="Arial"/>
                <w:b/>
                <w:bCs/>
                <w:sz w:val="16"/>
                <w:szCs w:val="16"/>
              </w:rPr>
              <w:t>12 años</w:t>
            </w:r>
            <w:r w:rsidRPr="00E161D1">
              <w:rPr>
                <w:rFonts w:ascii="Arial" w:hAnsi="Arial" w:cs="Arial"/>
                <w:sz w:val="16"/>
                <w:szCs w:val="16"/>
              </w:rPr>
              <w:t xml:space="preserve"> que sean candidatos a tratamiento sistémico.</w:t>
            </w:r>
          </w:p>
        </w:tc>
        <w:tc>
          <w:tcPr>
            <w:tcW w:w="2599" w:type="dxa"/>
            <w:vAlign w:val="center"/>
          </w:tcPr>
          <w:p w14:paraId="01190075" w14:textId="77777777" w:rsidR="0047722D" w:rsidRPr="006F6ABB" w:rsidRDefault="0047722D" w:rsidP="00BC3E8E">
            <w:pPr>
              <w:jc w:val="center"/>
              <w:rPr>
                <w:rFonts w:ascii="Arial" w:hAnsi="Arial" w:cs="Arial"/>
                <w:sz w:val="16"/>
              </w:rPr>
            </w:pPr>
            <w:r w:rsidRPr="00A076E0">
              <w:rPr>
                <w:rFonts w:ascii="Arial" w:hAnsi="Arial" w:cs="Arial"/>
                <w:sz w:val="16"/>
                <w:szCs w:val="16"/>
              </w:rPr>
              <w:t xml:space="preserve">DA moderada-severa </w:t>
            </w:r>
            <w:r w:rsidR="005161B7">
              <w:rPr>
                <w:rFonts w:ascii="Arial" w:hAnsi="Arial" w:cs="Arial"/>
                <w:sz w:val="16"/>
                <w:szCs w:val="16"/>
              </w:rPr>
              <w:t xml:space="preserve">en pacientes </w:t>
            </w:r>
            <w:r w:rsidR="005161B7" w:rsidRPr="005161B7">
              <w:rPr>
                <w:rFonts w:ascii="Arial" w:hAnsi="Arial" w:cs="Arial"/>
                <w:b/>
                <w:bCs/>
                <w:sz w:val="16"/>
                <w:szCs w:val="16"/>
              </w:rPr>
              <w:t>adultos y adolescentes</w:t>
            </w:r>
            <w:r w:rsidR="005161B7">
              <w:rPr>
                <w:rFonts w:ascii="Arial" w:hAnsi="Arial" w:cs="Arial"/>
                <w:sz w:val="16"/>
                <w:szCs w:val="16"/>
              </w:rPr>
              <w:t xml:space="preserve"> ≥12 años y </w:t>
            </w:r>
            <w:r w:rsidRPr="00A076E0">
              <w:rPr>
                <w:rFonts w:ascii="Arial" w:hAnsi="Arial" w:cs="Arial"/>
                <w:sz w:val="16"/>
                <w:szCs w:val="16"/>
              </w:rPr>
              <w:t xml:space="preserve">en </w:t>
            </w:r>
            <w:r w:rsidRPr="005161B7">
              <w:rPr>
                <w:rFonts w:ascii="Arial" w:hAnsi="Arial" w:cs="Arial"/>
                <w:b/>
                <w:bCs/>
                <w:sz w:val="16"/>
                <w:szCs w:val="16"/>
              </w:rPr>
              <w:t>niños de 6 meses a 11 años</w:t>
            </w:r>
            <w:r w:rsidRPr="00C60AA5">
              <w:rPr>
                <w:rFonts w:ascii="Arial" w:hAnsi="Arial" w:cs="Arial"/>
                <w:sz w:val="16"/>
                <w:szCs w:val="16"/>
              </w:rPr>
              <w:t xml:space="preserve"> que son candidatos a tratamiento sistémico.</w:t>
            </w:r>
          </w:p>
        </w:tc>
        <w:tc>
          <w:tcPr>
            <w:tcW w:w="1500" w:type="dxa"/>
            <w:vAlign w:val="center"/>
          </w:tcPr>
          <w:p w14:paraId="37333C0E" w14:textId="77777777" w:rsidR="0047722D" w:rsidRPr="006F6ABB" w:rsidRDefault="0047722D" w:rsidP="00BC3E8E">
            <w:pPr>
              <w:jc w:val="center"/>
              <w:rPr>
                <w:rFonts w:ascii="Arial" w:hAnsi="Arial" w:cs="Arial"/>
                <w:sz w:val="16"/>
              </w:rPr>
            </w:pPr>
            <w:r>
              <w:rPr>
                <w:rFonts w:ascii="Arial" w:hAnsi="Arial" w:cs="Arial"/>
                <w:sz w:val="16"/>
              </w:rPr>
              <w:t xml:space="preserve">DA moderada-grave en pacientes </w:t>
            </w:r>
            <w:r w:rsidRPr="005161B7">
              <w:rPr>
                <w:rFonts w:ascii="Arial" w:hAnsi="Arial" w:cs="Arial"/>
                <w:b/>
                <w:bCs/>
                <w:sz w:val="16"/>
              </w:rPr>
              <w:t xml:space="preserve">adultos y adolescentes </w:t>
            </w:r>
            <w:r w:rsidR="00873477" w:rsidRPr="005161B7">
              <w:rPr>
                <w:rFonts w:ascii="Arial" w:hAnsi="Arial" w:cs="Arial"/>
                <w:b/>
                <w:bCs/>
                <w:sz w:val="16"/>
                <w:szCs w:val="16"/>
              </w:rPr>
              <w:t>≥</w:t>
            </w:r>
            <w:r w:rsidRPr="005161B7">
              <w:rPr>
                <w:rFonts w:ascii="Arial" w:hAnsi="Arial" w:cs="Arial"/>
                <w:b/>
                <w:bCs/>
                <w:sz w:val="16"/>
              </w:rPr>
              <w:t>1</w:t>
            </w:r>
            <w:r w:rsidR="00873477" w:rsidRPr="005161B7">
              <w:rPr>
                <w:rFonts w:ascii="Arial" w:hAnsi="Arial" w:cs="Arial"/>
                <w:b/>
                <w:bCs/>
                <w:sz w:val="16"/>
              </w:rPr>
              <w:t>2</w:t>
            </w:r>
            <w:r>
              <w:rPr>
                <w:rFonts w:ascii="Arial" w:hAnsi="Arial" w:cs="Arial"/>
                <w:sz w:val="16"/>
              </w:rPr>
              <w:t xml:space="preserve"> años de edad candidatos a tratamiento sistémico.</w:t>
            </w:r>
          </w:p>
        </w:tc>
        <w:tc>
          <w:tcPr>
            <w:tcW w:w="1706" w:type="dxa"/>
            <w:vAlign w:val="center"/>
          </w:tcPr>
          <w:p w14:paraId="4393BDBA" w14:textId="77777777" w:rsidR="0047722D" w:rsidRPr="006F6ABB" w:rsidRDefault="0047722D" w:rsidP="00BC3E8E">
            <w:pPr>
              <w:jc w:val="center"/>
              <w:rPr>
                <w:rFonts w:ascii="Arial" w:hAnsi="Arial" w:cs="Arial"/>
                <w:sz w:val="16"/>
              </w:rPr>
            </w:pPr>
            <w:r>
              <w:rPr>
                <w:rFonts w:ascii="Arial" w:hAnsi="Arial" w:cs="Arial"/>
                <w:sz w:val="16"/>
              </w:rPr>
              <w:t xml:space="preserve">DA </w:t>
            </w:r>
            <w:r w:rsidRPr="009E4D63">
              <w:rPr>
                <w:rFonts w:ascii="Arial" w:hAnsi="Arial" w:cs="Arial"/>
                <w:sz w:val="16"/>
              </w:rPr>
              <w:t>de moderada</w:t>
            </w:r>
            <w:r>
              <w:rPr>
                <w:rFonts w:ascii="Arial" w:hAnsi="Arial" w:cs="Arial"/>
                <w:sz w:val="16"/>
              </w:rPr>
              <w:t xml:space="preserve">- </w:t>
            </w:r>
            <w:r w:rsidRPr="009E4D63">
              <w:rPr>
                <w:rFonts w:ascii="Arial" w:hAnsi="Arial" w:cs="Arial"/>
                <w:sz w:val="16"/>
              </w:rPr>
              <w:t xml:space="preserve">grave en </w:t>
            </w:r>
            <w:r w:rsidRPr="00E658DB">
              <w:rPr>
                <w:rFonts w:ascii="Arial" w:hAnsi="Arial" w:cs="Arial"/>
                <w:b/>
                <w:bCs/>
                <w:sz w:val="16"/>
              </w:rPr>
              <w:t xml:space="preserve">adultos y adolescentes </w:t>
            </w:r>
            <w:r w:rsidR="00873477" w:rsidRPr="00E658DB">
              <w:rPr>
                <w:rFonts w:ascii="Arial" w:hAnsi="Arial" w:cs="Arial"/>
                <w:b/>
                <w:bCs/>
                <w:sz w:val="16"/>
                <w:szCs w:val="16"/>
              </w:rPr>
              <w:t>≥</w:t>
            </w:r>
            <w:r w:rsidRPr="00E658DB">
              <w:rPr>
                <w:rFonts w:ascii="Arial" w:hAnsi="Arial" w:cs="Arial"/>
                <w:b/>
                <w:bCs/>
                <w:sz w:val="16"/>
              </w:rPr>
              <w:t>12 años</w:t>
            </w:r>
            <w:r w:rsidRPr="009E4D63">
              <w:rPr>
                <w:rFonts w:ascii="Arial" w:hAnsi="Arial" w:cs="Arial"/>
                <w:sz w:val="16"/>
              </w:rPr>
              <w:t xml:space="preserve"> con un peso corporal </w:t>
            </w:r>
            <w:r w:rsidR="00873477">
              <w:rPr>
                <w:rFonts w:ascii="Arial" w:hAnsi="Arial" w:cs="Arial"/>
                <w:sz w:val="16"/>
                <w:szCs w:val="16"/>
              </w:rPr>
              <w:t>≥</w:t>
            </w:r>
            <w:r w:rsidRPr="009E4D63">
              <w:rPr>
                <w:rFonts w:ascii="Arial" w:hAnsi="Arial" w:cs="Arial"/>
                <w:sz w:val="16"/>
              </w:rPr>
              <w:t>40 kg</w:t>
            </w:r>
            <w:r w:rsidR="00873477">
              <w:rPr>
                <w:rFonts w:ascii="Arial" w:hAnsi="Arial" w:cs="Arial"/>
                <w:sz w:val="16"/>
              </w:rPr>
              <w:t xml:space="preserve">, </w:t>
            </w:r>
            <w:r w:rsidRPr="009E4D63">
              <w:rPr>
                <w:rFonts w:ascii="Arial" w:hAnsi="Arial" w:cs="Arial"/>
                <w:sz w:val="16"/>
              </w:rPr>
              <w:t>candidatos a una terapia sistémica</w:t>
            </w:r>
          </w:p>
        </w:tc>
        <w:tc>
          <w:tcPr>
            <w:tcW w:w="1985" w:type="dxa"/>
            <w:vAlign w:val="center"/>
          </w:tcPr>
          <w:p w14:paraId="15E2694E" w14:textId="77777777" w:rsidR="0047722D" w:rsidRPr="006F6ABB" w:rsidRDefault="0047722D" w:rsidP="00BC3E8E">
            <w:pPr>
              <w:jc w:val="center"/>
              <w:rPr>
                <w:rFonts w:ascii="Arial" w:hAnsi="Arial" w:cs="Arial"/>
                <w:sz w:val="16"/>
              </w:rPr>
            </w:pPr>
            <w:r>
              <w:rPr>
                <w:rFonts w:ascii="Arial" w:hAnsi="Arial" w:cs="Arial"/>
                <w:sz w:val="16"/>
              </w:rPr>
              <w:t>DA</w:t>
            </w:r>
            <w:r w:rsidRPr="000F05C0">
              <w:rPr>
                <w:rFonts w:ascii="Arial" w:hAnsi="Arial" w:cs="Arial"/>
                <w:sz w:val="16"/>
              </w:rPr>
              <w:t xml:space="preserve"> moderada</w:t>
            </w:r>
            <w:r>
              <w:rPr>
                <w:rFonts w:ascii="Arial" w:hAnsi="Arial" w:cs="Arial"/>
                <w:sz w:val="16"/>
              </w:rPr>
              <w:t>-</w:t>
            </w:r>
            <w:r w:rsidRPr="000F05C0">
              <w:rPr>
                <w:rFonts w:ascii="Arial" w:hAnsi="Arial" w:cs="Arial"/>
                <w:sz w:val="16"/>
              </w:rPr>
              <w:t xml:space="preserve"> grave en pacientes </w:t>
            </w:r>
            <w:r w:rsidRPr="00E658DB">
              <w:rPr>
                <w:rFonts w:ascii="Arial" w:hAnsi="Arial" w:cs="Arial"/>
                <w:b/>
                <w:bCs/>
                <w:sz w:val="16"/>
              </w:rPr>
              <w:t xml:space="preserve">adultos y adolescentes </w:t>
            </w:r>
            <w:r w:rsidR="00873477" w:rsidRPr="00E658DB">
              <w:rPr>
                <w:rFonts w:ascii="Arial" w:hAnsi="Arial" w:cs="Arial"/>
                <w:b/>
                <w:bCs/>
                <w:sz w:val="16"/>
                <w:szCs w:val="16"/>
              </w:rPr>
              <w:t>≥</w:t>
            </w:r>
            <w:r w:rsidRPr="00E658DB">
              <w:rPr>
                <w:rFonts w:ascii="Arial" w:hAnsi="Arial" w:cs="Arial"/>
                <w:b/>
                <w:bCs/>
                <w:sz w:val="16"/>
              </w:rPr>
              <w:t>12 años</w:t>
            </w:r>
            <w:r w:rsidRPr="000F05C0">
              <w:rPr>
                <w:rFonts w:ascii="Arial" w:hAnsi="Arial" w:cs="Arial"/>
                <w:sz w:val="16"/>
              </w:rPr>
              <w:t xml:space="preserve"> de edad candidatos a tratamiento sistémico.</w:t>
            </w:r>
          </w:p>
        </w:tc>
        <w:tc>
          <w:tcPr>
            <w:tcW w:w="1615" w:type="dxa"/>
            <w:vAlign w:val="center"/>
          </w:tcPr>
          <w:p w14:paraId="29EE9BEC" w14:textId="77777777" w:rsidR="0047722D" w:rsidRPr="006F6ABB" w:rsidRDefault="0047722D" w:rsidP="00BC3E8E">
            <w:pPr>
              <w:jc w:val="center"/>
              <w:rPr>
                <w:rFonts w:ascii="Arial" w:hAnsi="Arial" w:cs="Arial"/>
                <w:sz w:val="16"/>
              </w:rPr>
            </w:pPr>
            <w:r>
              <w:rPr>
                <w:rFonts w:ascii="Arial" w:hAnsi="Arial" w:cs="Arial"/>
                <w:sz w:val="16"/>
              </w:rPr>
              <w:t>DA</w:t>
            </w:r>
            <w:r w:rsidRPr="000F05C0">
              <w:rPr>
                <w:rFonts w:ascii="Arial" w:hAnsi="Arial" w:cs="Arial"/>
                <w:sz w:val="16"/>
              </w:rPr>
              <w:t xml:space="preserve"> moderada</w:t>
            </w:r>
            <w:r>
              <w:rPr>
                <w:rFonts w:ascii="Arial" w:hAnsi="Arial" w:cs="Arial"/>
                <w:sz w:val="16"/>
              </w:rPr>
              <w:t>-</w:t>
            </w:r>
            <w:r w:rsidRPr="000F05C0">
              <w:rPr>
                <w:rFonts w:ascii="Arial" w:hAnsi="Arial" w:cs="Arial"/>
                <w:sz w:val="16"/>
              </w:rPr>
              <w:t xml:space="preserve"> grave en pacientes </w:t>
            </w:r>
            <w:r w:rsidRPr="00E658DB">
              <w:rPr>
                <w:rFonts w:ascii="Arial" w:hAnsi="Arial" w:cs="Arial"/>
                <w:b/>
                <w:bCs/>
                <w:sz w:val="16"/>
              </w:rPr>
              <w:t xml:space="preserve">adultos y adolescentes </w:t>
            </w:r>
            <w:r w:rsidR="00873477" w:rsidRPr="00E658DB">
              <w:rPr>
                <w:rFonts w:ascii="Arial" w:hAnsi="Arial" w:cs="Arial"/>
                <w:b/>
                <w:bCs/>
                <w:sz w:val="16"/>
                <w:szCs w:val="16"/>
              </w:rPr>
              <w:t>≥</w:t>
            </w:r>
            <w:r w:rsidRPr="00E658DB">
              <w:rPr>
                <w:rFonts w:ascii="Arial" w:hAnsi="Arial" w:cs="Arial"/>
                <w:b/>
                <w:bCs/>
                <w:sz w:val="16"/>
              </w:rPr>
              <w:t>12 años</w:t>
            </w:r>
            <w:r w:rsidRPr="000F05C0">
              <w:rPr>
                <w:rFonts w:ascii="Arial" w:hAnsi="Arial" w:cs="Arial"/>
                <w:sz w:val="16"/>
              </w:rPr>
              <w:t xml:space="preserve"> de candidatos a tratamiento sistémico.</w:t>
            </w:r>
          </w:p>
        </w:tc>
        <w:tc>
          <w:tcPr>
            <w:tcW w:w="2354" w:type="dxa"/>
            <w:vAlign w:val="center"/>
          </w:tcPr>
          <w:p w14:paraId="41E06442" w14:textId="77777777" w:rsidR="0047722D" w:rsidRPr="006F6ABB" w:rsidRDefault="0047722D" w:rsidP="00BC3E8E">
            <w:pPr>
              <w:jc w:val="center"/>
              <w:rPr>
                <w:rFonts w:ascii="Arial" w:hAnsi="Arial" w:cs="Arial"/>
                <w:sz w:val="16"/>
              </w:rPr>
            </w:pPr>
            <w:r>
              <w:rPr>
                <w:rFonts w:ascii="Arial" w:hAnsi="Arial" w:cs="Arial"/>
                <w:sz w:val="16"/>
              </w:rPr>
              <w:t xml:space="preserve">DA </w:t>
            </w:r>
            <w:r w:rsidRPr="00963D72">
              <w:rPr>
                <w:rFonts w:ascii="Arial" w:hAnsi="Arial" w:cs="Arial"/>
                <w:sz w:val="16"/>
              </w:rPr>
              <w:t xml:space="preserve">de moderada a grave en pacientes </w:t>
            </w:r>
            <w:r w:rsidRPr="00E658DB">
              <w:rPr>
                <w:rFonts w:ascii="Arial" w:hAnsi="Arial" w:cs="Arial"/>
                <w:b/>
                <w:bCs/>
                <w:sz w:val="16"/>
              </w:rPr>
              <w:t xml:space="preserve">adultos y pediátricos </w:t>
            </w:r>
            <w:r w:rsidR="00873477" w:rsidRPr="00E658DB">
              <w:rPr>
                <w:rFonts w:ascii="Arial" w:hAnsi="Arial" w:cs="Arial"/>
                <w:b/>
                <w:bCs/>
                <w:sz w:val="16"/>
                <w:szCs w:val="16"/>
              </w:rPr>
              <w:t>≥</w:t>
            </w:r>
            <w:r w:rsidRPr="00E658DB">
              <w:rPr>
                <w:rFonts w:ascii="Arial" w:hAnsi="Arial" w:cs="Arial"/>
                <w:b/>
                <w:bCs/>
                <w:sz w:val="16"/>
              </w:rPr>
              <w:t xml:space="preserve"> 2 </w:t>
            </w:r>
            <w:r w:rsidR="00873477" w:rsidRPr="00E658DB">
              <w:rPr>
                <w:rFonts w:ascii="Arial" w:hAnsi="Arial" w:cs="Arial"/>
                <w:b/>
                <w:bCs/>
                <w:sz w:val="16"/>
              </w:rPr>
              <w:t>años</w:t>
            </w:r>
            <w:r w:rsidR="00873477" w:rsidRPr="00963D72">
              <w:rPr>
                <w:rFonts w:ascii="Arial" w:hAnsi="Arial" w:cs="Arial"/>
                <w:sz w:val="16"/>
              </w:rPr>
              <w:t xml:space="preserve"> candidatos</w:t>
            </w:r>
            <w:r w:rsidRPr="00963D72">
              <w:rPr>
                <w:rFonts w:ascii="Arial" w:hAnsi="Arial" w:cs="Arial"/>
                <w:sz w:val="16"/>
              </w:rPr>
              <w:t xml:space="preserve"> a tratamiento sistémico</w:t>
            </w:r>
          </w:p>
        </w:tc>
        <w:tc>
          <w:tcPr>
            <w:tcW w:w="1190" w:type="dxa"/>
            <w:vAlign w:val="center"/>
          </w:tcPr>
          <w:p w14:paraId="5873024E" w14:textId="77777777" w:rsidR="0047722D" w:rsidRDefault="004E52B4" w:rsidP="00BC3E8E">
            <w:pPr>
              <w:jc w:val="center"/>
              <w:rPr>
                <w:rFonts w:ascii="Arial" w:hAnsi="Arial" w:cs="Arial"/>
                <w:sz w:val="16"/>
              </w:rPr>
            </w:pPr>
            <w:r>
              <w:rPr>
                <w:rFonts w:ascii="Arial" w:hAnsi="Arial" w:cs="Arial"/>
                <w:sz w:val="16"/>
              </w:rPr>
              <w:t>DA</w:t>
            </w:r>
            <w:r w:rsidR="00873477">
              <w:rPr>
                <w:rFonts w:ascii="Arial" w:hAnsi="Arial" w:cs="Arial"/>
                <w:sz w:val="16"/>
              </w:rPr>
              <w:t xml:space="preserve"> grave cuando se requiera una terapia sistémica</w:t>
            </w:r>
            <w:r w:rsidR="00BA4134">
              <w:rPr>
                <w:rFonts w:ascii="Arial" w:hAnsi="Arial" w:cs="Arial"/>
                <w:sz w:val="16"/>
              </w:rPr>
              <w:t xml:space="preserve">. En pacientes &gt;16 años. </w:t>
            </w:r>
          </w:p>
        </w:tc>
      </w:tr>
      <w:tr w:rsidR="00494C98" w:rsidRPr="006F6ABB" w14:paraId="1A02B38B" w14:textId="77777777" w:rsidTr="00511A83">
        <w:trPr>
          <w:trHeight w:val="1224"/>
        </w:trPr>
        <w:tc>
          <w:tcPr>
            <w:tcW w:w="1261" w:type="dxa"/>
            <w:vAlign w:val="center"/>
          </w:tcPr>
          <w:p w14:paraId="7154379A" w14:textId="77777777" w:rsidR="00BA4134" w:rsidRPr="00AB2E8A" w:rsidRDefault="00BA4134" w:rsidP="00BC3E8E">
            <w:pPr>
              <w:rPr>
                <w:rFonts w:ascii="Arial" w:hAnsi="Arial" w:cs="Arial"/>
                <w:b/>
                <w:bCs/>
                <w:sz w:val="16"/>
                <w:lang w:val="es-ES_tradnl"/>
              </w:rPr>
            </w:pPr>
            <w:r w:rsidRPr="00AB2E8A">
              <w:rPr>
                <w:rFonts w:ascii="Arial" w:hAnsi="Arial" w:cs="Arial"/>
                <w:b/>
                <w:bCs/>
                <w:sz w:val="16"/>
                <w:lang w:val="es-ES_tradnl"/>
              </w:rPr>
              <w:t>Efectos adversos</w:t>
            </w:r>
          </w:p>
        </w:tc>
        <w:tc>
          <w:tcPr>
            <w:tcW w:w="1951" w:type="dxa"/>
            <w:vAlign w:val="center"/>
          </w:tcPr>
          <w:p w14:paraId="46E602B6" w14:textId="77777777" w:rsidR="00BA4134" w:rsidRPr="00C60AA5" w:rsidRDefault="00BA4134" w:rsidP="00BC3E8E">
            <w:pPr>
              <w:jc w:val="center"/>
              <w:rPr>
                <w:rFonts w:ascii="Arial" w:hAnsi="Arial" w:cs="Arial"/>
                <w:bCs/>
                <w:sz w:val="16"/>
              </w:rPr>
            </w:pPr>
            <w:r>
              <w:rPr>
                <w:rFonts w:ascii="Arial" w:hAnsi="Arial" w:cs="Arial"/>
                <w:bCs/>
                <w:sz w:val="16"/>
              </w:rPr>
              <w:t>Hipersensibilidad tipo I (urticaria, angioedema), cefalea, infecciones fúngicas, reacciones en lugar de inyección, empeoramiento asma y DA.</w:t>
            </w:r>
          </w:p>
        </w:tc>
        <w:tc>
          <w:tcPr>
            <w:tcW w:w="2599" w:type="dxa"/>
            <w:vAlign w:val="center"/>
          </w:tcPr>
          <w:p w14:paraId="0102CC06" w14:textId="77777777" w:rsidR="00BA4134" w:rsidRPr="00C60AA5" w:rsidRDefault="00BA4134" w:rsidP="00BC3E8E">
            <w:pPr>
              <w:jc w:val="center"/>
              <w:rPr>
                <w:rFonts w:ascii="Arial" w:hAnsi="Arial" w:cs="Arial"/>
                <w:bCs/>
                <w:sz w:val="16"/>
              </w:rPr>
            </w:pPr>
            <w:r w:rsidRPr="00C60AA5">
              <w:rPr>
                <w:rFonts w:ascii="Arial" w:hAnsi="Arial" w:cs="Arial"/>
                <w:bCs/>
                <w:sz w:val="16"/>
              </w:rPr>
              <w:t>Conjuntivitis</w:t>
            </w:r>
            <w:r>
              <w:rPr>
                <w:rFonts w:ascii="Arial" w:hAnsi="Arial" w:cs="Arial"/>
                <w:bCs/>
                <w:sz w:val="16"/>
              </w:rPr>
              <w:t xml:space="preserve">, </w:t>
            </w:r>
            <w:r w:rsidRPr="00A076E0">
              <w:rPr>
                <w:rFonts w:ascii="Arial" w:hAnsi="Arial" w:cs="Arial"/>
                <w:sz w:val="16"/>
                <w:szCs w:val="16"/>
              </w:rPr>
              <w:t>blefaritis, sequedad de ojos, herpes oral</w:t>
            </w:r>
            <w:r>
              <w:rPr>
                <w:rFonts w:ascii="Arial" w:hAnsi="Arial" w:cs="Arial"/>
                <w:sz w:val="16"/>
                <w:szCs w:val="16"/>
              </w:rPr>
              <w:t>,</w:t>
            </w:r>
            <w:r w:rsidR="0003121A">
              <w:rPr>
                <w:rFonts w:ascii="Arial" w:hAnsi="Arial" w:cs="Arial"/>
                <w:sz w:val="16"/>
                <w:szCs w:val="16"/>
              </w:rPr>
              <w:t xml:space="preserve"> sinusitis, infecciones respiratorias,</w:t>
            </w:r>
            <w:r>
              <w:rPr>
                <w:rFonts w:ascii="Arial" w:hAnsi="Arial" w:cs="Arial"/>
                <w:sz w:val="16"/>
                <w:szCs w:val="16"/>
              </w:rPr>
              <w:t xml:space="preserve"> artralgias</w:t>
            </w:r>
          </w:p>
        </w:tc>
        <w:tc>
          <w:tcPr>
            <w:tcW w:w="1500" w:type="dxa"/>
            <w:vAlign w:val="center"/>
          </w:tcPr>
          <w:p w14:paraId="6359B5BB" w14:textId="77777777" w:rsidR="00BA4134" w:rsidRPr="0061038D" w:rsidRDefault="00BA4134" w:rsidP="00BC3E8E">
            <w:pPr>
              <w:jc w:val="center"/>
              <w:rPr>
                <w:rFonts w:ascii="Arial" w:hAnsi="Arial" w:cs="Arial"/>
                <w:bCs/>
                <w:sz w:val="16"/>
              </w:rPr>
            </w:pPr>
            <w:r w:rsidRPr="0061038D">
              <w:rPr>
                <w:rFonts w:ascii="Arial" w:hAnsi="Arial" w:cs="Arial"/>
                <w:bCs/>
                <w:sz w:val="16"/>
              </w:rPr>
              <w:t>Conjuntivitis, eosinofilia, queratitis</w:t>
            </w:r>
            <w:r w:rsidR="0003121A">
              <w:rPr>
                <w:rFonts w:ascii="Arial" w:hAnsi="Arial" w:cs="Arial"/>
                <w:bCs/>
                <w:sz w:val="16"/>
              </w:rPr>
              <w:t xml:space="preserve">, infecciones respiratorias superiores. </w:t>
            </w:r>
          </w:p>
        </w:tc>
        <w:tc>
          <w:tcPr>
            <w:tcW w:w="1706" w:type="dxa"/>
            <w:vAlign w:val="center"/>
          </w:tcPr>
          <w:p w14:paraId="039D9F94" w14:textId="77777777" w:rsidR="00BA4134" w:rsidRPr="009E4D63" w:rsidRDefault="00BA4134" w:rsidP="00BC3E8E">
            <w:pPr>
              <w:jc w:val="center"/>
              <w:rPr>
                <w:rFonts w:ascii="Arial" w:hAnsi="Arial" w:cs="Arial"/>
                <w:bCs/>
                <w:sz w:val="16"/>
              </w:rPr>
            </w:pPr>
            <w:r w:rsidRPr="009E4D63">
              <w:rPr>
                <w:rFonts w:ascii="Arial" w:hAnsi="Arial" w:cs="Arial"/>
                <w:bCs/>
                <w:sz w:val="16"/>
              </w:rPr>
              <w:t>Conjuntivitis, blefaritis, eosinofilia, queratitis, sequedad ocular</w:t>
            </w:r>
            <w:r w:rsidR="0003121A">
              <w:rPr>
                <w:rFonts w:ascii="Arial" w:hAnsi="Arial" w:cs="Arial"/>
                <w:bCs/>
                <w:sz w:val="16"/>
              </w:rPr>
              <w:t>, herpes zoster</w:t>
            </w:r>
          </w:p>
        </w:tc>
        <w:tc>
          <w:tcPr>
            <w:tcW w:w="5954" w:type="dxa"/>
            <w:gridSpan w:val="3"/>
            <w:vAlign w:val="center"/>
          </w:tcPr>
          <w:p w14:paraId="50FFAB22" w14:textId="77777777" w:rsidR="00BA4134" w:rsidRPr="001A686D" w:rsidRDefault="00BA4134" w:rsidP="00BC3E8E">
            <w:pPr>
              <w:jc w:val="center"/>
              <w:rPr>
                <w:rFonts w:ascii="Arial" w:hAnsi="Arial" w:cs="Arial"/>
                <w:bCs/>
                <w:sz w:val="16"/>
              </w:rPr>
            </w:pPr>
            <w:r w:rsidRPr="001A686D">
              <w:rPr>
                <w:rFonts w:ascii="Arial" w:hAnsi="Arial" w:cs="Arial"/>
                <w:bCs/>
                <w:sz w:val="16"/>
              </w:rPr>
              <w:t>Infecciones graves</w:t>
            </w:r>
            <w:r>
              <w:rPr>
                <w:rFonts w:ascii="Arial" w:hAnsi="Arial" w:cs="Arial"/>
                <w:bCs/>
                <w:sz w:val="16"/>
              </w:rPr>
              <w:t xml:space="preserve">, infecciones tracto respiratorio superior, herpes simple y herpes zoster, </w:t>
            </w:r>
            <w:r w:rsidRPr="001A686D">
              <w:rPr>
                <w:rFonts w:ascii="Arial" w:hAnsi="Arial" w:cs="Arial"/>
                <w:bCs/>
                <w:sz w:val="16"/>
              </w:rPr>
              <w:t xml:space="preserve"> tromboembolismo venoso, neoplasia y eventos cardiovasculares, náuseas, acné</w:t>
            </w:r>
            <w:r>
              <w:rPr>
                <w:rFonts w:ascii="Arial" w:hAnsi="Arial" w:cs="Arial"/>
                <w:bCs/>
                <w:sz w:val="16"/>
              </w:rPr>
              <w:t>,</w:t>
            </w:r>
            <w:r w:rsidRPr="001A686D">
              <w:rPr>
                <w:rFonts w:ascii="Arial" w:hAnsi="Arial" w:cs="Arial"/>
                <w:bCs/>
                <w:sz w:val="16"/>
              </w:rPr>
              <w:t xml:space="preserve"> trombocitopenia</w:t>
            </w:r>
            <w:r>
              <w:rPr>
                <w:rFonts w:ascii="Arial" w:hAnsi="Arial" w:cs="Arial"/>
                <w:bCs/>
                <w:sz w:val="16"/>
              </w:rPr>
              <w:t xml:space="preserve"> y elevación de enzimas hepáticas y CK.</w:t>
            </w:r>
          </w:p>
        </w:tc>
        <w:tc>
          <w:tcPr>
            <w:tcW w:w="1190" w:type="dxa"/>
            <w:vAlign w:val="center"/>
          </w:tcPr>
          <w:p w14:paraId="7B55244B" w14:textId="77777777" w:rsidR="00BA4134" w:rsidRPr="006C53CB" w:rsidRDefault="00BA4134" w:rsidP="006C53CB">
            <w:pPr>
              <w:jc w:val="center"/>
              <w:rPr>
                <w:rFonts w:ascii="Arial" w:hAnsi="Arial" w:cs="Arial"/>
                <w:bCs/>
                <w:sz w:val="16"/>
              </w:rPr>
            </w:pPr>
            <w:r w:rsidRPr="006C53CB">
              <w:rPr>
                <w:rFonts w:ascii="Arial" w:hAnsi="Arial" w:cs="Arial"/>
                <w:bCs/>
                <w:sz w:val="16"/>
              </w:rPr>
              <w:t>Infecciones, neoplasias,</w:t>
            </w:r>
          </w:p>
          <w:p w14:paraId="0C5E557F" w14:textId="77777777" w:rsidR="00BA4134" w:rsidRDefault="00BA4134" w:rsidP="006C53CB">
            <w:pPr>
              <w:jc w:val="center"/>
              <w:rPr>
                <w:rFonts w:ascii="Arial" w:hAnsi="Arial" w:cs="Arial"/>
                <w:bCs/>
                <w:sz w:val="16"/>
              </w:rPr>
            </w:pPr>
            <w:r w:rsidRPr="006C53CB">
              <w:rPr>
                <w:rFonts w:ascii="Arial" w:hAnsi="Arial" w:cs="Arial"/>
                <w:bCs/>
                <w:sz w:val="16"/>
              </w:rPr>
              <w:t xml:space="preserve">Hipertensión, </w:t>
            </w:r>
            <w:r>
              <w:rPr>
                <w:rFonts w:ascii="Arial" w:hAnsi="Arial" w:cs="Arial"/>
                <w:bCs/>
                <w:sz w:val="16"/>
              </w:rPr>
              <w:t>nefrotoxicidad</w:t>
            </w:r>
            <w:r w:rsidRPr="006C53CB">
              <w:rPr>
                <w:rFonts w:ascii="Arial" w:hAnsi="Arial" w:cs="Arial"/>
                <w:bCs/>
                <w:sz w:val="16"/>
              </w:rPr>
              <w:t>.</w:t>
            </w:r>
          </w:p>
        </w:tc>
      </w:tr>
      <w:tr w:rsidR="00494C98" w:rsidRPr="006F6ABB" w14:paraId="49201618" w14:textId="77777777" w:rsidTr="00511A83">
        <w:trPr>
          <w:trHeight w:val="403"/>
        </w:trPr>
        <w:tc>
          <w:tcPr>
            <w:tcW w:w="1261" w:type="dxa"/>
            <w:vAlign w:val="center"/>
          </w:tcPr>
          <w:p w14:paraId="74AE9D21" w14:textId="77777777" w:rsidR="00494C98" w:rsidRPr="00AB2E8A" w:rsidDel="00C50164" w:rsidRDefault="00494C98" w:rsidP="00BC3E8E">
            <w:pPr>
              <w:rPr>
                <w:rFonts w:ascii="Arial" w:hAnsi="Arial" w:cs="Arial"/>
                <w:b/>
                <w:bCs/>
                <w:sz w:val="16"/>
                <w:highlight w:val="yellow"/>
                <w:lang w:val="es-ES_tradnl"/>
              </w:rPr>
            </w:pPr>
            <w:r w:rsidRPr="00AB2E8A">
              <w:rPr>
                <w:rFonts w:ascii="Arial" w:hAnsi="Arial" w:cs="Arial"/>
                <w:b/>
                <w:bCs/>
                <w:sz w:val="16"/>
                <w:lang w:val="es-ES_tradnl"/>
              </w:rPr>
              <w:t>Utilización de recursos</w:t>
            </w:r>
          </w:p>
        </w:tc>
        <w:tc>
          <w:tcPr>
            <w:tcW w:w="7756" w:type="dxa"/>
            <w:gridSpan w:val="4"/>
            <w:vAlign w:val="center"/>
          </w:tcPr>
          <w:p w14:paraId="69CEFFAF" w14:textId="77777777" w:rsidR="00494C98" w:rsidRDefault="00494C98" w:rsidP="00BC3E8E">
            <w:pPr>
              <w:jc w:val="center"/>
              <w:rPr>
                <w:rFonts w:ascii="Arial" w:hAnsi="Arial" w:cs="Arial"/>
                <w:sz w:val="16"/>
              </w:rPr>
            </w:pPr>
            <w:r>
              <w:rPr>
                <w:rFonts w:ascii="Arial" w:hAnsi="Arial" w:cs="Arial"/>
                <w:sz w:val="16"/>
              </w:rPr>
              <w:t xml:space="preserve">Entrenamiento del paciente en la administración SC </w:t>
            </w:r>
          </w:p>
          <w:p w14:paraId="4533D0CA" w14:textId="77777777" w:rsidR="00494C98" w:rsidRPr="006F6ABB" w:rsidRDefault="00494C98" w:rsidP="00BC3E8E">
            <w:pPr>
              <w:jc w:val="center"/>
              <w:rPr>
                <w:rFonts w:ascii="Arial" w:hAnsi="Arial" w:cs="Arial"/>
                <w:sz w:val="16"/>
              </w:rPr>
            </w:pPr>
          </w:p>
        </w:tc>
        <w:tc>
          <w:tcPr>
            <w:tcW w:w="1985" w:type="dxa"/>
            <w:vAlign w:val="center"/>
          </w:tcPr>
          <w:p w14:paraId="6FDDA4A8" w14:textId="77777777" w:rsidR="00494C98" w:rsidRPr="006F6ABB" w:rsidRDefault="00494C98" w:rsidP="00BC3E8E">
            <w:pPr>
              <w:jc w:val="center"/>
              <w:rPr>
                <w:rFonts w:ascii="Arial" w:hAnsi="Arial" w:cs="Arial"/>
                <w:sz w:val="16"/>
              </w:rPr>
            </w:pPr>
          </w:p>
        </w:tc>
        <w:tc>
          <w:tcPr>
            <w:tcW w:w="1615" w:type="dxa"/>
            <w:vAlign w:val="center"/>
          </w:tcPr>
          <w:p w14:paraId="2502A19E" w14:textId="77777777" w:rsidR="00494C98" w:rsidRPr="006F6ABB" w:rsidRDefault="00494C98" w:rsidP="00BC3E8E">
            <w:pPr>
              <w:jc w:val="center"/>
              <w:rPr>
                <w:rFonts w:ascii="Arial" w:hAnsi="Arial" w:cs="Arial"/>
                <w:sz w:val="16"/>
              </w:rPr>
            </w:pPr>
          </w:p>
        </w:tc>
        <w:tc>
          <w:tcPr>
            <w:tcW w:w="2354" w:type="dxa"/>
            <w:vAlign w:val="center"/>
          </w:tcPr>
          <w:p w14:paraId="70FEE31E" w14:textId="77777777" w:rsidR="00494C98" w:rsidRPr="006F6ABB" w:rsidRDefault="00494C98" w:rsidP="00BC3E8E">
            <w:pPr>
              <w:jc w:val="center"/>
              <w:rPr>
                <w:rFonts w:ascii="Arial" w:hAnsi="Arial" w:cs="Arial"/>
                <w:sz w:val="16"/>
              </w:rPr>
            </w:pPr>
          </w:p>
        </w:tc>
        <w:tc>
          <w:tcPr>
            <w:tcW w:w="1190" w:type="dxa"/>
            <w:vAlign w:val="center"/>
          </w:tcPr>
          <w:p w14:paraId="7D5BE2FE" w14:textId="77777777" w:rsidR="00494C98" w:rsidRPr="006F6ABB" w:rsidRDefault="00494C98" w:rsidP="00BC3E8E">
            <w:pPr>
              <w:jc w:val="center"/>
              <w:rPr>
                <w:rFonts w:ascii="Arial" w:hAnsi="Arial" w:cs="Arial"/>
                <w:sz w:val="16"/>
              </w:rPr>
            </w:pPr>
            <w:r>
              <w:rPr>
                <w:rFonts w:ascii="Arial" w:hAnsi="Arial" w:cs="Arial"/>
                <w:sz w:val="16"/>
              </w:rPr>
              <w:t>Monitorización estrecha</w:t>
            </w:r>
          </w:p>
        </w:tc>
      </w:tr>
      <w:tr w:rsidR="00511A83" w:rsidRPr="006F6ABB" w14:paraId="65031986" w14:textId="77777777" w:rsidTr="00511A83">
        <w:trPr>
          <w:trHeight w:val="309"/>
        </w:trPr>
        <w:tc>
          <w:tcPr>
            <w:tcW w:w="1261" w:type="dxa"/>
            <w:vAlign w:val="center"/>
          </w:tcPr>
          <w:p w14:paraId="6EFC7F3E" w14:textId="77777777" w:rsidR="0047722D" w:rsidRPr="00AB2E8A" w:rsidDel="00C50164" w:rsidRDefault="0047722D" w:rsidP="00BC3E8E">
            <w:pPr>
              <w:rPr>
                <w:rFonts w:ascii="Arial" w:hAnsi="Arial" w:cs="Arial"/>
                <w:b/>
                <w:bCs/>
                <w:sz w:val="16"/>
                <w:highlight w:val="yellow"/>
                <w:lang w:val="es-ES_tradnl"/>
              </w:rPr>
            </w:pPr>
            <w:r w:rsidRPr="00AB2E8A">
              <w:rPr>
                <w:rFonts w:ascii="Arial" w:hAnsi="Arial" w:cs="Arial"/>
                <w:b/>
                <w:bCs/>
                <w:sz w:val="16"/>
                <w:lang w:val="es-ES_tradnl"/>
              </w:rPr>
              <w:t>Conveniencia</w:t>
            </w:r>
          </w:p>
        </w:tc>
        <w:tc>
          <w:tcPr>
            <w:tcW w:w="1951" w:type="dxa"/>
            <w:vAlign w:val="center"/>
          </w:tcPr>
          <w:p w14:paraId="67AA5645" w14:textId="77777777" w:rsidR="0047722D" w:rsidRDefault="0047722D" w:rsidP="00BC3E8E">
            <w:pPr>
              <w:jc w:val="center"/>
              <w:rPr>
                <w:rFonts w:ascii="Arial" w:hAnsi="Arial" w:cs="Arial"/>
                <w:sz w:val="16"/>
              </w:rPr>
            </w:pPr>
            <w:r>
              <w:rPr>
                <w:rFonts w:ascii="Arial" w:hAnsi="Arial" w:cs="Arial"/>
                <w:sz w:val="16"/>
              </w:rPr>
              <w:t>Administración SC</w:t>
            </w:r>
          </w:p>
        </w:tc>
        <w:tc>
          <w:tcPr>
            <w:tcW w:w="2599" w:type="dxa"/>
            <w:vAlign w:val="center"/>
          </w:tcPr>
          <w:p w14:paraId="0CBC92E0" w14:textId="77777777" w:rsidR="0047722D" w:rsidRPr="006F6ABB" w:rsidRDefault="0047722D" w:rsidP="00BC3E8E">
            <w:pPr>
              <w:jc w:val="center"/>
              <w:rPr>
                <w:rFonts w:ascii="Arial" w:hAnsi="Arial" w:cs="Arial"/>
                <w:sz w:val="16"/>
              </w:rPr>
            </w:pPr>
            <w:r>
              <w:rPr>
                <w:rFonts w:ascii="Arial" w:hAnsi="Arial" w:cs="Arial"/>
                <w:sz w:val="16"/>
              </w:rPr>
              <w:t>Administración SC</w:t>
            </w:r>
          </w:p>
        </w:tc>
        <w:tc>
          <w:tcPr>
            <w:tcW w:w="1500" w:type="dxa"/>
            <w:vAlign w:val="center"/>
          </w:tcPr>
          <w:p w14:paraId="395B4DE1" w14:textId="77777777" w:rsidR="0047722D" w:rsidRPr="006F6ABB" w:rsidRDefault="0047722D" w:rsidP="00BC3E8E">
            <w:pPr>
              <w:jc w:val="center"/>
              <w:rPr>
                <w:rFonts w:ascii="Arial" w:hAnsi="Arial" w:cs="Arial"/>
                <w:sz w:val="16"/>
              </w:rPr>
            </w:pPr>
            <w:r>
              <w:rPr>
                <w:rFonts w:ascii="Arial" w:hAnsi="Arial" w:cs="Arial"/>
                <w:sz w:val="16"/>
              </w:rPr>
              <w:t>Administración SC</w:t>
            </w:r>
          </w:p>
        </w:tc>
        <w:tc>
          <w:tcPr>
            <w:tcW w:w="1706" w:type="dxa"/>
            <w:vAlign w:val="center"/>
          </w:tcPr>
          <w:p w14:paraId="7EC7748B" w14:textId="77777777" w:rsidR="0047722D" w:rsidRPr="006F6ABB" w:rsidRDefault="0047722D" w:rsidP="00BC3E8E">
            <w:pPr>
              <w:jc w:val="center"/>
              <w:rPr>
                <w:rFonts w:ascii="Arial" w:hAnsi="Arial" w:cs="Arial"/>
                <w:sz w:val="16"/>
              </w:rPr>
            </w:pPr>
            <w:r>
              <w:rPr>
                <w:rFonts w:ascii="Arial" w:hAnsi="Arial" w:cs="Arial"/>
                <w:sz w:val="16"/>
              </w:rPr>
              <w:t>Administración SC</w:t>
            </w:r>
          </w:p>
        </w:tc>
        <w:tc>
          <w:tcPr>
            <w:tcW w:w="1985" w:type="dxa"/>
            <w:vAlign w:val="center"/>
          </w:tcPr>
          <w:p w14:paraId="44CF0776" w14:textId="77777777" w:rsidR="0047722D" w:rsidRPr="006F6ABB" w:rsidRDefault="0047722D" w:rsidP="00BC3E8E">
            <w:pPr>
              <w:jc w:val="center"/>
              <w:rPr>
                <w:rFonts w:ascii="Arial" w:hAnsi="Arial" w:cs="Arial"/>
                <w:sz w:val="16"/>
              </w:rPr>
            </w:pPr>
            <w:r>
              <w:rPr>
                <w:rFonts w:ascii="Arial" w:hAnsi="Arial" w:cs="Arial"/>
                <w:sz w:val="16"/>
              </w:rPr>
              <w:t>Administración oral</w:t>
            </w:r>
          </w:p>
        </w:tc>
        <w:tc>
          <w:tcPr>
            <w:tcW w:w="1615" w:type="dxa"/>
            <w:vAlign w:val="center"/>
          </w:tcPr>
          <w:p w14:paraId="555E0339" w14:textId="77777777" w:rsidR="0047722D" w:rsidRPr="006F6ABB" w:rsidRDefault="0047722D" w:rsidP="00BC3E8E">
            <w:pPr>
              <w:jc w:val="center"/>
              <w:rPr>
                <w:rFonts w:ascii="Arial" w:hAnsi="Arial" w:cs="Arial"/>
                <w:sz w:val="16"/>
              </w:rPr>
            </w:pPr>
            <w:r>
              <w:rPr>
                <w:rFonts w:ascii="Arial" w:hAnsi="Arial" w:cs="Arial"/>
                <w:sz w:val="16"/>
              </w:rPr>
              <w:t>Administración oral</w:t>
            </w:r>
          </w:p>
        </w:tc>
        <w:tc>
          <w:tcPr>
            <w:tcW w:w="2354" w:type="dxa"/>
            <w:vAlign w:val="center"/>
          </w:tcPr>
          <w:p w14:paraId="12AE74E1" w14:textId="77777777" w:rsidR="0047722D" w:rsidRPr="006F6ABB" w:rsidRDefault="0047722D" w:rsidP="00BC3E8E">
            <w:pPr>
              <w:jc w:val="center"/>
              <w:rPr>
                <w:rFonts w:ascii="Arial" w:hAnsi="Arial" w:cs="Arial"/>
                <w:sz w:val="16"/>
              </w:rPr>
            </w:pPr>
            <w:r>
              <w:rPr>
                <w:rFonts w:ascii="Arial" w:hAnsi="Arial" w:cs="Arial"/>
                <w:sz w:val="16"/>
              </w:rPr>
              <w:t>Administración oral</w:t>
            </w:r>
          </w:p>
        </w:tc>
        <w:tc>
          <w:tcPr>
            <w:tcW w:w="1190" w:type="dxa"/>
            <w:vAlign w:val="center"/>
          </w:tcPr>
          <w:p w14:paraId="49C6A70A" w14:textId="77777777" w:rsidR="0047722D" w:rsidRDefault="006C53CB" w:rsidP="00BC3E8E">
            <w:pPr>
              <w:jc w:val="center"/>
              <w:rPr>
                <w:rFonts w:ascii="Arial" w:hAnsi="Arial" w:cs="Arial"/>
                <w:sz w:val="16"/>
              </w:rPr>
            </w:pPr>
            <w:r w:rsidRPr="006C53CB">
              <w:rPr>
                <w:rFonts w:ascii="Arial" w:hAnsi="Arial" w:cs="Arial"/>
                <w:sz w:val="16"/>
              </w:rPr>
              <w:t>Administración oral</w:t>
            </w:r>
          </w:p>
        </w:tc>
      </w:tr>
      <w:tr w:rsidR="00494C98" w:rsidRPr="006F6ABB" w14:paraId="73BFE9B5" w14:textId="77777777" w:rsidTr="00511A83">
        <w:tc>
          <w:tcPr>
            <w:tcW w:w="1261" w:type="dxa"/>
            <w:vAlign w:val="center"/>
          </w:tcPr>
          <w:p w14:paraId="42F7234A" w14:textId="77777777" w:rsidR="00E22D56" w:rsidRPr="00AB2E8A" w:rsidDel="00C50164" w:rsidRDefault="00E22D56" w:rsidP="000F05C0">
            <w:pPr>
              <w:rPr>
                <w:rFonts w:ascii="Arial" w:hAnsi="Arial" w:cs="Arial"/>
                <w:b/>
                <w:bCs/>
                <w:sz w:val="16"/>
                <w:lang w:val="es-ES_tradnl"/>
              </w:rPr>
            </w:pPr>
            <w:r w:rsidRPr="00AB2E8A">
              <w:rPr>
                <w:rFonts w:ascii="Arial" w:hAnsi="Arial" w:cs="Arial"/>
                <w:b/>
                <w:bCs/>
                <w:sz w:val="16"/>
                <w:lang w:val="es-ES_tradnl"/>
              </w:rPr>
              <w:t>Otras características diferenciales</w:t>
            </w:r>
          </w:p>
        </w:tc>
        <w:tc>
          <w:tcPr>
            <w:tcW w:w="1951" w:type="dxa"/>
            <w:vAlign w:val="center"/>
          </w:tcPr>
          <w:p w14:paraId="1E11A028" w14:textId="77777777" w:rsidR="00E22D56" w:rsidRDefault="00E22D56" w:rsidP="000F05C0">
            <w:pPr>
              <w:jc w:val="center"/>
              <w:rPr>
                <w:rFonts w:ascii="Arial" w:hAnsi="Arial" w:cs="Arial"/>
                <w:sz w:val="16"/>
              </w:rPr>
            </w:pPr>
            <w:r w:rsidRPr="0047722D">
              <w:rPr>
                <w:rFonts w:ascii="Arial" w:hAnsi="Arial" w:cs="Arial"/>
                <w:b/>
                <w:bCs/>
                <w:sz w:val="16"/>
              </w:rPr>
              <w:t>Financiación en estudio</w:t>
            </w:r>
            <w:r>
              <w:rPr>
                <w:rFonts w:ascii="Arial" w:hAnsi="Arial" w:cs="Arial"/>
                <w:sz w:val="16"/>
              </w:rPr>
              <w:t xml:space="preserve">. </w:t>
            </w:r>
            <w:r w:rsidRPr="005161B7">
              <w:rPr>
                <w:rFonts w:ascii="Arial" w:hAnsi="Arial" w:cs="Arial"/>
                <w:b/>
                <w:bCs/>
                <w:sz w:val="16"/>
              </w:rPr>
              <w:t xml:space="preserve">No comercializado </w:t>
            </w:r>
            <w:r w:rsidR="00267651">
              <w:rPr>
                <w:rFonts w:ascii="Arial" w:hAnsi="Arial" w:cs="Arial"/>
                <w:b/>
                <w:bCs/>
                <w:sz w:val="16"/>
              </w:rPr>
              <w:t xml:space="preserve">aún </w:t>
            </w:r>
            <w:r w:rsidRPr="005161B7">
              <w:rPr>
                <w:rFonts w:ascii="Arial" w:hAnsi="Arial" w:cs="Arial"/>
                <w:b/>
                <w:bCs/>
                <w:sz w:val="16"/>
              </w:rPr>
              <w:t>en España.</w:t>
            </w:r>
            <w:r>
              <w:rPr>
                <w:rFonts w:ascii="Arial" w:hAnsi="Arial" w:cs="Arial"/>
                <w:sz w:val="16"/>
              </w:rPr>
              <w:t xml:space="preserve"> </w:t>
            </w:r>
          </w:p>
        </w:tc>
        <w:tc>
          <w:tcPr>
            <w:tcW w:w="2599" w:type="dxa"/>
            <w:vAlign w:val="center"/>
          </w:tcPr>
          <w:p w14:paraId="2539E2F1" w14:textId="77777777" w:rsidR="00E22D56" w:rsidRPr="006F6ABB" w:rsidRDefault="00E22D56" w:rsidP="000F05C0">
            <w:pPr>
              <w:jc w:val="center"/>
              <w:rPr>
                <w:rFonts w:ascii="Arial" w:hAnsi="Arial" w:cs="Arial"/>
                <w:sz w:val="16"/>
              </w:rPr>
            </w:pPr>
            <w:r>
              <w:rPr>
                <w:rFonts w:ascii="Arial" w:hAnsi="Arial" w:cs="Arial"/>
                <w:sz w:val="16"/>
              </w:rPr>
              <w:t xml:space="preserve">Financiación restringida a </w:t>
            </w:r>
            <w:r w:rsidRPr="00C60AA5">
              <w:rPr>
                <w:rFonts w:ascii="Arial" w:hAnsi="Arial" w:cs="Arial"/>
                <w:sz w:val="16"/>
              </w:rPr>
              <w:t>EASI ≥ 21 refractarios a medicación tópica</w:t>
            </w:r>
            <w:r w:rsidRPr="000F24DB">
              <w:rPr>
                <w:rFonts w:ascii="Arial" w:hAnsi="Arial" w:cs="Arial"/>
                <w:b/>
                <w:bCs/>
                <w:sz w:val="16"/>
              </w:rPr>
              <w:t>: niños (6-11 años),</w:t>
            </w:r>
            <w:r w:rsidRPr="00C60AA5">
              <w:rPr>
                <w:rFonts w:ascii="Arial" w:hAnsi="Arial" w:cs="Arial"/>
                <w:sz w:val="16"/>
              </w:rPr>
              <w:t xml:space="preserve"> adolescentes </w:t>
            </w:r>
            <w:r>
              <w:rPr>
                <w:rFonts w:ascii="Arial" w:hAnsi="Arial" w:cs="Arial"/>
                <w:sz w:val="16"/>
              </w:rPr>
              <w:t>(</w:t>
            </w:r>
            <w:r w:rsidRPr="00C60AA5">
              <w:rPr>
                <w:rFonts w:ascii="Arial" w:hAnsi="Arial" w:cs="Arial"/>
                <w:sz w:val="16"/>
              </w:rPr>
              <w:t xml:space="preserve">12 </w:t>
            </w:r>
            <w:r>
              <w:rPr>
                <w:rFonts w:ascii="Arial" w:hAnsi="Arial" w:cs="Arial"/>
                <w:sz w:val="16"/>
              </w:rPr>
              <w:t>-1</w:t>
            </w:r>
            <w:r w:rsidRPr="00C60AA5">
              <w:rPr>
                <w:rFonts w:ascii="Arial" w:hAnsi="Arial" w:cs="Arial"/>
                <w:sz w:val="16"/>
              </w:rPr>
              <w:t>8 años</w:t>
            </w:r>
            <w:r>
              <w:rPr>
                <w:rFonts w:ascii="Arial" w:hAnsi="Arial" w:cs="Arial"/>
                <w:sz w:val="16"/>
              </w:rPr>
              <w:t>)</w:t>
            </w:r>
            <w:r w:rsidRPr="00C60AA5">
              <w:rPr>
                <w:rFonts w:ascii="Arial" w:hAnsi="Arial" w:cs="Arial"/>
                <w:sz w:val="16"/>
              </w:rPr>
              <w:t xml:space="preserve"> </w:t>
            </w:r>
            <w:r>
              <w:rPr>
                <w:rFonts w:ascii="Arial" w:hAnsi="Arial" w:cs="Arial"/>
                <w:sz w:val="16"/>
              </w:rPr>
              <w:t xml:space="preserve">sin respuesta o </w:t>
            </w:r>
            <w:r w:rsidRPr="00C60AA5">
              <w:rPr>
                <w:rFonts w:ascii="Arial" w:hAnsi="Arial" w:cs="Arial"/>
                <w:sz w:val="16"/>
              </w:rPr>
              <w:t xml:space="preserve">contraindicación a ciclosporina, y </w:t>
            </w:r>
            <w:r w:rsidRPr="00953850">
              <w:rPr>
                <w:rFonts w:ascii="Arial" w:hAnsi="Arial" w:cs="Arial"/>
                <w:b/>
                <w:bCs/>
                <w:sz w:val="16"/>
              </w:rPr>
              <w:t>niños de 6 meses a 5 años.</w:t>
            </w:r>
            <w:r>
              <w:rPr>
                <w:rFonts w:ascii="Arial" w:hAnsi="Arial" w:cs="Arial"/>
                <w:sz w:val="16"/>
              </w:rPr>
              <w:t xml:space="preserve"> Obligatorio cumplir protocolo de </w:t>
            </w:r>
            <w:r w:rsidRPr="005161B7">
              <w:rPr>
                <w:rFonts w:ascii="Arial" w:hAnsi="Arial" w:cs="Arial"/>
                <w:b/>
                <w:bCs/>
                <w:sz w:val="16"/>
              </w:rPr>
              <w:t>VALTERMED</w:t>
            </w:r>
          </w:p>
        </w:tc>
        <w:tc>
          <w:tcPr>
            <w:tcW w:w="3206" w:type="dxa"/>
            <w:gridSpan w:val="2"/>
            <w:vAlign w:val="center"/>
          </w:tcPr>
          <w:p w14:paraId="38C40B2C" w14:textId="77777777" w:rsidR="00E22D56" w:rsidRPr="006F6ABB" w:rsidRDefault="00E22D56" w:rsidP="000F05C0">
            <w:pPr>
              <w:jc w:val="center"/>
              <w:rPr>
                <w:rFonts w:ascii="Arial" w:hAnsi="Arial" w:cs="Arial"/>
                <w:sz w:val="16"/>
              </w:rPr>
            </w:pPr>
            <w:r>
              <w:rPr>
                <w:rFonts w:ascii="Arial" w:hAnsi="Arial" w:cs="Arial"/>
                <w:sz w:val="16"/>
              </w:rPr>
              <w:t xml:space="preserve">Financiación restringida a </w:t>
            </w:r>
            <w:r w:rsidRPr="0061038D">
              <w:rPr>
                <w:rFonts w:ascii="Arial" w:hAnsi="Arial" w:cs="Arial"/>
                <w:sz w:val="16"/>
              </w:rPr>
              <w:t xml:space="preserve">adultos y adolescentes (12-18 años) candidatos a tratamiento sistémico, con EASI ≥ 21 y refractarios a medicación tópica. </w:t>
            </w:r>
            <w:r>
              <w:rPr>
                <w:rFonts w:ascii="Arial" w:hAnsi="Arial" w:cs="Arial"/>
                <w:sz w:val="16"/>
              </w:rPr>
              <w:t xml:space="preserve">Sin respuesta o con </w:t>
            </w:r>
            <w:r w:rsidRPr="0061038D">
              <w:rPr>
                <w:rFonts w:ascii="Arial" w:hAnsi="Arial" w:cs="Arial"/>
                <w:sz w:val="16"/>
              </w:rPr>
              <w:t>contraindicación al uso de ciclosporina. En adultos, además, se requiere PGA ≥ 3 y afectación del BSA ≥ 10%.</w:t>
            </w:r>
          </w:p>
        </w:tc>
        <w:tc>
          <w:tcPr>
            <w:tcW w:w="3600" w:type="dxa"/>
            <w:gridSpan w:val="2"/>
            <w:vAlign w:val="center"/>
          </w:tcPr>
          <w:p w14:paraId="53ED65BC" w14:textId="77777777" w:rsidR="00E22D56" w:rsidRPr="006F6ABB" w:rsidRDefault="00E22D56" w:rsidP="000F05C0">
            <w:pPr>
              <w:jc w:val="center"/>
              <w:rPr>
                <w:rFonts w:ascii="Arial" w:hAnsi="Arial" w:cs="Arial"/>
                <w:sz w:val="16"/>
              </w:rPr>
            </w:pPr>
            <w:r>
              <w:rPr>
                <w:rFonts w:ascii="Arial" w:hAnsi="Arial" w:cs="Arial"/>
                <w:sz w:val="16"/>
              </w:rPr>
              <w:t xml:space="preserve">Financiación restringida a </w:t>
            </w:r>
            <w:r w:rsidRPr="000F05C0">
              <w:rPr>
                <w:rFonts w:ascii="Arial" w:hAnsi="Arial" w:cs="Arial"/>
                <w:sz w:val="16"/>
              </w:rPr>
              <w:t>adultos</w:t>
            </w:r>
            <w:r>
              <w:rPr>
                <w:rFonts w:ascii="Arial" w:hAnsi="Arial" w:cs="Arial"/>
                <w:sz w:val="16"/>
              </w:rPr>
              <w:t xml:space="preserve"> con </w:t>
            </w:r>
            <w:r w:rsidRPr="000F05C0">
              <w:rPr>
                <w:rFonts w:ascii="Arial" w:hAnsi="Arial" w:cs="Arial"/>
                <w:sz w:val="16"/>
              </w:rPr>
              <w:t>EASI ≥21, PGA ≥3, afectación de BSA ≥10%, fracaso o contraindicación a la ciclosporina y refractariedad al tratamiento tópico. En adolescentes (12–18 años): EASI ≥21, falta de respuesta a tratamiento tópico y experiencia previa con ciclosporina sin eficacia o con contraindicación.</w:t>
            </w:r>
          </w:p>
        </w:tc>
        <w:tc>
          <w:tcPr>
            <w:tcW w:w="2354" w:type="dxa"/>
            <w:vAlign w:val="center"/>
          </w:tcPr>
          <w:p w14:paraId="5564B377" w14:textId="77777777" w:rsidR="00E22D56" w:rsidRPr="006F6ABB" w:rsidRDefault="00E22D56" w:rsidP="000F05C0">
            <w:pPr>
              <w:jc w:val="center"/>
              <w:rPr>
                <w:rFonts w:ascii="Arial" w:hAnsi="Arial" w:cs="Arial"/>
                <w:sz w:val="16"/>
              </w:rPr>
            </w:pPr>
            <w:r>
              <w:rPr>
                <w:rFonts w:ascii="Arial" w:hAnsi="Arial" w:cs="Arial"/>
                <w:sz w:val="16"/>
              </w:rPr>
              <w:t xml:space="preserve">Financiación restringida a DA </w:t>
            </w:r>
            <w:r w:rsidRPr="00824A1E">
              <w:rPr>
                <w:rFonts w:ascii="Arial" w:hAnsi="Arial" w:cs="Arial"/>
                <w:sz w:val="16"/>
              </w:rPr>
              <w:t xml:space="preserve">grave en adultos candidatos a terapia sistémica con EASI ≥21, PGA ≥3, BSA ≥10%, refractarios a tratamiento tópico y con uso previo o contraindicación de ciclosporina. </w:t>
            </w:r>
            <w:r w:rsidRPr="00824A1E">
              <w:rPr>
                <w:rFonts w:ascii="Arial" w:hAnsi="Arial" w:cs="Arial"/>
                <w:b/>
                <w:bCs/>
                <w:sz w:val="16"/>
              </w:rPr>
              <w:t>No se financia en pacientes pediátricos a partir de 2 años</w:t>
            </w:r>
          </w:p>
        </w:tc>
        <w:tc>
          <w:tcPr>
            <w:tcW w:w="1190" w:type="dxa"/>
            <w:vAlign w:val="center"/>
          </w:tcPr>
          <w:p w14:paraId="1345B1BA" w14:textId="77777777" w:rsidR="00E22D56" w:rsidRPr="00E658DB" w:rsidRDefault="00E22D56" w:rsidP="000F05C0">
            <w:pPr>
              <w:jc w:val="center"/>
              <w:rPr>
                <w:rFonts w:ascii="Arial" w:hAnsi="Arial" w:cs="Arial"/>
                <w:b/>
                <w:bCs/>
                <w:sz w:val="16"/>
              </w:rPr>
            </w:pPr>
            <w:r w:rsidRPr="00E658DB">
              <w:rPr>
                <w:rFonts w:ascii="Arial" w:hAnsi="Arial" w:cs="Arial"/>
                <w:b/>
                <w:bCs/>
                <w:sz w:val="16"/>
              </w:rPr>
              <w:t>No hay restricciones en cuanto a la financiación</w:t>
            </w:r>
          </w:p>
        </w:tc>
      </w:tr>
    </w:tbl>
    <w:p w14:paraId="2475CD5A" w14:textId="77777777" w:rsidR="0047722D" w:rsidRDefault="0047722D" w:rsidP="00BC3E8E">
      <w:pPr>
        <w:rPr>
          <w:rFonts w:ascii="Arial" w:hAnsi="Arial" w:cs="Arial"/>
          <w:sz w:val="16"/>
        </w:rPr>
        <w:sectPr w:rsidR="0047722D" w:rsidSect="00873477">
          <w:pgSz w:w="16838" w:h="11906" w:orient="landscape"/>
          <w:pgMar w:top="1701" w:right="1418" w:bottom="1469" w:left="1418" w:header="709" w:footer="709" w:gutter="0"/>
          <w:cols w:space="708"/>
          <w:docGrid w:linePitch="360"/>
        </w:sectPr>
      </w:pPr>
    </w:p>
    <w:p w14:paraId="5653AE44" w14:textId="77777777" w:rsidR="00BC3E8E" w:rsidRPr="006F6ABB" w:rsidRDefault="00BC3E8E" w:rsidP="00BC3E8E">
      <w:pPr>
        <w:rPr>
          <w:rFonts w:ascii="Arial" w:hAnsi="Arial" w:cs="Arial"/>
          <w:sz w:val="16"/>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DA38F3" w14:paraId="3FF1FCFC" w14:textId="77777777"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635145DC" w14:textId="77777777" w:rsidR="00BC3E8E" w:rsidRPr="00AA1167" w:rsidRDefault="00BC3E8E" w:rsidP="00BC3E8E">
            <w:pPr>
              <w:pStyle w:val="Ttulo1"/>
              <w:shd w:val="clear" w:color="auto" w:fill="A6A6A6"/>
              <w:rPr>
                <w:rFonts w:ascii="Arial" w:hAnsi="Arial" w:cs="Arial"/>
                <w:bCs w:val="0"/>
                <w:kern w:val="0"/>
                <w:sz w:val="20"/>
                <w:szCs w:val="20"/>
              </w:rPr>
            </w:pPr>
            <w:bookmarkStart w:id="25" w:name="_Toc344399626"/>
            <w:bookmarkStart w:id="26" w:name="_Toc348931353"/>
            <w:bookmarkStart w:id="27" w:name="_Toc216191076"/>
            <w:r w:rsidRPr="00AA1167">
              <w:rPr>
                <w:rFonts w:ascii="Arial" w:hAnsi="Arial" w:cs="Arial"/>
                <w:bCs w:val="0"/>
                <w:kern w:val="0"/>
                <w:sz w:val="20"/>
                <w:szCs w:val="20"/>
              </w:rPr>
              <w:t>4.- AREA DE ACCIÓN FARMACOLÓGICA.</w:t>
            </w:r>
            <w:bookmarkEnd w:id="25"/>
            <w:bookmarkEnd w:id="26"/>
            <w:bookmarkEnd w:id="27"/>
          </w:p>
        </w:tc>
      </w:tr>
    </w:tbl>
    <w:p w14:paraId="4183373F" w14:textId="77777777" w:rsidR="00BC3E8E" w:rsidRPr="006F6ABB" w:rsidRDefault="00BC3E8E" w:rsidP="00BC3E8E">
      <w:pPr>
        <w:jc w:val="right"/>
        <w:rPr>
          <w:rFonts w:ascii="Arial" w:hAnsi="Arial" w:cs="Arial"/>
          <w:b/>
          <w:sz w:val="20"/>
          <w:szCs w:val="20"/>
        </w:rPr>
      </w:pPr>
    </w:p>
    <w:p w14:paraId="61EB54B6"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28" w:name="_Toc216191077"/>
      <w:bookmarkStart w:id="29" w:name="_Toc344399627"/>
      <w:bookmarkStart w:id="30" w:name="_Toc348931354"/>
      <w:r w:rsidRPr="00E3472F">
        <w:rPr>
          <w:rFonts w:cs="Arial"/>
          <w:sz w:val="20"/>
        </w:rPr>
        <w:t>4.1 Mecanismo de acción</w:t>
      </w:r>
      <w:r w:rsidR="00AB2E8A">
        <w:rPr>
          <w:rFonts w:cs="Arial"/>
          <w:sz w:val="20"/>
        </w:rPr>
        <w:t>.</w:t>
      </w:r>
      <w:r w:rsidR="00751106">
        <w:rPr>
          <w:rFonts w:cs="Arial"/>
          <w:sz w:val="20"/>
        </w:rPr>
        <w:t xml:space="preserve"> </w:t>
      </w:r>
      <w:r w:rsidR="00646A51">
        <w:rPr>
          <w:rFonts w:cs="Arial"/>
          <w:sz w:val="20"/>
        </w:rPr>
        <w:fldChar w:fldCharType="begin"/>
      </w:r>
      <w:r w:rsidR="00AB2E8A">
        <w:rPr>
          <w:rFonts w:cs="Arial"/>
          <w:sz w:val="20"/>
        </w:rPr>
        <w:instrText xml:space="preserve"> ADDIN ZOTERO_ITEM CSL_CITATION {"citationID":"bk1vjdqi","properties":{"formattedCitation":"(12)","plainCitation":"(12)","noteIndex":0},"citationItems":[{"id":27,"uris":["http://zotero.org/users/18702181/items/NKHW6L5M"],"itemData":{"id":27,"type":"webpage","title":"CIMA. Ficha técnica Nemluvio 30 mg polvo y disolvente para solución inyectable en pluma precargada.","URL":"https://cima.aemps.es/cima/dochtml/ft/1241901001/FT_1241901001.html","author":[{"family":"Agencia Española del Medicamento (AEMPS)","given":""}],"accessed":{"date-parts":[["2025",11,5]]}}}],"schema":"https://github.com/citation-style-language/schema/raw/master/csl-citation.json"} </w:instrText>
      </w:r>
      <w:r w:rsidR="00646A51">
        <w:rPr>
          <w:rFonts w:cs="Arial"/>
          <w:sz w:val="20"/>
        </w:rPr>
        <w:fldChar w:fldCharType="separate"/>
      </w:r>
      <w:r w:rsidR="00AB2E8A" w:rsidRPr="00AB2E8A">
        <w:rPr>
          <w:rFonts w:cs="Arial"/>
          <w:sz w:val="20"/>
        </w:rPr>
        <w:t>(12)</w:t>
      </w:r>
      <w:bookmarkEnd w:id="28"/>
      <w:r w:rsidR="00646A51">
        <w:rPr>
          <w:rFonts w:cs="Arial"/>
          <w:sz w:val="20"/>
        </w:rPr>
        <w:fldChar w:fldCharType="end"/>
      </w:r>
      <w:bookmarkEnd w:id="29"/>
      <w:bookmarkEnd w:id="30"/>
      <w:r w:rsidR="00751106">
        <w:rPr>
          <w:rFonts w:cs="Arial"/>
          <w:sz w:val="20"/>
        </w:rPr>
        <w:t xml:space="preserve"> </w:t>
      </w:r>
      <w:r w:rsidRPr="00E3472F">
        <w:rPr>
          <w:rFonts w:cs="Arial"/>
          <w:sz w:val="20"/>
        </w:rPr>
        <w:t xml:space="preserve"> </w:t>
      </w:r>
    </w:p>
    <w:p w14:paraId="1C1DA861" w14:textId="77777777" w:rsidR="00AB2E8A" w:rsidRDefault="00AB2E8A" w:rsidP="00522403">
      <w:pPr>
        <w:jc w:val="both"/>
        <w:rPr>
          <w:rFonts w:ascii="Arial" w:hAnsi="Arial" w:cs="Arial"/>
          <w:sz w:val="20"/>
          <w:szCs w:val="20"/>
        </w:rPr>
      </w:pPr>
    </w:p>
    <w:p w14:paraId="38D1580C" w14:textId="77777777" w:rsidR="00BC3E8E" w:rsidRPr="00522403" w:rsidRDefault="00522403" w:rsidP="00522403">
      <w:pPr>
        <w:jc w:val="both"/>
        <w:rPr>
          <w:rFonts w:ascii="Arial" w:hAnsi="Arial" w:cs="Arial"/>
          <w:sz w:val="20"/>
          <w:szCs w:val="20"/>
        </w:rPr>
      </w:pPr>
      <w:r w:rsidRPr="00522403">
        <w:rPr>
          <w:rFonts w:ascii="Arial" w:hAnsi="Arial" w:cs="Arial"/>
          <w:sz w:val="20"/>
          <w:szCs w:val="20"/>
        </w:rPr>
        <w:t>Nemolizumab es un anticuerpo monoclonal IgG2 humanizado que inhibe la señalización de la interleucina-31 (IL-31) al unirse selectivamente al receptor alfa de la interleucina-31 (IL-31 RA). La IL-31 es una citocina natural que interviene en el prurito, la inflamación, la desregulación epidérmica y la fibrosis.</w:t>
      </w:r>
    </w:p>
    <w:p w14:paraId="522B90C9" w14:textId="77777777" w:rsidR="00BC3E8E" w:rsidRPr="006F6ABB" w:rsidRDefault="00BC3E8E" w:rsidP="00BC3E8E">
      <w:pPr>
        <w:jc w:val="both"/>
        <w:rPr>
          <w:rFonts w:ascii="Arial" w:hAnsi="Arial" w:cs="Arial"/>
          <w:b/>
          <w:bCs/>
          <w:sz w:val="20"/>
          <w:szCs w:val="20"/>
        </w:rPr>
      </w:pPr>
    </w:p>
    <w:p w14:paraId="6C5E5359"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31" w:name="_Toc344399628"/>
      <w:bookmarkStart w:id="32" w:name="_Toc348931355"/>
      <w:bookmarkStart w:id="33" w:name="_Toc216191078"/>
      <w:r w:rsidRPr="00E3472F">
        <w:rPr>
          <w:rFonts w:cs="Arial"/>
          <w:sz w:val="20"/>
        </w:rPr>
        <w:t>4.2 Indicaciones clínicas formalmente aprobadas y fecha de aprobación.</w:t>
      </w:r>
      <w:bookmarkEnd w:id="31"/>
      <w:bookmarkEnd w:id="32"/>
      <w:bookmarkEnd w:id="33"/>
    </w:p>
    <w:p w14:paraId="79B05F7C" w14:textId="77777777" w:rsidR="00BC3E8E" w:rsidRPr="00AB01A7" w:rsidRDefault="00BC3E8E" w:rsidP="00BC3E8E">
      <w:pPr>
        <w:jc w:val="both"/>
        <w:rPr>
          <w:rFonts w:ascii="Arial" w:hAnsi="Arial" w:cs="Arial"/>
          <w:b/>
          <w:bCs/>
          <w:sz w:val="20"/>
          <w:szCs w:val="20"/>
        </w:rPr>
      </w:pPr>
    </w:p>
    <w:p w14:paraId="7E4C1673" w14:textId="77777777" w:rsidR="00BC3E8E" w:rsidRPr="006F6ABB" w:rsidRDefault="00BC3E8E" w:rsidP="00BC3E8E">
      <w:pPr>
        <w:shd w:val="clear" w:color="auto" w:fill="FFFFFF"/>
        <w:jc w:val="both"/>
        <w:rPr>
          <w:rFonts w:ascii="Arial" w:hAnsi="Arial" w:cs="Arial"/>
          <w:sz w:val="20"/>
          <w:szCs w:val="20"/>
        </w:rPr>
      </w:pPr>
      <w:bookmarkStart w:id="34" w:name="_Hlk215233319"/>
      <w:r w:rsidRPr="00AB01A7">
        <w:rPr>
          <w:rFonts w:ascii="Arial" w:hAnsi="Arial" w:cs="Arial"/>
          <w:b/>
          <w:bCs/>
          <w:sz w:val="20"/>
          <w:szCs w:val="20"/>
        </w:rPr>
        <w:t>AEMPS</w:t>
      </w:r>
      <w:r w:rsidR="009972AB">
        <w:rPr>
          <w:rFonts w:ascii="Arial" w:hAnsi="Arial" w:cs="Arial"/>
          <w:b/>
          <w:bCs/>
          <w:sz w:val="20"/>
          <w:szCs w:val="20"/>
        </w:rPr>
        <w:t xml:space="preserve"> </w:t>
      </w:r>
      <w:r w:rsidR="009972AB" w:rsidRPr="006F6ABB">
        <w:rPr>
          <w:rFonts w:ascii="Arial" w:hAnsi="Arial" w:cs="Arial"/>
          <w:sz w:val="20"/>
          <w:szCs w:val="20"/>
        </w:rPr>
        <w:t>[</w:t>
      </w:r>
      <w:r w:rsidR="009972AB">
        <w:rPr>
          <w:rFonts w:ascii="Arial" w:hAnsi="Arial" w:cs="Arial"/>
          <w:sz w:val="20"/>
          <w:szCs w:val="20"/>
        </w:rPr>
        <w:t>03/04/2025</w:t>
      </w:r>
      <w:r w:rsidR="009972AB" w:rsidRPr="006F6ABB">
        <w:rPr>
          <w:rFonts w:ascii="Arial" w:hAnsi="Arial" w:cs="Arial"/>
          <w:sz w:val="20"/>
          <w:szCs w:val="20"/>
        </w:rPr>
        <w:t>]</w:t>
      </w:r>
      <w:r w:rsidRPr="006F6ABB">
        <w:rPr>
          <w:rFonts w:ascii="Arial" w:hAnsi="Arial" w:cs="Arial"/>
          <w:sz w:val="20"/>
          <w:szCs w:val="20"/>
        </w:rPr>
        <w:t xml:space="preserve">: </w:t>
      </w:r>
      <w:bookmarkEnd w:id="34"/>
      <w:r w:rsidR="00AB01A7" w:rsidRPr="00AB01A7">
        <w:rPr>
          <w:rFonts w:ascii="Arial" w:hAnsi="Arial" w:cs="Arial"/>
          <w:sz w:val="20"/>
          <w:szCs w:val="20"/>
        </w:rPr>
        <w:t>Nemluvio</w:t>
      </w:r>
      <w:r w:rsidR="00AB01A7">
        <w:rPr>
          <w:rFonts w:ascii="Arial" w:hAnsi="Arial" w:cs="Arial"/>
          <w:sz w:val="20"/>
          <w:szCs w:val="20"/>
        </w:rPr>
        <w:t>®</w:t>
      </w:r>
      <w:r w:rsidR="00AB01A7" w:rsidRPr="00AB01A7">
        <w:rPr>
          <w:rFonts w:ascii="Arial" w:hAnsi="Arial" w:cs="Arial"/>
          <w:sz w:val="20"/>
          <w:szCs w:val="20"/>
        </w:rPr>
        <w:t xml:space="preserve"> está indicado para el tratamiento de la </w:t>
      </w:r>
      <w:r w:rsidR="00BD5ED6">
        <w:rPr>
          <w:rFonts w:ascii="Arial" w:hAnsi="Arial" w:cs="Arial"/>
          <w:sz w:val="20"/>
          <w:szCs w:val="20"/>
        </w:rPr>
        <w:t xml:space="preserve">DA </w:t>
      </w:r>
      <w:r w:rsidR="00AB01A7" w:rsidRPr="00AB01A7">
        <w:rPr>
          <w:rFonts w:ascii="Arial" w:hAnsi="Arial" w:cs="Arial"/>
          <w:sz w:val="20"/>
          <w:szCs w:val="20"/>
        </w:rPr>
        <w:t>de moderada a grave en pacientes a partir de 12 años de edad que son candidatos para tratamiento sistémico</w:t>
      </w:r>
      <w:r w:rsidR="00AB2E8A">
        <w:rPr>
          <w:rFonts w:ascii="Arial" w:hAnsi="Arial" w:cs="Arial"/>
          <w:sz w:val="20"/>
          <w:szCs w:val="20"/>
        </w:rPr>
        <w:t>.</w:t>
      </w:r>
      <w:r w:rsidR="00751106">
        <w:rPr>
          <w:rFonts w:ascii="Arial" w:hAnsi="Arial" w:cs="Arial"/>
          <w:sz w:val="20"/>
          <w:szCs w:val="20"/>
        </w:rPr>
        <w:t xml:space="preserve"> </w:t>
      </w:r>
      <w:r w:rsidR="00646A51">
        <w:rPr>
          <w:rFonts w:ascii="Arial" w:hAnsi="Arial" w:cs="Arial"/>
          <w:sz w:val="20"/>
          <w:szCs w:val="20"/>
        </w:rPr>
        <w:fldChar w:fldCharType="begin"/>
      </w:r>
      <w:r w:rsidR="00AB2E8A">
        <w:rPr>
          <w:rFonts w:ascii="Arial" w:hAnsi="Arial" w:cs="Arial"/>
          <w:sz w:val="20"/>
          <w:szCs w:val="20"/>
        </w:rPr>
        <w:instrText xml:space="preserve"> ADDIN ZOTERO_ITEM CSL_CITATION {"citationID":"hw2FwTJE","properties":{"formattedCitation":"(12)","plainCitation":"(12)","noteIndex":0},"citationItems":[{"id":27,"uris":["http://zotero.org/users/18702181/items/NKHW6L5M"],"itemData":{"id":27,"type":"webpage","title":"CIMA. Ficha técnica Nemluvio 30 mg polvo y disolvente para solución inyectable en pluma precargada.","URL":"https://cima.aemps.es/cima/dochtml/ft/1241901001/FT_1241901001.html","author":[{"family":"Agencia Española del Medicamento (AEMPS)","given":""}],"accessed":{"date-parts":[["2025",11,5]]}}}],"schema":"https://github.com/citation-style-language/schema/raw/master/csl-citation.json"} </w:instrText>
      </w:r>
      <w:r w:rsidR="00646A51">
        <w:rPr>
          <w:rFonts w:ascii="Arial" w:hAnsi="Arial" w:cs="Arial"/>
          <w:sz w:val="20"/>
          <w:szCs w:val="20"/>
        </w:rPr>
        <w:fldChar w:fldCharType="separate"/>
      </w:r>
      <w:r w:rsidR="00AB2E8A" w:rsidRPr="00AB2E8A">
        <w:rPr>
          <w:rFonts w:ascii="Arial" w:hAnsi="Arial" w:cs="Arial"/>
          <w:sz w:val="20"/>
        </w:rPr>
        <w:t>(12)</w:t>
      </w:r>
      <w:r w:rsidR="00646A51">
        <w:rPr>
          <w:rFonts w:ascii="Arial" w:hAnsi="Arial" w:cs="Arial"/>
          <w:sz w:val="20"/>
          <w:szCs w:val="20"/>
        </w:rPr>
        <w:fldChar w:fldCharType="end"/>
      </w:r>
      <w:r w:rsidR="00AB01A7">
        <w:rPr>
          <w:rFonts w:ascii="Arial" w:hAnsi="Arial" w:cs="Arial"/>
          <w:sz w:val="20"/>
          <w:szCs w:val="20"/>
        </w:rPr>
        <w:t xml:space="preserve"> </w:t>
      </w:r>
    </w:p>
    <w:p w14:paraId="4806241A" w14:textId="77777777" w:rsidR="00AB01A7" w:rsidRDefault="00BC3E8E" w:rsidP="00AB01A7">
      <w:pPr>
        <w:shd w:val="clear" w:color="auto" w:fill="FFFFFF"/>
        <w:jc w:val="both"/>
        <w:rPr>
          <w:rFonts w:ascii="Arial" w:hAnsi="Arial" w:cs="Arial"/>
          <w:sz w:val="20"/>
          <w:szCs w:val="20"/>
        </w:rPr>
      </w:pPr>
      <w:r w:rsidRPr="00AB01A7">
        <w:rPr>
          <w:rFonts w:ascii="Arial" w:hAnsi="Arial" w:cs="Arial"/>
          <w:b/>
          <w:bCs/>
          <w:sz w:val="20"/>
          <w:szCs w:val="20"/>
        </w:rPr>
        <w:t>EMA</w:t>
      </w:r>
      <w:r w:rsidR="009972AB">
        <w:rPr>
          <w:rFonts w:ascii="Arial" w:hAnsi="Arial" w:cs="Arial"/>
          <w:b/>
          <w:bCs/>
          <w:sz w:val="20"/>
          <w:szCs w:val="20"/>
        </w:rPr>
        <w:t xml:space="preserve"> </w:t>
      </w:r>
      <w:r w:rsidR="009972AB" w:rsidRPr="006F6ABB">
        <w:rPr>
          <w:rFonts w:ascii="Arial" w:hAnsi="Arial" w:cs="Arial"/>
          <w:sz w:val="20"/>
          <w:szCs w:val="20"/>
        </w:rPr>
        <w:t>[</w:t>
      </w:r>
      <w:r w:rsidR="009972AB" w:rsidRPr="00AB01A7">
        <w:rPr>
          <w:rFonts w:ascii="Arial" w:hAnsi="Arial" w:cs="Arial"/>
          <w:sz w:val="20"/>
          <w:szCs w:val="20"/>
        </w:rPr>
        <w:t>12/02/2025</w:t>
      </w:r>
      <w:r w:rsidR="009972AB" w:rsidRPr="006F6ABB">
        <w:rPr>
          <w:rFonts w:ascii="Arial" w:hAnsi="Arial" w:cs="Arial"/>
          <w:sz w:val="20"/>
          <w:szCs w:val="20"/>
        </w:rPr>
        <w:t>]</w:t>
      </w:r>
      <w:r w:rsidRPr="00AB01A7">
        <w:rPr>
          <w:rFonts w:ascii="Arial" w:hAnsi="Arial" w:cs="Arial"/>
          <w:b/>
          <w:bCs/>
          <w:sz w:val="20"/>
          <w:szCs w:val="20"/>
        </w:rPr>
        <w:t>:</w:t>
      </w:r>
      <w:r w:rsidR="009972AB">
        <w:rPr>
          <w:rFonts w:ascii="Arial" w:hAnsi="Arial" w:cs="Arial"/>
          <w:sz w:val="20"/>
          <w:szCs w:val="20"/>
        </w:rPr>
        <w:t xml:space="preserve"> </w:t>
      </w:r>
      <w:r w:rsidR="00AB01A7" w:rsidRPr="00AB01A7">
        <w:rPr>
          <w:rFonts w:ascii="Arial" w:hAnsi="Arial" w:cs="Arial"/>
          <w:sz w:val="20"/>
          <w:szCs w:val="20"/>
        </w:rPr>
        <w:t>Nemluvio</w:t>
      </w:r>
      <w:r w:rsidR="00AB01A7">
        <w:rPr>
          <w:rFonts w:ascii="Arial" w:hAnsi="Arial" w:cs="Arial"/>
          <w:sz w:val="20"/>
          <w:szCs w:val="20"/>
        </w:rPr>
        <w:t>®</w:t>
      </w:r>
      <w:r w:rsidR="00AB01A7" w:rsidRPr="00AB01A7">
        <w:rPr>
          <w:rFonts w:ascii="Arial" w:hAnsi="Arial" w:cs="Arial"/>
          <w:sz w:val="20"/>
          <w:szCs w:val="20"/>
        </w:rPr>
        <w:t xml:space="preserve"> está indicado para el tratamiento de la </w:t>
      </w:r>
      <w:r w:rsidR="00BD5ED6">
        <w:rPr>
          <w:rFonts w:ascii="Arial" w:hAnsi="Arial" w:cs="Arial"/>
          <w:sz w:val="20"/>
          <w:szCs w:val="20"/>
        </w:rPr>
        <w:t xml:space="preserve">DA </w:t>
      </w:r>
      <w:r w:rsidR="00AB01A7" w:rsidRPr="00AB01A7">
        <w:rPr>
          <w:rFonts w:ascii="Arial" w:hAnsi="Arial" w:cs="Arial"/>
          <w:sz w:val="20"/>
          <w:szCs w:val="20"/>
        </w:rPr>
        <w:t>de moderada a grave en pacientes de</w:t>
      </w:r>
      <w:r w:rsidR="00AB01A7">
        <w:rPr>
          <w:rFonts w:ascii="Arial" w:hAnsi="Arial" w:cs="Arial"/>
          <w:sz w:val="20"/>
          <w:szCs w:val="20"/>
        </w:rPr>
        <w:t xml:space="preserve"> </w:t>
      </w:r>
      <w:r w:rsidR="00AB01A7" w:rsidRPr="00AB01A7">
        <w:rPr>
          <w:rFonts w:ascii="Arial" w:hAnsi="Arial" w:cs="Arial"/>
          <w:sz w:val="20"/>
          <w:szCs w:val="20"/>
        </w:rPr>
        <w:t>12 años o más que sean candidatos a recibir terapia sistémica</w:t>
      </w:r>
      <w:r w:rsidR="00AB2E8A">
        <w:rPr>
          <w:rFonts w:ascii="Arial" w:hAnsi="Arial" w:cs="Arial"/>
          <w:sz w:val="20"/>
          <w:szCs w:val="20"/>
        </w:rPr>
        <w:t>.</w:t>
      </w:r>
      <w:r w:rsidR="00A94FEB">
        <w:rPr>
          <w:rFonts w:ascii="Arial" w:hAnsi="Arial" w:cs="Arial"/>
          <w:sz w:val="20"/>
          <w:szCs w:val="20"/>
        </w:rPr>
        <w:t xml:space="preserve"> </w:t>
      </w:r>
      <w:r w:rsidR="00646A51">
        <w:rPr>
          <w:rFonts w:ascii="Arial" w:hAnsi="Arial" w:cs="Arial"/>
          <w:sz w:val="20"/>
          <w:szCs w:val="20"/>
        </w:rPr>
        <w:fldChar w:fldCharType="begin"/>
      </w:r>
      <w:r w:rsidR="00AB2E8A">
        <w:rPr>
          <w:rFonts w:ascii="Arial" w:hAnsi="Arial" w:cs="Arial"/>
          <w:sz w:val="20"/>
          <w:szCs w:val="20"/>
        </w:rPr>
        <w:instrText xml:space="preserve"> ADDIN ZOTERO_ITEM CSL_CITATION {"citationID":"AvV3PYhT","properties":{"formattedCitation":"(13)","plainCitation":"(13)","noteIndex":0},"citationItems":[{"id":22,"uris":["http://zotero.org/users/18702181/items/5JWGRDEH"],"itemData":{"id":22,"type":"webpage","language":"en","title":"Informe EPAR Nemluvio","URL":"https://www.ema.europa.eu/en/medicines/human/EPAR/nemluvio","author":[{"family":"European Medicines Agency (EMA)","given":""}],"accessed":{"date-parts":[["2025",11,5]]},"issued":{"date-parts":[["2024",12,13]]}}}],"schema":"https://github.com/citation-style-language/schema/raw/master/csl-citation.json"} </w:instrText>
      </w:r>
      <w:r w:rsidR="00646A51">
        <w:rPr>
          <w:rFonts w:ascii="Arial" w:hAnsi="Arial" w:cs="Arial"/>
          <w:sz w:val="20"/>
          <w:szCs w:val="20"/>
        </w:rPr>
        <w:fldChar w:fldCharType="separate"/>
      </w:r>
      <w:r w:rsidR="00AB2E8A" w:rsidRPr="00AB2E8A">
        <w:rPr>
          <w:rFonts w:ascii="Arial" w:hAnsi="Arial" w:cs="Arial"/>
          <w:sz w:val="20"/>
        </w:rPr>
        <w:t>(13)</w:t>
      </w:r>
      <w:r w:rsidR="00646A51">
        <w:rPr>
          <w:rFonts w:ascii="Arial" w:hAnsi="Arial" w:cs="Arial"/>
          <w:sz w:val="20"/>
          <w:szCs w:val="20"/>
        </w:rPr>
        <w:fldChar w:fldCharType="end"/>
      </w:r>
      <w:r w:rsidRPr="006F6ABB">
        <w:rPr>
          <w:rFonts w:ascii="Arial" w:hAnsi="Arial" w:cs="Arial"/>
          <w:sz w:val="20"/>
          <w:szCs w:val="20"/>
        </w:rPr>
        <w:tab/>
      </w:r>
    </w:p>
    <w:p w14:paraId="2EA3C9B2" w14:textId="77777777" w:rsidR="00BC3E8E" w:rsidRPr="00072C2E" w:rsidRDefault="00BC3E8E" w:rsidP="00072C2E">
      <w:pPr>
        <w:shd w:val="clear" w:color="auto" w:fill="FFFFFF"/>
        <w:jc w:val="both"/>
        <w:rPr>
          <w:rFonts w:ascii="Arial" w:hAnsi="Arial" w:cs="Arial"/>
          <w:sz w:val="20"/>
          <w:szCs w:val="20"/>
        </w:rPr>
      </w:pPr>
      <w:r w:rsidRPr="00AB01A7">
        <w:rPr>
          <w:rFonts w:ascii="Arial" w:hAnsi="Arial" w:cs="Arial"/>
          <w:b/>
          <w:bCs/>
          <w:sz w:val="20"/>
          <w:szCs w:val="20"/>
        </w:rPr>
        <w:t>FDA</w:t>
      </w:r>
      <w:r w:rsidR="009972AB">
        <w:rPr>
          <w:rFonts w:ascii="Arial" w:hAnsi="Arial" w:cs="Arial"/>
          <w:b/>
          <w:bCs/>
          <w:sz w:val="20"/>
          <w:szCs w:val="20"/>
        </w:rPr>
        <w:t xml:space="preserve"> </w:t>
      </w:r>
      <w:r w:rsidRPr="006F6ABB">
        <w:rPr>
          <w:rFonts w:ascii="Arial" w:hAnsi="Arial" w:cs="Arial"/>
          <w:sz w:val="20"/>
          <w:szCs w:val="20"/>
        </w:rPr>
        <w:t>[</w:t>
      </w:r>
      <w:r w:rsidR="00072C2E">
        <w:rPr>
          <w:rFonts w:ascii="Arial" w:hAnsi="Arial" w:cs="Arial"/>
          <w:sz w:val="20"/>
          <w:szCs w:val="20"/>
        </w:rPr>
        <w:t>12/08/2024</w:t>
      </w:r>
      <w:r w:rsidRPr="006F6ABB">
        <w:rPr>
          <w:rFonts w:ascii="Arial" w:hAnsi="Arial" w:cs="Arial"/>
          <w:sz w:val="20"/>
          <w:szCs w:val="20"/>
        </w:rPr>
        <w:t>]</w:t>
      </w:r>
      <w:r w:rsidR="00072C2E">
        <w:rPr>
          <w:rFonts w:ascii="Arial" w:hAnsi="Arial" w:cs="Arial"/>
          <w:sz w:val="20"/>
          <w:szCs w:val="20"/>
        </w:rPr>
        <w:t xml:space="preserve">: </w:t>
      </w:r>
      <w:r w:rsidR="00072C2E" w:rsidRPr="00072C2E">
        <w:rPr>
          <w:rFonts w:ascii="Arial" w:hAnsi="Arial" w:cs="Arial"/>
          <w:sz w:val="20"/>
          <w:szCs w:val="20"/>
        </w:rPr>
        <w:t>N</w:t>
      </w:r>
      <w:r w:rsidR="00072C2E">
        <w:rPr>
          <w:rFonts w:ascii="Arial" w:hAnsi="Arial" w:cs="Arial"/>
          <w:sz w:val="20"/>
          <w:szCs w:val="20"/>
        </w:rPr>
        <w:t>emluvio®</w:t>
      </w:r>
      <w:r w:rsidR="00072C2E" w:rsidRPr="00072C2E">
        <w:rPr>
          <w:rFonts w:ascii="Arial" w:hAnsi="Arial" w:cs="Arial"/>
          <w:sz w:val="20"/>
          <w:szCs w:val="20"/>
        </w:rPr>
        <w:t xml:space="preserve"> es un antagonista del receptor de la interleucina-31 indicado para el tratamiento de pacientes adultos y pediátricos de 12 años o más con </w:t>
      </w:r>
      <w:r w:rsidR="00BD5ED6">
        <w:rPr>
          <w:rFonts w:ascii="Arial" w:hAnsi="Arial" w:cs="Arial"/>
          <w:sz w:val="20"/>
          <w:szCs w:val="20"/>
        </w:rPr>
        <w:t xml:space="preserve">DA </w:t>
      </w:r>
      <w:r w:rsidR="00072C2E" w:rsidRPr="00072C2E">
        <w:rPr>
          <w:rFonts w:ascii="Arial" w:hAnsi="Arial" w:cs="Arial"/>
          <w:sz w:val="20"/>
          <w:szCs w:val="20"/>
        </w:rPr>
        <w:t xml:space="preserve">de moderada a grave en combinación con </w:t>
      </w:r>
      <w:r w:rsidR="0075635A">
        <w:rPr>
          <w:rFonts w:ascii="Arial" w:hAnsi="Arial" w:cs="Arial"/>
          <w:sz w:val="20"/>
          <w:szCs w:val="20"/>
        </w:rPr>
        <w:t xml:space="preserve">TCS </w:t>
      </w:r>
      <w:r w:rsidR="00072C2E" w:rsidRPr="00072C2E">
        <w:rPr>
          <w:rFonts w:ascii="Arial" w:hAnsi="Arial" w:cs="Arial"/>
          <w:sz w:val="20"/>
          <w:szCs w:val="20"/>
        </w:rPr>
        <w:t xml:space="preserve">y/o </w:t>
      </w:r>
      <w:r w:rsidR="0075635A">
        <w:rPr>
          <w:rFonts w:ascii="Arial" w:hAnsi="Arial" w:cs="Arial"/>
          <w:sz w:val="20"/>
          <w:szCs w:val="20"/>
        </w:rPr>
        <w:t xml:space="preserve">TCI </w:t>
      </w:r>
      <w:r w:rsidR="00072C2E" w:rsidRPr="00072C2E">
        <w:rPr>
          <w:rFonts w:ascii="Arial" w:hAnsi="Arial" w:cs="Arial"/>
          <w:sz w:val="20"/>
          <w:szCs w:val="20"/>
        </w:rPr>
        <w:t>cuando la enfermedad no se controla adecuadamente con terapias tópicas recetadas</w:t>
      </w:r>
      <w:r w:rsidR="00AB2E8A">
        <w:rPr>
          <w:rFonts w:ascii="Arial" w:hAnsi="Arial" w:cs="Arial"/>
          <w:sz w:val="20"/>
          <w:szCs w:val="20"/>
        </w:rPr>
        <w:t>.</w:t>
      </w:r>
      <w:r w:rsidR="00751106">
        <w:rPr>
          <w:rFonts w:ascii="Arial" w:hAnsi="Arial" w:cs="Arial"/>
          <w:sz w:val="20"/>
          <w:szCs w:val="20"/>
        </w:rPr>
        <w:t xml:space="preserve"> </w:t>
      </w:r>
      <w:r w:rsidR="00646A51">
        <w:rPr>
          <w:rFonts w:ascii="Arial" w:hAnsi="Arial" w:cs="Arial"/>
          <w:sz w:val="20"/>
          <w:szCs w:val="20"/>
        </w:rPr>
        <w:fldChar w:fldCharType="begin"/>
      </w:r>
      <w:r w:rsidR="00AB2E8A">
        <w:rPr>
          <w:rFonts w:ascii="Arial" w:hAnsi="Arial" w:cs="Arial"/>
          <w:sz w:val="20"/>
          <w:szCs w:val="20"/>
        </w:rPr>
        <w:instrText xml:space="preserve"> ADDIN ZOTERO_ITEM CSL_CITATION {"citationID":"SB8t754l","properties":{"formattedCitation":"(14)","plainCitation":"(14)","noteIndex":0},"citationItems":[{"id":25,"uris":["http://zotero.org/users/18702181/items/BVDYUDM6"],"itemData":{"id":25,"type":"webpage","abstract":"The FDA is responsible for protecting the public health by ensuring the safety, efficacy, and security of human and veterinary drugs, biological products, and medical devices; and by ensuring the safety of our nation's food supply, cosmetics, and products that products that emit radiation","language":"en","title":"Nemluvio. FDA Prescribing information.","URL":"https://www.accessdata.fda.gov/drugsatfda_docs/label/2024/761391s000lbl.pdf","author":[{"family":"Food and Drug Administration.","given":""}],"accessed":{"date-parts":[["2025",11,5]]},"issued":{"date-parts":[["2025",1,10]]}}}],"schema":"https://github.com/citation-style-language/schema/raw/master/csl-citation.json"} </w:instrText>
      </w:r>
      <w:r w:rsidR="00646A51">
        <w:rPr>
          <w:rFonts w:ascii="Arial" w:hAnsi="Arial" w:cs="Arial"/>
          <w:sz w:val="20"/>
          <w:szCs w:val="20"/>
        </w:rPr>
        <w:fldChar w:fldCharType="separate"/>
      </w:r>
      <w:r w:rsidR="00AB2E8A" w:rsidRPr="00AB2E8A">
        <w:rPr>
          <w:rFonts w:ascii="Arial" w:hAnsi="Arial" w:cs="Arial"/>
          <w:sz w:val="20"/>
        </w:rPr>
        <w:t>(14)</w:t>
      </w:r>
      <w:r w:rsidR="00646A51">
        <w:rPr>
          <w:rFonts w:ascii="Arial" w:hAnsi="Arial" w:cs="Arial"/>
          <w:sz w:val="20"/>
          <w:szCs w:val="20"/>
        </w:rPr>
        <w:fldChar w:fldCharType="end"/>
      </w:r>
    </w:p>
    <w:p w14:paraId="5C7D79BE" w14:textId="77777777" w:rsidR="00BC3E8E" w:rsidRDefault="00BC3E8E" w:rsidP="00BC3E8E">
      <w:pPr>
        <w:shd w:val="clear" w:color="auto" w:fill="FFFFFF"/>
        <w:jc w:val="both"/>
        <w:rPr>
          <w:rFonts w:ascii="Arial" w:hAnsi="Arial" w:cs="Arial"/>
          <w:color w:val="000080"/>
          <w:sz w:val="20"/>
          <w:szCs w:val="20"/>
        </w:rPr>
      </w:pPr>
    </w:p>
    <w:p w14:paraId="54B4642F"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35" w:name="_Toc216191079"/>
      <w:bookmarkStart w:id="36" w:name="_Toc344399629"/>
      <w:bookmarkStart w:id="37" w:name="_Toc348931356"/>
      <w:r w:rsidRPr="00E3472F">
        <w:rPr>
          <w:rFonts w:cs="Arial"/>
          <w:sz w:val="20"/>
        </w:rPr>
        <w:t>4.3 Posología, forma de preparación y administración</w:t>
      </w:r>
      <w:r w:rsidR="00AB2E8A">
        <w:rPr>
          <w:rFonts w:cs="Arial"/>
          <w:sz w:val="20"/>
        </w:rPr>
        <w:t>.</w:t>
      </w:r>
      <w:r w:rsidR="00751106">
        <w:rPr>
          <w:rFonts w:cs="Arial"/>
          <w:sz w:val="20"/>
        </w:rPr>
        <w:t xml:space="preserve"> </w:t>
      </w:r>
      <w:r w:rsidR="00646A51">
        <w:rPr>
          <w:rFonts w:cs="Arial"/>
          <w:sz w:val="20"/>
        </w:rPr>
        <w:fldChar w:fldCharType="begin"/>
      </w:r>
      <w:r w:rsidR="00AB2E8A">
        <w:rPr>
          <w:rFonts w:cs="Arial"/>
          <w:sz w:val="20"/>
        </w:rPr>
        <w:instrText xml:space="preserve"> ADDIN ZOTERO_ITEM CSL_CITATION {"citationID":"odDDCgHm","properties":{"formattedCitation":"(12)","plainCitation":"(12)","noteIndex":0},"citationItems":[{"id":27,"uris":["http://zotero.org/users/18702181/items/NKHW6L5M"],"itemData":{"id":27,"type":"webpage","title":"CIMA. Ficha técnica Nemluvio 30 mg polvo y disolvente para solución inyectable en pluma precargada.","URL":"https://cima.aemps.es/cima/dochtml/ft/1241901001/FT_1241901001.html","author":[{"family":"Agencia Española del Medicamento (AEMPS)","given":""}],"accessed":{"date-parts":[["2025",11,5]]}}}],"schema":"https://github.com/citation-style-language/schema/raw/master/csl-citation.json"} </w:instrText>
      </w:r>
      <w:r w:rsidR="00646A51">
        <w:rPr>
          <w:rFonts w:cs="Arial"/>
          <w:sz w:val="20"/>
        </w:rPr>
        <w:fldChar w:fldCharType="separate"/>
      </w:r>
      <w:r w:rsidR="00AB2E8A" w:rsidRPr="00AB2E8A">
        <w:rPr>
          <w:rFonts w:cs="Arial"/>
          <w:sz w:val="20"/>
        </w:rPr>
        <w:t>(12)</w:t>
      </w:r>
      <w:bookmarkEnd w:id="35"/>
      <w:r w:rsidR="00646A51">
        <w:rPr>
          <w:rFonts w:cs="Arial"/>
          <w:sz w:val="20"/>
        </w:rPr>
        <w:fldChar w:fldCharType="end"/>
      </w:r>
      <w:bookmarkEnd w:id="36"/>
      <w:bookmarkEnd w:id="37"/>
      <w:r w:rsidRPr="00E3472F">
        <w:rPr>
          <w:rFonts w:cs="Arial"/>
          <w:sz w:val="20"/>
        </w:rPr>
        <w:t xml:space="preserve"> </w:t>
      </w:r>
    </w:p>
    <w:p w14:paraId="27744A13" w14:textId="77777777" w:rsidR="007D540B" w:rsidRDefault="007D540B" w:rsidP="007D540B">
      <w:pPr>
        <w:jc w:val="both"/>
        <w:rPr>
          <w:rFonts w:ascii="Arial" w:hAnsi="Arial" w:cs="Arial"/>
          <w:sz w:val="20"/>
          <w:szCs w:val="20"/>
        </w:rPr>
      </w:pPr>
    </w:p>
    <w:p w14:paraId="334A7D11" w14:textId="77777777" w:rsidR="007D540B" w:rsidRPr="007D540B" w:rsidRDefault="007D540B" w:rsidP="007D540B">
      <w:pPr>
        <w:jc w:val="both"/>
        <w:rPr>
          <w:rFonts w:ascii="Arial" w:hAnsi="Arial" w:cs="Arial"/>
          <w:sz w:val="20"/>
          <w:szCs w:val="20"/>
        </w:rPr>
      </w:pPr>
      <w:r w:rsidRPr="007D540B">
        <w:rPr>
          <w:rFonts w:ascii="Arial" w:hAnsi="Arial" w:cs="Arial"/>
          <w:b/>
          <w:bCs/>
          <w:sz w:val="20"/>
          <w:szCs w:val="20"/>
        </w:rPr>
        <w:t>Posología:</w:t>
      </w:r>
      <w:r>
        <w:rPr>
          <w:rFonts w:ascii="Arial" w:hAnsi="Arial" w:cs="Arial"/>
          <w:sz w:val="20"/>
          <w:szCs w:val="20"/>
        </w:rPr>
        <w:t xml:space="preserve"> una </w:t>
      </w:r>
      <w:r w:rsidRPr="007D540B">
        <w:rPr>
          <w:rFonts w:ascii="Arial" w:hAnsi="Arial" w:cs="Arial"/>
          <w:sz w:val="20"/>
          <w:szCs w:val="20"/>
        </w:rPr>
        <w:t>dosis inicial de 60 mg, seguida de 30 mg administrados cada 4 semanas</w:t>
      </w:r>
      <w:r w:rsidR="00AB2E8A">
        <w:rPr>
          <w:rFonts w:ascii="Arial" w:hAnsi="Arial" w:cs="Arial"/>
          <w:sz w:val="20"/>
          <w:szCs w:val="20"/>
        </w:rPr>
        <w:t xml:space="preserve"> (Q4W)</w:t>
      </w:r>
      <w:r w:rsidR="000E5558">
        <w:rPr>
          <w:rFonts w:ascii="Arial" w:hAnsi="Arial" w:cs="Arial"/>
          <w:sz w:val="20"/>
          <w:szCs w:val="20"/>
        </w:rPr>
        <w:t xml:space="preserve">. </w:t>
      </w:r>
      <w:r w:rsidRPr="007D540B">
        <w:rPr>
          <w:rFonts w:ascii="Arial" w:hAnsi="Arial" w:cs="Arial"/>
          <w:sz w:val="20"/>
          <w:szCs w:val="20"/>
        </w:rPr>
        <w:t>Después de 16 semanas de tratamiento, para los pacientes que alcancen una respuesta clínica, la dosis de mantenimiento recomendada es de 30 mg cada 8 semanas</w:t>
      </w:r>
      <w:r w:rsidR="00AB2E8A">
        <w:rPr>
          <w:rFonts w:ascii="Arial" w:hAnsi="Arial" w:cs="Arial"/>
          <w:sz w:val="20"/>
          <w:szCs w:val="20"/>
        </w:rPr>
        <w:t xml:space="preserve"> (Q8W)</w:t>
      </w:r>
      <w:r w:rsidR="000E5558">
        <w:rPr>
          <w:rFonts w:ascii="Arial" w:hAnsi="Arial" w:cs="Arial"/>
          <w:sz w:val="20"/>
          <w:szCs w:val="20"/>
        </w:rPr>
        <w:t>.</w:t>
      </w:r>
    </w:p>
    <w:p w14:paraId="4BACB790" w14:textId="77777777" w:rsidR="007D540B" w:rsidRPr="007D540B" w:rsidRDefault="007D540B" w:rsidP="007D540B">
      <w:pPr>
        <w:jc w:val="both"/>
        <w:rPr>
          <w:rFonts w:ascii="Arial" w:hAnsi="Arial" w:cs="Arial"/>
          <w:sz w:val="20"/>
          <w:szCs w:val="20"/>
        </w:rPr>
      </w:pPr>
      <w:r w:rsidRPr="007D540B">
        <w:rPr>
          <w:rFonts w:ascii="Arial" w:hAnsi="Arial" w:cs="Arial"/>
          <w:sz w:val="20"/>
          <w:szCs w:val="20"/>
        </w:rPr>
        <w:t xml:space="preserve">Nemolizumab se puede administrar con o sin </w:t>
      </w:r>
      <w:r w:rsidR="000E5558">
        <w:rPr>
          <w:rFonts w:ascii="Arial" w:hAnsi="Arial" w:cs="Arial"/>
          <w:sz w:val="20"/>
          <w:szCs w:val="20"/>
        </w:rPr>
        <w:t>TCS</w:t>
      </w:r>
      <w:r w:rsidRPr="007D540B">
        <w:rPr>
          <w:rFonts w:ascii="Arial" w:hAnsi="Arial" w:cs="Arial"/>
          <w:sz w:val="20"/>
          <w:szCs w:val="20"/>
        </w:rPr>
        <w:t>. Pueden utilizarse</w:t>
      </w:r>
      <w:r w:rsidR="000E5558">
        <w:rPr>
          <w:rFonts w:ascii="Arial" w:hAnsi="Arial" w:cs="Arial"/>
          <w:sz w:val="20"/>
          <w:szCs w:val="20"/>
        </w:rPr>
        <w:t xml:space="preserve"> TCI</w:t>
      </w:r>
      <w:r w:rsidRPr="007D540B">
        <w:rPr>
          <w:rFonts w:ascii="Arial" w:hAnsi="Arial" w:cs="Arial"/>
          <w:sz w:val="20"/>
          <w:szCs w:val="20"/>
        </w:rPr>
        <w:t>, pero deben reservarse para zonas problemáticas</w:t>
      </w:r>
      <w:r>
        <w:rPr>
          <w:rFonts w:ascii="Arial" w:hAnsi="Arial" w:cs="Arial"/>
          <w:sz w:val="20"/>
          <w:szCs w:val="20"/>
        </w:rPr>
        <w:t xml:space="preserve"> (</w:t>
      </w:r>
      <w:r w:rsidR="002E1D01" w:rsidRPr="007D540B">
        <w:rPr>
          <w:rFonts w:ascii="Arial" w:hAnsi="Arial" w:cs="Arial"/>
          <w:sz w:val="20"/>
          <w:szCs w:val="20"/>
        </w:rPr>
        <w:t>rostro, cuello</w:t>
      </w:r>
      <w:r w:rsidRPr="007D540B">
        <w:rPr>
          <w:rFonts w:ascii="Arial" w:hAnsi="Arial" w:cs="Arial"/>
          <w:sz w:val="20"/>
          <w:szCs w:val="20"/>
        </w:rPr>
        <w:t>, zonas intertriginosas y áreas genitales</w:t>
      </w:r>
      <w:r>
        <w:rPr>
          <w:rFonts w:ascii="Arial" w:hAnsi="Arial" w:cs="Arial"/>
          <w:sz w:val="20"/>
          <w:szCs w:val="20"/>
        </w:rPr>
        <w:t>)</w:t>
      </w:r>
      <w:r w:rsidRPr="007D540B">
        <w:rPr>
          <w:rFonts w:ascii="Arial" w:hAnsi="Arial" w:cs="Arial"/>
          <w:sz w:val="20"/>
          <w:szCs w:val="20"/>
        </w:rPr>
        <w:t>. El uso de tratamientos tópicos se debe reducir de manera gradual y, a continuación, interrumpir, cuando la enfermedad haya mejorado lo suficiente.</w:t>
      </w:r>
    </w:p>
    <w:p w14:paraId="3C0AE69B" w14:textId="77777777" w:rsidR="007D540B" w:rsidRDefault="007D540B" w:rsidP="007D540B">
      <w:pPr>
        <w:jc w:val="both"/>
        <w:rPr>
          <w:rFonts w:ascii="Arial" w:hAnsi="Arial" w:cs="Arial"/>
          <w:sz w:val="20"/>
          <w:szCs w:val="20"/>
        </w:rPr>
      </w:pPr>
      <w:r w:rsidRPr="007D540B">
        <w:rPr>
          <w:rFonts w:ascii="Arial" w:hAnsi="Arial" w:cs="Arial"/>
          <w:sz w:val="20"/>
          <w:szCs w:val="20"/>
        </w:rPr>
        <w:t>Se debe considerar la suspensión del tratamiento en los pacientes que no hayan respondido al cabo de 16 semanas de tratamiento para la</w:t>
      </w:r>
      <w:r w:rsidR="002E1D01">
        <w:rPr>
          <w:rFonts w:ascii="Arial" w:hAnsi="Arial" w:cs="Arial"/>
          <w:sz w:val="20"/>
          <w:szCs w:val="20"/>
        </w:rPr>
        <w:t xml:space="preserve"> DA</w:t>
      </w:r>
      <w:r w:rsidRPr="007D540B">
        <w:rPr>
          <w:rFonts w:ascii="Arial" w:hAnsi="Arial" w:cs="Arial"/>
          <w:sz w:val="20"/>
          <w:szCs w:val="20"/>
        </w:rPr>
        <w:t xml:space="preserve">. </w:t>
      </w:r>
    </w:p>
    <w:p w14:paraId="093D933E" w14:textId="77777777" w:rsidR="007D540B" w:rsidRDefault="007D540B" w:rsidP="007D540B">
      <w:pPr>
        <w:jc w:val="both"/>
        <w:rPr>
          <w:rFonts w:ascii="Arial" w:hAnsi="Arial" w:cs="Arial"/>
          <w:sz w:val="20"/>
          <w:szCs w:val="20"/>
        </w:rPr>
      </w:pPr>
    </w:p>
    <w:p w14:paraId="1A465737" w14:textId="77777777" w:rsidR="007D540B" w:rsidRDefault="007D540B" w:rsidP="007D540B">
      <w:pPr>
        <w:jc w:val="both"/>
        <w:rPr>
          <w:rFonts w:ascii="Arial" w:hAnsi="Arial" w:cs="Arial"/>
          <w:sz w:val="20"/>
          <w:szCs w:val="20"/>
        </w:rPr>
      </w:pPr>
      <w:r w:rsidRPr="007D540B">
        <w:rPr>
          <w:rFonts w:ascii="Arial" w:hAnsi="Arial" w:cs="Arial"/>
          <w:b/>
          <w:bCs/>
          <w:sz w:val="20"/>
          <w:szCs w:val="20"/>
        </w:rPr>
        <w:t>Administración:</w:t>
      </w:r>
      <w:r>
        <w:rPr>
          <w:rFonts w:ascii="Arial" w:hAnsi="Arial" w:cs="Arial"/>
          <w:sz w:val="20"/>
          <w:szCs w:val="20"/>
        </w:rPr>
        <w:t xml:space="preserve"> </w:t>
      </w:r>
      <w:r w:rsidRPr="007D540B">
        <w:rPr>
          <w:rFonts w:ascii="Arial" w:hAnsi="Arial" w:cs="Arial"/>
          <w:sz w:val="20"/>
          <w:szCs w:val="20"/>
        </w:rPr>
        <w:t xml:space="preserve">inyección subcutánea </w:t>
      </w:r>
      <w:r w:rsidR="00AB2E8A">
        <w:rPr>
          <w:rFonts w:ascii="Arial" w:hAnsi="Arial" w:cs="Arial"/>
          <w:sz w:val="20"/>
          <w:szCs w:val="20"/>
        </w:rPr>
        <w:t xml:space="preserve">(SC) </w:t>
      </w:r>
      <w:r>
        <w:rPr>
          <w:rFonts w:ascii="Arial" w:hAnsi="Arial" w:cs="Arial"/>
          <w:sz w:val="20"/>
          <w:szCs w:val="20"/>
        </w:rPr>
        <w:t xml:space="preserve">que </w:t>
      </w:r>
      <w:r w:rsidRPr="007D540B">
        <w:rPr>
          <w:rFonts w:ascii="Arial" w:hAnsi="Arial" w:cs="Arial"/>
          <w:sz w:val="20"/>
          <w:szCs w:val="20"/>
        </w:rPr>
        <w:t>se debe administrar en la cara delantera de la parte alta del muslo o en el abdomen, evitando la zona de 5 cm alrededor del ombligo. La inyección en el brazo solo la debe administrar un cuidador o un profesional sanitario. Para las dosis posteriores, se recomienda ir rotando el lugar de la inyección con cada dosis. Nemolizumab no se debe inyectar en zonas de piel sensible, inflamada, hinchada, dañada ni con hematomas, cicatrices o heridas abiertas.</w:t>
      </w:r>
    </w:p>
    <w:p w14:paraId="178C9A78" w14:textId="77777777" w:rsidR="007D540B" w:rsidRPr="007D540B" w:rsidRDefault="007D540B" w:rsidP="007D540B">
      <w:pPr>
        <w:jc w:val="both"/>
        <w:rPr>
          <w:rFonts w:ascii="Arial" w:hAnsi="Arial" w:cs="Arial"/>
          <w:sz w:val="20"/>
          <w:szCs w:val="20"/>
        </w:rPr>
      </w:pPr>
    </w:p>
    <w:p w14:paraId="080EBDFF" w14:textId="77777777" w:rsidR="00BC3E8E" w:rsidRPr="006F6ABB" w:rsidRDefault="00BC3E8E" w:rsidP="00BC3E8E">
      <w:pPr>
        <w:jc w:val="both"/>
        <w:rPr>
          <w:rFonts w:ascii="Arial" w:hAnsi="Arial" w:cs="Arial"/>
          <w:b/>
          <w:bCs/>
          <w:sz w:val="20"/>
          <w:szCs w:val="20"/>
        </w:rPr>
      </w:pPr>
    </w:p>
    <w:p w14:paraId="389B8F4B"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38" w:name="_Toc216191080"/>
      <w:bookmarkStart w:id="39" w:name="_Toc344399630"/>
      <w:bookmarkStart w:id="40" w:name="_Toc348931357"/>
      <w:r w:rsidRPr="00E3472F">
        <w:rPr>
          <w:rFonts w:cs="Arial"/>
          <w:sz w:val="20"/>
        </w:rPr>
        <w:t>4.4 Utilización en poblaciones especiales</w:t>
      </w:r>
      <w:r w:rsidR="00AB2E8A">
        <w:rPr>
          <w:rFonts w:cs="Arial"/>
          <w:sz w:val="20"/>
        </w:rPr>
        <w:t>.</w:t>
      </w:r>
      <w:r w:rsidR="000E55DD">
        <w:rPr>
          <w:rFonts w:cs="Arial"/>
          <w:sz w:val="20"/>
        </w:rPr>
        <w:t xml:space="preserve"> </w:t>
      </w:r>
      <w:r w:rsidR="00646A51">
        <w:rPr>
          <w:rFonts w:cs="Arial"/>
          <w:sz w:val="20"/>
        </w:rPr>
        <w:fldChar w:fldCharType="begin"/>
      </w:r>
      <w:r w:rsidR="00AB2E8A">
        <w:rPr>
          <w:rFonts w:cs="Arial"/>
          <w:sz w:val="20"/>
        </w:rPr>
        <w:instrText xml:space="preserve"> ADDIN ZOTERO_ITEM CSL_CITATION {"citationID":"GZxxSWDR","properties":{"formattedCitation":"(12)","plainCitation":"(12)","noteIndex":0},"citationItems":[{"id":27,"uris":["http://zotero.org/users/18702181/items/NKHW6L5M"],"itemData":{"id":27,"type":"webpage","title":"CIMA. Ficha técnica Nemluvio 30 mg polvo y disolvente para solución inyectable en pluma precargada.","URL":"https://cima.aemps.es/cima/dochtml/ft/1241901001/FT_1241901001.html","author":[{"family":"Agencia Española del Medicamento (AEMPS)","given":""}],"accessed":{"date-parts":[["2025",11,5]]}}}],"schema":"https://github.com/citation-style-language/schema/raw/master/csl-citation.json"} </w:instrText>
      </w:r>
      <w:r w:rsidR="00646A51">
        <w:rPr>
          <w:rFonts w:cs="Arial"/>
          <w:sz w:val="20"/>
        </w:rPr>
        <w:fldChar w:fldCharType="separate"/>
      </w:r>
      <w:r w:rsidR="00AB2E8A" w:rsidRPr="00AB2E8A">
        <w:rPr>
          <w:rFonts w:cs="Arial"/>
          <w:sz w:val="20"/>
        </w:rPr>
        <w:t>(12)</w:t>
      </w:r>
      <w:bookmarkEnd w:id="38"/>
      <w:r w:rsidR="00646A51">
        <w:rPr>
          <w:rFonts w:cs="Arial"/>
          <w:sz w:val="20"/>
        </w:rPr>
        <w:fldChar w:fldCharType="end"/>
      </w:r>
      <w:bookmarkEnd w:id="39"/>
      <w:bookmarkEnd w:id="40"/>
    </w:p>
    <w:p w14:paraId="42D4F7CE" w14:textId="77777777" w:rsidR="00BC3E8E" w:rsidRPr="006F6ABB" w:rsidRDefault="00BC3E8E" w:rsidP="00BC3E8E">
      <w:pPr>
        <w:jc w:val="both"/>
        <w:rPr>
          <w:rFonts w:ascii="Arial" w:hAnsi="Arial" w:cs="Arial"/>
          <w:b/>
          <w:bCs/>
          <w:sz w:val="20"/>
          <w:szCs w:val="20"/>
        </w:rPr>
      </w:pPr>
    </w:p>
    <w:p w14:paraId="7F335F37" w14:textId="77777777" w:rsidR="00BC3E8E" w:rsidRPr="006F6ABB" w:rsidRDefault="00BC3E8E" w:rsidP="002A02B8">
      <w:pPr>
        <w:jc w:val="both"/>
        <w:rPr>
          <w:rFonts w:ascii="Arial" w:hAnsi="Arial" w:cs="Arial"/>
          <w:bCs/>
          <w:sz w:val="20"/>
          <w:szCs w:val="20"/>
        </w:rPr>
      </w:pPr>
      <w:r w:rsidRPr="002A02B8">
        <w:rPr>
          <w:rFonts w:ascii="Arial" w:hAnsi="Arial" w:cs="Arial"/>
          <w:b/>
          <w:sz w:val="20"/>
          <w:szCs w:val="20"/>
        </w:rPr>
        <w:t>Pediatría</w:t>
      </w:r>
      <w:r w:rsidRPr="006F6ABB">
        <w:rPr>
          <w:rFonts w:ascii="Arial" w:hAnsi="Arial" w:cs="Arial"/>
          <w:bCs/>
          <w:sz w:val="20"/>
          <w:szCs w:val="20"/>
        </w:rPr>
        <w:t>:</w:t>
      </w:r>
      <w:r w:rsidR="002A02B8" w:rsidRPr="002A02B8">
        <w:t xml:space="preserve"> </w:t>
      </w:r>
      <w:r w:rsidR="002A02B8" w:rsidRPr="002A02B8">
        <w:rPr>
          <w:rFonts w:ascii="Arial" w:hAnsi="Arial" w:cs="Arial"/>
          <w:bCs/>
          <w:sz w:val="20"/>
          <w:szCs w:val="20"/>
        </w:rPr>
        <w:t>No se ha establecido todavía la seguridad y eficacia de nemolizumab en niños menores de 12 años y</w:t>
      </w:r>
      <w:r w:rsidR="002A02B8">
        <w:rPr>
          <w:rFonts w:ascii="Arial" w:hAnsi="Arial" w:cs="Arial"/>
          <w:bCs/>
          <w:sz w:val="20"/>
          <w:szCs w:val="20"/>
        </w:rPr>
        <w:t xml:space="preserve"> </w:t>
      </w:r>
      <w:r w:rsidR="002A02B8" w:rsidRPr="002A02B8">
        <w:rPr>
          <w:rFonts w:ascii="Arial" w:hAnsi="Arial" w:cs="Arial"/>
          <w:bCs/>
          <w:sz w:val="20"/>
          <w:szCs w:val="20"/>
        </w:rPr>
        <w:t>peso corporal &lt;30 kg. No se dispone de datos.</w:t>
      </w:r>
    </w:p>
    <w:p w14:paraId="70D8C8D3" w14:textId="77777777" w:rsidR="00BC3E8E" w:rsidRPr="006F6ABB" w:rsidRDefault="00BC3E8E" w:rsidP="00BC3E8E">
      <w:pPr>
        <w:jc w:val="both"/>
        <w:rPr>
          <w:rFonts w:ascii="Arial" w:hAnsi="Arial" w:cs="Arial"/>
          <w:bCs/>
          <w:sz w:val="20"/>
          <w:szCs w:val="20"/>
        </w:rPr>
      </w:pPr>
      <w:r w:rsidRPr="002A02B8">
        <w:rPr>
          <w:rFonts w:ascii="Arial" w:hAnsi="Arial" w:cs="Arial"/>
          <w:b/>
          <w:sz w:val="20"/>
          <w:szCs w:val="20"/>
        </w:rPr>
        <w:t>Mayores de 65 años:</w:t>
      </w:r>
      <w:r w:rsidRPr="006F6ABB">
        <w:rPr>
          <w:rFonts w:ascii="Arial" w:hAnsi="Arial" w:cs="Arial"/>
          <w:bCs/>
          <w:sz w:val="20"/>
          <w:szCs w:val="20"/>
        </w:rPr>
        <w:t xml:space="preserve"> </w:t>
      </w:r>
      <w:r w:rsidR="002A02B8" w:rsidRPr="002A02B8">
        <w:rPr>
          <w:rFonts w:ascii="Arial" w:hAnsi="Arial" w:cs="Arial"/>
          <w:bCs/>
          <w:sz w:val="20"/>
          <w:szCs w:val="20"/>
        </w:rPr>
        <w:t>No se recomienda ajustar la dosis en pacientes de edad avanzada</w:t>
      </w:r>
      <w:r w:rsidR="002A02B8">
        <w:rPr>
          <w:rFonts w:ascii="Arial" w:hAnsi="Arial" w:cs="Arial"/>
          <w:bCs/>
          <w:sz w:val="20"/>
          <w:szCs w:val="20"/>
        </w:rPr>
        <w:t>.</w:t>
      </w:r>
    </w:p>
    <w:p w14:paraId="479D2CA1" w14:textId="77777777" w:rsidR="00BC3E8E" w:rsidRPr="006F6ABB" w:rsidRDefault="00BC3E8E" w:rsidP="00BC3E8E">
      <w:pPr>
        <w:jc w:val="both"/>
        <w:rPr>
          <w:rFonts w:ascii="Arial" w:hAnsi="Arial" w:cs="Arial"/>
          <w:bCs/>
          <w:sz w:val="20"/>
          <w:szCs w:val="20"/>
        </w:rPr>
      </w:pPr>
      <w:r w:rsidRPr="002A02B8">
        <w:rPr>
          <w:rFonts w:ascii="Arial" w:hAnsi="Arial" w:cs="Arial"/>
          <w:b/>
          <w:sz w:val="20"/>
          <w:szCs w:val="20"/>
        </w:rPr>
        <w:t>Insuficiencia renal</w:t>
      </w:r>
      <w:r w:rsidR="002A02B8" w:rsidRPr="002A02B8">
        <w:rPr>
          <w:rFonts w:ascii="Arial" w:hAnsi="Arial" w:cs="Arial"/>
          <w:b/>
          <w:sz w:val="20"/>
          <w:szCs w:val="20"/>
        </w:rPr>
        <w:t>/hepática:</w:t>
      </w:r>
      <w:r w:rsidR="002A02B8">
        <w:rPr>
          <w:rFonts w:ascii="Arial" w:hAnsi="Arial" w:cs="Arial"/>
          <w:bCs/>
          <w:sz w:val="20"/>
          <w:szCs w:val="20"/>
        </w:rPr>
        <w:t xml:space="preserve"> </w:t>
      </w:r>
      <w:r w:rsidR="002A02B8" w:rsidRPr="002A02B8">
        <w:rPr>
          <w:rFonts w:ascii="Arial" w:hAnsi="Arial" w:cs="Arial"/>
          <w:bCs/>
          <w:sz w:val="20"/>
          <w:szCs w:val="20"/>
        </w:rPr>
        <w:t>No es necesario ajustar la dosis en pacientes con insuficiencia renal o hepática</w:t>
      </w:r>
    </w:p>
    <w:p w14:paraId="73C5FE91" w14:textId="77777777" w:rsidR="00BC3E8E" w:rsidRPr="006F6ABB" w:rsidRDefault="00BC3E8E" w:rsidP="00BC3E8E">
      <w:pPr>
        <w:jc w:val="both"/>
        <w:rPr>
          <w:rFonts w:ascii="Arial" w:hAnsi="Arial" w:cs="Arial"/>
          <w:color w:val="0000FF"/>
          <w:sz w:val="20"/>
          <w:szCs w:val="20"/>
        </w:rPr>
      </w:pPr>
    </w:p>
    <w:p w14:paraId="0DC3F7F7"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41" w:name="_Toc216191081"/>
      <w:bookmarkStart w:id="42" w:name="_Toc344399631"/>
      <w:bookmarkStart w:id="43" w:name="_Toc348931358"/>
      <w:r w:rsidRPr="00E3472F">
        <w:rPr>
          <w:rFonts w:cs="Arial"/>
          <w:sz w:val="20"/>
        </w:rPr>
        <w:t>4.5 Farmacocinética</w:t>
      </w:r>
      <w:r w:rsidR="00AB2E8A">
        <w:rPr>
          <w:rFonts w:cs="Arial"/>
          <w:sz w:val="20"/>
        </w:rPr>
        <w:t>.</w:t>
      </w:r>
      <w:r w:rsidR="000E55DD">
        <w:rPr>
          <w:rFonts w:cs="Arial"/>
          <w:sz w:val="20"/>
        </w:rPr>
        <w:t xml:space="preserve"> </w:t>
      </w:r>
      <w:r w:rsidR="00646A51">
        <w:rPr>
          <w:rFonts w:cs="Arial"/>
          <w:sz w:val="20"/>
        </w:rPr>
        <w:fldChar w:fldCharType="begin"/>
      </w:r>
      <w:r w:rsidR="00AB2E8A">
        <w:rPr>
          <w:rFonts w:cs="Arial"/>
          <w:sz w:val="20"/>
        </w:rPr>
        <w:instrText xml:space="preserve"> ADDIN ZOTERO_ITEM CSL_CITATION {"citationID":"Vgp6YTqJ","properties":{"formattedCitation":"(12)","plainCitation":"(12)","noteIndex":0},"citationItems":[{"id":27,"uris":["http://zotero.org/users/18702181/items/NKHW6L5M"],"itemData":{"id":27,"type":"webpage","title":"CIMA. Ficha técnica Nemluvio 30 mg polvo y disolvente para solución inyectable en pluma precargada.","URL":"https://cima.aemps.es/cima/dochtml/ft/1241901001/FT_1241901001.html","author":[{"family":"Agencia Española del Medicamento (AEMPS)","given":""}],"accessed":{"date-parts":[["2025",11,5]]}}}],"schema":"https://github.com/citation-style-language/schema/raw/master/csl-citation.json"} </w:instrText>
      </w:r>
      <w:r w:rsidR="00646A51">
        <w:rPr>
          <w:rFonts w:cs="Arial"/>
          <w:sz w:val="20"/>
        </w:rPr>
        <w:fldChar w:fldCharType="separate"/>
      </w:r>
      <w:r w:rsidR="00AB2E8A" w:rsidRPr="00AB2E8A">
        <w:rPr>
          <w:rFonts w:cs="Arial"/>
          <w:sz w:val="20"/>
        </w:rPr>
        <w:t>(12)</w:t>
      </w:r>
      <w:bookmarkEnd w:id="41"/>
      <w:r w:rsidR="00646A51">
        <w:rPr>
          <w:rFonts w:cs="Arial"/>
          <w:sz w:val="20"/>
        </w:rPr>
        <w:fldChar w:fldCharType="end"/>
      </w:r>
      <w:bookmarkEnd w:id="42"/>
      <w:bookmarkEnd w:id="43"/>
    </w:p>
    <w:p w14:paraId="320C78CD" w14:textId="77777777" w:rsidR="000E55DD" w:rsidRDefault="000E55DD" w:rsidP="00BC3E8E">
      <w:pPr>
        <w:jc w:val="both"/>
        <w:rPr>
          <w:rFonts w:ascii="Arial" w:hAnsi="Arial" w:cs="Arial"/>
          <w:b/>
          <w:bCs/>
          <w:color w:val="C00000"/>
          <w:sz w:val="20"/>
          <w:szCs w:val="20"/>
        </w:rPr>
      </w:pPr>
    </w:p>
    <w:p w14:paraId="2383218C" w14:textId="77777777" w:rsidR="000E55DD" w:rsidRDefault="000E55DD" w:rsidP="00BC3E8E">
      <w:pPr>
        <w:jc w:val="both"/>
        <w:rPr>
          <w:rFonts w:ascii="Arial" w:hAnsi="Arial" w:cs="Arial"/>
          <w:sz w:val="20"/>
          <w:szCs w:val="20"/>
        </w:rPr>
      </w:pPr>
      <w:r w:rsidRPr="000E55DD">
        <w:rPr>
          <w:rFonts w:ascii="Arial" w:hAnsi="Arial" w:cs="Arial"/>
          <w:sz w:val="20"/>
          <w:szCs w:val="20"/>
        </w:rPr>
        <w:t xml:space="preserve">Nemolizumab presenta una farmacocinética lineal tras su administración </w:t>
      </w:r>
      <w:r w:rsidR="00AB2E8A">
        <w:rPr>
          <w:rFonts w:ascii="Arial" w:hAnsi="Arial" w:cs="Arial"/>
          <w:sz w:val="20"/>
          <w:szCs w:val="20"/>
        </w:rPr>
        <w:t>SC</w:t>
      </w:r>
      <w:r w:rsidRPr="000E55DD">
        <w:rPr>
          <w:rFonts w:ascii="Arial" w:hAnsi="Arial" w:cs="Arial"/>
          <w:sz w:val="20"/>
          <w:szCs w:val="20"/>
        </w:rPr>
        <w:t>, con una absorción lenta, alcanzando concentraciones máximas (Cmáx) alrededor de los 6 días después de una dosis inicial de 60 mg. Las concentraciones en estado de equilibrio se logran hacia la semana 4 con dosis de carga y la semana 12 sin ella</w:t>
      </w:r>
      <w:r>
        <w:rPr>
          <w:rFonts w:ascii="Arial" w:hAnsi="Arial" w:cs="Arial"/>
          <w:sz w:val="20"/>
          <w:szCs w:val="20"/>
        </w:rPr>
        <w:t>.</w:t>
      </w:r>
    </w:p>
    <w:p w14:paraId="78AABFDD" w14:textId="77777777" w:rsidR="00BC3E8E" w:rsidRPr="000E55DD" w:rsidRDefault="000E55DD" w:rsidP="00BC3E8E">
      <w:pPr>
        <w:jc w:val="both"/>
        <w:rPr>
          <w:rFonts w:ascii="Arial" w:hAnsi="Arial" w:cs="Arial"/>
          <w:sz w:val="20"/>
          <w:szCs w:val="20"/>
        </w:rPr>
      </w:pPr>
      <w:r w:rsidRPr="000E55DD">
        <w:rPr>
          <w:rFonts w:ascii="Arial" w:hAnsi="Arial" w:cs="Arial"/>
          <w:sz w:val="20"/>
          <w:szCs w:val="20"/>
        </w:rPr>
        <w:t>El volumen de distribución aparente es de 7,67 L, lo que indica una distribución limitada fuera del compartimento vascular. Como proteína, nemolizumab se metaboliza por vías catabólicas a péptidos pequeños. Su semivida de eliminación es de aproximadamente 19 días, con un aclaramiento aparente de 0,26 L/día. La exposición sistémica aumenta de forma proporcional a la dosis hasta 30 mg, observándose una leve reducción de la biodisponibilidad (9 %) a 60 mg.</w:t>
      </w:r>
    </w:p>
    <w:p w14:paraId="498F707A" w14:textId="77777777" w:rsidR="00BC3E8E" w:rsidRPr="006F6ABB" w:rsidRDefault="00BC3E8E" w:rsidP="00BC3E8E">
      <w:pPr>
        <w:jc w:val="right"/>
        <w:rPr>
          <w:rFonts w:ascii="Arial" w:hAnsi="Arial" w:cs="Arial"/>
          <w:b/>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DA38F3" w14:paraId="4EED9BD6" w14:textId="77777777" w:rsidTr="00BC3E8E">
        <w:tc>
          <w:tcPr>
            <w:tcW w:w="8890" w:type="dxa"/>
            <w:tcBorders>
              <w:top w:val="single" w:sz="4" w:space="0" w:color="auto"/>
              <w:left w:val="single" w:sz="4" w:space="0" w:color="auto"/>
              <w:bottom w:val="single" w:sz="4" w:space="0" w:color="auto"/>
              <w:right w:val="single" w:sz="4" w:space="0" w:color="auto"/>
            </w:tcBorders>
            <w:shd w:val="clear" w:color="auto" w:fill="B3B3B3"/>
          </w:tcPr>
          <w:p w14:paraId="1EDAE771" w14:textId="77777777" w:rsidR="00BC3E8E" w:rsidRPr="00AA1167" w:rsidRDefault="00BC3E8E" w:rsidP="00BC3E8E">
            <w:pPr>
              <w:pStyle w:val="Ttulo1"/>
              <w:shd w:val="clear" w:color="auto" w:fill="A6A6A6"/>
              <w:rPr>
                <w:rFonts w:ascii="Arial" w:hAnsi="Arial" w:cs="Arial"/>
                <w:bCs w:val="0"/>
                <w:kern w:val="0"/>
                <w:sz w:val="20"/>
                <w:szCs w:val="20"/>
              </w:rPr>
            </w:pPr>
            <w:bookmarkStart w:id="44" w:name="_Toc344399632"/>
            <w:bookmarkStart w:id="45" w:name="_Toc348931359"/>
            <w:bookmarkStart w:id="46" w:name="_Toc216191082"/>
            <w:r w:rsidRPr="00AA1167">
              <w:rPr>
                <w:rFonts w:ascii="Arial" w:hAnsi="Arial" w:cs="Arial"/>
                <w:bCs w:val="0"/>
                <w:kern w:val="0"/>
                <w:sz w:val="20"/>
                <w:szCs w:val="20"/>
              </w:rPr>
              <w:t>5.- EVALUACIÓN DE LA EFICACIA.</w:t>
            </w:r>
            <w:bookmarkEnd w:id="44"/>
            <w:bookmarkEnd w:id="45"/>
            <w:bookmarkEnd w:id="46"/>
          </w:p>
        </w:tc>
      </w:tr>
    </w:tbl>
    <w:p w14:paraId="0C804D04" w14:textId="77777777" w:rsidR="00BC3E8E" w:rsidRPr="006F6ABB" w:rsidRDefault="00BC3E8E" w:rsidP="00BC3E8E">
      <w:pPr>
        <w:rPr>
          <w:rFonts w:ascii="Arial" w:hAnsi="Arial" w:cs="Arial"/>
          <w:sz w:val="20"/>
          <w:szCs w:val="20"/>
        </w:rPr>
      </w:pPr>
    </w:p>
    <w:p w14:paraId="311757FD" w14:textId="77777777"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47" w:name="_Toc344399633"/>
      <w:bookmarkStart w:id="48" w:name="_Toc348931360"/>
      <w:bookmarkStart w:id="49" w:name="_Toc216191083"/>
      <w:r w:rsidRPr="00E3472F">
        <w:rPr>
          <w:rFonts w:cs="Arial"/>
          <w:sz w:val="20"/>
        </w:rPr>
        <w:t>5.1.a Ensayos clínicos disponibles para la indicación clínica evaluada</w:t>
      </w:r>
      <w:bookmarkEnd w:id="47"/>
      <w:bookmarkEnd w:id="48"/>
      <w:bookmarkEnd w:id="49"/>
    </w:p>
    <w:p w14:paraId="67974DF7" w14:textId="77777777" w:rsidR="00BC3E8E" w:rsidRPr="006F6ABB" w:rsidRDefault="00BC3E8E" w:rsidP="00BC3E8E">
      <w:pPr>
        <w:jc w:val="both"/>
        <w:rPr>
          <w:rFonts w:ascii="Arial" w:hAnsi="Arial" w:cs="Arial"/>
          <w:color w:val="000080"/>
          <w:sz w:val="20"/>
          <w:szCs w:val="20"/>
        </w:rPr>
      </w:pPr>
    </w:p>
    <w:p w14:paraId="3296DA64" w14:textId="77777777" w:rsidR="00295E23" w:rsidRDefault="00295E23" w:rsidP="00BC3E8E">
      <w:pPr>
        <w:jc w:val="both"/>
      </w:pPr>
      <w:r w:rsidRPr="00A076E0">
        <w:rPr>
          <w:rFonts w:ascii="Arial" w:hAnsi="Arial" w:cs="Arial"/>
          <w:sz w:val="20"/>
          <w:szCs w:val="20"/>
        </w:rPr>
        <w:t xml:space="preserve">Se dispone del informe </w:t>
      </w:r>
      <w:r w:rsidRPr="00125C41">
        <w:rPr>
          <w:rFonts w:ascii="Arial" w:hAnsi="Arial" w:cs="Arial"/>
          <w:b/>
          <w:bCs/>
          <w:sz w:val="20"/>
          <w:szCs w:val="20"/>
        </w:rPr>
        <w:t xml:space="preserve">EPAR </w:t>
      </w:r>
      <w:r w:rsidRPr="00A076E0">
        <w:rPr>
          <w:rFonts w:ascii="Arial" w:hAnsi="Arial" w:cs="Arial"/>
          <w:sz w:val="20"/>
          <w:szCs w:val="20"/>
        </w:rPr>
        <w:t>de la EMA</w:t>
      </w:r>
      <w:r w:rsidR="00480595">
        <w:rPr>
          <w:rFonts w:ascii="Arial" w:hAnsi="Arial" w:cs="Arial"/>
          <w:sz w:val="20"/>
          <w:szCs w:val="20"/>
        </w:rPr>
        <w:t xml:space="preserve"> publicado en febrero 2025</w:t>
      </w:r>
      <w:r w:rsidRPr="00A076E0">
        <w:rPr>
          <w:rFonts w:ascii="Arial" w:hAnsi="Arial" w:cs="Arial"/>
          <w:sz w:val="20"/>
          <w:szCs w:val="20"/>
        </w:rPr>
        <w:t xml:space="preserve"> y del informe </w:t>
      </w:r>
      <w:r w:rsidR="00DF6811">
        <w:rPr>
          <w:rFonts w:ascii="Arial" w:hAnsi="Arial" w:cs="Arial"/>
          <w:sz w:val="20"/>
          <w:szCs w:val="20"/>
        </w:rPr>
        <w:t xml:space="preserve">del </w:t>
      </w:r>
      <w:r w:rsidR="00DF6811" w:rsidRPr="00DF6811">
        <w:rPr>
          <w:rFonts w:ascii="Arial" w:hAnsi="Arial" w:cs="Arial"/>
          <w:sz w:val="20"/>
          <w:szCs w:val="20"/>
        </w:rPr>
        <w:t xml:space="preserve">Center for Drug Evaluation and Research </w:t>
      </w:r>
      <w:r w:rsidR="00DF6811">
        <w:rPr>
          <w:rFonts w:ascii="Arial" w:hAnsi="Arial" w:cs="Arial"/>
          <w:sz w:val="20"/>
          <w:szCs w:val="20"/>
        </w:rPr>
        <w:t>(</w:t>
      </w:r>
      <w:r w:rsidRPr="00125C41">
        <w:rPr>
          <w:rFonts w:ascii="Arial" w:hAnsi="Arial" w:cs="Arial"/>
          <w:b/>
          <w:bCs/>
          <w:sz w:val="20"/>
          <w:szCs w:val="20"/>
        </w:rPr>
        <w:t>CDER</w:t>
      </w:r>
      <w:r w:rsidR="00DF6811" w:rsidRPr="00125C41">
        <w:rPr>
          <w:rFonts w:ascii="Arial" w:hAnsi="Arial" w:cs="Arial"/>
          <w:b/>
          <w:bCs/>
          <w:sz w:val="20"/>
          <w:szCs w:val="20"/>
        </w:rPr>
        <w:t>)</w:t>
      </w:r>
      <w:r w:rsidRPr="00A076E0">
        <w:rPr>
          <w:rFonts w:ascii="Arial" w:hAnsi="Arial" w:cs="Arial"/>
          <w:sz w:val="20"/>
          <w:szCs w:val="20"/>
        </w:rPr>
        <w:t xml:space="preserve"> de la FDA</w:t>
      </w:r>
      <w:r w:rsidR="00DF6811">
        <w:rPr>
          <w:rFonts w:ascii="Arial" w:hAnsi="Arial" w:cs="Arial"/>
          <w:sz w:val="20"/>
          <w:szCs w:val="20"/>
        </w:rPr>
        <w:t xml:space="preserve"> </w:t>
      </w:r>
      <w:r w:rsidR="00062AE5">
        <w:rPr>
          <w:rFonts w:ascii="Arial" w:hAnsi="Arial" w:cs="Arial"/>
          <w:sz w:val="20"/>
          <w:szCs w:val="20"/>
        </w:rPr>
        <w:t xml:space="preserve">publicado en noviembre de 2024 </w:t>
      </w:r>
      <w:r w:rsidR="00DF6811">
        <w:rPr>
          <w:rFonts w:ascii="Arial" w:hAnsi="Arial" w:cs="Arial"/>
          <w:sz w:val="20"/>
          <w:szCs w:val="20"/>
        </w:rPr>
        <w:t xml:space="preserve">en ambos se recogen los ensayos ARCADIA 1 y ARCADIA 2. </w:t>
      </w:r>
    </w:p>
    <w:p w14:paraId="60450A1D" w14:textId="77777777" w:rsidR="00295E23" w:rsidRPr="00295E23" w:rsidRDefault="00295E23" w:rsidP="00BC3E8E">
      <w:pPr>
        <w:jc w:val="both"/>
      </w:pPr>
    </w:p>
    <w:p w14:paraId="53A1E7EE" w14:textId="77777777" w:rsidR="00D532D4" w:rsidRPr="00DF6811" w:rsidRDefault="00D532D4">
      <w:pPr>
        <w:numPr>
          <w:ilvl w:val="0"/>
          <w:numId w:val="4"/>
        </w:numPr>
        <w:jc w:val="both"/>
        <w:rPr>
          <w:rFonts w:ascii="Arial" w:hAnsi="Arial" w:cs="Arial"/>
          <w:sz w:val="20"/>
          <w:szCs w:val="20"/>
        </w:rPr>
      </w:pPr>
      <w:r w:rsidRPr="00DF6811">
        <w:rPr>
          <w:rFonts w:ascii="Arial" w:hAnsi="Arial" w:cs="Arial"/>
          <w:sz w:val="20"/>
          <w:szCs w:val="20"/>
        </w:rPr>
        <w:t>Informe EPAR: ARCADIA 1 (NCT03985943) and ARCADIA 2 (NCT03989349)</w:t>
      </w:r>
    </w:p>
    <w:p w14:paraId="054B76CC" w14:textId="77777777" w:rsidR="00D532D4" w:rsidRPr="00DF6811" w:rsidRDefault="00D532D4">
      <w:pPr>
        <w:numPr>
          <w:ilvl w:val="0"/>
          <w:numId w:val="4"/>
        </w:numPr>
        <w:jc w:val="both"/>
        <w:rPr>
          <w:rFonts w:ascii="Arial" w:hAnsi="Arial" w:cs="Arial"/>
          <w:sz w:val="20"/>
          <w:szCs w:val="20"/>
        </w:rPr>
      </w:pPr>
      <w:r w:rsidRPr="00DF6811">
        <w:rPr>
          <w:rFonts w:ascii="Arial" w:hAnsi="Arial" w:cs="Arial"/>
          <w:sz w:val="20"/>
          <w:szCs w:val="20"/>
        </w:rPr>
        <w:t>Informe CDER FDA: ARCADIA 1 (SPR118161) y ARCADIA 2 (SPR118169)</w:t>
      </w:r>
    </w:p>
    <w:p w14:paraId="3B1921B6" w14:textId="77777777" w:rsidR="00DF6811" w:rsidRDefault="00DF6811" w:rsidP="00BC3E8E">
      <w:pPr>
        <w:jc w:val="both"/>
        <w:rPr>
          <w:rFonts w:ascii="Arial" w:hAnsi="Arial" w:cs="Arial"/>
          <w:color w:val="000080"/>
          <w:sz w:val="20"/>
          <w:szCs w:val="20"/>
        </w:rPr>
      </w:pPr>
    </w:p>
    <w:p w14:paraId="4E2F2666" w14:textId="77777777" w:rsidR="00DF6811" w:rsidRPr="00DF6811" w:rsidRDefault="00DF6811" w:rsidP="00DF6811">
      <w:pPr>
        <w:jc w:val="both"/>
        <w:rPr>
          <w:rFonts w:ascii="Arial" w:hAnsi="Arial" w:cs="Arial"/>
          <w:sz w:val="20"/>
          <w:szCs w:val="20"/>
        </w:rPr>
      </w:pPr>
      <w:r w:rsidRPr="00DF6811">
        <w:rPr>
          <w:rFonts w:ascii="Arial" w:hAnsi="Arial" w:cs="Arial"/>
          <w:sz w:val="20"/>
          <w:szCs w:val="20"/>
        </w:rPr>
        <w:t xml:space="preserve">ARCADIA 1 y ARCADIA 2 fueron ensayos de fase III idénticos, aleatorizados, doble ciego y controlados con placebo, de 48 semanas de duración, en participantes adultos y adolescentes (≥12 años) con </w:t>
      </w:r>
      <w:r w:rsidR="00BD5ED6">
        <w:rPr>
          <w:rFonts w:ascii="Arial" w:hAnsi="Arial" w:cs="Arial"/>
          <w:sz w:val="20"/>
          <w:szCs w:val="20"/>
        </w:rPr>
        <w:t xml:space="preserve">DA </w:t>
      </w:r>
      <w:r w:rsidRPr="00DF6811">
        <w:rPr>
          <w:rFonts w:ascii="Arial" w:hAnsi="Arial" w:cs="Arial"/>
          <w:sz w:val="20"/>
          <w:szCs w:val="20"/>
        </w:rPr>
        <w:t>de moderada a grave, prurito asociado y respuesta inadecuada a los</w:t>
      </w:r>
      <w:r w:rsidR="0075635A">
        <w:rPr>
          <w:rFonts w:ascii="Arial" w:hAnsi="Arial" w:cs="Arial"/>
          <w:sz w:val="20"/>
          <w:szCs w:val="20"/>
        </w:rPr>
        <w:t xml:space="preserve"> TCS</w:t>
      </w:r>
      <w:r w:rsidRPr="00DF6811">
        <w:rPr>
          <w:rFonts w:ascii="Arial" w:hAnsi="Arial" w:cs="Arial"/>
          <w:sz w:val="20"/>
          <w:szCs w:val="20"/>
        </w:rPr>
        <w:t>.</w:t>
      </w:r>
      <w:r w:rsidR="00BF10EA">
        <w:rPr>
          <w:rFonts w:ascii="Arial" w:hAnsi="Arial" w:cs="Arial"/>
          <w:sz w:val="20"/>
          <w:szCs w:val="20"/>
        </w:rPr>
        <w:t xml:space="preserve"> </w:t>
      </w:r>
      <w:r w:rsidR="00BF10EA" w:rsidRPr="00BF10EA">
        <w:rPr>
          <w:rFonts w:ascii="Arial" w:hAnsi="Arial" w:cs="Arial"/>
          <w:sz w:val="20"/>
          <w:szCs w:val="20"/>
        </w:rPr>
        <w:t>La realización de dos ensayos replicados fue llevada a cabo debido a los requisitos regulatorio</w:t>
      </w:r>
      <w:r w:rsidR="00BF10EA">
        <w:rPr>
          <w:rFonts w:ascii="Arial" w:hAnsi="Arial" w:cs="Arial"/>
          <w:sz w:val="20"/>
          <w:szCs w:val="20"/>
        </w:rPr>
        <w:t xml:space="preserve">s y </w:t>
      </w:r>
      <w:r w:rsidR="00095C04">
        <w:rPr>
          <w:rFonts w:ascii="Arial" w:hAnsi="Arial" w:cs="Arial"/>
          <w:sz w:val="20"/>
          <w:szCs w:val="20"/>
        </w:rPr>
        <w:t xml:space="preserve">con el objetivo de incluir un mayor número de </w:t>
      </w:r>
      <w:r w:rsidR="00BF10EA">
        <w:rPr>
          <w:rFonts w:ascii="Arial" w:hAnsi="Arial" w:cs="Arial"/>
          <w:sz w:val="20"/>
          <w:szCs w:val="20"/>
        </w:rPr>
        <w:t xml:space="preserve">países. </w:t>
      </w:r>
    </w:p>
    <w:p w14:paraId="01E0E463" w14:textId="77777777" w:rsidR="00DF6811" w:rsidRDefault="00DF6811" w:rsidP="00DF6811">
      <w:pPr>
        <w:jc w:val="both"/>
        <w:rPr>
          <w:rFonts w:ascii="Arial" w:hAnsi="Arial" w:cs="Arial"/>
          <w:color w:val="000080"/>
          <w:sz w:val="20"/>
          <w:szCs w:val="20"/>
        </w:rPr>
      </w:pPr>
    </w:p>
    <w:p w14:paraId="2BA64876" w14:textId="77777777" w:rsidR="00DF6811" w:rsidRDefault="00DF6811" w:rsidP="00BC3E8E">
      <w:pPr>
        <w:jc w:val="both"/>
        <w:rPr>
          <w:rFonts w:ascii="Arial" w:hAnsi="Arial" w:cs="Arial"/>
          <w:sz w:val="20"/>
          <w:szCs w:val="20"/>
        </w:rPr>
      </w:pPr>
      <w:r w:rsidRPr="00DF6811">
        <w:rPr>
          <w:rFonts w:ascii="Arial" w:hAnsi="Arial" w:cs="Arial"/>
          <w:sz w:val="20"/>
          <w:szCs w:val="20"/>
        </w:rPr>
        <w:t xml:space="preserve">En fecha 05/11/25 se realizó búsqueda bibliográfica en </w:t>
      </w:r>
      <w:r w:rsidRPr="00125C41">
        <w:rPr>
          <w:rFonts w:ascii="Arial" w:hAnsi="Arial" w:cs="Arial"/>
          <w:b/>
          <w:bCs/>
          <w:sz w:val="20"/>
          <w:szCs w:val="20"/>
        </w:rPr>
        <w:t>Medline</w:t>
      </w:r>
      <w:r w:rsidRPr="00DF6811">
        <w:rPr>
          <w:rFonts w:ascii="Arial" w:hAnsi="Arial" w:cs="Arial"/>
          <w:sz w:val="20"/>
          <w:szCs w:val="20"/>
        </w:rPr>
        <w:t>.</w:t>
      </w:r>
      <w:r w:rsidRPr="00DF6811">
        <w:rPr>
          <w:rFonts w:ascii="Arial" w:hAnsi="Arial" w:cs="Arial"/>
          <w:i/>
          <w:iCs/>
          <w:sz w:val="20"/>
          <w:szCs w:val="20"/>
        </w:rPr>
        <w:t xml:space="preserve"> Nemolizumab AND Atopic dermatitis AND Phase III</w:t>
      </w:r>
      <w:r w:rsidR="006B4888">
        <w:rPr>
          <w:rFonts w:ascii="Arial" w:hAnsi="Arial" w:cs="Arial"/>
          <w:i/>
          <w:iCs/>
          <w:sz w:val="20"/>
          <w:szCs w:val="20"/>
        </w:rPr>
        <w:t xml:space="preserve"> </w:t>
      </w:r>
      <w:r w:rsidR="00646A51" w:rsidRPr="00646A51">
        <w:rPr>
          <w:rFonts w:ascii="Arial" w:hAnsi="Arial" w:cs="Arial"/>
          <w:sz w:val="20"/>
          <w:szCs w:val="20"/>
        </w:rPr>
        <w:t>con límites de “</w:t>
      </w:r>
      <w:r w:rsidR="00646A51" w:rsidRPr="00C1567E">
        <w:rPr>
          <w:rFonts w:ascii="Arial" w:hAnsi="Arial" w:cs="Arial"/>
          <w:i/>
          <w:sz w:val="20"/>
          <w:szCs w:val="20"/>
        </w:rPr>
        <w:t>clinical queries-narrow</w:t>
      </w:r>
      <w:r w:rsidR="006B4888">
        <w:rPr>
          <w:rFonts w:ascii="Arial" w:hAnsi="Arial" w:cs="Arial"/>
          <w:sz w:val="20"/>
          <w:szCs w:val="20"/>
        </w:rPr>
        <w:t>”</w:t>
      </w:r>
      <w:r>
        <w:rPr>
          <w:rFonts w:ascii="Arial" w:hAnsi="Arial" w:cs="Arial"/>
          <w:i/>
          <w:iCs/>
          <w:sz w:val="20"/>
          <w:szCs w:val="20"/>
        </w:rPr>
        <w:t xml:space="preserve">. </w:t>
      </w:r>
      <w:r w:rsidRPr="00DF6811">
        <w:rPr>
          <w:rFonts w:ascii="Arial" w:hAnsi="Arial" w:cs="Arial"/>
          <w:sz w:val="20"/>
          <w:szCs w:val="20"/>
        </w:rPr>
        <w:t xml:space="preserve">Se recogen </w:t>
      </w:r>
      <w:r w:rsidR="006B4888">
        <w:rPr>
          <w:rFonts w:ascii="Arial" w:hAnsi="Arial" w:cs="Arial"/>
          <w:sz w:val="20"/>
          <w:szCs w:val="20"/>
        </w:rPr>
        <w:t>7</w:t>
      </w:r>
      <w:r w:rsidRPr="00DF6811">
        <w:rPr>
          <w:rFonts w:ascii="Arial" w:hAnsi="Arial" w:cs="Arial"/>
          <w:sz w:val="20"/>
          <w:szCs w:val="20"/>
        </w:rPr>
        <w:t xml:space="preserve"> resultados, en ellos se hace referencia los ensayos ARCADIA 1 Y 2</w:t>
      </w:r>
      <w:r w:rsidR="00095C04">
        <w:rPr>
          <w:rFonts w:ascii="Arial" w:hAnsi="Arial" w:cs="Arial"/>
          <w:sz w:val="20"/>
          <w:szCs w:val="20"/>
        </w:rPr>
        <w:t xml:space="preserve"> y a los ensayos fase III realizados en </w:t>
      </w:r>
      <w:r w:rsidR="00F25B0D">
        <w:rPr>
          <w:rFonts w:ascii="Arial" w:hAnsi="Arial" w:cs="Arial"/>
          <w:sz w:val="20"/>
          <w:szCs w:val="20"/>
        </w:rPr>
        <w:t>J</w:t>
      </w:r>
      <w:r w:rsidR="00095C04">
        <w:rPr>
          <w:rFonts w:ascii="Arial" w:hAnsi="Arial" w:cs="Arial"/>
          <w:sz w:val="20"/>
          <w:szCs w:val="20"/>
        </w:rPr>
        <w:t>apón</w:t>
      </w:r>
      <w:r w:rsidR="001F4DCE">
        <w:rPr>
          <w:rFonts w:ascii="Arial" w:hAnsi="Arial" w:cs="Arial"/>
          <w:sz w:val="20"/>
          <w:szCs w:val="20"/>
        </w:rPr>
        <w:t>.</w:t>
      </w:r>
      <w:r w:rsidR="008C5E90">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{"citationID":"LeYgCI51","properties":{"formattedCitation":"(15)","plainCitation":"(15)","noteIndex":0},"citationItems":[{"id":33,"uris":["http://zotero.org/users/18702181/items/GT2FA9Q2"],"itemData":{"id":33,"type":"article-journal","abstract":"BACKGROUND: Nemolizumab is a subcutaneously administered humanized monoclonal antibody against interleukin-31 receptor A, which is involved in pruritus and inflammation in atopic dermatitis. In phase 2 studies, nemolizumab lessened the severity of atopic dermatitis.\nMETHODS: In a 16-week, double-blind, phase 3 trial, we randomly assigned Japanese patients with atopic dermatitis and moderate-to-severe pruritus and an inadequate response to topical agents in a 2:1 ratio to receive subcutaneous nemolizumab (60 mg) or placebo every 4 weeks until week 16, with concomitant topical agents. The primary end point was the mean percent change in the visual-analogue scale (VAS) score for pruritus (range, 0 to 100, with higher scores indicating worse pruritus) from baseline to week 16. Secondary end points included the time course of change in the VAS score for pruritus up to week 4, the change in the Eczema Area and Severity Index (EASI) score (range, 0 to 72, with higher scores indicating greater severity), a score of 4 or less on the Dermatology Life Quality Index (DLQI; range, 0 to 30, with higher scores indicating a greater effect on daily life), a score of 7 or less on the Insomnia Severity Index (ISI; range, 0 to 28, with higher scores indicating greater severity), and safety.\nRESULTS: A total of 143 patients were randomly assigned to receive nemolizumab and 72 to receive placebo. The median VAS score for pruritus at baseline was 75. At week 16, the mean percent change in the VAS score was -42.8% in the nemolizumab group and -21.4% in the placebo group (difference, -21.5 percentage points; 95% confidence interval, -30.2 to -12.7; P&lt;0.001). The mean percent change in the EASI score was -45.9% with nemolizumab and -33.2% with placebo. The percentage of patients with a DLQI score of 4 or less was 40% in the nemolizumab group and 22% in the placebo group; the percentage of patients with an ISI score of 7 or less was 55% and 21%, respectively. The incidence of injection-related reactions was 8% with nemolizumab and 3% with placebo.\nCONCLUSIONS: In this 16-week trial, the use of subcutaneous nemolizumab in addition to topical agents for atopic dermatitis resulted in a greater reduction in pruritus than placebo plus topical agents. The incidence of injection-site reactions was greater with nemolizumab than with placebo. Longer and larger trials are necessary to determine whether nemolizumab has a durable effect and is safe for atopic dermatitis. (Funded by Maruho; JapicCTI number, 173740.).","container-title":"The New England Journal of Medicine","DOI":"10.1056/NEJMoa1917006","ISSN":"1533-4406","issue":"2","journalAbbreviation":"N Engl J Med","language":"eng","page":"141-150","PMID":"32640132","source":"PubMed","title":"Trial of Nemolizumab and Topical Agents for Atopic Dermatitis with Pruritus","volume":"383","author":[{"family":"Kabashima","given":"Kenji"},{"family":"Matsumura","given":"Takayo"},{"family":"Komazaki","given":"Hiroshi"},{"family":"Kawashima","given":"Makoto"},{"literal":"Nemolizumab-JP01 Study Group"}],"issued":{"date-parts":[["2020",7,9]]}}}],"schema":"https://github.com/citation-style-language/schema/raw/master/csl-citation.json"} </w:instrText>
      </w:r>
      <w:r w:rsidR="00646A51">
        <w:rPr>
          <w:rFonts w:ascii="Arial" w:hAnsi="Arial" w:cs="Arial"/>
          <w:sz w:val="20"/>
          <w:szCs w:val="20"/>
        </w:rPr>
        <w:fldChar w:fldCharType="separate"/>
      </w:r>
      <w:r w:rsidR="00AB2E8A" w:rsidRPr="00AB2E8A">
        <w:rPr>
          <w:rFonts w:ascii="Arial" w:hAnsi="Arial" w:cs="Arial"/>
          <w:sz w:val="20"/>
        </w:rPr>
        <w:t>(15)</w:t>
      </w:r>
      <w:r w:rsidR="00646A51">
        <w:rPr>
          <w:rFonts w:ascii="Arial" w:hAnsi="Arial" w:cs="Arial"/>
          <w:sz w:val="20"/>
          <w:szCs w:val="20"/>
        </w:rPr>
        <w:fldChar w:fldCharType="end"/>
      </w:r>
    </w:p>
    <w:p w14:paraId="2536ADF0" w14:textId="77777777" w:rsidR="00095C04" w:rsidRDefault="00095C04" w:rsidP="00BC3E8E">
      <w:pPr>
        <w:jc w:val="both"/>
        <w:rPr>
          <w:rFonts w:ascii="Arial" w:hAnsi="Arial" w:cs="Arial"/>
          <w:sz w:val="20"/>
          <w:szCs w:val="20"/>
        </w:rPr>
      </w:pPr>
    </w:p>
    <w:p w14:paraId="3DBB9D37" w14:textId="77777777" w:rsidR="00095C04" w:rsidRPr="00DF6811" w:rsidRDefault="00F25B0D" w:rsidP="00BC3E8E">
      <w:pPr>
        <w:jc w:val="both"/>
        <w:rPr>
          <w:rFonts w:ascii="Arial" w:hAnsi="Arial" w:cs="Arial"/>
          <w:color w:val="000080"/>
          <w:sz w:val="20"/>
          <w:szCs w:val="20"/>
        </w:rPr>
      </w:pPr>
      <w:r>
        <w:rPr>
          <w:rFonts w:ascii="Arial" w:hAnsi="Arial" w:cs="Arial"/>
          <w:sz w:val="20"/>
          <w:szCs w:val="20"/>
        </w:rPr>
        <w:t>L</w:t>
      </w:r>
      <w:r w:rsidR="00095C04">
        <w:rPr>
          <w:rFonts w:ascii="Arial" w:hAnsi="Arial" w:cs="Arial"/>
          <w:sz w:val="20"/>
          <w:szCs w:val="20"/>
        </w:rPr>
        <w:t xml:space="preserve">os </w:t>
      </w:r>
      <w:r w:rsidR="00095C04" w:rsidRPr="00095C04">
        <w:rPr>
          <w:rFonts w:ascii="Arial" w:hAnsi="Arial" w:cs="Arial"/>
          <w:sz w:val="20"/>
          <w:szCs w:val="20"/>
        </w:rPr>
        <w:t>estudios realizados</w:t>
      </w:r>
      <w:r w:rsidR="001F4DCE">
        <w:rPr>
          <w:rFonts w:ascii="Arial" w:hAnsi="Arial" w:cs="Arial"/>
          <w:sz w:val="20"/>
          <w:szCs w:val="20"/>
        </w:rPr>
        <w:t xml:space="preserve"> en </w:t>
      </w:r>
      <w:r>
        <w:rPr>
          <w:rFonts w:ascii="Arial" w:hAnsi="Arial" w:cs="Arial"/>
          <w:sz w:val="20"/>
          <w:szCs w:val="20"/>
        </w:rPr>
        <w:t>J</w:t>
      </w:r>
      <w:r w:rsidR="001F4DCE">
        <w:rPr>
          <w:rFonts w:ascii="Arial" w:hAnsi="Arial" w:cs="Arial"/>
          <w:sz w:val="20"/>
          <w:szCs w:val="20"/>
        </w:rPr>
        <w:t>apón</w:t>
      </w:r>
      <w:r w:rsidR="00095C04" w:rsidRPr="00095C04">
        <w:rPr>
          <w:rFonts w:ascii="Arial" w:hAnsi="Arial" w:cs="Arial"/>
          <w:sz w:val="20"/>
          <w:szCs w:val="20"/>
        </w:rPr>
        <w:t xml:space="preserve"> </w:t>
      </w:r>
      <w:r>
        <w:rPr>
          <w:rFonts w:ascii="Arial" w:hAnsi="Arial" w:cs="Arial"/>
          <w:sz w:val="20"/>
          <w:szCs w:val="20"/>
        </w:rPr>
        <w:t xml:space="preserve">pueden </w:t>
      </w:r>
      <w:r w:rsidR="00095C04" w:rsidRPr="00095C04">
        <w:rPr>
          <w:rFonts w:ascii="Arial" w:hAnsi="Arial" w:cs="Arial"/>
          <w:sz w:val="20"/>
          <w:szCs w:val="20"/>
        </w:rPr>
        <w:t>dif</w:t>
      </w:r>
      <w:r>
        <w:rPr>
          <w:rFonts w:ascii="Arial" w:hAnsi="Arial" w:cs="Arial"/>
          <w:sz w:val="20"/>
          <w:szCs w:val="20"/>
        </w:rPr>
        <w:t>erir</w:t>
      </w:r>
      <w:r w:rsidR="00095C04" w:rsidRPr="00095C04">
        <w:rPr>
          <w:rFonts w:ascii="Arial" w:hAnsi="Arial" w:cs="Arial"/>
          <w:sz w:val="20"/>
          <w:szCs w:val="20"/>
        </w:rPr>
        <w:t xml:space="preserve"> en varios aspectos con respecto a la solicitud actual de aprobación en la Unión Europea: las características demográficas, el nivel de prurito de los sujetos incluidos, la dosis de nemolizumab y el criterio de valoración principal utilizado. La relevancia de los estudios de apoyo se considera limitad</w:t>
      </w:r>
      <w:r w:rsidR="00095C04">
        <w:rPr>
          <w:rFonts w:ascii="Arial" w:hAnsi="Arial" w:cs="Arial"/>
          <w:sz w:val="20"/>
          <w:szCs w:val="20"/>
        </w:rPr>
        <w:t xml:space="preserve">a. </w:t>
      </w:r>
    </w:p>
    <w:p w14:paraId="618B1654" w14:textId="77777777" w:rsidR="00A34217" w:rsidRPr="00DF6811" w:rsidRDefault="00A34217" w:rsidP="00BC3E8E">
      <w:pPr>
        <w:jc w:val="both"/>
        <w:rPr>
          <w:rFonts w:ascii="Arial" w:hAnsi="Arial" w:cs="Arial"/>
          <w:color w:val="000080"/>
          <w:sz w:val="20"/>
          <w:szCs w:val="20"/>
        </w:rPr>
      </w:pPr>
    </w:p>
    <w:p w14:paraId="2FE47C11" w14:textId="77777777" w:rsidR="00A34217" w:rsidRPr="00A34217" w:rsidRDefault="00A34217" w:rsidP="00A34217">
      <w:pPr>
        <w:jc w:val="both"/>
        <w:rPr>
          <w:rFonts w:ascii="Arial" w:hAnsi="Arial" w:cs="Arial"/>
          <w:b/>
          <w:bCs/>
          <w:sz w:val="20"/>
          <w:szCs w:val="20"/>
        </w:rPr>
      </w:pPr>
      <w:r w:rsidRPr="00A34217">
        <w:rPr>
          <w:rFonts w:ascii="Arial" w:hAnsi="Arial" w:cs="Arial"/>
          <w:b/>
          <w:bCs/>
          <w:sz w:val="20"/>
          <w:szCs w:val="20"/>
        </w:rPr>
        <w:t>Clinicaltrials.gov:</w:t>
      </w:r>
    </w:p>
    <w:p w14:paraId="6B787310" w14:textId="77777777" w:rsidR="00A34217" w:rsidRPr="00A34217" w:rsidRDefault="00A34217" w:rsidP="00A34217">
      <w:pPr>
        <w:jc w:val="both"/>
        <w:rPr>
          <w:rFonts w:ascii="Arial" w:hAnsi="Arial" w:cs="Arial"/>
          <w:sz w:val="20"/>
          <w:szCs w:val="20"/>
        </w:rPr>
      </w:pPr>
    </w:p>
    <w:p w14:paraId="06E31351" w14:textId="77777777" w:rsidR="00A34217" w:rsidRPr="00A34217" w:rsidRDefault="00A34217" w:rsidP="00A34217">
      <w:pPr>
        <w:jc w:val="both"/>
        <w:rPr>
          <w:rFonts w:ascii="Arial" w:hAnsi="Arial" w:cs="Arial"/>
          <w:sz w:val="20"/>
          <w:szCs w:val="20"/>
        </w:rPr>
      </w:pPr>
      <w:r w:rsidRPr="00A34217">
        <w:rPr>
          <w:rFonts w:ascii="Arial" w:hAnsi="Arial" w:cs="Arial"/>
          <w:sz w:val="20"/>
          <w:szCs w:val="20"/>
        </w:rPr>
        <w:t>Algoritmo de búsqueda (</w:t>
      </w:r>
      <w:r>
        <w:rPr>
          <w:rFonts w:ascii="Arial" w:hAnsi="Arial" w:cs="Arial"/>
          <w:sz w:val="20"/>
          <w:szCs w:val="20"/>
        </w:rPr>
        <w:t>05</w:t>
      </w:r>
      <w:r w:rsidRPr="00A34217">
        <w:rPr>
          <w:rFonts w:ascii="Arial" w:hAnsi="Arial" w:cs="Arial"/>
          <w:sz w:val="20"/>
          <w:szCs w:val="20"/>
        </w:rPr>
        <w:t>/11/20</w:t>
      </w:r>
      <w:r>
        <w:rPr>
          <w:rFonts w:ascii="Arial" w:hAnsi="Arial" w:cs="Arial"/>
          <w:sz w:val="20"/>
          <w:szCs w:val="20"/>
        </w:rPr>
        <w:t>25</w:t>
      </w:r>
      <w:r w:rsidRPr="00A34217">
        <w:rPr>
          <w:rFonts w:ascii="Arial" w:hAnsi="Arial" w:cs="Arial"/>
          <w:sz w:val="20"/>
          <w:szCs w:val="20"/>
        </w:rPr>
        <w:t xml:space="preserve">): </w:t>
      </w:r>
      <w:r w:rsidRPr="00DF6811">
        <w:rPr>
          <w:rFonts w:ascii="Arial" w:hAnsi="Arial" w:cs="Arial"/>
          <w:i/>
          <w:iCs/>
          <w:sz w:val="20"/>
          <w:szCs w:val="20"/>
        </w:rPr>
        <w:t>Nemolizumab AND Atopic dermatitis AND Phase III</w:t>
      </w:r>
      <w:r w:rsidRPr="00A34217">
        <w:rPr>
          <w:rFonts w:ascii="Arial" w:hAnsi="Arial" w:cs="Arial"/>
          <w:sz w:val="20"/>
          <w:szCs w:val="20"/>
        </w:rPr>
        <w:t xml:space="preserve">. Se obtuvieron </w:t>
      </w:r>
      <w:r>
        <w:rPr>
          <w:rFonts w:ascii="Arial" w:hAnsi="Arial" w:cs="Arial"/>
          <w:sz w:val="20"/>
          <w:szCs w:val="20"/>
        </w:rPr>
        <w:t>4</w:t>
      </w:r>
      <w:r w:rsidRPr="00A34217">
        <w:rPr>
          <w:rFonts w:ascii="Arial" w:hAnsi="Arial" w:cs="Arial"/>
          <w:sz w:val="20"/>
          <w:szCs w:val="20"/>
        </w:rPr>
        <w:t xml:space="preserve"> resultados, de los cuáles se incluyen:</w:t>
      </w:r>
    </w:p>
    <w:p w14:paraId="5068D07C" w14:textId="77777777" w:rsidR="00A34217" w:rsidRPr="00A34217" w:rsidRDefault="00A34217" w:rsidP="00A34217">
      <w:pPr>
        <w:jc w:val="both"/>
        <w:rPr>
          <w:rFonts w:ascii="Arial" w:hAnsi="Arial" w:cs="Arial"/>
          <w:sz w:val="20"/>
          <w:szCs w:val="20"/>
        </w:rPr>
      </w:pPr>
    </w:p>
    <w:p w14:paraId="6012F884" w14:textId="77777777" w:rsidR="00A34217" w:rsidRPr="00A34217" w:rsidRDefault="00A34217">
      <w:pPr>
        <w:numPr>
          <w:ilvl w:val="0"/>
          <w:numId w:val="4"/>
        </w:numPr>
        <w:jc w:val="both"/>
        <w:rPr>
          <w:rFonts w:ascii="Arial" w:hAnsi="Arial" w:cs="Arial"/>
          <w:sz w:val="20"/>
          <w:szCs w:val="20"/>
        </w:rPr>
      </w:pPr>
      <w:r w:rsidRPr="00A34217">
        <w:rPr>
          <w:rFonts w:ascii="Arial" w:hAnsi="Arial" w:cs="Arial"/>
          <w:sz w:val="20"/>
          <w:szCs w:val="20"/>
        </w:rPr>
        <w:t>NCT03985943: Fase 3. Resultados a las 16 semanas ARCADIA 1</w:t>
      </w:r>
    </w:p>
    <w:p w14:paraId="52D4C721" w14:textId="77777777" w:rsidR="00A34217" w:rsidRPr="00A34217" w:rsidRDefault="00A34217">
      <w:pPr>
        <w:numPr>
          <w:ilvl w:val="0"/>
          <w:numId w:val="4"/>
        </w:numPr>
        <w:jc w:val="both"/>
        <w:rPr>
          <w:rFonts w:ascii="Arial" w:hAnsi="Arial" w:cs="Arial"/>
          <w:sz w:val="20"/>
          <w:szCs w:val="20"/>
        </w:rPr>
      </w:pPr>
      <w:r w:rsidRPr="00A34217">
        <w:rPr>
          <w:rFonts w:ascii="Arial" w:hAnsi="Arial" w:cs="Arial"/>
          <w:sz w:val="20"/>
          <w:szCs w:val="20"/>
        </w:rPr>
        <w:t>NCT03989349:</w:t>
      </w:r>
      <w:r>
        <w:rPr>
          <w:rFonts w:ascii="Arial" w:hAnsi="Arial" w:cs="Arial"/>
          <w:b/>
          <w:bCs/>
          <w:sz w:val="20"/>
          <w:szCs w:val="20"/>
        </w:rPr>
        <w:t xml:space="preserve"> </w:t>
      </w:r>
      <w:r w:rsidRPr="00A34217">
        <w:rPr>
          <w:rFonts w:ascii="Arial" w:hAnsi="Arial" w:cs="Arial"/>
          <w:sz w:val="20"/>
          <w:szCs w:val="20"/>
        </w:rPr>
        <w:t xml:space="preserve">Fase 3. Resultados a las 16 semanas </w:t>
      </w:r>
      <w:r>
        <w:rPr>
          <w:rFonts w:ascii="Arial" w:hAnsi="Arial" w:cs="Arial"/>
          <w:sz w:val="20"/>
          <w:szCs w:val="20"/>
        </w:rPr>
        <w:t>ARCADIA 2</w:t>
      </w:r>
    </w:p>
    <w:p w14:paraId="47E81B66" w14:textId="77777777" w:rsidR="00A34217" w:rsidRPr="00A34217" w:rsidRDefault="00A34217" w:rsidP="00A34217">
      <w:pPr>
        <w:jc w:val="both"/>
        <w:rPr>
          <w:rFonts w:ascii="Arial" w:hAnsi="Arial" w:cs="Arial"/>
          <w:sz w:val="20"/>
          <w:szCs w:val="20"/>
        </w:rPr>
      </w:pPr>
    </w:p>
    <w:p w14:paraId="2E6FECCD" w14:textId="77777777" w:rsidR="00A34217" w:rsidRDefault="00A34217" w:rsidP="00A34217">
      <w:pPr>
        <w:jc w:val="both"/>
        <w:rPr>
          <w:rFonts w:ascii="Arial" w:hAnsi="Arial" w:cs="Arial"/>
          <w:sz w:val="20"/>
          <w:szCs w:val="20"/>
        </w:rPr>
      </w:pPr>
      <w:r w:rsidRPr="00A34217">
        <w:rPr>
          <w:rFonts w:ascii="Arial" w:hAnsi="Arial" w:cs="Arial"/>
          <w:sz w:val="20"/>
          <w:szCs w:val="20"/>
        </w:rPr>
        <w:t>Se excluyen:</w:t>
      </w:r>
    </w:p>
    <w:p w14:paraId="16DC38A9" w14:textId="77777777" w:rsidR="00A34217" w:rsidRDefault="00A34217">
      <w:pPr>
        <w:numPr>
          <w:ilvl w:val="0"/>
          <w:numId w:val="4"/>
        </w:numPr>
        <w:jc w:val="both"/>
        <w:rPr>
          <w:rFonts w:ascii="Arial" w:hAnsi="Arial" w:cs="Arial"/>
          <w:sz w:val="20"/>
          <w:szCs w:val="20"/>
        </w:rPr>
      </w:pPr>
      <w:r w:rsidRPr="00A34217">
        <w:rPr>
          <w:rFonts w:ascii="Arial" w:hAnsi="Arial" w:cs="Arial"/>
          <w:sz w:val="20"/>
          <w:szCs w:val="20"/>
        </w:rPr>
        <w:t xml:space="preserve">NCT03989206: Seguridad y eficacia a largo plazo de nemolizumab en la </w:t>
      </w:r>
      <w:r w:rsidR="001F4DCE">
        <w:rPr>
          <w:rFonts w:ascii="Arial" w:hAnsi="Arial" w:cs="Arial"/>
          <w:sz w:val="20"/>
          <w:szCs w:val="20"/>
        </w:rPr>
        <w:t>DA</w:t>
      </w:r>
      <w:r w:rsidRPr="00A34217">
        <w:rPr>
          <w:rFonts w:ascii="Arial" w:hAnsi="Arial" w:cs="Arial"/>
          <w:sz w:val="20"/>
          <w:szCs w:val="20"/>
        </w:rPr>
        <w:t xml:space="preserve"> moderada a grave</w:t>
      </w:r>
      <w:r>
        <w:rPr>
          <w:rFonts w:ascii="Arial" w:hAnsi="Arial" w:cs="Arial"/>
          <w:sz w:val="20"/>
          <w:szCs w:val="20"/>
        </w:rPr>
        <w:t xml:space="preserve">. Activo. Resultados no publicados. </w:t>
      </w:r>
    </w:p>
    <w:p w14:paraId="19766A1D" w14:textId="77777777" w:rsidR="00A34217" w:rsidRPr="00A34217" w:rsidRDefault="00A34217">
      <w:pPr>
        <w:numPr>
          <w:ilvl w:val="0"/>
          <w:numId w:val="4"/>
        </w:numPr>
        <w:jc w:val="both"/>
        <w:rPr>
          <w:rFonts w:ascii="Arial" w:hAnsi="Arial" w:cs="Arial"/>
          <w:sz w:val="20"/>
          <w:szCs w:val="20"/>
        </w:rPr>
      </w:pPr>
      <w:r w:rsidRPr="00A34217">
        <w:rPr>
          <w:rFonts w:ascii="Arial" w:hAnsi="Arial" w:cs="Arial"/>
          <w:sz w:val="20"/>
          <w:szCs w:val="20"/>
        </w:rPr>
        <w:t>NCT05056779:</w:t>
      </w:r>
      <w:r>
        <w:rPr>
          <w:rFonts w:ascii="Arial" w:hAnsi="Arial" w:cs="Arial"/>
          <w:b/>
          <w:bCs/>
          <w:sz w:val="20"/>
          <w:szCs w:val="20"/>
        </w:rPr>
        <w:t xml:space="preserve"> </w:t>
      </w:r>
      <w:r w:rsidRPr="00A34217">
        <w:rPr>
          <w:rFonts w:ascii="Arial" w:hAnsi="Arial" w:cs="Arial"/>
          <w:sz w:val="20"/>
          <w:szCs w:val="20"/>
        </w:rPr>
        <w:t>Eficacia y seguridad de nemolizumab en sujetos con dermatitis atópica moderada a grave con respuesta inadecuada a la ciclosporina A o para quienes no es médicamente recomendable su uso.</w:t>
      </w:r>
      <w:r w:rsidR="00095C04">
        <w:rPr>
          <w:rFonts w:ascii="Arial" w:hAnsi="Arial" w:cs="Arial"/>
          <w:sz w:val="20"/>
          <w:szCs w:val="20"/>
        </w:rPr>
        <w:t xml:space="preserve"> Estudio en curso.</w:t>
      </w:r>
    </w:p>
    <w:p w14:paraId="6ED18F48" w14:textId="77777777" w:rsidR="00BC3E8E" w:rsidRPr="006F6ABB" w:rsidRDefault="00BC3E8E" w:rsidP="00BC3E8E">
      <w:pPr>
        <w:jc w:val="both"/>
        <w:rPr>
          <w:rFonts w:ascii="Arial" w:hAnsi="Arial" w:cs="Arial"/>
          <w:color w:val="000080"/>
          <w:sz w:val="20"/>
          <w:szCs w:val="20"/>
        </w:rPr>
      </w:pPr>
    </w:p>
    <w:p w14:paraId="7872B88F" w14:textId="77777777" w:rsidR="00BC3E8E" w:rsidRPr="006F6ABB" w:rsidRDefault="00BC3E8E" w:rsidP="00BC3E8E">
      <w:pPr>
        <w:rPr>
          <w:rFonts w:ascii="Arial" w:hAnsi="Arial" w:cs="Arial"/>
          <w:color w:val="FF0000"/>
          <w:sz w:val="20"/>
          <w:szCs w:val="20"/>
        </w:rPr>
      </w:pPr>
    </w:p>
    <w:p w14:paraId="641F4C72" w14:textId="77777777"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50" w:name="_Toc344399634"/>
      <w:bookmarkStart w:id="51" w:name="_Toc348931361"/>
      <w:bookmarkStart w:id="52" w:name="_Toc216191084"/>
      <w:r w:rsidRPr="00E3472F">
        <w:rPr>
          <w:rFonts w:cs="Arial"/>
          <w:sz w:val="20"/>
        </w:rPr>
        <w:t>5.1.b Variables utilizadas en los ensayos</w:t>
      </w:r>
      <w:bookmarkEnd w:id="50"/>
      <w:bookmarkEnd w:id="51"/>
      <w:bookmarkEnd w:id="52"/>
      <w:r w:rsidRPr="00E3472F">
        <w:rPr>
          <w:rFonts w:cs="Arial"/>
          <w:sz w:val="20"/>
        </w:rPr>
        <w:t xml:space="preserve"> </w:t>
      </w:r>
    </w:p>
    <w:p w14:paraId="1FC48D0E" w14:textId="77777777" w:rsidR="006E2975" w:rsidRDefault="006E2975" w:rsidP="00BC3E8E">
      <w:pPr>
        <w:autoSpaceDE w:val="0"/>
        <w:autoSpaceDN w:val="0"/>
        <w:adjustRightInd w:val="0"/>
        <w:jc w:val="both"/>
        <w:rPr>
          <w:rFonts w:ascii="Arial" w:hAnsi="Arial" w:cs="Arial"/>
          <w:color w:val="000080"/>
          <w:sz w:val="20"/>
          <w:szCs w:val="20"/>
        </w:rPr>
      </w:pPr>
    </w:p>
    <w:tbl>
      <w:tblPr>
        <w:tblW w:w="9036" w:type="dxa"/>
        <w:tblInd w:w="-7" w:type="dxa"/>
        <w:tblLayout w:type="fixed"/>
        <w:tblCellMar>
          <w:left w:w="98" w:type="dxa"/>
        </w:tblCellMar>
        <w:tblLook w:val="0000" w:firstRow="0" w:lastRow="0" w:firstColumn="0" w:lastColumn="0" w:noHBand="0" w:noVBand="0"/>
      </w:tblPr>
      <w:tblGrid>
        <w:gridCol w:w="1695"/>
        <w:gridCol w:w="2280"/>
        <w:gridCol w:w="3785"/>
        <w:gridCol w:w="1276"/>
      </w:tblGrid>
      <w:tr w:rsidR="006E2975" w14:paraId="238940BD" w14:textId="77777777" w:rsidTr="00D85BAB">
        <w:tc>
          <w:tcPr>
            <w:tcW w:w="9036" w:type="dxa"/>
            <w:gridSpan w:val="4"/>
            <w:tcBorders>
              <w:top w:val="single" w:sz="4" w:space="0" w:color="000001"/>
              <w:left w:val="single" w:sz="4" w:space="0" w:color="000001"/>
              <w:bottom w:val="single" w:sz="4" w:space="0" w:color="000001"/>
              <w:right w:val="single" w:sz="4" w:space="0" w:color="000001"/>
            </w:tcBorders>
            <w:shd w:val="clear" w:color="auto" w:fill="CCFFCC"/>
          </w:tcPr>
          <w:p w14:paraId="52640B2E" w14:textId="77777777" w:rsidR="006E2975" w:rsidRPr="009965DA" w:rsidRDefault="006E2975">
            <w:pPr>
              <w:tabs>
                <w:tab w:val="left" w:pos="2924"/>
              </w:tabs>
              <w:ind w:left="34" w:hanging="34"/>
              <w:rPr>
                <w:b/>
                <w:bCs/>
                <w:sz w:val="28"/>
                <w:szCs w:val="28"/>
              </w:rPr>
            </w:pPr>
            <w:r w:rsidRPr="009965DA">
              <w:rPr>
                <w:rFonts w:ascii="Arial" w:hAnsi="Arial" w:cs="Arial"/>
                <w:b/>
                <w:bCs/>
                <w:color w:val="000000"/>
                <w:sz w:val="18"/>
                <w:szCs w:val="18"/>
              </w:rPr>
              <w:t xml:space="preserve">Tabla nº 4. </w:t>
            </w:r>
          </w:p>
          <w:p w14:paraId="630DCD48" w14:textId="77777777" w:rsidR="006E2975" w:rsidRDefault="006E2975">
            <w:pPr>
              <w:tabs>
                <w:tab w:val="left" w:pos="2924"/>
              </w:tabs>
              <w:ind w:left="34" w:hanging="34"/>
            </w:pPr>
            <w:r w:rsidRPr="009965DA">
              <w:rPr>
                <w:rFonts w:ascii="Arial" w:hAnsi="Arial" w:cs="Arial"/>
                <w:b/>
                <w:bCs/>
                <w:color w:val="000000"/>
                <w:sz w:val="18"/>
                <w:szCs w:val="18"/>
              </w:rPr>
              <w:t>Variables empleadas en el ensayo clínico ARCADIA 1</w:t>
            </w:r>
            <w:r w:rsidR="009965DA" w:rsidRPr="009965DA">
              <w:rPr>
                <w:rFonts w:ascii="Arial" w:hAnsi="Arial" w:cs="Arial"/>
                <w:b/>
                <w:bCs/>
                <w:color w:val="000000"/>
                <w:sz w:val="18"/>
                <w:szCs w:val="18"/>
              </w:rPr>
              <w:t xml:space="preserve"> y 2</w:t>
            </w:r>
          </w:p>
        </w:tc>
      </w:tr>
      <w:tr w:rsidR="006E2975" w14:paraId="4F73BB73" w14:textId="77777777" w:rsidTr="00D85BAB">
        <w:tc>
          <w:tcPr>
            <w:tcW w:w="1695" w:type="dxa"/>
            <w:tcBorders>
              <w:top w:val="single" w:sz="4" w:space="0" w:color="000001"/>
              <w:left w:val="single" w:sz="4" w:space="0" w:color="000001"/>
              <w:bottom w:val="single" w:sz="4" w:space="0" w:color="000001"/>
              <w:right w:val="single" w:sz="4" w:space="0" w:color="000001"/>
            </w:tcBorders>
            <w:shd w:val="clear" w:color="auto" w:fill="D9D9D9"/>
          </w:tcPr>
          <w:p w14:paraId="6385569E" w14:textId="77777777" w:rsidR="006E2975" w:rsidRDefault="006E2975">
            <w:r>
              <w:rPr>
                <w:rFonts w:ascii="Arial" w:hAnsi="Arial" w:cs="Arial"/>
                <w:b/>
                <w:bCs/>
                <w:color w:val="000000"/>
                <w:sz w:val="16"/>
                <w:szCs w:val="16"/>
              </w:rPr>
              <w:t>EFICACIA</w:t>
            </w:r>
          </w:p>
        </w:tc>
        <w:tc>
          <w:tcPr>
            <w:tcW w:w="2280" w:type="dxa"/>
            <w:tcBorders>
              <w:top w:val="single" w:sz="4" w:space="0" w:color="000001"/>
              <w:left w:val="single" w:sz="4" w:space="0" w:color="000001"/>
              <w:bottom w:val="single" w:sz="4" w:space="0" w:color="000001"/>
              <w:right w:val="single" w:sz="4" w:space="0" w:color="000001"/>
            </w:tcBorders>
            <w:shd w:val="clear" w:color="auto" w:fill="D9D9D9"/>
          </w:tcPr>
          <w:p w14:paraId="0D58E1F0" w14:textId="77777777" w:rsidR="006E2975" w:rsidRDefault="006E2975">
            <w:r>
              <w:rPr>
                <w:rFonts w:ascii="Arial" w:hAnsi="Arial" w:cs="Arial"/>
                <w:b/>
                <w:bCs/>
                <w:color w:val="000000"/>
                <w:sz w:val="16"/>
                <w:szCs w:val="16"/>
              </w:rPr>
              <w:t>Enunciado (1)</w:t>
            </w:r>
          </w:p>
        </w:tc>
        <w:tc>
          <w:tcPr>
            <w:tcW w:w="3785" w:type="dxa"/>
            <w:tcBorders>
              <w:top w:val="single" w:sz="4" w:space="0" w:color="000001"/>
              <w:left w:val="single" w:sz="4" w:space="0" w:color="000001"/>
              <w:bottom w:val="single" w:sz="4" w:space="0" w:color="000001"/>
              <w:right w:val="single" w:sz="4" w:space="0" w:color="000001"/>
            </w:tcBorders>
            <w:shd w:val="clear" w:color="auto" w:fill="D9D9D9"/>
          </w:tcPr>
          <w:p w14:paraId="25E0754D" w14:textId="77777777" w:rsidR="006E2975" w:rsidRDefault="006E2975">
            <w:r>
              <w:rPr>
                <w:rFonts w:ascii="Arial" w:hAnsi="Arial" w:cs="Arial"/>
                <w:b/>
                <w:bCs/>
                <w:color w:val="000000"/>
                <w:sz w:val="16"/>
                <w:szCs w:val="16"/>
              </w:rPr>
              <w:t>Descripción (2)</w:t>
            </w:r>
          </w:p>
        </w:tc>
        <w:tc>
          <w:tcPr>
            <w:tcW w:w="1276" w:type="dxa"/>
            <w:tcBorders>
              <w:top w:val="single" w:sz="4" w:space="0" w:color="000001"/>
              <w:left w:val="single" w:sz="4" w:space="0" w:color="000001"/>
              <w:bottom w:val="single" w:sz="4" w:space="0" w:color="000001"/>
              <w:right w:val="single" w:sz="4" w:space="0" w:color="000001"/>
            </w:tcBorders>
            <w:shd w:val="clear" w:color="auto" w:fill="D9D9D9"/>
          </w:tcPr>
          <w:p w14:paraId="2F00DEE5" w14:textId="77777777" w:rsidR="006E2975" w:rsidRDefault="006E2975">
            <w:pPr>
              <w:tabs>
                <w:tab w:val="left" w:pos="2924"/>
              </w:tabs>
              <w:ind w:left="34" w:hanging="34"/>
            </w:pPr>
            <w:r>
              <w:rPr>
                <w:rFonts w:ascii="Arial" w:hAnsi="Arial" w:cs="Arial"/>
                <w:b/>
                <w:bCs/>
                <w:color w:val="000000"/>
                <w:sz w:val="16"/>
                <w:szCs w:val="16"/>
              </w:rPr>
              <w:t xml:space="preserve">Variable intermedia o final (3) </w:t>
            </w:r>
          </w:p>
        </w:tc>
      </w:tr>
      <w:tr w:rsidR="006E2975" w14:paraId="09C8C58C" w14:textId="77777777" w:rsidTr="00D85BAB">
        <w:trPr>
          <w:cantSplit/>
          <w:trHeight w:val="555"/>
        </w:trPr>
        <w:tc>
          <w:tcPr>
            <w:tcW w:w="1695"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14:paraId="25EB16D3" w14:textId="77777777" w:rsidR="006E2975" w:rsidRDefault="006E2975">
            <w:pPr>
              <w:jc w:val="center"/>
            </w:pPr>
            <w:r>
              <w:rPr>
                <w:rFonts w:ascii="Arial" w:hAnsi="Arial" w:cs="Arial"/>
                <w:bCs/>
                <w:color w:val="000000"/>
                <w:sz w:val="16"/>
                <w:szCs w:val="16"/>
              </w:rPr>
              <w:t>Variable principal</w:t>
            </w:r>
          </w:p>
        </w:tc>
        <w:tc>
          <w:tcPr>
            <w:tcW w:w="2280"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14:paraId="46D773A5" w14:textId="77777777" w:rsidR="006E2975" w:rsidRPr="00403E3F" w:rsidRDefault="006E2975">
            <w:pPr>
              <w:snapToGrid w:val="0"/>
              <w:jc w:val="center"/>
            </w:pPr>
            <w:r w:rsidRPr="00403E3F">
              <w:rPr>
                <w:rFonts w:ascii="Arial" w:hAnsi="Arial" w:cs="Arial"/>
                <w:sz w:val="16"/>
                <w:szCs w:val="16"/>
              </w:rPr>
              <w:t xml:space="preserve">Eficacia a las 16 semanas </w:t>
            </w:r>
          </w:p>
          <w:p w14:paraId="527C565C" w14:textId="77777777" w:rsidR="006E2975" w:rsidRPr="00403E3F" w:rsidRDefault="006E2975">
            <w:pPr>
              <w:snapToGrid w:val="0"/>
              <w:jc w:val="center"/>
            </w:pPr>
            <w:r w:rsidRPr="00403E3F">
              <w:rPr>
                <w:rFonts w:ascii="Arial" w:hAnsi="Arial" w:cs="Arial"/>
                <w:sz w:val="16"/>
                <w:szCs w:val="16"/>
              </w:rPr>
              <w:t>(2 covariables primarias)</w:t>
            </w:r>
          </w:p>
        </w:tc>
        <w:tc>
          <w:tcPr>
            <w:tcW w:w="3785" w:type="dxa"/>
            <w:tcBorders>
              <w:top w:val="single" w:sz="4" w:space="0" w:color="000001"/>
              <w:left w:val="single" w:sz="4" w:space="0" w:color="000001"/>
              <w:bottom w:val="single" w:sz="4" w:space="0" w:color="000001"/>
              <w:right w:val="single" w:sz="4" w:space="0" w:color="000001"/>
            </w:tcBorders>
            <w:shd w:val="clear" w:color="auto" w:fill="FFFFFF"/>
          </w:tcPr>
          <w:p w14:paraId="0709E3F6" w14:textId="77777777" w:rsidR="006E2975" w:rsidRPr="00403E3F" w:rsidRDefault="006E2975">
            <w:pPr>
              <w:snapToGrid w:val="0"/>
              <w:spacing w:line="276" w:lineRule="auto"/>
              <w:jc w:val="both"/>
            </w:pPr>
            <w:r w:rsidRPr="00403E3F">
              <w:rPr>
                <w:rFonts w:ascii="Arial" w:hAnsi="Arial" w:cs="Arial"/>
                <w:sz w:val="16"/>
                <w:szCs w:val="16"/>
              </w:rPr>
              <w:t>Proporción de pacientes con IGA 0/1 [0-4] y 2 o más puntos de reducción de IGA a las 16 semanas.</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CCFFCC"/>
            <w:vAlign w:val="center"/>
          </w:tcPr>
          <w:p w14:paraId="217B145C" w14:textId="77777777" w:rsidR="006E2975" w:rsidRDefault="006E2975">
            <w:pPr>
              <w:tabs>
                <w:tab w:val="left" w:pos="2924"/>
              </w:tabs>
              <w:snapToGrid w:val="0"/>
              <w:ind w:left="34"/>
              <w:jc w:val="center"/>
            </w:pPr>
            <w:r>
              <w:rPr>
                <w:rFonts w:ascii="Arial" w:hAnsi="Arial" w:cs="Arial"/>
                <w:color w:val="000000"/>
                <w:sz w:val="16"/>
                <w:szCs w:val="16"/>
              </w:rPr>
              <w:t>Final</w:t>
            </w:r>
          </w:p>
        </w:tc>
      </w:tr>
      <w:tr w:rsidR="006E2975" w14:paraId="533E102C" w14:textId="77777777" w:rsidTr="00D85BAB">
        <w:trPr>
          <w:cantSplit/>
          <w:trHeight w:val="555"/>
        </w:trPr>
        <w:tc>
          <w:tcPr>
            <w:tcW w:w="1695"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14:paraId="764F4135" w14:textId="77777777" w:rsidR="006E2975" w:rsidRDefault="006E2975">
            <w:pPr>
              <w:jc w:val="center"/>
              <w:rPr>
                <w:rFonts w:ascii="Arial" w:hAnsi="Arial" w:cs="Arial"/>
                <w:b/>
                <w:bCs/>
                <w:color w:val="000000"/>
                <w:sz w:val="16"/>
                <w:szCs w:val="16"/>
              </w:rPr>
            </w:pPr>
          </w:p>
        </w:tc>
        <w:tc>
          <w:tcPr>
            <w:tcW w:w="2280"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14:paraId="598574AE" w14:textId="77777777" w:rsidR="006E2975" w:rsidRPr="00403E3F" w:rsidRDefault="006E2975">
            <w:pPr>
              <w:snapToGrid w:val="0"/>
              <w:jc w:val="center"/>
              <w:rPr>
                <w:rFonts w:ascii="Arial" w:hAnsi="Arial" w:cs="Arial"/>
                <w:sz w:val="16"/>
                <w:szCs w:val="16"/>
              </w:rPr>
            </w:pPr>
          </w:p>
        </w:tc>
        <w:tc>
          <w:tcPr>
            <w:tcW w:w="3785" w:type="dxa"/>
            <w:tcBorders>
              <w:top w:val="single" w:sz="4" w:space="0" w:color="000001"/>
              <w:left w:val="single" w:sz="4" w:space="0" w:color="000001"/>
              <w:bottom w:val="single" w:sz="4" w:space="0" w:color="000001"/>
              <w:right w:val="single" w:sz="4" w:space="0" w:color="000001"/>
            </w:tcBorders>
            <w:shd w:val="clear" w:color="auto" w:fill="FFFFFF"/>
          </w:tcPr>
          <w:p w14:paraId="6FDA1CBC" w14:textId="77777777" w:rsidR="006E2975" w:rsidRPr="00403E3F" w:rsidRDefault="006E2975">
            <w:pPr>
              <w:snapToGrid w:val="0"/>
              <w:spacing w:line="276" w:lineRule="auto"/>
              <w:jc w:val="both"/>
            </w:pPr>
            <w:r w:rsidRPr="00403E3F">
              <w:rPr>
                <w:rFonts w:ascii="Arial" w:hAnsi="Arial" w:cs="Arial"/>
                <w:sz w:val="16"/>
                <w:szCs w:val="16"/>
              </w:rPr>
              <w:t>Proporción de pacientes</w:t>
            </w:r>
            <w:r w:rsidRPr="00403E3F">
              <w:t xml:space="preserve"> </w:t>
            </w:r>
            <w:r w:rsidRPr="00403E3F">
              <w:rPr>
                <w:rFonts w:ascii="Arial" w:hAnsi="Arial" w:cs="Arial"/>
                <w:sz w:val="16"/>
                <w:szCs w:val="16"/>
              </w:rPr>
              <w:t>que consiguen un 75% de mejora en EASI (EASI-75) [0-72] a las 16 semanas.</w:t>
            </w:r>
          </w:p>
        </w:tc>
        <w:tc>
          <w:tcPr>
            <w:tcW w:w="1276" w:type="dxa"/>
            <w:vMerge/>
            <w:tcBorders>
              <w:top w:val="single" w:sz="4" w:space="0" w:color="000001"/>
              <w:left w:val="single" w:sz="4" w:space="0" w:color="000001"/>
              <w:bottom w:val="single" w:sz="4" w:space="0" w:color="000001"/>
              <w:right w:val="single" w:sz="4" w:space="0" w:color="000001"/>
            </w:tcBorders>
            <w:shd w:val="clear" w:color="auto" w:fill="CCFFCC"/>
            <w:vAlign w:val="center"/>
          </w:tcPr>
          <w:p w14:paraId="1D8D5D39" w14:textId="77777777" w:rsidR="006E2975" w:rsidRDefault="006E2975">
            <w:pPr>
              <w:tabs>
                <w:tab w:val="left" w:pos="2924"/>
              </w:tabs>
              <w:snapToGrid w:val="0"/>
              <w:ind w:left="34"/>
              <w:jc w:val="center"/>
              <w:rPr>
                <w:rFonts w:ascii="Arial" w:hAnsi="Arial" w:cs="Arial"/>
                <w:color w:val="000000"/>
                <w:sz w:val="16"/>
                <w:szCs w:val="16"/>
              </w:rPr>
            </w:pPr>
          </w:p>
        </w:tc>
      </w:tr>
      <w:tr w:rsidR="006E2975" w14:paraId="3BF07C4A" w14:textId="77777777" w:rsidTr="00D85BAB">
        <w:tc>
          <w:tcPr>
            <w:tcW w:w="169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EFF583B" w14:textId="77777777" w:rsidR="006E2975" w:rsidRDefault="006E2975">
            <w:pPr>
              <w:jc w:val="center"/>
            </w:pPr>
            <w:r>
              <w:rPr>
                <w:rFonts w:ascii="Arial" w:hAnsi="Arial" w:cs="Arial"/>
                <w:color w:val="000000"/>
                <w:sz w:val="16"/>
                <w:szCs w:val="16"/>
              </w:rPr>
              <w:t>Variable secundaria</w:t>
            </w:r>
          </w:p>
        </w:tc>
        <w:tc>
          <w:tcPr>
            <w:tcW w:w="228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4E886A7" w14:textId="77777777" w:rsidR="006E2975" w:rsidRPr="00403E3F" w:rsidRDefault="00403E3F">
            <w:pPr>
              <w:snapToGrid w:val="0"/>
              <w:jc w:val="center"/>
              <w:rPr>
                <w:rFonts w:ascii="Arial" w:hAnsi="Arial" w:cs="Arial"/>
                <w:sz w:val="16"/>
                <w:szCs w:val="16"/>
              </w:rPr>
            </w:pPr>
            <w:r w:rsidRPr="00403E3F">
              <w:rPr>
                <w:rFonts w:ascii="Arial" w:hAnsi="Arial" w:cs="Arial"/>
                <w:sz w:val="16"/>
                <w:szCs w:val="16"/>
              </w:rPr>
              <w:t>IGA y NRS</w:t>
            </w:r>
          </w:p>
        </w:tc>
        <w:tc>
          <w:tcPr>
            <w:tcW w:w="3785" w:type="dxa"/>
            <w:tcBorders>
              <w:top w:val="single" w:sz="4" w:space="0" w:color="000001"/>
              <w:left w:val="single" w:sz="4" w:space="0" w:color="000001"/>
              <w:bottom w:val="single" w:sz="4" w:space="0" w:color="000001"/>
              <w:right w:val="single" w:sz="4" w:space="0" w:color="000001"/>
            </w:tcBorders>
            <w:shd w:val="clear" w:color="auto" w:fill="FFFFFF"/>
          </w:tcPr>
          <w:p w14:paraId="1782AFDA" w14:textId="77777777" w:rsidR="006E2975" w:rsidRPr="00403E3F" w:rsidRDefault="00403E3F">
            <w:pPr>
              <w:snapToGrid w:val="0"/>
              <w:spacing w:line="276" w:lineRule="auto"/>
              <w:jc w:val="both"/>
              <w:rPr>
                <w:rFonts w:ascii="Arial" w:hAnsi="Arial" w:cs="Arial"/>
                <w:sz w:val="16"/>
                <w:szCs w:val="16"/>
              </w:rPr>
            </w:pPr>
            <w:r w:rsidRPr="00403E3F">
              <w:rPr>
                <w:rFonts w:ascii="Arial" w:hAnsi="Arial" w:cs="Arial"/>
                <w:sz w:val="16"/>
                <w:szCs w:val="16"/>
              </w:rPr>
              <w:t>Proporción de sujetos con éxito según la IGA y mejora de la PP NRS ≥4 en la semana 16.</w:t>
            </w:r>
          </w:p>
        </w:tc>
        <w:tc>
          <w:tcPr>
            <w:tcW w:w="1276" w:type="dxa"/>
            <w:tcBorders>
              <w:top w:val="single" w:sz="4" w:space="0" w:color="000001"/>
              <w:left w:val="single" w:sz="4" w:space="0" w:color="000001"/>
              <w:bottom w:val="single" w:sz="4" w:space="0" w:color="000001"/>
              <w:right w:val="single" w:sz="4" w:space="0" w:color="000001"/>
            </w:tcBorders>
            <w:shd w:val="clear" w:color="auto" w:fill="CCFFCC"/>
            <w:vAlign w:val="center"/>
          </w:tcPr>
          <w:p w14:paraId="0BA1095A" w14:textId="77777777" w:rsidR="006E2975" w:rsidRDefault="006E2975">
            <w:pPr>
              <w:tabs>
                <w:tab w:val="left" w:pos="2924"/>
              </w:tabs>
              <w:snapToGrid w:val="0"/>
              <w:ind w:left="34"/>
              <w:jc w:val="center"/>
            </w:pPr>
            <w:r>
              <w:rPr>
                <w:rFonts w:ascii="Arial" w:hAnsi="Arial" w:cs="Arial"/>
                <w:color w:val="000000"/>
                <w:sz w:val="16"/>
                <w:szCs w:val="16"/>
              </w:rPr>
              <w:t>Final</w:t>
            </w:r>
          </w:p>
        </w:tc>
      </w:tr>
      <w:tr w:rsidR="006E2975" w14:paraId="1EDF92DA" w14:textId="77777777" w:rsidTr="00D85BAB">
        <w:tc>
          <w:tcPr>
            <w:tcW w:w="169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3DCFE60" w14:textId="77777777" w:rsidR="006E2975" w:rsidRDefault="006E2975">
            <w:pPr>
              <w:jc w:val="center"/>
            </w:pPr>
            <w:r>
              <w:rPr>
                <w:rFonts w:ascii="Arial" w:hAnsi="Arial" w:cs="Arial"/>
                <w:color w:val="000000"/>
                <w:sz w:val="16"/>
                <w:szCs w:val="16"/>
              </w:rPr>
              <w:t>Variable secundaria</w:t>
            </w:r>
          </w:p>
        </w:tc>
        <w:tc>
          <w:tcPr>
            <w:tcW w:w="228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0175409" w14:textId="77777777" w:rsidR="006E2975" w:rsidRPr="00403E3F" w:rsidRDefault="006E2975">
            <w:pPr>
              <w:snapToGrid w:val="0"/>
              <w:jc w:val="center"/>
            </w:pPr>
            <w:r w:rsidRPr="00403E3F">
              <w:rPr>
                <w:rFonts w:ascii="Arial" w:hAnsi="Arial" w:cs="Arial"/>
                <w:sz w:val="16"/>
                <w:szCs w:val="16"/>
              </w:rPr>
              <w:t xml:space="preserve">EASI 75 </w:t>
            </w:r>
            <w:r w:rsidR="00403E3F" w:rsidRPr="00403E3F">
              <w:rPr>
                <w:rFonts w:ascii="Arial" w:hAnsi="Arial" w:cs="Arial"/>
                <w:sz w:val="16"/>
                <w:szCs w:val="16"/>
              </w:rPr>
              <w:t>y NRS</w:t>
            </w:r>
          </w:p>
        </w:tc>
        <w:tc>
          <w:tcPr>
            <w:tcW w:w="3785" w:type="dxa"/>
            <w:tcBorders>
              <w:top w:val="single" w:sz="4" w:space="0" w:color="000001"/>
              <w:left w:val="single" w:sz="4" w:space="0" w:color="000001"/>
              <w:bottom w:val="single" w:sz="4" w:space="0" w:color="000001"/>
              <w:right w:val="single" w:sz="4" w:space="0" w:color="000001"/>
            </w:tcBorders>
            <w:shd w:val="clear" w:color="auto" w:fill="FFFFFF"/>
          </w:tcPr>
          <w:p w14:paraId="39FFA8B9" w14:textId="77777777" w:rsidR="006E2975" w:rsidRPr="00403E3F" w:rsidRDefault="00403E3F">
            <w:pPr>
              <w:snapToGrid w:val="0"/>
              <w:spacing w:line="276" w:lineRule="auto"/>
              <w:jc w:val="both"/>
            </w:pPr>
            <w:r w:rsidRPr="00403E3F">
              <w:rPr>
                <w:rFonts w:ascii="Arial" w:hAnsi="Arial" w:cs="Arial"/>
                <w:sz w:val="16"/>
                <w:szCs w:val="16"/>
              </w:rPr>
              <w:t>Proporción de sujetos con EASI-75 y mejora de PP NRS ≥4 en la semana 16</w:t>
            </w:r>
          </w:p>
        </w:tc>
        <w:tc>
          <w:tcPr>
            <w:tcW w:w="1276" w:type="dxa"/>
            <w:tcBorders>
              <w:top w:val="single" w:sz="4" w:space="0" w:color="000001"/>
              <w:left w:val="single" w:sz="4" w:space="0" w:color="000001"/>
              <w:bottom w:val="single" w:sz="4" w:space="0" w:color="000001"/>
              <w:right w:val="single" w:sz="4" w:space="0" w:color="000001"/>
            </w:tcBorders>
            <w:shd w:val="clear" w:color="auto" w:fill="CCFFCC"/>
            <w:vAlign w:val="center"/>
          </w:tcPr>
          <w:p w14:paraId="1FF897AD" w14:textId="77777777" w:rsidR="006E2975" w:rsidRDefault="006E2975">
            <w:pPr>
              <w:tabs>
                <w:tab w:val="left" w:pos="2924"/>
              </w:tabs>
              <w:snapToGrid w:val="0"/>
              <w:jc w:val="center"/>
            </w:pPr>
            <w:r>
              <w:rPr>
                <w:rFonts w:ascii="Arial" w:hAnsi="Arial" w:cs="Arial"/>
                <w:color w:val="000000"/>
                <w:sz w:val="16"/>
                <w:szCs w:val="16"/>
              </w:rPr>
              <w:t>Final</w:t>
            </w:r>
          </w:p>
        </w:tc>
      </w:tr>
      <w:tr w:rsidR="006E2975" w14:paraId="1E239A2D" w14:textId="77777777" w:rsidTr="00D85BAB">
        <w:tc>
          <w:tcPr>
            <w:tcW w:w="169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2118838" w14:textId="77777777" w:rsidR="006E2975" w:rsidRDefault="006E2975">
            <w:pPr>
              <w:jc w:val="center"/>
            </w:pPr>
            <w:r>
              <w:rPr>
                <w:rFonts w:ascii="Arial" w:hAnsi="Arial" w:cs="Arial"/>
                <w:color w:val="000000"/>
                <w:sz w:val="16"/>
                <w:szCs w:val="16"/>
              </w:rPr>
              <w:t>Variable secundaria</w:t>
            </w:r>
          </w:p>
        </w:tc>
        <w:tc>
          <w:tcPr>
            <w:tcW w:w="228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5A389B5" w14:textId="77777777" w:rsidR="006E2975" w:rsidRPr="00403E3F" w:rsidRDefault="006E2975">
            <w:pPr>
              <w:snapToGrid w:val="0"/>
              <w:jc w:val="center"/>
            </w:pPr>
            <w:r w:rsidRPr="00403E3F">
              <w:rPr>
                <w:rFonts w:ascii="Arial" w:hAnsi="Arial" w:cs="Arial"/>
                <w:sz w:val="16"/>
                <w:szCs w:val="16"/>
              </w:rPr>
              <w:t>NRS [0-10]</w:t>
            </w:r>
          </w:p>
          <w:p w14:paraId="1DE6DBE5" w14:textId="77777777" w:rsidR="006E2975" w:rsidRPr="00403E3F" w:rsidRDefault="006E2975">
            <w:pPr>
              <w:snapToGrid w:val="0"/>
              <w:jc w:val="center"/>
            </w:pPr>
            <w:r w:rsidRPr="00403E3F">
              <w:rPr>
                <w:rFonts w:ascii="Arial" w:hAnsi="Arial" w:cs="Arial"/>
                <w:sz w:val="16"/>
                <w:szCs w:val="16"/>
              </w:rPr>
              <w:t xml:space="preserve"> (escala numérica de picor)</w:t>
            </w:r>
          </w:p>
        </w:tc>
        <w:tc>
          <w:tcPr>
            <w:tcW w:w="3785" w:type="dxa"/>
            <w:tcBorders>
              <w:top w:val="single" w:sz="4" w:space="0" w:color="000001"/>
              <w:left w:val="single" w:sz="4" w:space="0" w:color="000001"/>
              <w:bottom w:val="single" w:sz="4" w:space="0" w:color="000001"/>
              <w:right w:val="single" w:sz="4" w:space="0" w:color="000001"/>
            </w:tcBorders>
            <w:shd w:val="clear" w:color="auto" w:fill="FFFFFF"/>
          </w:tcPr>
          <w:p w14:paraId="3C8EA367" w14:textId="77777777" w:rsidR="006E2975" w:rsidRPr="00403E3F" w:rsidRDefault="006E2975">
            <w:pPr>
              <w:snapToGrid w:val="0"/>
              <w:spacing w:line="276" w:lineRule="auto"/>
              <w:jc w:val="both"/>
            </w:pPr>
            <w:r w:rsidRPr="00403E3F">
              <w:rPr>
                <w:rFonts w:ascii="Arial" w:hAnsi="Arial" w:cs="Arial"/>
                <w:sz w:val="16"/>
                <w:szCs w:val="16"/>
              </w:rPr>
              <w:t>Proporción de pacientes con mejora en la escala NRS de 4 puntos o más desde el punto de partida a la semana 1, 2, 4, 16.</w:t>
            </w:r>
            <w:r w:rsidR="00403E3F" w:rsidRPr="00403E3F">
              <w:rPr>
                <w:rFonts w:ascii="Arial" w:hAnsi="Arial" w:cs="Arial"/>
                <w:sz w:val="16"/>
                <w:szCs w:val="16"/>
              </w:rPr>
              <w:t xml:space="preserve"> </w:t>
            </w:r>
            <w:r w:rsidRPr="00403E3F">
              <w:rPr>
                <w:rFonts w:ascii="Arial" w:hAnsi="Arial" w:cs="Arial"/>
                <w:sz w:val="16"/>
                <w:szCs w:val="16"/>
              </w:rPr>
              <w:t>Proporción de pacientes con NRS&lt;2 en las semanas 4,16.</w:t>
            </w:r>
          </w:p>
        </w:tc>
        <w:tc>
          <w:tcPr>
            <w:tcW w:w="1276" w:type="dxa"/>
            <w:tcBorders>
              <w:top w:val="single" w:sz="4" w:space="0" w:color="000001"/>
              <w:left w:val="single" w:sz="4" w:space="0" w:color="000001"/>
              <w:bottom w:val="single" w:sz="4" w:space="0" w:color="000001"/>
              <w:right w:val="single" w:sz="4" w:space="0" w:color="000001"/>
            </w:tcBorders>
            <w:shd w:val="clear" w:color="auto" w:fill="CCFFCC"/>
            <w:vAlign w:val="center"/>
          </w:tcPr>
          <w:p w14:paraId="471F7DA2" w14:textId="77777777" w:rsidR="006E2975" w:rsidRPr="00403E3F" w:rsidRDefault="006E2975">
            <w:pPr>
              <w:tabs>
                <w:tab w:val="left" w:pos="2924"/>
              </w:tabs>
              <w:snapToGrid w:val="0"/>
              <w:ind w:left="34"/>
              <w:jc w:val="center"/>
            </w:pPr>
            <w:r w:rsidRPr="00403E3F">
              <w:rPr>
                <w:rFonts w:ascii="Arial" w:hAnsi="Arial" w:cs="Arial"/>
                <w:sz w:val="16"/>
                <w:szCs w:val="16"/>
              </w:rPr>
              <w:t>Final</w:t>
            </w:r>
          </w:p>
        </w:tc>
      </w:tr>
      <w:tr w:rsidR="006E2975" w14:paraId="1C8FE94A" w14:textId="77777777" w:rsidTr="00D85BAB">
        <w:tc>
          <w:tcPr>
            <w:tcW w:w="169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6DE8085" w14:textId="77777777" w:rsidR="006E2975" w:rsidRDefault="006E2975">
            <w:pPr>
              <w:jc w:val="center"/>
            </w:pPr>
            <w:r>
              <w:rPr>
                <w:rFonts w:ascii="Arial" w:hAnsi="Arial" w:cs="Arial"/>
                <w:color w:val="000000"/>
                <w:sz w:val="16"/>
                <w:szCs w:val="16"/>
              </w:rPr>
              <w:t>Variable secundaria</w:t>
            </w:r>
          </w:p>
        </w:tc>
        <w:tc>
          <w:tcPr>
            <w:tcW w:w="228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0F555CB" w14:textId="77777777" w:rsidR="006E2975" w:rsidRPr="00403E3F" w:rsidRDefault="001F4DCE" w:rsidP="00403E3F">
            <w:pPr>
              <w:snapToGrid w:val="0"/>
            </w:pPr>
            <w:r>
              <w:rPr>
                <w:rFonts w:ascii="Arial" w:hAnsi="Arial" w:cs="Arial"/>
                <w:sz w:val="16"/>
                <w:szCs w:val="16"/>
              </w:rPr>
              <w:t>SD-</w:t>
            </w:r>
            <w:r w:rsidR="00403E3F" w:rsidRPr="00403E3F">
              <w:rPr>
                <w:rFonts w:ascii="Arial" w:hAnsi="Arial" w:cs="Arial"/>
                <w:sz w:val="16"/>
                <w:szCs w:val="16"/>
              </w:rPr>
              <w:t>NRS en trastornos del sueño</w:t>
            </w:r>
          </w:p>
        </w:tc>
        <w:tc>
          <w:tcPr>
            <w:tcW w:w="3785" w:type="dxa"/>
            <w:tcBorders>
              <w:top w:val="single" w:sz="4" w:space="0" w:color="000001"/>
              <w:left w:val="single" w:sz="4" w:space="0" w:color="000001"/>
              <w:bottom w:val="single" w:sz="4" w:space="0" w:color="000001"/>
              <w:right w:val="single" w:sz="4" w:space="0" w:color="000001"/>
            </w:tcBorders>
            <w:shd w:val="clear" w:color="auto" w:fill="FFFFFF"/>
          </w:tcPr>
          <w:p w14:paraId="4EE920AA" w14:textId="77777777" w:rsidR="006E2975" w:rsidRPr="00403E3F" w:rsidRDefault="00403E3F">
            <w:pPr>
              <w:snapToGrid w:val="0"/>
              <w:spacing w:line="276" w:lineRule="auto"/>
              <w:jc w:val="both"/>
            </w:pPr>
            <w:r w:rsidRPr="00403E3F">
              <w:rPr>
                <w:rFonts w:ascii="Arial" w:hAnsi="Arial" w:cs="Arial"/>
                <w:sz w:val="16"/>
                <w:szCs w:val="16"/>
              </w:rPr>
              <w:t>Proporción de sujetos con una mejora de la puntuación NRS (SD NRS) ≥4 en la semana 16 en los trastornos del sueño.</w:t>
            </w:r>
          </w:p>
        </w:tc>
        <w:tc>
          <w:tcPr>
            <w:tcW w:w="1276" w:type="dxa"/>
            <w:tcBorders>
              <w:top w:val="single" w:sz="4" w:space="0" w:color="000001"/>
              <w:left w:val="single" w:sz="4" w:space="0" w:color="000001"/>
              <w:bottom w:val="single" w:sz="4" w:space="0" w:color="000001"/>
              <w:right w:val="single" w:sz="4" w:space="0" w:color="000001"/>
            </w:tcBorders>
            <w:shd w:val="clear" w:color="auto" w:fill="CCFFCC"/>
            <w:vAlign w:val="center"/>
          </w:tcPr>
          <w:p w14:paraId="60970461" w14:textId="77777777" w:rsidR="006E2975" w:rsidRDefault="00547734">
            <w:pPr>
              <w:tabs>
                <w:tab w:val="left" w:pos="2924"/>
              </w:tabs>
              <w:snapToGrid w:val="0"/>
              <w:ind w:left="34"/>
              <w:jc w:val="center"/>
            </w:pPr>
            <w:r w:rsidRPr="00547734">
              <w:rPr>
                <w:rFonts w:ascii="Arial" w:hAnsi="Arial" w:cs="Arial"/>
                <w:sz w:val="16"/>
                <w:szCs w:val="16"/>
              </w:rPr>
              <w:t>Final</w:t>
            </w:r>
          </w:p>
        </w:tc>
      </w:tr>
      <w:tr w:rsidR="00D85BAB" w:rsidRPr="00D85BAB" w14:paraId="4939FDC3" w14:textId="77777777" w:rsidTr="00D85BAB">
        <w:tc>
          <w:tcPr>
            <w:tcW w:w="169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7F56C83" w14:textId="77777777" w:rsidR="00D85BAB" w:rsidRPr="00547734" w:rsidRDefault="00D85BAB" w:rsidP="00D85BAB">
            <w:pPr>
              <w:jc w:val="center"/>
            </w:pPr>
            <w:r w:rsidRPr="00D85BAB">
              <w:rPr>
                <w:rFonts w:ascii="Arial" w:hAnsi="Arial" w:cs="Arial"/>
                <w:sz w:val="16"/>
                <w:szCs w:val="16"/>
              </w:rPr>
              <w:t>Otras variables secundarias</w:t>
            </w:r>
          </w:p>
        </w:tc>
        <w:tc>
          <w:tcPr>
            <w:tcW w:w="228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D50B301" w14:textId="77777777" w:rsidR="00D85BAB" w:rsidRDefault="00D85BAB" w:rsidP="00D85BAB">
            <w:pPr>
              <w:snapToGrid w:val="0"/>
              <w:jc w:val="center"/>
            </w:pPr>
            <w:r>
              <w:t>-</w:t>
            </w:r>
          </w:p>
        </w:tc>
        <w:tc>
          <w:tcPr>
            <w:tcW w:w="378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BF03044" w14:textId="77777777" w:rsidR="00B12ED7" w:rsidRDefault="00B12ED7" w:rsidP="00D85BAB">
            <w:pPr>
              <w:snapToGrid w:val="0"/>
              <w:rPr>
                <w:rFonts w:ascii="Arial" w:hAnsi="Arial" w:cs="Arial"/>
                <w:sz w:val="16"/>
                <w:szCs w:val="16"/>
              </w:rPr>
            </w:pPr>
            <w:r>
              <w:rPr>
                <w:rFonts w:ascii="Arial" w:hAnsi="Arial" w:cs="Arial"/>
                <w:sz w:val="16"/>
                <w:szCs w:val="16"/>
              </w:rPr>
              <w:t>-</w:t>
            </w:r>
            <w:r w:rsidRPr="00B12ED7">
              <w:rPr>
                <w:rFonts w:ascii="Arial" w:hAnsi="Arial" w:cs="Arial"/>
                <w:sz w:val="16"/>
                <w:szCs w:val="16"/>
              </w:rPr>
              <w:t>Proporción de sujetos con éxito en el IGA, y una mejoría ≥ 2 puntos desde el valor basal, en la semana 4.</w:t>
            </w:r>
          </w:p>
          <w:p w14:paraId="687860C4" w14:textId="77777777" w:rsidR="00D85BAB" w:rsidRPr="00D85BAB" w:rsidRDefault="00D85BAB" w:rsidP="00D85BAB">
            <w:pPr>
              <w:snapToGrid w:val="0"/>
              <w:rPr>
                <w:rFonts w:ascii="Arial" w:hAnsi="Arial" w:cs="Arial"/>
                <w:sz w:val="16"/>
                <w:szCs w:val="16"/>
              </w:rPr>
            </w:pPr>
            <w:r w:rsidRPr="00D85BAB">
              <w:rPr>
                <w:rFonts w:ascii="Arial" w:hAnsi="Arial" w:cs="Arial"/>
                <w:sz w:val="16"/>
                <w:szCs w:val="16"/>
              </w:rPr>
              <w:t>-Porcentaje de cambio desde el valor basal en PP NRS a la semana 16.</w:t>
            </w:r>
          </w:p>
          <w:p w14:paraId="6D2524A7" w14:textId="77777777" w:rsidR="00D85BAB" w:rsidRPr="00D85BAB" w:rsidRDefault="00D85BAB" w:rsidP="00D85BAB">
            <w:pPr>
              <w:snapToGrid w:val="0"/>
              <w:rPr>
                <w:rFonts w:ascii="Arial" w:hAnsi="Arial" w:cs="Arial"/>
                <w:sz w:val="16"/>
                <w:szCs w:val="16"/>
              </w:rPr>
            </w:pPr>
            <w:r w:rsidRPr="00D85BAB">
              <w:rPr>
                <w:rFonts w:ascii="Arial" w:hAnsi="Arial" w:cs="Arial"/>
                <w:sz w:val="16"/>
                <w:szCs w:val="16"/>
              </w:rPr>
              <w:t>-Porcentaje de cambio desde el valor basal en la SD NRS a la semana 16.</w:t>
            </w:r>
          </w:p>
          <w:p w14:paraId="44FC189F" w14:textId="77777777" w:rsidR="00D85BAB" w:rsidRPr="00D85BAB" w:rsidRDefault="00D85BAB" w:rsidP="00D85BAB">
            <w:pPr>
              <w:snapToGrid w:val="0"/>
              <w:rPr>
                <w:rFonts w:ascii="Arial" w:hAnsi="Arial" w:cs="Arial"/>
                <w:sz w:val="16"/>
                <w:szCs w:val="16"/>
              </w:rPr>
            </w:pPr>
            <w:r w:rsidRPr="00D85BAB">
              <w:rPr>
                <w:rFonts w:ascii="Arial" w:hAnsi="Arial" w:cs="Arial"/>
                <w:sz w:val="16"/>
                <w:szCs w:val="16"/>
              </w:rPr>
              <w:t>-Cambio desde el valor basal en el DLQI en la semana 4, 16.</w:t>
            </w:r>
          </w:p>
          <w:p w14:paraId="164972A4" w14:textId="77777777" w:rsidR="00D85BAB" w:rsidRPr="00D85BAB" w:rsidRDefault="00D85BAB" w:rsidP="00D85BAB">
            <w:pPr>
              <w:snapToGrid w:val="0"/>
              <w:spacing w:line="276" w:lineRule="auto"/>
            </w:pPr>
            <w:r w:rsidRPr="00D85BAB">
              <w:rPr>
                <w:rFonts w:ascii="Arial" w:hAnsi="Arial" w:cs="Arial"/>
                <w:sz w:val="16"/>
                <w:szCs w:val="16"/>
              </w:rPr>
              <w:t>-Proporción de sujetos con una mejoría ≥ 4 puntos en el DLQI en la semana 4, 16</w:t>
            </w:r>
          </w:p>
        </w:tc>
        <w:tc>
          <w:tcPr>
            <w:tcW w:w="1276" w:type="dxa"/>
            <w:tcBorders>
              <w:top w:val="single" w:sz="4" w:space="0" w:color="000001"/>
              <w:left w:val="single" w:sz="4" w:space="0" w:color="000001"/>
              <w:bottom w:val="single" w:sz="4" w:space="0" w:color="000001"/>
              <w:right w:val="single" w:sz="4" w:space="0" w:color="000001"/>
            </w:tcBorders>
            <w:shd w:val="clear" w:color="auto" w:fill="CCFFCC"/>
            <w:vAlign w:val="center"/>
          </w:tcPr>
          <w:p w14:paraId="1ABFC01E" w14:textId="77777777" w:rsidR="00D85BAB" w:rsidRPr="00D85BAB" w:rsidRDefault="00D85BAB" w:rsidP="00D85BAB">
            <w:pPr>
              <w:tabs>
                <w:tab w:val="left" w:pos="2924"/>
              </w:tabs>
              <w:snapToGrid w:val="0"/>
              <w:ind w:left="34"/>
              <w:jc w:val="center"/>
              <w:rPr>
                <w:rFonts w:ascii="Arial" w:hAnsi="Arial" w:cs="Arial"/>
                <w:sz w:val="16"/>
                <w:szCs w:val="16"/>
              </w:rPr>
            </w:pPr>
            <w:r w:rsidRPr="00D85BAB">
              <w:rPr>
                <w:rFonts w:ascii="Arial" w:hAnsi="Arial" w:cs="Arial"/>
                <w:sz w:val="16"/>
                <w:szCs w:val="16"/>
              </w:rPr>
              <w:t>Finales</w:t>
            </w:r>
          </w:p>
        </w:tc>
      </w:tr>
      <w:tr w:rsidR="00D85BAB" w14:paraId="679BCB19" w14:textId="77777777" w:rsidTr="00D85BAB">
        <w:tc>
          <w:tcPr>
            <w:tcW w:w="1695" w:type="dxa"/>
            <w:tcBorders>
              <w:top w:val="single" w:sz="4" w:space="0" w:color="000001"/>
              <w:left w:val="single" w:sz="4" w:space="0" w:color="000001"/>
              <w:bottom w:val="single" w:sz="4" w:space="0" w:color="000001"/>
              <w:right w:val="single" w:sz="4" w:space="0" w:color="000001"/>
            </w:tcBorders>
            <w:shd w:val="clear" w:color="auto" w:fill="D9D9D9"/>
          </w:tcPr>
          <w:p w14:paraId="50C90AE3" w14:textId="77777777" w:rsidR="00D85BAB" w:rsidRDefault="00D85BAB" w:rsidP="00D85BAB">
            <w:r>
              <w:rPr>
                <w:rFonts w:ascii="Arial" w:hAnsi="Arial" w:cs="Arial"/>
                <w:b/>
                <w:bCs/>
                <w:color w:val="000000"/>
                <w:sz w:val="16"/>
                <w:szCs w:val="16"/>
              </w:rPr>
              <w:t>SEGURIDAD</w:t>
            </w:r>
          </w:p>
        </w:tc>
        <w:tc>
          <w:tcPr>
            <w:tcW w:w="2280" w:type="dxa"/>
            <w:tcBorders>
              <w:top w:val="single" w:sz="4" w:space="0" w:color="000001"/>
              <w:left w:val="single" w:sz="4" w:space="0" w:color="000001"/>
              <w:bottom w:val="single" w:sz="4" w:space="0" w:color="000001"/>
              <w:right w:val="single" w:sz="4" w:space="0" w:color="000001"/>
            </w:tcBorders>
            <w:shd w:val="clear" w:color="auto" w:fill="D9D9D9"/>
          </w:tcPr>
          <w:p w14:paraId="4BB399A1" w14:textId="77777777" w:rsidR="00D85BAB" w:rsidRDefault="00D85BAB" w:rsidP="00D85BAB">
            <w:r>
              <w:rPr>
                <w:rFonts w:ascii="Arial" w:hAnsi="Arial" w:cs="Arial"/>
                <w:b/>
                <w:bCs/>
                <w:color w:val="000000"/>
                <w:sz w:val="16"/>
                <w:szCs w:val="16"/>
              </w:rPr>
              <w:t>Enunciado</w:t>
            </w:r>
          </w:p>
          <w:p w14:paraId="4419964C" w14:textId="77777777" w:rsidR="00D85BAB" w:rsidRDefault="00D85BAB" w:rsidP="00D85BAB">
            <w:r>
              <w:rPr>
                <w:rFonts w:ascii="Arial" w:hAnsi="Arial" w:cs="Arial"/>
                <w:b/>
                <w:bCs/>
                <w:color w:val="000000"/>
                <w:sz w:val="16"/>
                <w:szCs w:val="16"/>
              </w:rPr>
              <w:t>(1)</w:t>
            </w:r>
          </w:p>
        </w:tc>
        <w:tc>
          <w:tcPr>
            <w:tcW w:w="3785" w:type="dxa"/>
            <w:tcBorders>
              <w:top w:val="single" w:sz="4" w:space="0" w:color="000001"/>
              <w:left w:val="single" w:sz="4" w:space="0" w:color="000001"/>
              <w:bottom w:val="single" w:sz="4" w:space="0" w:color="000001"/>
              <w:right w:val="single" w:sz="4" w:space="0" w:color="000001"/>
            </w:tcBorders>
            <w:shd w:val="clear" w:color="auto" w:fill="D9D9D9"/>
          </w:tcPr>
          <w:p w14:paraId="24A7AF2A" w14:textId="77777777" w:rsidR="00D85BAB" w:rsidRDefault="00D85BAB" w:rsidP="00D85BAB">
            <w:r>
              <w:rPr>
                <w:rFonts w:ascii="Arial" w:hAnsi="Arial" w:cs="Arial"/>
                <w:b/>
                <w:bCs/>
                <w:color w:val="000000"/>
                <w:sz w:val="16"/>
                <w:szCs w:val="16"/>
              </w:rPr>
              <w:t xml:space="preserve">Descripción (2) </w:t>
            </w:r>
          </w:p>
        </w:tc>
        <w:tc>
          <w:tcPr>
            <w:tcW w:w="1276" w:type="dxa"/>
            <w:tcBorders>
              <w:top w:val="single" w:sz="4" w:space="0" w:color="000001"/>
              <w:left w:val="single" w:sz="4" w:space="0" w:color="000001"/>
              <w:bottom w:val="single" w:sz="4" w:space="0" w:color="000001"/>
              <w:right w:val="single" w:sz="4" w:space="0" w:color="000001"/>
            </w:tcBorders>
            <w:shd w:val="clear" w:color="auto" w:fill="D9D9D9"/>
          </w:tcPr>
          <w:p w14:paraId="4FF791A8" w14:textId="77777777" w:rsidR="00D85BAB" w:rsidRDefault="00D85BAB" w:rsidP="00D85BAB">
            <w:pPr>
              <w:tabs>
                <w:tab w:val="left" w:pos="2924"/>
              </w:tabs>
              <w:ind w:left="34"/>
            </w:pPr>
            <w:r>
              <w:rPr>
                <w:rFonts w:ascii="Arial" w:hAnsi="Arial" w:cs="Arial"/>
                <w:b/>
                <w:bCs/>
                <w:color w:val="000000"/>
                <w:sz w:val="16"/>
                <w:szCs w:val="16"/>
              </w:rPr>
              <w:t>Variable intermedia o final (3)</w:t>
            </w:r>
          </w:p>
        </w:tc>
      </w:tr>
      <w:tr w:rsidR="00D85BAB" w14:paraId="2D004374" w14:textId="77777777" w:rsidTr="00D85BAB">
        <w:tc>
          <w:tcPr>
            <w:tcW w:w="169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ECB5B97" w14:textId="77777777" w:rsidR="00D85BAB" w:rsidRPr="006E4B26" w:rsidRDefault="00D85BAB" w:rsidP="00D85BAB">
            <w:pPr>
              <w:jc w:val="center"/>
            </w:pPr>
            <w:r w:rsidRPr="006E4B26">
              <w:rPr>
                <w:rFonts w:ascii="Arial" w:hAnsi="Arial" w:cs="Arial"/>
                <w:bCs/>
                <w:sz w:val="16"/>
                <w:szCs w:val="16"/>
              </w:rPr>
              <w:t>Variable principal</w:t>
            </w:r>
          </w:p>
        </w:tc>
        <w:tc>
          <w:tcPr>
            <w:tcW w:w="228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A85A412" w14:textId="77777777" w:rsidR="00D85BAB" w:rsidRPr="006E4B26" w:rsidRDefault="00D85BAB" w:rsidP="00D85BAB">
            <w:pPr>
              <w:snapToGrid w:val="0"/>
              <w:jc w:val="center"/>
            </w:pPr>
            <w:r w:rsidRPr="006E4B26">
              <w:rPr>
                <w:rFonts w:ascii="Arial" w:hAnsi="Arial" w:cs="Arial"/>
                <w:sz w:val="16"/>
                <w:szCs w:val="16"/>
              </w:rPr>
              <w:t>Tasa de efectos adversos</w:t>
            </w:r>
          </w:p>
        </w:tc>
        <w:tc>
          <w:tcPr>
            <w:tcW w:w="3785" w:type="dxa"/>
            <w:tcBorders>
              <w:top w:val="single" w:sz="4" w:space="0" w:color="000001"/>
              <w:left w:val="single" w:sz="4" w:space="0" w:color="000001"/>
              <w:bottom w:val="single" w:sz="4" w:space="0" w:color="000001"/>
              <w:right w:val="single" w:sz="4" w:space="0" w:color="000001"/>
            </w:tcBorders>
            <w:shd w:val="clear" w:color="auto" w:fill="FFFFFF"/>
          </w:tcPr>
          <w:p w14:paraId="33F415D0" w14:textId="77777777" w:rsidR="00D85BAB" w:rsidRPr="0087183F" w:rsidRDefault="00D85BAB" w:rsidP="00D85BAB">
            <w:pPr>
              <w:snapToGrid w:val="0"/>
              <w:spacing w:line="276" w:lineRule="auto"/>
              <w:jc w:val="both"/>
              <w:rPr>
                <w:color w:val="000000"/>
              </w:rPr>
            </w:pPr>
            <w:r w:rsidRPr="0087183F">
              <w:rPr>
                <w:rFonts w:ascii="Arial" w:hAnsi="Arial" w:cs="Arial"/>
                <w:color w:val="000000"/>
                <w:sz w:val="16"/>
                <w:szCs w:val="16"/>
              </w:rPr>
              <w:t xml:space="preserve">Efectos adversos (codificados usando el Medical Dictionary for Regulatory Activities, MedDRA, versión </w:t>
            </w:r>
            <w:r w:rsidR="004F307D" w:rsidRPr="0087183F">
              <w:rPr>
                <w:rFonts w:ascii="Arial" w:hAnsi="Arial" w:cs="Arial"/>
                <w:color w:val="000000"/>
                <w:sz w:val="16"/>
                <w:szCs w:val="16"/>
              </w:rPr>
              <w:t>25</w:t>
            </w:r>
            <w:r w:rsidRPr="0087183F">
              <w:rPr>
                <w:rFonts w:ascii="Arial" w:hAnsi="Arial" w:cs="Arial"/>
                <w:color w:val="000000"/>
                <w:sz w:val="16"/>
                <w:szCs w:val="16"/>
              </w:rPr>
              <w:t xml:space="preserve">,0), efectos adversos graves, </w:t>
            </w:r>
            <w:r w:rsidR="001F4DCE" w:rsidRPr="0087183F">
              <w:rPr>
                <w:rFonts w:ascii="Arial" w:hAnsi="Arial" w:cs="Arial"/>
                <w:color w:val="000000"/>
                <w:sz w:val="16"/>
                <w:szCs w:val="16"/>
              </w:rPr>
              <w:t xml:space="preserve">efectos adversos de especial interés. </w:t>
            </w:r>
          </w:p>
        </w:tc>
        <w:tc>
          <w:tcPr>
            <w:tcW w:w="1276" w:type="dxa"/>
            <w:tcBorders>
              <w:top w:val="single" w:sz="4" w:space="0" w:color="000001"/>
              <w:left w:val="single" w:sz="4" w:space="0" w:color="000001"/>
              <w:bottom w:val="single" w:sz="4" w:space="0" w:color="000001"/>
              <w:right w:val="single" w:sz="4" w:space="0" w:color="000001"/>
            </w:tcBorders>
            <w:shd w:val="clear" w:color="auto" w:fill="CCFFCC"/>
            <w:vAlign w:val="center"/>
          </w:tcPr>
          <w:p w14:paraId="35F5AD25" w14:textId="77777777" w:rsidR="00D85BAB" w:rsidRPr="0087183F" w:rsidRDefault="00D85BAB" w:rsidP="00D85BAB">
            <w:pPr>
              <w:snapToGrid w:val="0"/>
              <w:jc w:val="center"/>
              <w:rPr>
                <w:color w:val="000000"/>
              </w:rPr>
            </w:pPr>
            <w:r w:rsidRPr="0087183F">
              <w:rPr>
                <w:rFonts w:ascii="Arial" w:hAnsi="Arial" w:cs="Arial"/>
                <w:color w:val="000000"/>
                <w:sz w:val="16"/>
                <w:szCs w:val="16"/>
              </w:rPr>
              <w:t>Final</w:t>
            </w:r>
          </w:p>
        </w:tc>
      </w:tr>
      <w:tr w:rsidR="00D85BAB" w14:paraId="6CF5EBC1" w14:textId="77777777" w:rsidTr="00D85BAB">
        <w:tc>
          <w:tcPr>
            <w:tcW w:w="9036" w:type="dxa"/>
            <w:gridSpan w:val="4"/>
            <w:tcBorders>
              <w:top w:val="single" w:sz="4" w:space="0" w:color="000001"/>
              <w:left w:val="single" w:sz="4" w:space="0" w:color="000001"/>
              <w:bottom w:val="single" w:sz="4" w:space="0" w:color="000001"/>
              <w:right w:val="single" w:sz="4" w:space="0" w:color="000001"/>
            </w:tcBorders>
            <w:shd w:val="clear" w:color="auto" w:fill="FFFFFF"/>
          </w:tcPr>
          <w:p w14:paraId="7E2878E7" w14:textId="77777777" w:rsidR="00D85BAB" w:rsidRDefault="00D85BAB" w:rsidP="00D85BAB">
            <w:r>
              <w:rPr>
                <w:rFonts w:ascii="Arial" w:hAnsi="Arial" w:cs="Arial"/>
                <w:color w:val="000080"/>
                <w:sz w:val="16"/>
                <w:szCs w:val="16"/>
              </w:rPr>
              <w:t>(1) Definición abreviada de la variable (nombre que ha recibido en el ensayo)</w:t>
            </w:r>
          </w:p>
          <w:p w14:paraId="71B325DC" w14:textId="77777777" w:rsidR="00D85BAB" w:rsidRDefault="00D85BAB" w:rsidP="00D85BAB">
            <w:r>
              <w:rPr>
                <w:rFonts w:ascii="Arial" w:hAnsi="Arial" w:cs="Arial"/>
                <w:color w:val="000080"/>
                <w:sz w:val="16"/>
                <w:szCs w:val="16"/>
              </w:rPr>
              <w:t>(2)  Descripción detallada de la variable. En caso de expresarse en escalas de puntuación numéricas es importante indicar la extensión (ej. escala de 1 a 100). Si se expresa en categorías, indicar el número de categorías</w:t>
            </w:r>
          </w:p>
          <w:p w14:paraId="00C05127" w14:textId="77777777" w:rsidR="00D85BAB" w:rsidRDefault="00D85BAB" w:rsidP="00D85BAB">
            <w:r>
              <w:rPr>
                <w:rFonts w:ascii="Arial" w:hAnsi="Arial" w:cs="Arial"/>
                <w:color w:val="000080"/>
                <w:sz w:val="16"/>
                <w:szCs w:val="16"/>
              </w:rPr>
              <w:t xml:space="preserve">(3)   En caso de ser intermedia definir si es predictiva, no predictiva, parcialmente predictiva o desconocida. </w:t>
            </w:r>
          </w:p>
        </w:tc>
      </w:tr>
    </w:tbl>
    <w:p w14:paraId="316239DC" w14:textId="77777777" w:rsidR="006E2975" w:rsidRPr="006F6ABB" w:rsidRDefault="006E2975" w:rsidP="00BC3E8E">
      <w:pPr>
        <w:autoSpaceDE w:val="0"/>
        <w:autoSpaceDN w:val="0"/>
        <w:adjustRightInd w:val="0"/>
        <w:jc w:val="both"/>
        <w:rPr>
          <w:rFonts w:ascii="Arial" w:hAnsi="Arial" w:cs="Arial"/>
          <w:color w:val="000080"/>
          <w:sz w:val="20"/>
          <w:szCs w:val="20"/>
        </w:rPr>
      </w:pPr>
    </w:p>
    <w:p w14:paraId="20527DC6" w14:textId="77777777" w:rsidR="00BC3E8E" w:rsidRPr="006F6ABB" w:rsidRDefault="00BC3E8E" w:rsidP="00BC3E8E">
      <w:pPr>
        <w:jc w:val="right"/>
        <w:rPr>
          <w:rFonts w:ascii="Arial" w:hAnsi="Arial" w:cs="Arial"/>
          <w:color w:val="0000FF"/>
          <w:sz w:val="20"/>
          <w:szCs w:val="20"/>
          <w:u w:val="single"/>
        </w:rPr>
      </w:pPr>
    </w:p>
    <w:p w14:paraId="17AFC809"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53" w:name="_Toc344399635"/>
      <w:bookmarkStart w:id="54" w:name="_Toc348931362"/>
      <w:bookmarkStart w:id="55" w:name="_Toc216191085"/>
      <w:r w:rsidRPr="00E3472F">
        <w:rPr>
          <w:rFonts w:cs="Arial"/>
          <w:sz w:val="20"/>
        </w:rPr>
        <w:t>5.2.a Resultados de los ensayos clínicos</w:t>
      </w:r>
      <w:bookmarkEnd w:id="53"/>
      <w:bookmarkEnd w:id="54"/>
      <w:bookmarkEnd w:id="55"/>
      <w:r w:rsidRPr="00E3472F">
        <w:rPr>
          <w:rFonts w:cs="Arial"/>
          <w:sz w:val="20"/>
        </w:rPr>
        <w:t xml:space="preserve"> </w:t>
      </w:r>
    </w:p>
    <w:p w14:paraId="4D99B019" w14:textId="77777777" w:rsidR="00BC3E8E" w:rsidRPr="006F6ABB" w:rsidRDefault="00BC3E8E" w:rsidP="00BC3E8E">
      <w:pPr>
        <w:jc w:val="both"/>
        <w:rPr>
          <w:rFonts w:ascii="Arial" w:hAnsi="Arial" w:cs="Arial"/>
          <w:b/>
          <w:bCs/>
          <w:color w:val="0000FF"/>
          <w:sz w:val="18"/>
          <w:szCs w:val="18"/>
        </w:rPr>
      </w:pPr>
    </w:p>
    <w:p w14:paraId="1C059D14" w14:textId="77777777" w:rsidR="00BC3E8E" w:rsidRPr="006F6ABB" w:rsidRDefault="00BC3E8E" w:rsidP="00BC3E8E">
      <w:pPr>
        <w:jc w:val="both"/>
        <w:rPr>
          <w:rFonts w:ascii="Arial" w:hAnsi="Arial" w:cs="Arial"/>
          <w:b/>
          <w:bCs/>
          <w:color w:val="00008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16F58EC2" w14:textId="77777777" w:rsidTr="00BC3E8E">
        <w:tc>
          <w:tcPr>
            <w:tcW w:w="8890" w:type="dxa"/>
            <w:shd w:val="clear" w:color="auto" w:fill="CCFFCC"/>
          </w:tcPr>
          <w:p w14:paraId="1E67D49F" w14:textId="77777777" w:rsidR="00402679" w:rsidRDefault="00BC3E8E" w:rsidP="00402679">
            <w:pPr>
              <w:rPr>
                <w:rFonts w:ascii="Arial" w:hAnsi="Arial" w:cs="Arial"/>
                <w:b/>
                <w:bCs/>
                <w:sz w:val="20"/>
                <w:szCs w:val="20"/>
              </w:rPr>
            </w:pPr>
            <w:r w:rsidRPr="006F6ABB">
              <w:rPr>
                <w:rFonts w:ascii="Arial" w:hAnsi="Arial" w:cs="Arial"/>
                <w:b/>
                <w:i/>
                <w:sz w:val="20"/>
                <w:szCs w:val="20"/>
                <w:lang w:val="es-ES_tradnl"/>
              </w:rPr>
              <w:t xml:space="preserve">Tabla </w:t>
            </w:r>
            <w:r w:rsidR="00402679">
              <w:rPr>
                <w:rFonts w:ascii="Arial" w:hAnsi="Arial" w:cs="Arial"/>
                <w:b/>
                <w:i/>
                <w:sz w:val="20"/>
                <w:szCs w:val="20"/>
                <w:lang w:val="es-ES_tradnl"/>
              </w:rPr>
              <w:t>5</w:t>
            </w:r>
            <w:r w:rsidRPr="006F6ABB">
              <w:rPr>
                <w:rFonts w:ascii="Arial" w:hAnsi="Arial" w:cs="Arial"/>
                <w:b/>
                <w:i/>
                <w:sz w:val="20"/>
                <w:szCs w:val="20"/>
                <w:lang w:val="es-ES_tradnl"/>
              </w:rPr>
              <w:t xml:space="preserve">.  </w:t>
            </w:r>
            <w:r w:rsidR="00402679">
              <w:rPr>
                <w:rFonts w:ascii="Arial" w:hAnsi="Arial" w:cs="Arial"/>
                <w:b/>
                <w:bCs/>
                <w:sz w:val="20"/>
                <w:szCs w:val="20"/>
              </w:rPr>
              <w:t>Resultados de eficacia del ensayo ARCADIA-1</w:t>
            </w:r>
          </w:p>
          <w:p w14:paraId="10548EC3" w14:textId="77777777" w:rsidR="00BC3E8E" w:rsidRPr="006F6ABB" w:rsidRDefault="00BC3E8E" w:rsidP="00402679">
            <w:pPr>
              <w:rPr>
                <w:rFonts w:ascii="Arial" w:hAnsi="Arial" w:cs="Arial"/>
                <w:b/>
                <w:i/>
                <w:sz w:val="16"/>
                <w:lang w:val="es-ES_tradnl"/>
              </w:rPr>
            </w:pPr>
            <w:r w:rsidRPr="006F6ABB">
              <w:rPr>
                <w:rFonts w:ascii="Arial" w:hAnsi="Arial" w:cs="Arial"/>
                <w:b/>
                <w:i/>
                <w:sz w:val="16"/>
                <w:lang w:val="es-ES_tradnl"/>
              </w:rPr>
              <w:t>Referencia:</w:t>
            </w:r>
            <w:r w:rsidR="000171EE">
              <w:rPr>
                <w:rFonts w:ascii="Arial" w:hAnsi="Arial" w:cs="Arial"/>
                <w:b/>
                <w:i/>
                <w:sz w:val="16"/>
                <w:lang w:val="es-ES_tradnl"/>
              </w:rPr>
              <w:t xml:space="preserve"> </w:t>
            </w:r>
            <w:r w:rsidR="000171EE" w:rsidRPr="000171EE">
              <w:rPr>
                <w:rFonts w:ascii="Arial" w:hAnsi="Arial" w:cs="Arial"/>
                <w:b/>
                <w:i/>
                <w:sz w:val="16"/>
              </w:rPr>
              <w:t>Silverberg, J. I., Wollenberg, A., Reich, A., Thaçi, D., Legat, F. J., Papp, K. A., ... &amp; Piketty, C. (2024). Nemolizumab with concomitant topical therapy in adolescents and adults with moderate-to-severe atopic dermatitis (ARCADIA 1 and ARCADIA 2): results from two replicate, double-blind, randomised controlled phase 3 trials. </w:t>
            </w:r>
            <w:r w:rsidR="000171EE" w:rsidRPr="000171EE">
              <w:rPr>
                <w:rFonts w:ascii="Arial" w:hAnsi="Arial" w:cs="Arial"/>
                <w:b/>
                <w:i/>
                <w:iCs/>
                <w:sz w:val="16"/>
              </w:rPr>
              <w:t>The Lancet</w:t>
            </w:r>
            <w:r w:rsidR="000171EE" w:rsidRPr="000171EE">
              <w:rPr>
                <w:rFonts w:ascii="Arial" w:hAnsi="Arial" w:cs="Arial"/>
                <w:b/>
                <w:i/>
                <w:sz w:val="16"/>
              </w:rPr>
              <w:t>, </w:t>
            </w:r>
            <w:r w:rsidR="000171EE" w:rsidRPr="000171EE">
              <w:rPr>
                <w:rFonts w:ascii="Arial" w:hAnsi="Arial" w:cs="Arial"/>
                <w:b/>
                <w:i/>
                <w:iCs/>
                <w:sz w:val="16"/>
              </w:rPr>
              <w:t>404</w:t>
            </w:r>
            <w:r w:rsidR="000171EE" w:rsidRPr="000171EE">
              <w:rPr>
                <w:rFonts w:ascii="Arial" w:hAnsi="Arial" w:cs="Arial"/>
                <w:b/>
                <w:i/>
                <w:sz w:val="16"/>
              </w:rPr>
              <w:t>(10451), 445-460.</w:t>
            </w:r>
          </w:p>
        </w:tc>
      </w:tr>
      <w:tr w:rsidR="00BC3E8E" w:rsidRPr="006F6ABB" w14:paraId="5A3AFCC7" w14:textId="77777777" w:rsidTr="00BC3E8E">
        <w:tc>
          <w:tcPr>
            <w:tcW w:w="8890" w:type="dxa"/>
          </w:tcPr>
          <w:p w14:paraId="657259A1" w14:textId="77777777" w:rsidR="00BC3E8E" w:rsidRDefault="00BC3E8E" w:rsidP="00BC3E8E">
            <w:pPr>
              <w:jc w:val="both"/>
              <w:rPr>
                <w:rFonts w:ascii="Arial" w:hAnsi="Arial" w:cs="Arial"/>
                <w:sz w:val="16"/>
              </w:rPr>
            </w:pPr>
            <w:r w:rsidRPr="00E36385">
              <w:rPr>
                <w:rFonts w:ascii="Arial" w:hAnsi="Arial" w:cs="Arial"/>
                <w:b/>
                <w:bCs/>
                <w:sz w:val="16"/>
              </w:rPr>
              <w:t>-Nº de pacientes:</w:t>
            </w:r>
            <w:r w:rsidR="0031446F">
              <w:rPr>
                <w:rFonts w:ascii="Arial" w:hAnsi="Arial" w:cs="Arial"/>
                <w:sz w:val="16"/>
              </w:rPr>
              <w:t xml:space="preserve"> 941 </w:t>
            </w:r>
          </w:p>
          <w:p w14:paraId="6EE55552" w14:textId="77777777" w:rsidR="002035D2" w:rsidRPr="006F6ABB" w:rsidRDefault="002035D2" w:rsidP="00BC3E8E">
            <w:pPr>
              <w:jc w:val="both"/>
              <w:rPr>
                <w:rFonts w:ascii="Arial" w:hAnsi="Arial" w:cs="Arial"/>
                <w:sz w:val="16"/>
              </w:rPr>
            </w:pPr>
          </w:p>
          <w:p w14:paraId="6F0710D7" w14:textId="77777777" w:rsidR="0031446F" w:rsidRDefault="00BC3E8E" w:rsidP="0031446F">
            <w:pPr>
              <w:jc w:val="both"/>
              <w:rPr>
                <w:rFonts w:ascii="Arial" w:hAnsi="Arial" w:cs="Arial"/>
                <w:sz w:val="16"/>
              </w:rPr>
            </w:pPr>
            <w:r w:rsidRPr="00E36385">
              <w:rPr>
                <w:rFonts w:ascii="Arial" w:hAnsi="Arial" w:cs="Arial"/>
                <w:b/>
                <w:bCs/>
                <w:sz w:val="16"/>
              </w:rPr>
              <w:t>-Diseño:</w:t>
            </w:r>
            <w:r w:rsidRPr="006F6ABB">
              <w:rPr>
                <w:rFonts w:ascii="Arial" w:hAnsi="Arial" w:cs="Arial"/>
                <w:sz w:val="16"/>
              </w:rPr>
              <w:t xml:space="preserve"> </w:t>
            </w:r>
            <w:r w:rsidR="0031446F">
              <w:rPr>
                <w:rFonts w:ascii="Arial" w:hAnsi="Arial" w:cs="Arial"/>
                <w:sz w:val="16"/>
              </w:rPr>
              <w:t xml:space="preserve">Estudio fase III, con </w:t>
            </w:r>
            <w:r w:rsidR="0031446F" w:rsidRPr="0031446F">
              <w:rPr>
                <w:rFonts w:ascii="Arial" w:hAnsi="Arial" w:cs="Arial"/>
                <w:sz w:val="16"/>
              </w:rPr>
              <w:t>aleatoriza</w:t>
            </w:r>
            <w:r w:rsidR="0031446F">
              <w:rPr>
                <w:rFonts w:ascii="Arial" w:hAnsi="Arial" w:cs="Arial"/>
                <w:sz w:val="16"/>
              </w:rPr>
              <w:t xml:space="preserve">ción estratificada según criterios </w:t>
            </w:r>
            <w:r w:rsidR="002035D2">
              <w:rPr>
                <w:rFonts w:ascii="Arial" w:hAnsi="Arial" w:cs="Arial"/>
                <w:sz w:val="16"/>
              </w:rPr>
              <w:t xml:space="preserve">de </w:t>
            </w:r>
            <w:r w:rsidR="002035D2" w:rsidRPr="002035D2">
              <w:rPr>
                <w:rFonts w:ascii="Arial" w:hAnsi="Arial" w:cs="Arial"/>
                <w:sz w:val="16"/>
              </w:rPr>
              <w:t>gravedad de la enfermedad basal (puntuación IGA de 3 [moderada] o 4 [grave]) y por la gravedad del prurito (puntuación PP-NRS 7 [prurito grave] o &lt;7 [prurito moderado])</w:t>
            </w:r>
            <w:r w:rsidR="0031446F">
              <w:rPr>
                <w:rFonts w:ascii="Arial" w:hAnsi="Arial" w:cs="Arial"/>
                <w:sz w:val="16"/>
              </w:rPr>
              <w:t xml:space="preserve">, con una proporción 2:1 en el brazo de nemolizumab frente a </w:t>
            </w:r>
            <w:r w:rsidR="00E36385">
              <w:rPr>
                <w:rFonts w:ascii="Arial" w:hAnsi="Arial" w:cs="Arial"/>
                <w:sz w:val="16"/>
              </w:rPr>
              <w:t>placebo,</w:t>
            </w:r>
            <w:r w:rsidR="0031446F" w:rsidRPr="0031446F">
              <w:rPr>
                <w:rFonts w:ascii="Arial" w:hAnsi="Arial" w:cs="Arial"/>
                <w:sz w:val="16"/>
              </w:rPr>
              <w:t xml:space="preserve"> doble ciego</w:t>
            </w:r>
            <w:r w:rsidR="0031446F">
              <w:rPr>
                <w:rFonts w:ascii="Arial" w:hAnsi="Arial" w:cs="Arial"/>
                <w:sz w:val="16"/>
              </w:rPr>
              <w:t xml:space="preserve">, </w:t>
            </w:r>
            <w:r w:rsidR="0031446F" w:rsidRPr="0031446F">
              <w:rPr>
                <w:rFonts w:ascii="Arial" w:hAnsi="Arial" w:cs="Arial"/>
                <w:sz w:val="16"/>
              </w:rPr>
              <w:t xml:space="preserve">controlado con placebo </w:t>
            </w:r>
            <w:r w:rsidR="0031446F">
              <w:rPr>
                <w:rFonts w:ascii="Arial" w:hAnsi="Arial" w:cs="Arial"/>
                <w:sz w:val="16"/>
              </w:rPr>
              <w:t>y de grupos paralelos. En la fase de m</w:t>
            </w:r>
            <w:r w:rsidR="00E36385">
              <w:rPr>
                <w:rFonts w:ascii="Arial" w:hAnsi="Arial" w:cs="Arial"/>
                <w:sz w:val="16"/>
              </w:rPr>
              <w:t>a</w:t>
            </w:r>
            <w:r w:rsidR="0031446F">
              <w:rPr>
                <w:rFonts w:ascii="Arial" w:hAnsi="Arial" w:cs="Arial"/>
                <w:sz w:val="16"/>
              </w:rPr>
              <w:t>n</w:t>
            </w:r>
            <w:r w:rsidR="00E36385">
              <w:rPr>
                <w:rFonts w:ascii="Arial" w:hAnsi="Arial" w:cs="Arial"/>
                <w:sz w:val="16"/>
              </w:rPr>
              <w:t xml:space="preserve">tenimiento de re-aleatoriza a los pacientes respondedores (1:1:1). </w:t>
            </w:r>
          </w:p>
          <w:p w14:paraId="7D1DF13A" w14:textId="77777777" w:rsidR="002035D2" w:rsidRPr="0031446F" w:rsidRDefault="002035D2" w:rsidP="0031446F">
            <w:pPr>
              <w:jc w:val="both"/>
              <w:rPr>
                <w:rFonts w:ascii="Arial" w:hAnsi="Arial" w:cs="Arial"/>
                <w:sz w:val="16"/>
              </w:rPr>
            </w:pPr>
          </w:p>
          <w:p w14:paraId="00BC3848" w14:textId="77777777" w:rsidR="00BC3E8E" w:rsidRDefault="00BC3E8E" w:rsidP="00BC3E8E">
            <w:pPr>
              <w:jc w:val="both"/>
              <w:rPr>
                <w:rFonts w:ascii="Arial" w:hAnsi="Arial" w:cs="Arial"/>
                <w:sz w:val="16"/>
              </w:rPr>
            </w:pPr>
            <w:r w:rsidRPr="006F6ABB">
              <w:rPr>
                <w:rFonts w:ascii="Arial" w:hAnsi="Arial" w:cs="Arial"/>
                <w:sz w:val="16"/>
              </w:rPr>
              <w:t>-</w:t>
            </w:r>
            <w:r w:rsidRPr="00E36385">
              <w:rPr>
                <w:rFonts w:ascii="Arial" w:hAnsi="Arial" w:cs="Arial"/>
                <w:b/>
                <w:bCs/>
                <w:sz w:val="16"/>
              </w:rPr>
              <w:t>Tratamiento grupo activo y tratamiento grupo control:</w:t>
            </w:r>
            <w:r w:rsidRPr="006F6ABB">
              <w:rPr>
                <w:rFonts w:ascii="Arial" w:hAnsi="Arial" w:cs="Arial"/>
                <w:sz w:val="16"/>
              </w:rPr>
              <w:t xml:space="preserve">  </w:t>
            </w:r>
            <w:r w:rsidR="00E36385">
              <w:rPr>
                <w:rFonts w:ascii="Arial" w:hAnsi="Arial" w:cs="Arial"/>
                <w:sz w:val="16"/>
              </w:rPr>
              <w:t>Nemolizumab con dosis de carga 60mg y posteriormente 30 mg</w:t>
            </w:r>
            <w:r w:rsidR="00E71C86">
              <w:rPr>
                <w:rFonts w:ascii="Arial" w:hAnsi="Arial" w:cs="Arial"/>
                <w:sz w:val="16"/>
              </w:rPr>
              <w:t xml:space="preserve"> </w:t>
            </w:r>
            <w:r w:rsidR="00A34799">
              <w:rPr>
                <w:rFonts w:ascii="Arial" w:hAnsi="Arial" w:cs="Arial"/>
                <w:sz w:val="16"/>
              </w:rPr>
              <w:t xml:space="preserve">Q4W </w:t>
            </w:r>
            <w:r w:rsidR="00E36385">
              <w:rPr>
                <w:rFonts w:ascii="Arial" w:hAnsi="Arial" w:cs="Arial"/>
                <w:sz w:val="16"/>
              </w:rPr>
              <w:t xml:space="preserve">hasta la semana 16 (n=620) vs placebo </w:t>
            </w:r>
            <w:r w:rsidR="00A34799">
              <w:rPr>
                <w:rFonts w:ascii="Arial" w:hAnsi="Arial" w:cs="Arial"/>
                <w:sz w:val="16"/>
              </w:rPr>
              <w:t>Q4W</w:t>
            </w:r>
            <w:r w:rsidR="00E36385">
              <w:rPr>
                <w:rFonts w:ascii="Arial" w:hAnsi="Arial" w:cs="Arial"/>
                <w:sz w:val="16"/>
              </w:rPr>
              <w:t xml:space="preserve"> hasta la semana 16 (n=321). En la fase de mantenimiento</w:t>
            </w:r>
            <w:r w:rsidR="00C26A5D">
              <w:rPr>
                <w:rFonts w:ascii="Arial" w:hAnsi="Arial" w:cs="Arial"/>
                <w:sz w:val="16"/>
              </w:rPr>
              <w:t xml:space="preserve"> (hasta semana 48)</w:t>
            </w:r>
            <w:r w:rsidR="00E36385">
              <w:rPr>
                <w:rFonts w:ascii="Arial" w:hAnsi="Arial" w:cs="Arial"/>
                <w:sz w:val="16"/>
              </w:rPr>
              <w:t>, los pacientes respondedores, se re-aleatoriza</w:t>
            </w:r>
            <w:r w:rsidR="00A34799">
              <w:rPr>
                <w:rFonts w:ascii="Arial" w:hAnsi="Arial" w:cs="Arial"/>
                <w:sz w:val="16"/>
              </w:rPr>
              <w:t>ron</w:t>
            </w:r>
            <w:r w:rsidR="00E36385">
              <w:rPr>
                <w:rFonts w:ascii="Arial" w:hAnsi="Arial" w:cs="Arial"/>
                <w:sz w:val="16"/>
              </w:rPr>
              <w:t xml:space="preserve"> a nemolizumab </w:t>
            </w:r>
            <w:r w:rsidR="00A34799">
              <w:rPr>
                <w:rFonts w:ascii="Arial" w:hAnsi="Arial" w:cs="Arial"/>
                <w:sz w:val="16"/>
              </w:rPr>
              <w:t>30 mg Q4W</w:t>
            </w:r>
            <w:r w:rsidR="00E36385">
              <w:rPr>
                <w:rFonts w:ascii="Arial" w:hAnsi="Arial" w:cs="Arial"/>
                <w:sz w:val="16"/>
              </w:rPr>
              <w:t xml:space="preserve"> (n=90), nemolizumab </w:t>
            </w:r>
            <w:r w:rsidR="00A34799">
              <w:rPr>
                <w:rFonts w:ascii="Arial" w:hAnsi="Arial" w:cs="Arial"/>
                <w:sz w:val="16"/>
              </w:rPr>
              <w:t>Q8W</w:t>
            </w:r>
            <w:r w:rsidR="00E36385">
              <w:rPr>
                <w:rFonts w:ascii="Arial" w:hAnsi="Arial" w:cs="Arial"/>
                <w:sz w:val="16"/>
              </w:rPr>
              <w:t xml:space="preserve"> (n=91) o placebo </w:t>
            </w:r>
            <w:r w:rsidR="00A34799">
              <w:rPr>
                <w:rFonts w:ascii="Arial" w:hAnsi="Arial" w:cs="Arial"/>
                <w:sz w:val="16"/>
              </w:rPr>
              <w:t xml:space="preserve">Q4W </w:t>
            </w:r>
            <w:r w:rsidR="00E36385">
              <w:rPr>
                <w:rFonts w:ascii="Arial" w:hAnsi="Arial" w:cs="Arial"/>
                <w:sz w:val="16"/>
              </w:rPr>
              <w:t>(n=91) y los pacientes que iniciaron con placebo se mant</w:t>
            </w:r>
            <w:r w:rsidR="00A34799">
              <w:rPr>
                <w:rFonts w:ascii="Arial" w:hAnsi="Arial" w:cs="Arial"/>
                <w:sz w:val="16"/>
              </w:rPr>
              <w:t>uvieron</w:t>
            </w:r>
            <w:r w:rsidR="00E36385">
              <w:rPr>
                <w:rFonts w:ascii="Arial" w:hAnsi="Arial" w:cs="Arial"/>
                <w:sz w:val="16"/>
              </w:rPr>
              <w:t xml:space="preserve"> con placebo</w:t>
            </w:r>
            <w:r w:rsidR="000E2AEF">
              <w:rPr>
                <w:rFonts w:ascii="Arial" w:hAnsi="Arial" w:cs="Arial"/>
                <w:sz w:val="16"/>
              </w:rPr>
              <w:t xml:space="preserve"> (n=100).</w:t>
            </w:r>
            <w:r w:rsidR="005673D0">
              <w:rPr>
                <w:rFonts w:ascii="Arial" w:hAnsi="Arial" w:cs="Arial"/>
                <w:sz w:val="16"/>
              </w:rPr>
              <w:t xml:space="preserve"> En ambos brazos, e</w:t>
            </w:r>
            <w:r w:rsidR="005673D0" w:rsidRPr="005673D0">
              <w:rPr>
                <w:rFonts w:ascii="Arial" w:hAnsi="Arial" w:cs="Arial"/>
                <w:sz w:val="16"/>
              </w:rPr>
              <w:t>ste tratamiento se administró junto con una terapia tópica</w:t>
            </w:r>
            <w:r w:rsidR="001F4DCE">
              <w:rPr>
                <w:rFonts w:ascii="Arial" w:hAnsi="Arial" w:cs="Arial"/>
                <w:sz w:val="16"/>
              </w:rPr>
              <w:t xml:space="preserve"> </w:t>
            </w:r>
            <w:r w:rsidR="005673D0" w:rsidRPr="005673D0">
              <w:rPr>
                <w:rFonts w:ascii="Arial" w:hAnsi="Arial" w:cs="Arial"/>
                <w:sz w:val="16"/>
              </w:rPr>
              <w:t>(TCS</w:t>
            </w:r>
            <w:r w:rsidR="001F4DCE">
              <w:rPr>
                <w:rFonts w:ascii="Arial" w:hAnsi="Arial" w:cs="Arial"/>
                <w:sz w:val="16"/>
              </w:rPr>
              <w:t xml:space="preserve"> de potencia leve-moderada</w:t>
            </w:r>
            <w:r w:rsidR="005673D0" w:rsidRPr="005673D0">
              <w:rPr>
                <w:rFonts w:ascii="Arial" w:hAnsi="Arial" w:cs="Arial"/>
                <w:sz w:val="16"/>
              </w:rPr>
              <w:t xml:space="preserve"> con o sin TCI)</w:t>
            </w:r>
            <w:r w:rsidR="005673D0">
              <w:rPr>
                <w:rFonts w:ascii="Arial" w:hAnsi="Arial" w:cs="Arial"/>
                <w:sz w:val="16"/>
              </w:rPr>
              <w:t>.</w:t>
            </w:r>
            <w:r w:rsidR="00DD2D4B">
              <w:rPr>
                <w:rFonts w:ascii="Arial" w:hAnsi="Arial" w:cs="Arial"/>
                <w:sz w:val="16"/>
              </w:rPr>
              <w:t xml:space="preserve"> </w:t>
            </w:r>
          </w:p>
          <w:p w14:paraId="4FC7DF86" w14:textId="77777777" w:rsidR="002035D2" w:rsidRPr="006F6ABB" w:rsidRDefault="002035D2" w:rsidP="00BC3E8E">
            <w:pPr>
              <w:jc w:val="both"/>
              <w:rPr>
                <w:rFonts w:ascii="Arial" w:hAnsi="Arial" w:cs="Arial"/>
                <w:sz w:val="16"/>
              </w:rPr>
            </w:pPr>
          </w:p>
          <w:p w14:paraId="41D6E874" w14:textId="77777777" w:rsidR="000E1E58" w:rsidRPr="000E1E58" w:rsidRDefault="00BC3E8E" w:rsidP="000E1E58">
            <w:pPr>
              <w:jc w:val="both"/>
              <w:rPr>
                <w:rFonts w:ascii="Arial" w:hAnsi="Arial" w:cs="Arial"/>
                <w:sz w:val="16"/>
              </w:rPr>
            </w:pPr>
            <w:r w:rsidRPr="000E1E58">
              <w:rPr>
                <w:rFonts w:ascii="Arial" w:hAnsi="Arial" w:cs="Arial"/>
                <w:b/>
                <w:bCs/>
                <w:sz w:val="16"/>
              </w:rPr>
              <w:t>-Criterios de inclusión:</w:t>
            </w:r>
            <w:r w:rsidRPr="006F6ABB">
              <w:rPr>
                <w:rFonts w:ascii="Arial" w:hAnsi="Arial" w:cs="Arial"/>
                <w:sz w:val="16"/>
              </w:rPr>
              <w:t xml:space="preserve"> </w:t>
            </w:r>
            <w:r w:rsidR="000E1E58" w:rsidRPr="000E1E58">
              <w:rPr>
                <w:rFonts w:ascii="Arial" w:hAnsi="Arial" w:cs="Arial"/>
                <w:sz w:val="16"/>
              </w:rPr>
              <w:t>adultos y adolescentes (&gt;12 años) con diagnóstico confirmado de DA moderada a grave (según los criterios de Hanifin y Rajka o la AAD) durante al menos 2 años antes del cribado, con IGA ≥ 3 o superior, EASI ≥ 16, afectación de la superficie corporal (BSA) por DA del 10% o más, PP NRS≥ de 4.0 e historia documentada de respuesta inadecuada a medicamentos tópicos (TCS con o sin TCI).</w:t>
            </w:r>
          </w:p>
          <w:p w14:paraId="6CA08819" w14:textId="77777777" w:rsidR="00BC3E8E" w:rsidRPr="006F6ABB" w:rsidRDefault="00BC3E8E" w:rsidP="00BC3E8E">
            <w:pPr>
              <w:jc w:val="both"/>
              <w:rPr>
                <w:rFonts w:ascii="Arial" w:hAnsi="Arial" w:cs="Arial"/>
                <w:sz w:val="16"/>
              </w:rPr>
            </w:pPr>
          </w:p>
          <w:p w14:paraId="65921EBE" w14:textId="77777777" w:rsidR="00BC3E8E" w:rsidRDefault="00BC3E8E" w:rsidP="000E1E58">
            <w:pPr>
              <w:jc w:val="both"/>
              <w:rPr>
                <w:rFonts w:ascii="Arial" w:hAnsi="Arial" w:cs="Arial"/>
                <w:sz w:val="16"/>
              </w:rPr>
            </w:pPr>
            <w:r w:rsidRPr="000E1E58">
              <w:rPr>
                <w:rFonts w:ascii="Arial" w:hAnsi="Arial" w:cs="Arial"/>
                <w:b/>
                <w:bCs/>
                <w:sz w:val="16"/>
              </w:rPr>
              <w:t>-Criterios de exclusión:</w:t>
            </w:r>
            <w:r w:rsidR="000E1E58" w:rsidRPr="000E1E58">
              <w:rPr>
                <w:rFonts w:ascii="Arial" w:hAnsi="Arial" w:cs="Arial"/>
                <w:sz w:val="16"/>
              </w:rPr>
              <w:t xml:space="preserve"> peso corporal &lt; 30 Kg, exacerbación de asma que suponga hospitalización en los 12 meses anteriores, asma mal controlada durante los 3 meses anteriores</w:t>
            </w:r>
            <w:r w:rsidR="000E1E58">
              <w:rPr>
                <w:rFonts w:ascii="Arial" w:hAnsi="Arial" w:cs="Arial"/>
                <w:sz w:val="16"/>
              </w:rPr>
              <w:t>, t</w:t>
            </w:r>
            <w:r w:rsidR="000E1E58" w:rsidRPr="000E1E58">
              <w:rPr>
                <w:rFonts w:ascii="Arial" w:hAnsi="Arial" w:cs="Arial"/>
                <w:sz w:val="16"/>
              </w:rPr>
              <w:t>est de control del asma (ACT) ≤19 (solo para sujetos con antecedentes de asma) y flujo espiratorio máximo (PEF) &lt;80 % del valor previsto. Sujetos con antecedentes médicos actuales de enfermedad pulmonar obstructiva crónica y/o bronquitis crónica.</w:t>
            </w:r>
          </w:p>
          <w:p w14:paraId="31B23C03" w14:textId="77777777" w:rsidR="000E1E58" w:rsidRPr="006F6ABB" w:rsidRDefault="000E1E58" w:rsidP="000E1E58">
            <w:pPr>
              <w:jc w:val="both"/>
              <w:rPr>
                <w:rFonts w:ascii="Arial" w:hAnsi="Arial" w:cs="Arial"/>
                <w:sz w:val="16"/>
              </w:rPr>
            </w:pPr>
          </w:p>
          <w:p w14:paraId="1DB50287" w14:textId="77777777" w:rsidR="00850809" w:rsidRDefault="00BC3E8E" w:rsidP="00850809">
            <w:pPr>
              <w:jc w:val="both"/>
              <w:rPr>
                <w:rFonts w:ascii="Arial" w:hAnsi="Arial" w:cs="Arial"/>
                <w:sz w:val="16"/>
              </w:rPr>
            </w:pPr>
            <w:r w:rsidRPr="00B536FB">
              <w:rPr>
                <w:rFonts w:ascii="Arial" w:hAnsi="Arial" w:cs="Arial"/>
                <w:b/>
                <w:bCs/>
                <w:sz w:val="16"/>
              </w:rPr>
              <w:t>-Pérdidas:</w:t>
            </w:r>
            <w:r w:rsidR="00A34799">
              <w:rPr>
                <w:rFonts w:ascii="Arial" w:hAnsi="Arial" w:cs="Arial"/>
                <w:sz w:val="16"/>
              </w:rPr>
              <w:t xml:space="preserve"> Pacientes que no completaron tratamiento hasta la semana 16 con nemolizumab</w:t>
            </w:r>
            <w:r w:rsidR="00B536FB">
              <w:rPr>
                <w:rFonts w:ascii="Arial" w:hAnsi="Arial" w:cs="Arial"/>
                <w:sz w:val="16"/>
              </w:rPr>
              <w:t xml:space="preserve"> 30mg Q4</w:t>
            </w:r>
            <w:r w:rsidR="000171EE">
              <w:rPr>
                <w:rFonts w:ascii="Arial" w:hAnsi="Arial" w:cs="Arial"/>
                <w:sz w:val="16"/>
              </w:rPr>
              <w:t>W (</w:t>
            </w:r>
            <w:r w:rsidR="00A34799">
              <w:rPr>
                <w:rFonts w:ascii="Arial" w:hAnsi="Arial" w:cs="Arial"/>
                <w:sz w:val="16"/>
              </w:rPr>
              <w:t xml:space="preserve">n=60, 4 no iniciaron, 56 discontinuaron tratamiento) y con placebo (n=25). </w:t>
            </w:r>
            <w:r w:rsidR="00850809">
              <w:rPr>
                <w:rFonts w:ascii="Arial" w:hAnsi="Arial" w:cs="Arial"/>
                <w:sz w:val="16"/>
              </w:rPr>
              <w:t>En ambos brazos, e</w:t>
            </w:r>
            <w:r w:rsidR="00850809" w:rsidRPr="005673D0">
              <w:rPr>
                <w:rFonts w:ascii="Arial" w:hAnsi="Arial" w:cs="Arial"/>
                <w:sz w:val="16"/>
              </w:rPr>
              <w:t>ste tratamiento se administró junto con una terapia tópica</w:t>
            </w:r>
            <w:r w:rsidR="00850809" w:rsidRPr="005673D0">
              <w:rPr>
                <w:rFonts w:ascii="Arial" w:hAnsi="Arial" w:cs="Arial"/>
                <w:b/>
                <w:bCs/>
                <w:sz w:val="16"/>
              </w:rPr>
              <w:t xml:space="preserve"> </w:t>
            </w:r>
            <w:r w:rsidR="00850809" w:rsidRPr="005673D0">
              <w:rPr>
                <w:rFonts w:ascii="Arial" w:hAnsi="Arial" w:cs="Arial"/>
                <w:sz w:val="16"/>
              </w:rPr>
              <w:t>(TCS con o sin TCI)</w:t>
            </w:r>
            <w:r w:rsidR="00850809">
              <w:rPr>
                <w:rFonts w:ascii="Arial" w:hAnsi="Arial" w:cs="Arial"/>
                <w:sz w:val="16"/>
              </w:rPr>
              <w:t xml:space="preserve">. </w:t>
            </w:r>
          </w:p>
          <w:p w14:paraId="442EBACD" w14:textId="77777777" w:rsidR="00BC3E8E" w:rsidRPr="0087183F" w:rsidRDefault="00A34799" w:rsidP="00BC3E8E">
            <w:pPr>
              <w:jc w:val="both"/>
              <w:rPr>
                <w:rFonts w:ascii="Arial" w:hAnsi="Arial" w:cs="Arial"/>
                <w:color w:val="000000"/>
                <w:sz w:val="16"/>
              </w:rPr>
            </w:pPr>
            <w:r w:rsidRPr="0087183F">
              <w:rPr>
                <w:rFonts w:ascii="Arial" w:hAnsi="Arial" w:cs="Arial"/>
                <w:color w:val="000000"/>
                <w:sz w:val="16"/>
              </w:rPr>
              <w:t xml:space="preserve">Pacientes respondedores a nemolizumab que no continuaron tratamiento hasta la semana 48 con: nemolizumab 30 mg Q4W (n=14), nemolizumab Q8W (n=12), placebo </w:t>
            </w:r>
            <w:r w:rsidR="00B536FB" w:rsidRPr="0087183F">
              <w:rPr>
                <w:rFonts w:ascii="Arial" w:hAnsi="Arial" w:cs="Arial"/>
                <w:color w:val="000000"/>
                <w:sz w:val="16"/>
              </w:rPr>
              <w:t xml:space="preserve">(n=22), pacientes respondedores con placebo que no continuaron hasta la semana 48 (n=18). </w:t>
            </w:r>
          </w:p>
          <w:p w14:paraId="4FC1286F" w14:textId="77777777" w:rsidR="00B536FB" w:rsidRPr="006F6ABB" w:rsidRDefault="00B536FB" w:rsidP="00BC3E8E">
            <w:pPr>
              <w:jc w:val="both"/>
              <w:rPr>
                <w:rFonts w:ascii="Arial" w:hAnsi="Arial" w:cs="Arial"/>
                <w:sz w:val="16"/>
              </w:rPr>
            </w:pPr>
          </w:p>
          <w:p w14:paraId="4038FB9F" w14:textId="77777777" w:rsidR="00415AF5" w:rsidRDefault="00BC3E8E" w:rsidP="00BC3E8E">
            <w:pPr>
              <w:jc w:val="both"/>
              <w:rPr>
                <w:rFonts w:ascii="Arial" w:hAnsi="Arial" w:cs="Arial"/>
                <w:sz w:val="16"/>
              </w:rPr>
            </w:pPr>
            <w:r w:rsidRPr="00415AF5">
              <w:rPr>
                <w:rFonts w:ascii="Arial" w:hAnsi="Arial" w:cs="Arial"/>
                <w:b/>
                <w:bCs/>
                <w:sz w:val="16"/>
              </w:rPr>
              <w:t>-Tipo de análisis:</w:t>
            </w:r>
            <w:r w:rsidR="00415AF5">
              <w:t xml:space="preserve"> </w:t>
            </w:r>
            <w:r w:rsidR="00415AF5" w:rsidRPr="00415AF5">
              <w:rPr>
                <w:rFonts w:ascii="Arial" w:hAnsi="Arial" w:cs="Arial"/>
                <w:sz w:val="16"/>
              </w:rPr>
              <w:t>Los análisis de eficacia primaria y secundaria clave se realizaron en dos poblaciones predefinidas, controladas por el error de Tipo I</w:t>
            </w:r>
            <w:r w:rsidR="00415AF5">
              <w:rPr>
                <w:rFonts w:ascii="Arial" w:hAnsi="Arial" w:cs="Arial"/>
                <w:sz w:val="16"/>
              </w:rPr>
              <w:t xml:space="preserve">, población por intención de tratar (ITT) completa y subpoblación grave (NRS≥7). </w:t>
            </w:r>
            <w:r w:rsidR="00415AF5" w:rsidRPr="00415AF5">
              <w:rPr>
                <w:rFonts w:ascii="Arial" w:hAnsi="Arial" w:cs="Arial"/>
                <w:sz w:val="16"/>
              </w:rPr>
              <w:t>La población per protocolo (PP) también se utilizó para análisis de eficacia, considerados como análisis de apoyo</w:t>
            </w:r>
            <w:r w:rsidR="00415AF5">
              <w:rPr>
                <w:rFonts w:ascii="Arial" w:hAnsi="Arial" w:cs="Arial"/>
                <w:sz w:val="16"/>
              </w:rPr>
              <w:t xml:space="preserve">. </w:t>
            </w:r>
          </w:p>
          <w:p w14:paraId="6519DFAC" w14:textId="77777777" w:rsidR="00415AF5" w:rsidRDefault="00415AF5" w:rsidP="00BC3E8E">
            <w:pPr>
              <w:jc w:val="both"/>
              <w:rPr>
                <w:rFonts w:ascii="Arial" w:hAnsi="Arial" w:cs="Arial"/>
                <w:sz w:val="16"/>
              </w:rPr>
            </w:pPr>
          </w:p>
          <w:p w14:paraId="2CA6AC51" w14:textId="77777777" w:rsidR="00BC3E8E" w:rsidRDefault="00415AF5" w:rsidP="00BC3E8E">
            <w:pPr>
              <w:jc w:val="both"/>
              <w:rPr>
                <w:rFonts w:ascii="Arial" w:hAnsi="Arial" w:cs="Arial"/>
                <w:sz w:val="16"/>
              </w:rPr>
            </w:pPr>
            <w:r>
              <w:rPr>
                <w:rFonts w:ascii="Arial" w:hAnsi="Arial" w:cs="Arial"/>
                <w:sz w:val="16"/>
              </w:rPr>
              <w:t>Se incluyeron 2 variables covariables primarias y 9 variables secundarias clave. P</w:t>
            </w:r>
            <w:r w:rsidRPr="00415AF5">
              <w:rPr>
                <w:rFonts w:ascii="Arial" w:hAnsi="Arial" w:cs="Arial"/>
                <w:sz w:val="16"/>
              </w:rPr>
              <w:t xml:space="preserve">ara controlar el error de </w:t>
            </w:r>
            <w:r w:rsidR="007A794A">
              <w:rPr>
                <w:rFonts w:ascii="Arial" w:hAnsi="Arial" w:cs="Arial"/>
                <w:sz w:val="16"/>
              </w:rPr>
              <w:t>t</w:t>
            </w:r>
            <w:r w:rsidRPr="00415AF5">
              <w:rPr>
                <w:rFonts w:ascii="Arial" w:hAnsi="Arial" w:cs="Arial"/>
                <w:sz w:val="16"/>
              </w:rPr>
              <w:t>ipo I a un nivel de significa</w:t>
            </w:r>
            <w:r w:rsidR="007A794A">
              <w:rPr>
                <w:rFonts w:ascii="Arial" w:hAnsi="Arial" w:cs="Arial"/>
                <w:sz w:val="16"/>
              </w:rPr>
              <w:t>ción</w:t>
            </w:r>
            <w:r w:rsidRPr="00415AF5">
              <w:rPr>
                <w:rFonts w:ascii="Arial" w:hAnsi="Arial" w:cs="Arial"/>
                <w:sz w:val="16"/>
              </w:rPr>
              <w:t xml:space="preserve"> del 5%, se implementó un enfoque jerárquico de control secuencial</w:t>
            </w:r>
            <w:r>
              <w:rPr>
                <w:rFonts w:ascii="Arial" w:hAnsi="Arial" w:cs="Arial"/>
                <w:sz w:val="16"/>
              </w:rPr>
              <w:t xml:space="preserve"> de manera que l</w:t>
            </w:r>
            <w:r w:rsidRPr="00415AF5">
              <w:rPr>
                <w:rFonts w:ascii="Arial" w:hAnsi="Arial" w:cs="Arial"/>
                <w:sz w:val="16"/>
              </w:rPr>
              <w:t>os endpoints coprimarios se probaron a un nivel de signific</w:t>
            </w:r>
            <w:r w:rsidR="007A794A">
              <w:rPr>
                <w:rFonts w:ascii="Arial" w:hAnsi="Arial" w:cs="Arial"/>
                <w:sz w:val="16"/>
              </w:rPr>
              <w:t>ación</w:t>
            </w:r>
            <w:r w:rsidRPr="00415AF5">
              <w:rPr>
                <w:rFonts w:ascii="Arial" w:hAnsi="Arial" w:cs="Arial"/>
                <w:sz w:val="16"/>
              </w:rPr>
              <w:t xml:space="preserve"> del 2</w:t>
            </w:r>
            <w:r w:rsidR="007A794A">
              <w:rPr>
                <w:rFonts w:ascii="Arial" w:hAnsi="Arial" w:cs="Arial"/>
                <w:sz w:val="16"/>
              </w:rPr>
              <w:t>,</w:t>
            </w:r>
            <w:r w:rsidRPr="00415AF5">
              <w:rPr>
                <w:rFonts w:ascii="Arial" w:hAnsi="Arial" w:cs="Arial"/>
                <w:sz w:val="16"/>
              </w:rPr>
              <w:t>5% para cada población (ITT completa y subpoblación de prurito grave)</w:t>
            </w:r>
            <w:r>
              <w:rPr>
                <w:rFonts w:ascii="Arial" w:hAnsi="Arial" w:cs="Arial"/>
                <w:sz w:val="16"/>
              </w:rPr>
              <w:t>.</w:t>
            </w:r>
            <w:r>
              <w:t xml:space="preserve"> </w:t>
            </w:r>
            <w:r w:rsidRPr="00415AF5">
              <w:rPr>
                <w:rFonts w:ascii="Arial" w:hAnsi="Arial" w:cs="Arial"/>
                <w:sz w:val="16"/>
              </w:rPr>
              <w:t>Si ambos endpoints coprimarios eran estadísticamente significativos (p &lt;2.5%) en una población, se procedía a probar secuencialmente los endpoints secundarios clave. El fracaso en alcanzar la significancia estadística en un punto terminaba las pruebas posteriores</w:t>
            </w:r>
            <w:r>
              <w:rPr>
                <w:rFonts w:ascii="Arial" w:hAnsi="Arial" w:cs="Arial"/>
                <w:sz w:val="16"/>
              </w:rPr>
              <w:t xml:space="preserve">. </w:t>
            </w:r>
          </w:p>
          <w:p w14:paraId="112D694F" w14:textId="77777777" w:rsidR="00415AF5" w:rsidRDefault="00415AF5" w:rsidP="00BC3E8E">
            <w:pPr>
              <w:jc w:val="both"/>
              <w:rPr>
                <w:rFonts w:ascii="Arial" w:hAnsi="Arial" w:cs="Arial"/>
                <w:sz w:val="16"/>
              </w:rPr>
            </w:pPr>
          </w:p>
          <w:p w14:paraId="162DB2ED" w14:textId="77777777" w:rsidR="001751E3" w:rsidRDefault="00415AF5" w:rsidP="00BC3E8E">
            <w:pPr>
              <w:jc w:val="both"/>
              <w:rPr>
                <w:rFonts w:ascii="Arial" w:hAnsi="Arial" w:cs="Arial"/>
                <w:sz w:val="16"/>
              </w:rPr>
            </w:pPr>
            <w:r w:rsidRPr="00415AF5">
              <w:rPr>
                <w:rFonts w:ascii="Arial" w:hAnsi="Arial" w:cs="Arial"/>
                <w:sz w:val="16"/>
              </w:rPr>
              <w:t xml:space="preserve">Los </w:t>
            </w:r>
            <w:r w:rsidR="007A794A">
              <w:rPr>
                <w:rFonts w:ascii="Arial" w:hAnsi="Arial" w:cs="Arial"/>
                <w:sz w:val="16"/>
              </w:rPr>
              <w:t>resultados</w:t>
            </w:r>
            <w:r w:rsidR="007A794A" w:rsidRPr="00415AF5">
              <w:rPr>
                <w:rFonts w:ascii="Arial" w:hAnsi="Arial" w:cs="Arial"/>
                <w:sz w:val="16"/>
              </w:rPr>
              <w:t xml:space="preserve"> </w:t>
            </w:r>
            <w:r w:rsidRPr="00415AF5">
              <w:rPr>
                <w:rFonts w:ascii="Arial" w:hAnsi="Arial" w:cs="Arial"/>
                <w:sz w:val="16"/>
              </w:rPr>
              <w:t>binarios coprimarios y secundarios clave se analizaron mediante la Prueba de Cochran–Mantel–Haenszel (CMH)</w:t>
            </w:r>
            <w:r>
              <w:rPr>
                <w:rFonts w:ascii="Arial" w:hAnsi="Arial" w:cs="Arial"/>
                <w:sz w:val="16"/>
              </w:rPr>
              <w:t xml:space="preserve"> y e</w:t>
            </w:r>
            <w:r w:rsidRPr="00415AF5">
              <w:rPr>
                <w:rFonts w:ascii="Arial" w:hAnsi="Arial" w:cs="Arial"/>
                <w:sz w:val="16"/>
              </w:rPr>
              <w:t>sta prueba se ajustó por las variables de estratificación de la aleatorización</w:t>
            </w:r>
            <w:r>
              <w:rPr>
                <w:rFonts w:ascii="Arial" w:hAnsi="Arial" w:cs="Arial"/>
                <w:sz w:val="16"/>
              </w:rPr>
              <w:t xml:space="preserve">. </w:t>
            </w:r>
            <w:r w:rsidRPr="00415AF5">
              <w:rPr>
                <w:rFonts w:ascii="Arial" w:hAnsi="Arial" w:cs="Arial"/>
                <w:sz w:val="16"/>
              </w:rPr>
              <w:t>Los endpoints continuos no clave se analizaron mediante el Análisis de Covarianza (ANCOVA) con imputación múltiple (MI bajo el supuesto MAR) o Modelos Mixtos para Mediciones Repetidas (MMRM)</w:t>
            </w:r>
            <w:r>
              <w:rPr>
                <w:rFonts w:ascii="Arial" w:hAnsi="Arial" w:cs="Arial"/>
                <w:sz w:val="16"/>
              </w:rPr>
              <w:t>.</w:t>
            </w:r>
          </w:p>
          <w:p w14:paraId="7235DC8D" w14:textId="77777777" w:rsidR="007C1E5B" w:rsidRPr="006F6ABB" w:rsidRDefault="007C1E5B" w:rsidP="00BC3E8E">
            <w:pPr>
              <w:jc w:val="both"/>
              <w:rPr>
                <w:rFonts w:ascii="Arial" w:hAnsi="Arial" w:cs="Arial"/>
                <w:sz w:val="16"/>
              </w:rPr>
            </w:pPr>
          </w:p>
          <w:p w14:paraId="175AFEBE" w14:textId="77777777" w:rsidR="00BC3E8E" w:rsidRDefault="00BC3E8E" w:rsidP="00BC3E8E">
            <w:pPr>
              <w:jc w:val="both"/>
              <w:rPr>
                <w:rFonts w:ascii="Arial" w:hAnsi="Arial" w:cs="Arial"/>
                <w:sz w:val="16"/>
              </w:rPr>
            </w:pPr>
            <w:r w:rsidRPr="001751E3">
              <w:rPr>
                <w:rFonts w:ascii="Arial" w:hAnsi="Arial" w:cs="Arial"/>
                <w:b/>
                <w:bCs/>
                <w:sz w:val="16"/>
              </w:rPr>
              <w:t>- Cálculo de tamaño muestral:</w:t>
            </w:r>
            <w:r w:rsidR="001751E3">
              <w:t xml:space="preserve"> </w:t>
            </w:r>
            <w:r w:rsidR="001751E3" w:rsidRPr="001751E3">
              <w:rPr>
                <w:rFonts w:ascii="Arial" w:hAnsi="Arial" w:cs="Arial"/>
                <w:sz w:val="16"/>
              </w:rPr>
              <w:t xml:space="preserve">El tamaño muestral se eligió con el objetivo de caracterizar el perfil de </w:t>
            </w:r>
            <w:r w:rsidR="001751E3">
              <w:rPr>
                <w:rFonts w:ascii="Arial" w:hAnsi="Arial" w:cs="Arial"/>
                <w:sz w:val="16"/>
              </w:rPr>
              <w:t xml:space="preserve">eficacia y </w:t>
            </w:r>
            <w:r w:rsidR="001751E3" w:rsidRPr="001751E3">
              <w:rPr>
                <w:rFonts w:ascii="Arial" w:hAnsi="Arial" w:cs="Arial"/>
                <w:sz w:val="16"/>
              </w:rPr>
              <w:t>seguridad</w:t>
            </w:r>
            <w:r w:rsidR="001751E3">
              <w:rPr>
                <w:rFonts w:ascii="Arial" w:hAnsi="Arial" w:cs="Arial"/>
                <w:sz w:val="16"/>
              </w:rPr>
              <w:t xml:space="preserve"> de nemolizumab</w:t>
            </w:r>
            <w:r w:rsidR="001751E3" w:rsidRPr="001751E3">
              <w:rPr>
                <w:rFonts w:ascii="Arial" w:hAnsi="Arial" w:cs="Arial"/>
                <w:sz w:val="16"/>
              </w:rPr>
              <w:t>. Cada una de las comparaciones de las dos ramas de tratamiento con la rama control se realizaron con una potencia del 9</w:t>
            </w:r>
            <w:r w:rsidR="001751E3">
              <w:rPr>
                <w:rFonts w:ascii="Arial" w:hAnsi="Arial" w:cs="Arial"/>
                <w:sz w:val="16"/>
              </w:rPr>
              <w:t>0</w:t>
            </w:r>
            <w:r w:rsidR="001751E3" w:rsidRPr="001751E3">
              <w:rPr>
                <w:rFonts w:ascii="Arial" w:hAnsi="Arial" w:cs="Arial"/>
                <w:sz w:val="16"/>
              </w:rPr>
              <w:t>% (alfa de dos colas=0</w:t>
            </w:r>
            <w:r w:rsidR="007A794A">
              <w:rPr>
                <w:rFonts w:ascii="Arial" w:hAnsi="Arial" w:cs="Arial"/>
                <w:sz w:val="16"/>
              </w:rPr>
              <w:t>,</w:t>
            </w:r>
            <w:r w:rsidR="001751E3" w:rsidRPr="001751E3">
              <w:rPr>
                <w:rFonts w:ascii="Arial" w:hAnsi="Arial" w:cs="Arial"/>
                <w:sz w:val="16"/>
              </w:rPr>
              <w:t xml:space="preserve">025 cada comparación) para detectar una diferencia del </w:t>
            </w:r>
            <w:r w:rsidR="001751E3">
              <w:rPr>
                <w:rFonts w:ascii="Arial" w:hAnsi="Arial" w:cs="Arial"/>
                <w:sz w:val="16"/>
              </w:rPr>
              <w:t>18</w:t>
            </w:r>
            <w:r w:rsidR="001751E3" w:rsidRPr="001751E3">
              <w:rPr>
                <w:rFonts w:ascii="Arial" w:hAnsi="Arial" w:cs="Arial"/>
                <w:sz w:val="16"/>
              </w:rPr>
              <w:t xml:space="preserve">% entre </w:t>
            </w:r>
            <w:r w:rsidR="001751E3">
              <w:rPr>
                <w:rFonts w:ascii="Arial" w:hAnsi="Arial" w:cs="Arial"/>
                <w:sz w:val="16"/>
              </w:rPr>
              <w:t xml:space="preserve">nemolizumab </w:t>
            </w:r>
            <w:r w:rsidR="001751E3" w:rsidRPr="001751E3">
              <w:rPr>
                <w:rFonts w:ascii="Arial" w:hAnsi="Arial" w:cs="Arial"/>
                <w:sz w:val="16"/>
              </w:rPr>
              <w:t>y placebo en IGA a las 16 semanas, asumiendo tasas de respuesta del 3</w:t>
            </w:r>
            <w:r w:rsidR="001751E3">
              <w:rPr>
                <w:rFonts w:ascii="Arial" w:hAnsi="Arial" w:cs="Arial"/>
                <w:sz w:val="16"/>
              </w:rPr>
              <w:t>0</w:t>
            </w:r>
            <w:r w:rsidR="001751E3" w:rsidRPr="001751E3">
              <w:rPr>
                <w:rFonts w:ascii="Arial" w:hAnsi="Arial" w:cs="Arial"/>
                <w:sz w:val="16"/>
              </w:rPr>
              <w:t>% (</w:t>
            </w:r>
            <w:r w:rsidR="001751E3">
              <w:rPr>
                <w:rFonts w:ascii="Arial" w:hAnsi="Arial" w:cs="Arial"/>
                <w:sz w:val="16"/>
              </w:rPr>
              <w:t>nemolizumab</w:t>
            </w:r>
            <w:r w:rsidR="001751E3" w:rsidRPr="001751E3">
              <w:rPr>
                <w:rFonts w:ascii="Arial" w:hAnsi="Arial" w:cs="Arial"/>
                <w:sz w:val="16"/>
              </w:rPr>
              <w:t>) y del 1</w:t>
            </w:r>
            <w:r w:rsidR="001751E3">
              <w:rPr>
                <w:rFonts w:ascii="Arial" w:hAnsi="Arial" w:cs="Arial"/>
                <w:sz w:val="16"/>
              </w:rPr>
              <w:t>2</w:t>
            </w:r>
            <w:r w:rsidR="001751E3" w:rsidRPr="001751E3">
              <w:rPr>
                <w:rFonts w:ascii="Arial" w:hAnsi="Arial" w:cs="Arial"/>
                <w:sz w:val="16"/>
              </w:rPr>
              <w:t>% (placebo). Para el EASI-75 el tamaño muestral también tiene un poder del 9</w:t>
            </w:r>
            <w:r w:rsidR="001751E3">
              <w:rPr>
                <w:rFonts w:ascii="Arial" w:hAnsi="Arial" w:cs="Arial"/>
                <w:sz w:val="16"/>
              </w:rPr>
              <w:t>0</w:t>
            </w:r>
            <w:r w:rsidR="001751E3" w:rsidRPr="001751E3">
              <w:rPr>
                <w:rFonts w:ascii="Arial" w:hAnsi="Arial" w:cs="Arial"/>
                <w:sz w:val="16"/>
              </w:rPr>
              <w:t xml:space="preserve">%, </w:t>
            </w:r>
            <w:r w:rsidR="001751E3">
              <w:rPr>
                <w:rFonts w:ascii="Arial" w:hAnsi="Arial" w:cs="Arial"/>
                <w:sz w:val="16"/>
              </w:rPr>
              <w:t xml:space="preserve">para detectar una diferencia del 30% </w:t>
            </w:r>
            <w:r w:rsidR="001751E3" w:rsidRPr="001751E3">
              <w:rPr>
                <w:rFonts w:ascii="Arial" w:hAnsi="Arial" w:cs="Arial"/>
                <w:sz w:val="16"/>
              </w:rPr>
              <w:t xml:space="preserve">asumiendo tasas de respuesta en la semana 16 de </w:t>
            </w:r>
            <w:r w:rsidR="001751E3">
              <w:rPr>
                <w:rFonts w:ascii="Arial" w:hAnsi="Arial" w:cs="Arial"/>
                <w:sz w:val="16"/>
              </w:rPr>
              <w:t>49</w:t>
            </w:r>
            <w:r w:rsidR="001751E3" w:rsidRPr="001751E3">
              <w:rPr>
                <w:rFonts w:ascii="Arial" w:hAnsi="Arial" w:cs="Arial"/>
                <w:sz w:val="16"/>
              </w:rPr>
              <w:t>% (</w:t>
            </w:r>
            <w:r w:rsidR="001751E3">
              <w:rPr>
                <w:rFonts w:ascii="Arial" w:hAnsi="Arial" w:cs="Arial"/>
                <w:sz w:val="16"/>
              </w:rPr>
              <w:t>nemolizumab</w:t>
            </w:r>
            <w:r w:rsidR="001751E3" w:rsidRPr="001751E3">
              <w:rPr>
                <w:rFonts w:ascii="Arial" w:hAnsi="Arial" w:cs="Arial"/>
                <w:sz w:val="16"/>
              </w:rPr>
              <w:t>) y de 1</w:t>
            </w:r>
            <w:r w:rsidR="001751E3">
              <w:rPr>
                <w:rFonts w:ascii="Arial" w:hAnsi="Arial" w:cs="Arial"/>
                <w:sz w:val="16"/>
              </w:rPr>
              <w:t>9</w:t>
            </w:r>
            <w:r w:rsidR="001751E3" w:rsidRPr="001751E3">
              <w:rPr>
                <w:rFonts w:ascii="Arial" w:hAnsi="Arial" w:cs="Arial"/>
                <w:sz w:val="16"/>
              </w:rPr>
              <w:t>% (placebo).</w:t>
            </w:r>
          </w:p>
          <w:p w14:paraId="18EB79B2" w14:textId="77777777" w:rsidR="001751E3" w:rsidRDefault="001751E3" w:rsidP="0060011B">
            <w:pPr>
              <w:jc w:val="both"/>
              <w:rPr>
                <w:rFonts w:ascii="Arial" w:hAnsi="Arial" w:cs="Arial"/>
                <w:bCs/>
                <w:sz w:val="16"/>
                <w:lang w:val="fr-FR"/>
              </w:rPr>
            </w:pPr>
            <w:r w:rsidRPr="001751E3">
              <w:rPr>
                <w:rFonts w:ascii="Arial" w:hAnsi="Arial" w:cs="Arial"/>
                <w:bCs/>
                <w:sz w:val="16"/>
                <w:lang w:val="fr-FR"/>
              </w:rPr>
              <w:t xml:space="preserve">El tamaño muestral </w:t>
            </w:r>
            <w:r>
              <w:rPr>
                <w:rFonts w:ascii="Arial" w:hAnsi="Arial" w:cs="Arial"/>
                <w:bCs/>
                <w:sz w:val="16"/>
                <w:lang w:val="fr-FR"/>
              </w:rPr>
              <w:t xml:space="preserve">necesario </w:t>
            </w:r>
            <w:r w:rsidRPr="001751E3">
              <w:rPr>
                <w:rFonts w:ascii="Arial" w:hAnsi="Arial" w:cs="Arial"/>
                <w:bCs/>
                <w:sz w:val="16"/>
                <w:lang w:val="fr-FR"/>
              </w:rPr>
              <w:t>estimado</w:t>
            </w:r>
            <w:r>
              <w:rPr>
                <w:rFonts w:ascii="Arial" w:hAnsi="Arial" w:cs="Arial"/>
                <w:bCs/>
                <w:sz w:val="16"/>
                <w:lang w:val="fr-FR"/>
              </w:rPr>
              <w:t xml:space="preserve"> in</w:t>
            </w:r>
            <w:r w:rsidR="00415AF5">
              <w:rPr>
                <w:rFonts w:ascii="Arial" w:hAnsi="Arial" w:cs="Arial"/>
                <w:bCs/>
                <w:sz w:val="16"/>
                <w:lang w:val="fr-FR"/>
              </w:rPr>
              <w:t>i</w:t>
            </w:r>
            <w:r>
              <w:rPr>
                <w:rFonts w:ascii="Arial" w:hAnsi="Arial" w:cs="Arial"/>
                <w:bCs/>
                <w:sz w:val="16"/>
                <w:lang w:val="fr-FR"/>
              </w:rPr>
              <w:t>cialmente,</w:t>
            </w:r>
            <w:r w:rsidR="00415AF5">
              <w:rPr>
                <w:rFonts w:ascii="Arial" w:hAnsi="Arial" w:cs="Arial"/>
                <w:bCs/>
                <w:sz w:val="16"/>
                <w:lang w:val="fr-FR"/>
              </w:rPr>
              <w:t xml:space="preserve"> </w:t>
            </w:r>
            <w:r w:rsidRPr="001751E3">
              <w:rPr>
                <w:rFonts w:ascii="Arial" w:hAnsi="Arial" w:cs="Arial"/>
                <w:bCs/>
                <w:sz w:val="16"/>
                <w:lang w:val="fr-FR"/>
              </w:rPr>
              <w:t xml:space="preserve">fue de 270 sujetos (90 placebo y 180 nemolizumab), que posteriormente se aumentó a 750 sujetos (250 placebo, 500 nemolizumab) para asegurar obtener datos adecuados sobre seguridad. </w:t>
            </w:r>
            <w:r w:rsidR="0060011B">
              <w:rPr>
                <w:rFonts w:ascii="Arial" w:hAnsi="Arial" w:cs="Arial"/>
                <w:bCs/>
                <w:sz w:val="16"/>
                <w:lang w:val="fr-FR"/>
              </w:rPr>
              <w:t>Finalmente se</w:t>
            </w:r>
            <w:r w:rsidR="001F4DCE">
              <w:rPr>
                <w:rFonts w:ascii="Arial" w:hAnsi="Arial" w:cs="Arial"/>
                <w:bCs/>
                <w:sz w:val="16"/>
                <w:lang w:val="fr-FR"/>
              </w:rPr>
              <w:t xml:space="preserve"> aumenta en mayor medida</w:t>
            </w:r>
            <w:r w:rsidR="0060011B">
              <w:rPr>
                <w:rFonts w:ascii="Arial" w:hAnsi="Arial" w:cs="Arial"/>
                <w:bCs/>
                <w:sz w:val="16"/>
                <w:lang w:val="fr-FR"/>
              </w:rPr>
              <w:t xml:space="preserve"> el tamaño muestral para poder obtener al menos 130 adolescentes (12-17 años).</w:t>
            </w:r>
          </w:p>
          <w:p w14:paraId="1CA85DC2" w14:textId="77777777" w:rsidR="005B1322" w:rsidRDefault="005B1322" w:rsidP="0060011B">
            <w:pPr>
              <w:jc w:val="both"/>
              <w:rPr>
                <w:rFonts w:ascii="Arial" w:hAnsi="Arial" w:cs="Arial"/>
                <w:bCs/>
                <w:sz w:val="16"/>
                <w:lang w:val="fr-FR"/>
              </w:rPr>
            </w:pPr>
          </w:p>
          <w:tbl>
            <w:tblPr>
              <w:tblW w:w="8620" w:type="dxa"/>
              <w:tblCellMar>
                <w:left w:w="70" w:type="dxa"/>
                <w:right w:w="70" w:type="dxa"/>
              </w:tblCellMar>
              <w:tblLook w:val="04A0" w:firstRow="1" w:lastRow="0" w:firstColumn="1" w:lastColumn="0" w:noHBand="0" w:noVBand="1"/>
            </w:tblPr>
            <w:tblGrid>
              <w:gridCol w:w="2400"/>
              <w:gridCol w:w="1420"/>
              <w:gridCol w:w="1200"/>
              <w:gridCol w:w="1200"/>
              <w:gridCol w:w="1200"/>
              <w:gridCol w:w="1200"/>
            </w:tblGrid>
            <w:tr w:rsidR="005B1322" w14:paraId="60588B90" w14:textId="77777777" w:rsidTr="005B1322">
              <w:trPr>
                <w:trHeight w:val="315"/>
              </w:trPr>
              <w:tc>
                <w:tcPr>
                  <w:tcW w:w="8620" w:type="dxa"/>
                  <w:gridSpan w:val="6"/>
                  <w:tcBorders>
                    <w:top w:val="single" w:sz="8" w:space="0" w:color="auto"/>
                    <w:left w:val="single" w:sz="8" w:space="0" w:color="auto"/>
                    <w:bottom w:val="single" w:sz="8" w:space="0" w:color="auto"/>
                    <w:right w:val="single" w:sz="8" w:space="0" w:color="000000"/>
                  </w:tcBorders>
                  <w:shd w:val="clear" w:color="000000" w:fill="CCFFCC"/>
                  <w:vAlign w:val="center"/>
                  <w:hideMark/>
                </w:tcPr>
                <w:p w14:paraId="0221A8E2"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Resultados  POBLACIÓN TOTAL</w:t>
                  </w:r>
                </w:p>
              </w:tc>
            </w:tr>
            <w:tr w:rsidR="005B1322" w14:paraId="14C85E35" w14:textId="77777777" w:rsidTr="005B1322">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FEF0CA0"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Covariables principales, semana 16</w:t>
                  </w:r>
                </w:p>
              </w:tc>
              <w:tc>
                <w:tcPr>
                  <w:tcW w:w="1420" w:type="dxa"/>
                  <w:tcBorders>
                    <w:top w:val="nil"/>
                    <w:left w:val="nil"/>
                    <w:bottom w:val="nil"/>
                    <w:right w:val="single" w:sz="8" w:space="0" w:color="auto"/>
                  </w:tcBorders>
                  <w:vAlign w:val="center"/>
                  <w:hideMark/>
                </w:tcPr>
                <w:p w14:paraId="50C42386"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nil"/>
                    <w:left w:val="nil"/>
                    <w:bottom w:val="nil"/>
                    <w:right w:val="single" w:sz="8" w:space="0" w:color="auto"/>
                  </w:tcBorders>
                  <w:vAlign w:val="center"/>
                  <w:hideMark/>
                </w:tcPr>
                <w:p w14:paraId="0F93BDE0"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nil"/>
                    <w:left w:val="single" w:sz="8" w:space="0" w:color="auto"/>
                    <w:bottom w:val="single" w:sz="8" w:space="0" w:color="000000"/>
                    <w:right w:val="single" w:sz="8" w:space="0" w:color="auto"/>
                  </w:tcBorders>
                  <w:vAlign w:val="center"/>
                  <w:hideMark/>
                </w:tcPr>
                <w:p w14:paraId="31E7E6F5"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nil"/>
                    <w:left w:val="single" w:sz="8" w:space="0" w:color="auto"/>
                    <w:bottom w:val="single" w:sz="8" w:space="0" w:color="000000"/>
                    <w:right w:val="single" w:sz="8" w:space="0" w:color="auto"/>
                  </w:tcBorders>
                  <w:vAlign w:val="center"/>
                  <w:hideMark/>
                </w:tcPr>
                <w:p w14:paraId="289421C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nil"/>
                    <w:left w:val="single" w:sz="8" w:space="0" w:color="auto"/>
                    <w:bottom w:val="single" w:sz="8" w:space="0" w:color="000000"/>
                    <w:right w:val="single" w:sz="8" w:space="0" w:color="auto"/>
                  </w:tcBorders>
                  <w:vAlign w:val="center"/>
                  <w:hideMark/>
                </w:tcPr>
                <w:p w14:paraId="55E03119"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7485CAAF" w14:textId="77777777" w:rsidTr="005B1322">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65D2CDBA" w14:textId="77777777" w:rsidR="005B1322" w:rsidRDefault="005B1322" w:rsidP="005B1322">
                  <w:pPr>
                    <w:rPr>
                      <w:rFonts w:ascii="Arial" w:hAnsi="Arial" w:cs="Arial"/>
                      <w:b/>
                      <w:bCs/>
                      <w:i/>
                      <w:iCs/>
                      <w:color w:val="000000"/>
                      <w:sz w:val="16"/>
                      <w:szCs w:val="16"/>
                    </w:rPr>
                  </w:pPr>
                </w:p>
              </w:tc>
              <w:tc>
                <w:tcPr>
                  <w:tcW w:w="1420" w:type="dxa"/>
                  <w:tcBorders>
                    <w:top w:val="nil"/>
                    <w:left w:val="nil"/>
                    <w:bottom w:val="single" w:sz="8" w:space="0" w:color="auto"/>
                    <w:right w:val="single" w:sz="8" w:space="0" w:color="auto"/>
                  </w:tcBorders>
                  <w:vAlign w:val="center"/>
                  <w:hideMark/>
                </w:tcPr>
                <w:p w14:paraId="632B346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(620)</w:t>
                  </w:r>
                </w:p>
              </w:tc>
              <w:tc>
                <w:tcPr>
                  <w:tcW w:w="1200" w:type="dxa"/>
                  <w:tcBorders>
                    <w:top w:val="nil"/>
                    <w:left w:val="nil"/>
                    <w:bottom w:val="single" w:sz="8" w:space="0" w:color="auto"/>
                    <w:right w:val="single" w:sz="8" w:space="0" w:color="auto"/>
                  </w:tcBorders>
                  <w:vAlign w:val="center"/>
                  <w:hideMark/>
                </w:tcPr>
                <w:p w14:paraId="0B87545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(321)</w:t>
                  </w:r>
                </w:p>
              </w:tc>
              <w:tc>
                <w:tcPr>
                  <w:tcW w:w="1200" w:type="dxa"/>
                  <w:vMerge/>
                  <w:tcBorders>
                    <w:top w:val="nil"/>
                    <w:left w:val="single" w:sz="8" w:space="0" w:color="auto"/>
                    <w:bottom w:val="single" w:sz="8" w:space="0" w:color="000000"/>
                    <w:right w:val="single" w:sz="8" w:space="0" w:color="auto"/>
                  </w:tcBorders>
                  <w:vAlign w:val="center"/>
                  <w:hideMark/>
                </w:tcPr>
                <w:p w14:paraId="61BAD15D"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6FEB520"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4776C63" w14:textId="77777777" w:rsidR="005B1322" w:rsidRDefault="005B1322" w:rsidP="005B1322">
                  <w:pPr>
                    <w:rPr>
                      <w:rFonts w:ascii="Arial" w:hAnsi="Arial" w:cs="Arial"/>
                      <w:b/>
                      <w:bCs/>
                      <w:i/>
                      <w:iCs/>
                      <w:color w:val="000000"/>
                      <w:sz w:val="16"/>
                      <w:szCs w:val="16"/>
                    </w:rPr>
                  </w:pPr>
                </w:p>
              </w:tc>
            </w:tr>
            <w:tr w:rsidR="005B1322" w14:paraId="08A0874C" w14:textId="77777777" w:rsidTr="005B1322">
              <w:trPr>
                <w:trHeight w:val="300"/>
              </w:trPr>
              <w:tc>
                <w:tcPr>
                  <w:tcW w:w="2400" w:type="dxa"/>
                  <w:tcBorders>
                    <w:top w:val="nil"/>
                    <w:left w:val="single" w:sz="8" w:space="0" w:color="auto"/>
                    <w:bottom w:val="nil"/>
                    <w:right w:val="single" w:sz="8" w:space="0" w:color="auto"/>
                  </w:tcBorders>
                  <w:vAlign w:val="center"/>
                  <w:hideMark/>
                </w:tcPr>
                <w:p w14:paraId="4BBD88AB" w14:textId="77777777" w:rsidR="005B1322" w:rsidRDefault="005B1322" w:rsidP="005B1322">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20" w:type="dxa"/>
                  <w:vMerge w:val="restart"/>
                  <w:tcBorders>
                    <w:top w:val="nil"/>
                    <w:left w:val="single" w:sz="8" w:space="0" w:color="auto"/>
                    <w:bottom w:val="single" w:sz="8" w:space="0" w:color="000000"/>
                    <w:right w:val="single" w:sz="8" w:space="0" w:color="auto"/>
                  </w:tcBorders>
                  <w:vAlign w:val="center"/>
                  <w:hideMark/>
                </w:tcPr>
                <w:p w14:paraId="4130F3F1"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221 (35</w:t>
                  </w:r>
                  <w:r w:rsidR="002104AE">
                    <w:rPr>
                      <w:rFonts w:ascii="Arial" w:hAnsi="Arial" w:cs="Arial"/>
                      <w:i/>
                      <w:iCs/>
                      <w:color w:val="000000"/>
                      <w:sz w:val="16"/>
                      <w:szCs w:val="16"/>
                    </w:rPr>
                    <w:t>,</w:t>
                  </w:r>
                  <w:r>
                    <w:rPr>
                      <w:rFonts w:ascii="Arial" w:hAnsi="Arial" w:cs="Arial"/>
                      <w:i/>
                      <w:iCs/>
                      <w:color w:val="000000"/>
                      <w:sz w:val="16"/>
                      <w:szCs w:val="16"/>
                    </w:rPr>
                    <w:t>6%)</w:t>
                  </w:r>
                </w:p>
              </w:tc>
              <w:tc>
                <w:tcPr>
                  <w:tcW w:w="1200" w:type="dxa"/>
                  <w:vMerge w:val="restart"/>
                  <w:tcBorders>
                    <w:top w:val="nil"/>
                    <w:left w:val="single" w:sz="8" w:space="0" w:color="auto"/>
                    <w:bottom w:val="single" w:sz="8" w:space="0" w:color="000000"/>
                    <w:right w:val="single" w:sz="8" w:space="0" w:color="auto"/>
                  </w:tcBorders>
                  <w:vAlign w:val="center"/>
                  <w:hideMark/>
                </w:tcPr>
                <w:p w14:paraId="0E0B4D01"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79 (24</w:t>
                  </w:r>
                  <w:r w:rsidR="002104AE">
                    <w:rPr>
                      <w:rFonts w:ascii="Arial" w:hAnsi="Arial" w:cs="Arial"/>
                      <w:i/>
                      <w:iCs/>
                      <w:color w:val="000000"/>
                      <w:sz w:val="16"/>
                      <w:szCs w:val="16"/>
                    </w:rPr>
                    <w:t>,</w:t>
                  </w:r>
                  <w:r>
                    <w:rPr>
                      <w:rFonts w:ascii="Arial" w:hAnsi="Arial" w:cs="Arial"/>
                      <w:i/>
                      <w:iCs/>
                      <w:color w:val="000000"/>
                      <w:sz w:val="16"/>
                      <w:szCs w:val="16"/>
                    </w:rPr>
                    <w:t>6%)</w:t>
                  </w:r>
                </w:p>
              </w:tc>
              <w:tc>
                <w:tcPr>
                  <w:tcW w:w="1200" w:type="dxa"/>
                  <w:vMerge w:val="restart"/>
                  <w:tcBorders>
                    <w:top w:val="nil"/>
                    <w:left w:val="single" w:sz="8" w:space="0" w:color="auto"/>
                    <w:bottom w:val="single" w:sz="8" w:space="0" w:color="000000"/>
                    <w:right w:val="single" w:sz="8" w:space="0" w:color="auto"/>
                  </w:tcBorders>
                  <w:vAlign w:val="center"/>
                  <w:hideMark/>
                </w:tcPr>
                <w:p w14:paraId="6295DAC8"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11 (5</w:t>
                  </w:r>
                  <w:r w:rsidR="002104AE">
                    <w:rPr>
                      <w:rFonts w:ascii="Arial" w:hAnsi="Arial" w:cs="Arial"/>
                      <w:i/>
                      <w:iCs/>
                      <w:color w:val="000000"/>
                      <w:sz w:val="16"/>
                      <w:szCs w:val="16"/>
                    </w:rPr>
                    <w:t>;</w:t>
                  </w:r>
                  <w:r>
                    <w:rPr>
                      <w:rFonts w:ascii="Arial" w:hAnsi="Arial" w:cs="Arial"/>
                      <w:i/>
                      <w:iCs/>
                      <w:color w:val="000000"/>
                      <w:sz w:val="16"/>
                      <w:szCs w:val="16"/>
                    </w:rPr>
                    <w:t>17)</w:t>
                  </w:r>
                </w:p>
              </w:tc>
              <w:tc>
                <w:tcPr>
                  <w:tcW w:w="1200" w:type="dxa"/>
                  <w:vMerge w:val="restart"/>
                  <w:tcBorders>
                    <w:top w:val="nil"/>
                    <w:left w:val="single" w:sz="8" w:space="0" w:color="auto"/>
                    <w:bottom w:val="single" w:sz="8" w:space="0" w:color="000000"/>
                    <w:right w:val="single" w:sz="8" w:space="0" w:color="auto"/>
                  </w:tcBorders>
                  <w:vAlign w:val="center"/>
                  <w:hideMark/>
                </w:tcPr>
                <w:p w14:paraId="29F7061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0,0006</w:t>
                  </w:r>
                </w:p>
              </w:tc>
              <w:tc>
                <w:tcPr>
                  <w:tcW w:w="1200" w:type="dxa"/>
                  <w:vMerge w:val="restart"/>
                  <w:tcBorders>
                    <w:top w:val="nil"/>
                    <w:left w:val="single" w:sz="8" w:space="0" w:color="auto"/>
                    <w:bottom w:val="single" w:sz="8" w:space="0" w:color="000000"/>
                    <w:right w:val="single" w:sz="8" w:space="0" w:color="auto"/>
                  </w:tcBorders>
                  <w:vAlign w:val="center"/>
                  <w:hideMark/>
                </w:tcPr>
                <w:p w14:paraId="04B0AB19"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9 (6</w:t>
                  </w:r>
                  <w:r w:rsidR="002104AE">
                    <w:rPr>
                      <w:rFonts w:ascii="Arial" w:hAnsi="Arial" w:cs="Arial"/>
                      <w:i/>
                      <w:iCs/>
                      <w:color w:val="000000"/>
                      <w:sz w:val="16"/>
                      <w:szCs w:val="16"/>
                    </w:rPr>
                    <w:t>;</w:t>
                  </w:r>
                  <w:r>
                    <w:rPr>
                      <w:rFonts w:ascii="Arial" w:hAnsi="Arial" w:cs="Arial"/>
                      <w:i/>
                      <w:iCs/>
                      <w:color w:val="000000"/>
                      <w:sz w:val="16"/>
                      <w:szCs w:val="16"/>
                    </w:rPr>
                    <w:t>20)</w:t>
                  </w:r>
                </w:p>
              </w:tc>
            </w:tr>
            <w:tr w:rsidR="005B1322" w14:paraId="1F23B4AC" w14:textId="77777777" w:rsidTr="005B1322">
              <w:trPr>
                <w:trHeight w:val="465"/>
              </w:trPr>
              <w:tc>
                <w:tcPr>
                  <w:tcW w:w="2400" w:type="dxa"/>
                  <w:tcBorders>
                    <w:top w:val="nil"/>
                    <w:left w:val="single" w:sz="8" w:space="0" w:color="auto"/>
                    <w:bottom w:val="single" w:sz="8" w:space="0" w:color="auto"/>
                    <w:right w:val="single" w:sz="8" w:space="0" w:color="auto"/>
                  </w:tcBorders>
                  <w:vAlign w:val="center"/>
                  <w:hideMark/>
                </w:tcPr>
                <w:p w14:paraId="11731E58"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IGA 0/1 y ≥2 puntos de reducción (semana 16)</w:t>
                  </w:r>
                </w:p>
              </w:tc>
              <w:tc>
                <w:tcPr>
                  <w:tcW w:w="1420" w:type="dxa"/>
                  <w:vMerge/>
                  <w:tcBorders>
                    <w:top w:val="nil"/>
                    <w:left w:val="single" w:sz="8" w:space="0" w:color="auto"/>
                    <w:bottom w:val="single" w:sz="8" w:space="0" w:color="000000"/>
                    <w:right w:val="single" w:sz="8" w:space="0" w:color="auto"/>
                  </w:tcBorders>
                  <w:vAlign w:val="center"/>
                  <w:hideMark/>
                </w:tcPr>
                <w:p w14:paraId="085FBE22"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C0DDF9D"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B486BE5"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45FEC36"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EF59A0D" w14:textId="77777777" w:rsidR="005B1322" w:rsidRDefault="005B1322" w:rsidP="005B1322">
                  <w:pPr>
                    <w:rPr>
                      <w:rFonts w:ascii="Arial" w:hAnsi="Arial" w:cs="Arial"/>
                      <w:i/>
                      <w:iCs/>
                      <w:color w:val="000000"/>
                      <w:sz w:val="16"/>
                      <w:szCs w:val="16"/>
                    </w:rPr>
                  </w:pPr>
                </w:p>
              </w:tc>
            </w:tr>
            <w:tr w:rsidR="005B1322" w14:paraId="01DE7F43" w14:textId="77777777" w:rsidTr="005B1322">
              <w:trPr>
                <w:trHeight w:val="300"/>
              </w:trPr>
              <w:tc>
                <w:tcPr>
                  <w:tcW w:w="2400" w:type="dxa"/>
                  <w:tcBorders>
                    <w:top w:val="nil"/>
                    <w:left w:val="single" w:sz="8" w:space="0" w:color="auto"/>
                    <w:bottom w:val="nil"/>
                    <w:right w:val="single" w:sz="8" w:space="0" w:color="auto"/>
                  </w:tcBorders>
                  <w:vAlign w:val="center"/>
                  <w:hideMark/>
                </w:tcPr>
                <w:p w14:paraId="37D6FD0E" w14:textId="77777777" w:rsidR="005B1322" w:rsidRDefault="005B1322" w:rsidP="005B1322">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20" w:type="dxa"/>
                  <w:vMerge w:val="restart"/>
                  <w:tcBorders>
                    <w:top w:val="nil"/>
                    <w:left w:val="single" w:sz="8" w:space="0" w:color="auto"/>
                    <w:bottom w:val="single" w:sz="8" w:space="0" w:color="000000"/>
                    <w:right w:val="single" w:sz="8" w:space="0" w:color="auto"/>
                  </w:tcBorders>
                  <w:vAlign w:val="center"/>
                  <w:hideMark/>
                </w:tcPr>
                <w:p w14:paraId="4DB6E25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270 (43</w:t>
                  </w:r>
                  <w:r w:rsidR="002104AE">
                    <w:rPr>
                      <w:rFonts w:ascii="Arial" w:hAnsi="Arial" w:cs="Arial"/>
                      <w:i/>
                      <w:iCs/>
                      <w:color w:val="000000"/>
                      <w:sz w:val="16"/>
                      <w:szCs w:val="16"/>
                    </w:rPr>
                    <w:t>,</w:t>
                  </w:r>
                  <w:r>
                    <w:rPr>
                      <w:rFonts w:ascii="Arial" w:hAnsi="Arial" w:cs="Arial"/>
                      <w:i/>
                      <w:iCs/>
                      <w:color w:val="000000"/>
                      <w:sz w:val="16"/>
                      <w:szCs w:val="16"/>
                    </w:rPr>
                    <w:t>5%)</w:t>
                  </w:r>
                </w:p>
              </w:tc>
              <w:tc>
                <w:tcPr>
                  <w:tcW w:w="1200" w:type="dxa"/>
                  <w:vMerge w:val="restart"/>
                  <w:tcBorders>
                    <w:top w:val="nil"/>
                    <w:left w:val="single" w:sz="8" w:space="0" w:color="auto"/>
                    <w:bottom w:val="single" w:sz="8" w:space="0" w:color="000000"/>
                    <w:right w:val="single" w:sz="8" w:space="0" w:color="auto"/>
                  </w:tcBorders>
                  <w:vAlign w:val="center"/>
                  <w:hideMark/>
                </w:tcPr>
                <w:p w14:paraId="7C1719A5"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93 (29</w:t>
                  </w:r>
                  <w:r w:rsidR="002104AE">
                    <w:rPr>
                      <w:rFonts w:ascii="Arial" w:hAnsi="Arial" w:cs="Arial"/>
                      <w:i/>
                      <w:iCs/>
                      <w:color w:val="000000"/>
                      <w:sz w:val="16"/>
                      <w:szCs w:val="16"/>
                    </w:rPr>
                    <w:t>,0</w:t>
                  </w:r>
                  <w:r>
                    <w:rPr>
                      <w:rFonts w:ascii="Arial" w:hAnsi="Arial" w:cs="Arial"/>
                      <w:i/>
                      <w:iCs/>
                      <w:color w:val="000000"/>
                      <w:sz w:val="16"/>
                      <w:szCs w:val="16"/>
                    </w:rPr>
                    <w:t>%)</w:t>
                  </w:r>
                </w:p>
              </w:tc>
              <w:tc>
                <w:tcPr>
                  <w:tcW w:w="1200" w:type="dxa"/>
                  <w:vMerge w:val="restart"/>
                  <w:tcBorders>
                    <w:top w:val="nil"/>
                    <w:left w:val="single" w:sz="8" w:space="0" w:color="auto"/>
                    <w:bottom w:val="single" w:sz="8" w:space="0" w:color="000000"/>
                    <w:right w:val="single" w:sz="8" w:space="0" w:color="auto"/>
                  </w:tcBorders>
                  <w:vAlign w:val="center"/>
                  <w:hideMark/>
                </w:tcPr>
                <w:p w14:paraId="1D3FC58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15 (8</w:t>
                  </w:r>
                  <w:r w:rsidR="002104AE">
                    <w:rPr>
                      <w:rFonts w:ascii="Arial" w:hAnsi="Arial" w:cs="Arial"/>
                      <w:i/>
                      <w:iCs/>
                      <w:color w:val="000000"/>
                      <w:sz w:val="16"/>
                      <w:szCs w:val="16"/>
                    </w:rPr>
                    <w:t>;</w:t>
                  </w:r>
                  <w:r>
                    <w:rPr>
                      <w:rFonts w:ascii="Arial" w:hAnsi="Arial" w:cs="Arial"/>
                      <w:i/>
                      <w:iCs/>
                      <w:color w:val="000000"/>
                      <w:sz w:val="16"/>
                      <w:szCs w:val="16"/>
                    </w:rPr>
                    <w:t>21)</w:t>
                  </w:r>
                </w:p>
              </w:tc>
              <w:tc>
                <w:tcPr>
                  <w:tcW w:w="1200" w:type="dxa"/>
                  <w:vMerge w:val="restart"/>
                  <w:tcBorders>
                    <w:top w:val="nil"/>
                    <w:left w:val="single" w:sz="8" w:space="0" w:color="auto"/>
                    <w:bottom w:val="single" w:sz="8" w:space="0" w:color="000000"/>
                    <w:right w:val="single" w:sz="8" w:space="0" w:color="auto"/>
                  </w:tcBorders>
                  <w:vAlign w:val="center"/>
                  <w:hideMark/>
                </w:tcPr>
                <w:p w14:paraId="328AA0B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vMerge w:val="restart"/>
                  <w:tcBorders>
                    <w:top w:val="nil"/>
                    <w:left w:val="single" w:sz="8" w:space="0" w:color="auto"/>
                    <w:bottom w:val="single" w:sz="8" w:space="0" w:color="000000"/>
                    <w:right w:val="single" w:sz="8" w:space="0" w:color="auto"/>
                  </w:tcBorders>
                  <w:vAlign w:val="center"/>
                  <w:hideMark/>
                </w:tcPr>
                <w:p w14:paraId="0B456FCB"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7 (5</w:t>
                  </w:r>
                  <w:r w:rsidR="002104AE">
                    <w:rPr>
                      <w:rFonts w:ascii="Arial" w:hAnsi="Arial" w:cs="Arial"/>
                      <w:i/>
                      <w:iCs/>
                      <w:color w:val="000000"/>
                      <w:sz w:val="16"/>
                      <w:szCs w:val="16"/>
                    </w:rPr>
                    <w:t>;</w:t>
                  </w:r>
                  <w:r>
                    <w:rPr>
                      <w:rFonts w:ascii="Arial" w:hAnsi="Arial" w:cs="Arial"/>
                      <w:i/>
                      <w:iCs/>
                      <w:color w:val="000000"/>
                      <w:sz w:val="16"/>
                      <w:szCs w:val="16"/>
                    </w:rPr>
                    <w:t>12)</w:t>
                  </w:r>
                </w:p>
              </w:tc>
            </w:tr>
            <w:tr w:rsidR="005B1322" w14:paraId="5B78F1FB" w14:textId="77777777" w:rsidTr="005B1322">
              <w:trPr>
                <w:trHeight w:val="315"/>
              </w:trPr>
              <w:tc>
                <w:tcPr>
                  <w:tcW w:w="2400" w:type="dxa"/>
                  <w:tcBorders>
                    <w:top w:val="nil"/>
                    <w:left w:val="single" w:sz="8" w:space="0" w:color="auto"/>
                    <w:bottom w:val="single" w:sz="8" w:space="0" w:color="auto"/>
                    <w:right w:val="single" w:sz="8" w:space="0" w:color="auto"/>
                  </w:tcBorders>
                  <w:vAlign w:val="center"/>
                  <w:hideMark/>
                </w:tcPr>
                <w:p w14:paraId="4FC4EFE0"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EASI 75 (semana 16)</w:t>
                  </w:r>
                </w:p>
              </w:tc>
              <w:tc>
                <w:tcPr>
                  <w:tcW w:w="1420" w:type="dxa"/>
                  <w:vMerge/>
                  <w:tcBorders>
                    <w:top w:val="nil"/>
                    <w:left w:val="single" w:sz="8" w:space="0" w:color="auto"/>
                    <w:bottom w:val="single" w:sz="8" w:space="0" w:color="000000"/>
                    <w:right w:val="single" w:sz="8" w:space="0" w:color="auto"/>
                  </w:tcBorders>
                  <w:vAlign w:val="center"/>
                  <w:hideMark/>
                </w:tcPr>
                <w:p w14:paraId="5133499B"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79B9900"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74958BC"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3DE05EF"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79648EF" w14:textId="77777777" w:rsidR="005B1322" w:rsidRDefault="005B1322" w:rsidP="005B1322">
                  <w:pPr>
                    <w:rPr>
                      <w:rFonts w:ascii="Arial" w:hAnsi="Arial" w:cs="Arial"/>
                      <w:i/>
                      <w:iCs/>
                      <w:color w:val="000000"/>
                      <w:sz w:val="16"/>
                      <w:szCs w:val="16"/>
                    </w:rPr>
                  </w:pPr>
                </w:p>
              </w:tc>
            </w:tr>
            <w:tr w:rsidR="005B1322" w14:paraId="1A15D926" w14:textId="77777777" w:rsidTr="005B1322">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9E81F72"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Variable secundaria mejora NRS</w:t>
                  </w:r>
                  <w:r>
                    <w:rPr>
                      <w:rFonts w:ascii="Calibri" w:hAnsi="Calibri" w:cs="Calibri"/>
                      <w:color w:val="000000"/>
                      <w:sz w:val="16"/>
                      <w:szCs w:val="16"/>
                    </w:rPr>
                    <w:t>≥</w:t>
                  </w:r>
                  <w:r>
                    <w:rPr>
                      <w:rFonts w:ascii="Arial" w:hAnsi="Arial" w:cs="Arial"/>
                      <w:i/>
                      <w:iCs/>
                      <w:color w:val="000000"/>
                      <w:sz w:val="16"/>
                      <w:szCs w:val="16"/>
                    </w:rPr>
                    <w:t>4</w:t>
                  </w:r>
                </w:p>
              </w:tc>
              <w:tc>
                <w:tcPr>
                  <w:tcW w:w="1420" w:type="dxa"/>
                  <w:tcBorders>
                    <w:top w:val="nil"/>
                    <w:left w:val="nil"/>
                    <w:bottom w:val="nil"/>
                    <w:right w:val="single" w:sz="8" w:space="0" w:color="auto"/>
                  </w:tcBorders>
                  <w:vAlign w:val="center"/>
                  <w:hideMark/>
                </w:tcPr>
                <w:p w14:paraId="690B3C8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nil"/>
                    <w:left w:val="nil"/>
                    <w:bottom w:val="nil"/>
                    <w:right w:val="single" w:sz="8" w:space="0" w:color="auto"/>
                  </w:tcBorders>
                  <w:vAlign w:val="center"/>
                  <w:hideMark/>
                </w:tcPr>
                <w:p w14:paraId="6F1D8791"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nil"/>
                    <w:left w:val="single" w:sz="8" w:space="0" w:color="auto"/>
                    <w:bottom w:val="single" w:sz="8" w:space="0" w:color="000000"/>
                    <w:right w:val="single" w:sz="8" w:space="0" w:color="auto"/>
                  </w:tcBorders>
                  <w:vAlign w:val="center"/>
                  <w:hideMark/>
                </w:tcPr>
                <w:p w14:paraId="5AE6A9E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nil"/>
                    <w:left w:val="single" w:sz="8" w:space="0" w:color="auto"/>
                    <w:bottom w:val="single" w:sz="8" w:space="0" w:color="000000"/>
                    <w:right w:val="single" w:sz="8" w:space="0" w:color="auto"/>
                  </w:tcBorders>
                  <w:vAlign w:val="center"/>
                  <w:hideMark/>
                </w:tcPr>
                <w:p w14:paraId="5E11EACC"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nil"/>
                    <w:left w:val="single" w:sz="8" w:space="0" w:color="auto"/>
                    <w:bottom w:val="single" w:sz="8" w:space="0" w:color="000000"/>
                    <w:right w:val="single" w:sz="8" w:space="0" w:color="auto"/>
                  </w:tcBorders>
                  <w:vAlign w:val="center"/>
                  <w:hideMark/>
                </w:tcPr>
                <w:p w14:paraId="70697E0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2CB2B0F0" w14:textId="77777777" w:rsidTr="005B1322">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5338363C" w14:textId="77777777" w:rsidR="005B1322" w:rsidRDefault="005B1322" w:rsidP="005B1322">
                  <w:pPr>
                    <w:rPr>
                      <w:rFonts w:ascii="Arial" w:hAnsi="Arial" w:cs="Arial"/>
                      <w:b/>
                      <w:bCs/>
                      <w:i/>
                      <w:iCs/>
                      <w:color w:val="000000"/>
                      <w:sz w:val="16"/>
                      <w:szCs w:val="16"/>
                    </w:rPr>
                  </w:pPr>
                </w:p>
              </w:tc>
              <w:tc>
                <w:tcPr>
                  <w:tcW w:w="1420" w:type="dxa"/>
                  <w:tcBorders>
                    <w:top w:val="nil"/>
                    <w:left w:val="nil"/>
                    <w:bottom w:val="single" w:sz="8" w:space="0" w:color="auto"/>
                    <w:right w:val="single" w:sz="8" w:space="0" w:color="auto"/>
                  </w:tcBorders>
                  <w:vAlign w:val="center"/>
                  <w:hideMark/>
                </w:tcPr>
                <w:p w14:paraId="2E8574D0"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(620)</w:t>
                  </w:r>
                </w:p>
              </w:tc>
              <w:tc>
                <w:tcPr>
                  <w:tcW w:w="1200" w:type="dxa"/>
                  <w:tcBorders>
                    <w:top w:val="nil"/>
                    <w:left w:val="nil"/>
                    <w:bottom w:val="single" w:sz="8" w:space="0" w:color="auto"/>
                    <w:right w:val="single" w:sz="8" w:space="0" w:color="auto"/>
                  </w:tcBorders>
                  <w:vAlign w:val="center"/>
                  <w:hideMark/>
                </w:tcPr>
                <w:p w14:paraId="50DF214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(321)</w:t>
                  </w:r>
                </w:p>
              </w:tc>
              <w:tc>
                <w:tcPr>
                  <w:tcW w:w="1200" w:type="dxa"/>
                  <w:vMerge/>
                  <w:tcBorders>
                    <w:top w:val="nil"/>
                    <w:left w:val="single" w:sz="8" w:space="0" w:color="auto"/>
                    <w:bottom w:val="single" w:sz="8" w:space="0" w:color="000000"/>
                    <w:right w:val="single" w:sz="8" w:space="0" w:color="auto"/>
                  </w:tcBorders>
                  <w:vAlign w:val="center"/>
                  <w:hideMark/>
                </w:tcPr>
                <w:p w14:paraId="1B0DB40F"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7C16D8D"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294ACB6" w14:textId="77777777" w:rsidR="005B1322" w:rsidRDefault="005B1322" w:rsidP="005B1322">
                  <w:pPr>
                    <w:rPr>
                      <w:rFonts w:ascii="Arial" w:hAnsi="Arial" w:cs="Arial"/>
                      <w:b/>
                      <w:bCs/>
                      <w:i/>
                      <w:iCs/>
                      <w:color w:val="000000"/>
                      <w:sz w:val="16"/>
                      <w:szCs w:val="16"/>
                    </w:rPr>
                  </w:pPr>
                </w:p>
              </w:tc>
            </w:tr>
            <w:tr w:rsidR="005B1322" w14:paraId="735CB5F8" w14:textId="77777777" w:rsidTr="005B1322">
              <w:trPr>
                <w:trHeight w:val="300"/>
              </w:trPr>
              <w:tc>
                <w:tcPr>
                  <w:tcW w:w="2400" w:type="dxa"/>
                  <w:tcBorders>
                    <w:top w:val="nil"/>
                    <w:left w:val="single" w:sz="8" w:space="0" w:color="auto"/>
                    <w:bottom w:val="single" w:sz="4" w:space="0" w:color="auto"/>
                    <w:right w:val="single" w:sz="4" w:space="0" w:color="auto"/>
                  </w:tcBorders>
                  <w:vAlign w:val="center"/>
                  <w:hideMark/>
                </w:tcPr>
                <w:p w14:paraId="5E3AB377"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w:t>
                  </w:r>
                </w:p>
              </w:tc>
              <w:tc>
                <w:tcPr>
                  <w:tcW w:w="1420" w:type="dxa"/>
                  <w:tcBorders>
                    <w:top w:val="nil"/>
                    <w:left w:val="nil"/>
                    <w:bottom w:val="single" w:sz="4" w:space="0" w:color="auto"/>
                    <w:right w:val="single" w:sz="4" w:space="0" w:color="auto"/>
                  </w:tcBorders>
                  <w:vAlign w:val="center"/>
                  <w:hideMark/>
                </w:tcPr>
                <w:p w14:paraId="0D03B2A0"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29 (4,7%)</w:t>
                  </w:r>
                </w:p>
              </w:tc>
              <w:tc>
                <w:tcPr>
                  <w:tcW w:w="1200" w:type="dxa"/>
                  <w:tcBorders>
                    <w:top w:val="nil"/>
                    <w:left w:val="nil"/>
                    <w:bottom w:val="single" w:sz="4" w:space="0" w:color="auto"/>
                    <w:right w:val="single" w:sz="4" w:space="0" w:color="auto"/>
                  </w:tcBorders>
                  <w:vAlign w:val="center"/>
                  <w:hideMark/>
                </w:tcPr>
                <w:p w14:paraId="61E86828"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4 (1,2%)</w:t>
                  </w:r>
                </w:p>
              </w:tc>
              <w:tc>
                <w:tcPr>
                  <w:tcW w:w="1200" w:type="dxa"/>
                  <w:tcBorders>
                    <w:top w:val="nil"/>
                    <w:left w:val="nil"/>
                    <w:bottom w:val="single" w:sz="4" w:space="0" w:color="auto"/>
                    <w:right w:val="single" w:sz="4" w:space="0" w:color="auto"/>
                  </w:tcBorders>
                  <w:vAlign w:val="center"/>
                  <w:hideMark/>
                </w:tcPr>
                <w:p w14:paraId="2BF0C40A"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3 (1</w:t>
                  </w:r>
                  <w:r w:rsidR="002104AE">
                    <w:rPr>
                      <w:rFonts w:ascii="Arial" w:hAnsi="Arial" w:cs="Arial"/>
                      <w:i/>
                      <w:iCs/>
                      <w:color w:val="000000"/>
                      <w:sz w:val="16"/>
                      <w:szCs w:val="16"/>
                    </w:rPr>
                    <w:t>;</w:t>
                  </w:r>
                  <w:r>
                    <w:rPr>
                      <w:rFonts w:ascii="Arial" w:hAnsi="Arial" w:cs="Arial"/>
                      <w:i/>
                      <w:iCs/>
                      <w:color w:val="000000"/>
                      <w:sz w:val="16"/>
                      <w:szCs w:val="16"/>
                    </w:rPr>
                    <w:t>5)</w:t>
                  </w:r>
                </w:p>
              </w:tc>
              <w:tc>
                <w:tcPr>
                  <w:tcW w:w="1200" w:type="dxa"/>
                  <w:tcBorders>
                    <w:top w:val="nil"/>
                    <w:left w:val="nil"/>
                    <w:bottom w:val="single" w:sz="4" w:space="0" w:color="auto"/>
                    <w:right w:val="single" w:sz="4" w:space="0" w:color="auto"/>
                  </w:tcBorders>
                  <w:vAlign w:val="center"/>
                  <w:hideMark/>
                </w:tcPr>
                <w:p w14:paraId="4E9D70A0"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0.0067</w:t>
                  </w:r>
                </w:p>
              </w:tc>
              <w:tc>
                <w:tcPr>
                  <w:tcW w:w="1200" w:type="dxa"/>
                  <w:tcBorders>
                    <w:top w:val="nil"/>
                    <w:left w:val="nil"/>
                    <w:bottom w:val="single" w:sz="4" w:space="0" w:color="auto"/>
                    <w:right w:val="single" w:sz="8" w:space="0" w:color="auto"/>
                  </w:tcBorders>
                  <w:vAlign w:val="center"/>
                  <w:hideMark/>
                </w:tcPr>
                <w:p w14:paraId="08F67E6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29 (18</w:t>
                  </w:r>
                  <w:r w:rsidR="002104AE">
                    <w:rPr>
                      <w:rFonts w:ascii="Arial" w:hAnsi="Arial" w:cs="Arial"/>
                      <w:i/>
                      <w:iCs/>
                      <w:color w:val="000000"/>
                      <w:sz w:val="16"/>
                      <w:szCs w:val="16"/>
                    </w:rPr>
                    <w:t>;</w:t>
                  </w:r>
                  <w:r>
                    <w:rPr>
                      <w:rFonts w:ascii="Arial" w:hAnsi="Arial" w:cs="Arial"/>
                      <w:i/>
                      <w:iCs/>
                      <w:color w:val="000000"/>
                      <w:sz w:val="16"/>
                      <w:szCs w:val="16"/>
                    </w:rPr>
                    <w:t>73)</w:t>
                  </w:r>
                </w:p>
              </w:tc>
            </w:tr>
            <w:tr w:rsidR="005B1322" w14:paraId="1E6FA10A" w14:textId="77777777" w:rsidTr="005B1322">
              <w:trPr>
                <w:trHeight w:val="300"/>
              </w:trPr>
              <w:tc>
                <w:tcPr>
                  <w:tcW w:w="2400" w:type="dxa"/>
                  <w:tcBorders>
                    <w:top w:val="nil"/>
                    <w:left w:val="single" w:sz="8" w:space="0" w:color="auto"/>
                    <w:bottom w:val="single" w:sz="4" w:space="0" w:color="auto"/>
                    <w:right w:val="single" w:sz="4" w:space="0" w:color="auto"/>
                  </w:tcBorders>
                  <w:vAlign w:val="center"/>
                  <w:hideMark/>
                </w:tcPr>
                <w:p w14:paraId="46BDE8E6"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2</w:t>
                  </w:r>
                </w:p>
              </w:tc>
              <w:tc>
                <w:tcPr>
                  <w:tcW w:w="1420" w:type="dxa"/>
                  <w:tcBorders>
                    <w:top w:val="nil"/>
                    <w:left w:val="nil"/>
                    <w:bottom w:val="single" w:sz="4" w:space="0" w:color="auto"/>
                    <w:right w:val="single" w:sz="4" w:space="0" w:color="auto"/>
                  </w:tcBorders>
                  <w:vAlign w:val="center"/>
                  <w:hideMark/>
                </w:tcPr>
                <w:p w14:paraId="7E9C987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110 (17,7%)</w:t>
                  </w:r>
                </w:p>
              </w:tc>
              <w:tc>
                <w:tcPr>
                  <w:tcW w:w="1200" w:type="dxa"/>
                  <w:tcBorders>
                    <w:top w:val="nil"/>
                    <w:left w:val="nil"/>
                    <w:bottom w:val="single" w:sz="4" w:space="0" w:color="auto"/>
                    <w:right w:val="single" w:sz="4" w:space="0" w:color="auto"/>
                  </w:tcBorders>
                  <w:vAlign w:val="center"/>
                  <w:hideMark/>
                </w:tcPr>
                <w:p w14:paraId="58930AEA"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10 (3,1%)</w:t>
                  </w:r>
                </w:p>
              </w:tc>
              <w:tc>
                <w:tcPr>
                  <w:tcW w:w="1200" w:type="dxa"/>
                  <w:tcBorders>
                    <w:top w:val="nil"/>
                    <w:left w:val="nil"/>
                    <w:bottom w:val="single" w:sz="4" w:space="0" w:color="auto"/>
                    <w:right w:val="single" w:sz="4" w:space="0" w:color="auto"/>
                  </w:tcBorders>
                  <w:vAlign w:val="center"/>
                  <w:hideMark/>
                </w:tcPr>
                <w:p w14:paraId="1C1697A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15 (11</w:t>
                  </w:r>
                  <w:r w:rsidR="002104AE">
                    <w:rPr>
                      <w:rFonts w:ascii="Arial" w:hAnsi="Arial" w:cs="Arial"/>
                      <w:i/>
                      <w:iCs/>
                      <w:color w:val="000000"/>
                      <w:sz w:val="16"/>
                      <w:szCs w:val="16"/>
                    </w:rPr>
                    <w:t>;</w:t>
                  </w:r>
                  <w:r>
                    <w:rPr>
                      <w:rFonts w:ascii="Arial" w:hAnsi="Arial" w:cs="Arial"/>
                      <w:i/>
                      <w:iCs/>
                      <w:color w:val="000000"/>
                      <w:sz w:val="16"/>
                      <w:szCs w:val="16"/>
                    </w:rPr>
                    <w:t>18)</w:t>
                  </w:r>
                </w:p>
              </w:tc>
              <w:tc>
                <w:tcPr>
                  <w:tcW w:w="1200" w:type="dxa"/>
                  <w:tcBorders>
                    <w:top w:val="nil"/>
                    <w:left w:val="nil"/>
                    <w:bottom w:val="single" w:sz="4" w:space="0" w:color="auto"/>
                    <w:right w:val="single" w:sz="4" w:space="0" w:color="auto"/>
                  </w:tcBorders>
                  <w:vAlign w:val="center"/>
                  <w:hideMark/>
                </w:tcPr>
                <w:p w14:paraId="29C41FE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4" w:space="0" w:color="auto"/>
                    <w:right w:val="single" w:sz="8" w:space="0" w:color="auto"/>
                  </w:tcBorders>
                  <w:vAlign w:val="center"/>
                  <w:hideMark/>
                </w:tcPr>
                <w:p w14:paraId="6407E88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7 (5</w:t>
                  </w:r>
                  <w:r w:rsidR="002104AE">
                    <w:rPr>
                      <w:rFonts w:ascii="Arial" w:hAnsi="Arial" w:cs="Arial"/>
                      <w:i/>
                      <w:iCs/>
                      <w:color w:val="000000"/>
                      <w:sz w:val="16"/>
                      <w:szCs w:val="16"/>
                    </w:rPr>
                    <w:t>;</w:t>
                  </w:r>
                  <w:r>
                    <w:rPr>
                      <w:rFonts w:ascii="Arial" w:hAnsi="Arial" w:cs="Arial"/>
                      <w:i/>
                      <w:iCs/>
                      <w:color w:val="000000"/>
                      <w:sz w:val="16"/>
                      <w:szCs w:val="16"/>
                    </w:rPr>
                    <w:t>9)</w:t>
                  </w:r>
                </w:p>
              </w:tc>
            </w:tr>
            <w:tr w:rsidR="005B1322" w14:paraId="199B6BEE" w14:textId="77777777" w:rsidTr="005B1322">
              <w:trPr>
                <w:trHeight w:val="300"/>
              </w:trPr>
              <w:tc>
                <w:tcPr>
                  <w:tcW w:w="2400" w:type="dxa"/>
                  <w:tcBorders>
                    <w:top w:val="nil"/>
                    <w:left w:val="single" w:sz="8" w:space="0" w:color="auto"/>
                    <w:bottom w:val="single" w:sz="4" w:space="0" w:color="auto"/>
                    <w:right w:val="single" w:sz="4" w:space="0" w:color="auto"/>
                  </w:tcBorders>
                  <w:vAlign w:val="center"/>
                  <w:hideMark/>
                </w:tcPr>
                <w:p w14:paraId="3B81BFF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4</w:t>
                  </w:r>
                </w:p>
              </w:tc>
              <w:tc>
                <w:tcPr>
                  <w:tcW w:w="1420" w:type="dxa"/>
                  <w:tcBorders>
                    <w:top w:val="nil"/>
                    <w:left w:val="nil"/>
                    <w:bottom w:val="single" w:sz="4" w:space="0" w:color="auto"/>
                    <w:right w:val="single" w:sz="4" w:space="0" w:color="auto"/>
                  </w:tcBorders>
                  <w:vAlign w:val="center"/>
                  <w:hideMark/>
                </w:tcPr>
                <w:p w14:paraId="7BAF586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170 (27,4%)</w:t>
                  </w:r>
                </w:p>
              </w:tc>
              <w:tc>
                <w:tcPr>
                  <w:tcW w:w="1200" w:type="dxa"/>
                  <w:tcBorders>
                    <w:top w:val="nil"/>
                    <w:left w:val="nil"/>
                    <w:bottom w:val="single" w:sz="4" w:space="0" w:color="auto"/>
                    <w:right w:val="single" w:sz="4" w:space="0" w:color="auto"/>
                  </w:tcBorders>
                  <w:vAlign w:val="center"/>
                  <w:hideMark/>
                </w:tcPr>
                <w:p w14:paraId="10E02FAF"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21 (6,5%)</w:t>
                  </w:r>
                </w:p>
              </w:tc>
              <w:tc>
                <w:tcPr>
                  <w:tcW w:w="1200" w:type="dxa"/>
                  <w:tcBorders>
                    <w:top w:val="nil"/>
                    <w:left w:val="nil"/>
                    <w:bottom w:val="single" w:sz="4" w:space="0" w:color="auto"/>
                    <w:right w:val="single" w:sz="4" w:space="0" w:color="auto"/>
                  </w:tcBorders>
                  <w:vAlign w:val="center"/>
                  <w:hideMark/>
                </w:tcPr>
                <w:p w14:paraId="0391F736"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21(16</w:t>
                  </w:r>
                  <w:r w:rsidR="002104AE">
                    <w:rPr>
                      <w:rFonts w:ascii="Arial" w:hAnsi="Arial" w:cs="Arial"/>
                      <w:i/>
                      <w:iCs/>
                      <w:color w:val="000000"/>
                      <w:sz w:val="16"/>
                      <w:szCs w:val="16"/>
                    </w:rPr>
                    <w:t>;</w:t>
                  </w:r>
                  <w:r>
                    <w:rPr>
                      <w:rFonts w:ascii="Arial" w:hAnsi="Arial" w:cs="Arial"/>
                      <w:i/>
                      <w:iCs/>
                      <w:color w:val="000000"/>
                      <w:sz w:val="16"/>
                      <w:szCs w:val="16"/>
                    </w:rPr>
                    <w:t>25)</w:t>
                  </w:r>
                </w:p>
              </w:tc>
              <w:tc>
                <w:tcPr>
                  <w:tcW w:w="1200" w:type="dxa"/>
                  <w:tcBorders>
                    <w:top w:val="nil"/>
                    <w:left w:val="nil"/>
                    <w:bottom w:val="single" w:sz="4" w:space="0" w:color="auto"/>
                    <w:right w:val="single" w:sz="4" w:space="0" w:color="auto"/>
                  </w:tcBorders>
                  <w:vAlign w:val="center"/>
                  <w:hideMark/>
                </w:tcPr>
                <w:p w14:paraId="11C593A8"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4" w:space="0" w:color="auto"/>
                    <w:right w:val="single" w:sz="8" w:space="0" w:color="auto"/>
                  </w:tcBorders>
                  <w:vAlign w:val="center"/>
                  <w:hideMark/>
                </w:tcPr>
                <w:p w14:paraId="63BE60FB"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5 (4</w:t>
                  </w:r>
                  <w:r w:rsidR="002104AE">
                    <w:rPr>
                      <w:rFonts w:ascii="Arial" w:hAnsi="Arial" w:cs="Arial"/>
                      <w:i/>
                      <w:iCs/>
                      <w:color w:val="000000"/>
                      <w:sz w:val="16"/>
                      <w:szCs w:val="16"/>
                    </w:rPr>
                    <w:t>;</w:t>
                  </w:r>
                  <w:r>
                    <w:rPr>
                      <w:rFonts w:ascii="Arial" w:hAnsi="Arial" w:cs="Arial"/>
                      <w:i/>
                      <w:iCs/>
                      <w:color w:val="000000"/>
                      <w:sz w:val="16"/>
                      <w:szCs w:val="16"/>
                    </w:rPr>
                    <w:t>6)</w:t>
                  </w:r>
                </w:p>
              </w:tc>
            </w:tr>
            <w:tr w:rsidR="005B1322" w14:paraId="2A9EA072" w14:textId="77777777" w:rsidTr="005B1322">
              <w:trPr>
                <w:trHeight w:val="315"/>
              </w:trPr>
              <w:tc>
                <w:tcPr>
                  <w:tcW w:w="2400" w:type="dxa"/>
                  <w:tcBorders>
                    <w:top w:val="nil"/>
                    <w:left w:val="single" w:sz="8" w:space="0" w:color="auto"/>
                    <w:bottom w:val="single" w:sz="8" w:space="0" w:color="auto"/>
                    <w:right w:val="single" w:sz="4" w:space="0" w:color="auto"/>
                  </w:tcBorders>
                  <w:vAlign w:val="center"/>
                  <w:hideMark/>
                </w:tcPr>
                <w:p w14:paraId="7A884EC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tcBorders>
                    <w:top w:val="nil"/>
                    <w:left w:val="nil"/>
                    <w:bottom w:val="single" w:sz="8" w:space="0" w:color="auto"/>
                    <w:right w:val="single" w:sz="4" w:space="0" w:color="auto"/>
                  </w:tcBorders>
                  <w:vAlign w:val="center"/>
                  <w:hideMark/>
                </w:tcPr>
                <w:p w14:paraId="5A42B61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265 (42,7%)</w:t>
                  </w:r>
                </w:p>
              </w:tc>
              <w:tc>
                <w:tcPr>
                  <w:tcW w:w="1200" w:type="dxa"/>
                  <w:tcBorders>
                    <w:top w:val="nil"/>
                    <w:left w:val="nil"/>
                    <w:bottom w:val="single" w:sz="8" w:space="0" w:color="auto"/>
                    <w:right w:val="single" w:sz="4" w:space="0" w:color="auto"/>
                  </w:tcBorders>
                  <w:vAlign w:val="center"/>
                  <w:hideMark/>
                </w:tcPr>
                <w:p w14:paraId="4C50074A"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57 (17,8%)</w:t>
                  </w:r>
                </w:p>
              </w:tc>
              <w:tc>
                <w:tcPr>
                  <w:tcW w:w="1200" w:type="dxa"/>
                  <w:tcBorders>
                    <w:top w:val="nil"/>
                    <w:left w:val="nil"/>
                    <w:bottom w:val="single" w:sz="8" w:space="0" w:color="auto"/>
                    <w:right w:val="single" w:sz="4" w:space="0" w:color="auto"/>
                  </w:tcBorders>
                  <w:vAlign w:val="center"/>
                  <w:hideMark/>
                </w:tcPr>
                <w:p w14:paraId="35347C8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25 (19</w:t>
                  </w:r>
                  <w:r w:rsidR="002104AE">
                    <w:rPr>
                      <w:rFonts w:ascii="Arial" w:hAnsi="Arial" w:cs="Arial"/>
                      <w:i/>
                      <w:iCs/>
                      <w:color w:val="000000"/>
                      <w:sz w:val="16"/>
                      <w:szCs w:val="16"/>
                    </w:rPr>
                    <w:t>;</w:t>
                  </w:r>
                  <w:r>
                    <w:rPr>
                      <w:rFonts w:ascii="Arial" w:hAnsi="Arial" w:cs="Arial"/>
                      <w:i/>
                      <w:iCs/>
                      <w:color w:val="000000"/>
                      <w:sz w:val="16"/>
                      <w:szCs w:val="16"/>
                    </w:rPr>
                    <w:t>31)</w:t>
                  </w:r>
                </w:p>
              </w:tc>
              <w:tc>
                <w:tcPr>
                  <w:tcW w:w="1200" w:type="dxa"/>
                  <w:tcBorders>
                    <w:top w:val="nil"/>
                    <w:left w:val="nil"/>
                    <w:bottom w:val="single" w:sz="4" w:space="0" w:color="auto"/>
                    <w:right w:val="single" w:sz="4" w:space="0" w:color="auto"/>
                  </w:tcBorders>
                  <w:vAlign w:val="center"/>
                  <w:hideMark/>
                </w:tcPr>
                <w:p w14:paraId="399AD875"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8" w:space="0" w:color="auto"/>
                    <w:right w:val="single" w:sz="8" w:space="0" w:color="auto"/>
                  </w:tcBorders>
                  <w:vAlign w:val="center"/>
                  <w:hideMark/>
                </w:tcPr>
                <w:p w14:paraId="046ED2E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4 (3</w:t>
                  </w:r>
                  <w:r w:rsidR="002104AE">
                    <w:rPr>
                      <w:rFonts w:ascii="Arial" w:hAnsi="Arial" w:cs="Arial"/>
                      <w:i/>
                      <w:iCs/>
                      <w:color w:val="000000"/>
                      <w:sz w:val="16"/>
                      <w:szCs w:val="16"/>
                    </w:rPr>
                    <w:t>;</w:t>
                  </w:r>
                  <w:r>
                    <w:rPr>
                      <w:rFonts w:ascii="Arial" w:hAnsi="Arial" w:cs="Arial"/>
                      <w:i/>
                      <w:iCs/>
                      <w:color w:val="000000"/>
                      <w:sz w:val="16"/>
                      <w:szCs w:val="16"/>
                    </w:rPr>
                    <w:t>5)</w:t>
                  </w:r>
                </w:p>
              </w:tc>
            </w:tr>
            <w:tr w:rsidR="005B1322" w14:paraId="52EDE1AC" w14:textId="77777777" w:rsidTr="005B1322">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27E00CB"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Variable secundaria PP NRS &lt;2 </w:t>
                  </w:r>
                </w:p>
              </w:tc>
              <w:tc>
                <w:tcPr>
                  <w:tcW w:w="1420" w:type="dxa"/>
                  <w:tcBorders>
                    <w:top w:val="nil"/>
                    <w:left w:val="nil"/>
                    <w:bottom w:val="nil"/>
                    <w:right w:val="single" w:sz="8" w:space="0" w:color="auto"/>
                  </w:tcBorders>
                  <w:vAlign w:val="center"/>
                  <w:hideMark/>
                </w:tcPr>
                <w:p w14:paraId="56F13B3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nil"/>
                    <w:left w:val="nil"/>
                    <w:bottom w:val="nil"/>
                    <w:right w:val="single" w:sz="8" w:space="0" w:color="auto"/>
                  </w:tcBorders>
                  <w:vAlign w:val="center"/>
                  <w:hideMark/>
                </w:tcPr>
                <w:p w14:paraId="7F7AAF02"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nil"/>
                    <w:left w:val="single" w:sz="8" w:space="0" w:color="auto"/>
                    <w:bottom w:val="single" w:sz="8" w:space="0" w:color="000000"/>
                    <w:right w:val="single" w:sz="8" w:space="0" w:color="auto"/>
                  </w:tcBorders>
                  <w:vAlign w:val="center"/>
                  <w:hideMark/>
                </w:tcPr>
                <w:p w14:paraId="2098D8BD"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22BF8BA0"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nil"/>
                    <w:left w:val="single" w:sz="8" w:space="0" w:color="auto"/>
                    <w:bottom w:val="single" w:sz="8" w:space="0" w:color="000000"/>
                    <w:right w:val="single" w:sz="8" w:space="0" w:color="auto"/>
                  </w:tcBorders>
                  <w:vAlign w:val="center"/>
                  <w:hideMark/>
                </w:tcPr>
                <w:p w14:paraId="295C3F1C"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5FD07957" w14:textId="77777777" w:rsidTr="005B1322">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0AF76EC9" w14:textId="77777777" w:rsidR="005B1322" w:rsidRDefault="005B1322" w:rsidP="005B1322">
                  <w:pPr>
                    <w:rPr>
                      <w:rFonts w:ascii="Arial" w:hAnsi="Arial" w:cs="Arial"/>
                      <w:b/>
                      <w:bCs/>
                      <w:i/>
                      <w:iCs/>
                      <w:color w:val="000000"/>
                      <w:sz w:val="16"/>
                      <w:szCs w:val="16"/>
                    </w:rPr>
                  </w:pPr>
                </w:p>
              </w:tc>
              <w:tc>
                <w:tcPr>
                  <w:tcW w:w="1420" w:type="dxa"/>
                  <w:tcBorders>
                    <w:top w:val="nil"/>
                    <w:left w:val="nil"/>
                    <w:bottom w:val="single" w:sz="8" w:space="0" w:color="auto"/>
                    <w:right w:val="single" w:sz="8" w:space="0" w:color="auto"/>
                  </w:tcBorders>
                  <w:vAlign w:val="center"/>
                  <w:hideMark/>
                </w:tcPr>
                <w:p w14:paraId="5161CCB1"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(620)</w:t>
                  </w:r>
                </w:p>
              </w:tc>
              <w:tc>
                <w:tcPr>
                  <w:tcW w:w="1200" w:type="dxa"/>
                  <w:tcBorders>
                    <w:top w:val="nil"/>
                    <w:left w:val="nil"/>
                    <w:bottom w:val="single" w:sz="8" w:space="0" w:color="auto"/>
                    <w:right w:val="single" w:sz="8" w:space="0" w:color="auto"/>
                  </w:tcBorders>
                  <w:vAlign w:val="center"/>
                  <w:hideMark/>
                </w:tcPr>
                <w:p w14:paraId="2FF67A91"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(321)</w:t>
                  </w:r>
                </w:p>
              </w:tc>
              <w:tc>
                <w:tcPr>
                  <w:tcW w:w="1200" w:type="dxa"/>
                  <w:vMerge/>
                  <w:tcBorders>
                    <w:top w:val="nil"/>
                    <w:left w:val="single" w:sz="8" w:space="0" w:color="auto"/>
                    <w:bottom w:val="single" w:sz="8" w:space="0" w:color="000000"/>
                    <w:right w:val="single" w:sz="8" w:space="0" w:color="auto"/>
                  </w:tcBorders>
                  <w:vAlign w:val="center"/>
                  <w:hideMark/>
                </w:tcPr>
                <w:p w14:paraId="1DC8E578"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3F17E970"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363340C" w14:textId="77777777" w:rsidR="005B1322" w:rsidRDefault="005B1322" w:rsidP="005B1322">
                  <w:pPr>
                    <w:rPr>
                      <w:rFonts w:ascii="Arial" w:hAnsi="Arial" w:cs="Arial"/>
                      <w:b/>
                      <w:bCs/>
                      <w:i/>
                      <w:iCs/>
                      <w:color w:val="000000"/>
                      <w:sz w:val="16"/>
                      <w:szCs w:val="16"/>
                    </w:rPr>
                  </w:pPr>
                </w:p>
              </w:tc>
            </w:tr>
            <w:tr w:rsidR="005B1322" w14:paraId="5C6A44E4" w14:textId="77777777" w:rsidTr="005B1322">
              <w:trPr>
                <w:trHeight w:val="315"/>
              </w:trPr>
              <w:tc>
                <w:tcPr>
                  <w:tcW w:w="2400" w:type="dxa"/>
                  <w:tcBorders>
                    <w:top w:val="nil"/>
                    <w:left w:val="single" w:sz="8" w:space="0" w:color="auto"/>
                    <w:bottom w:val="single" w:sz="4" w:space="0" w:color="auto"/>
                    <w:right w:val="single" w:sz="4" w:space="0" w:color="auto"/>
                  </w:tcBorders>
                  <w:vAlign w:val="center"/>
                  <w:hideMark/>
                </w:tcPr>
                <w:p w14:paraId="5BCBD54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4</w:t>
                  </w:r>
                </w:p>
              </w:tc>
              <w:tc>
                <w:tcPr>
                  <w:tcW w:w="1420" w:type="dxa"/>
                  <w:tcBorders>
                    <w:top w:val="nil"/>
                    <w:left w:val="nil"/>
                    <w:bottom w:val="single" w:sz="4" w:space="0" w:color="auto"/>
                    <w:right w:val="single" w:sz="4" w:space="0" w:color="auto"/>
                  </w:tcBorders>
                  <w:vAlign w:val="center"/>
                  <w:hideMark/>
                </w:tcPr>
                <w:p w14:paraId="35C2A485"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99 (16%)</w:t>
                  </w:r>
                </w:p>
              </w:tc>
              <w:tc>
                <w:tcPr>
                  <w:tcW w:w="1200" w:type="dxa"/>
                  <w:tcBorders>
                    <w:top w:val="nil"/>
                    <w:left w:val="nil"/>
                    <w:bottom w:val="single" w:sz="4" w:space="0" w:color="auto"/>
                    <w:right w:val="nil"/>
                  </w:tcBorders>
                  <w:vAlign w:val="center"/>
                  <w:hideMark/>
                </w:tcPr>
                <w:p w14:paraId="072E48FA"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12 (3,7%)</w:t>
                  </w:r>
                </w:p>
              </w:tc>
              <w:tc>
                <w:tcPr>
                  <w:tcW w:w="1200" w:type="dxa"/>
                  <w:tcBorders>
                    <w:top w:val="nil"/>
                    <w:left w:val="single" w:sz="4" w:space="0" w:color="auto"/>
                    <w:bottom w:val="single" w:sz="4" w:space="0" w:color="auto"/>
                    <w:right w:val="single" w:sz="4" w:space="0" w:color="auto"/>
                  </w:tcBorders>
                  <w:vAlign w:val="center"/>
                  <w:hideMark/>
                </w:tcPr>
                <w:p w14:paraId="15B25D50"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12 (9</w:t>
                  </w:r>
                  <w:r w:rsidR="002104AE">
                    <w:rPr>
                      <w:rFonts w:ascii="Arial" w:hAnsi="Arial" w:cs="Arial"/>
                      <w:i/>
                      <w:iCs/>
                      <w:color w:val="000000"/>
                      <w:sz w:val="16"/>
                      <w:szCs w:val="16"/>
                    </w:rPr>
                    <w:t>;</w:t>
                  </w:r>
                  <w:r>
                    <w:rPr>
                      <w:rFonts w:ascii="Arial" w:hAnsi="Arial" w:cs="Arial"/>
                      <w:i/>
                      <w:iCs/>
                      <w:color w:val="000000"/>
                      <w:sz w:val="16"/>
                      <w:szCs w:val="16"/>
                    </w:rPr>
                    <w:t>16)</w:t>
                  </w:r>
                </w:p>
              </w:tc>
              <w:tc>
                <w:tcPr>
                  <w:tcW w:w="1200" w:type="dxa"/>
                  <w:tcBorders>
                    <w:top w:val="single" w:sz="4" w:space="0" w:color="auto"/>
                    <w:left w:val="nil"/>
                    <w:bottom w:val="single" w:sz="4" w:space="0" w:color="auto"/>
                    <w:right w:val="single" w:sz="4" w:space="0" w:color="auto"/>
                  </w:tcBorders>
                  <w:vAlign w:val="center"/>
                  <w:hideMark/>
                </w:tcPr>
                <w:p w14:paraId="76B28C4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4" w:space="0" w:color="auto"/>
                    <w:right w:val="single" w:sz="4" w:space="0" w:color="auto"/>
                  </w:tcBorders>
                  <w:vAlign w:val="center"/>
                  <w:hideMark/>
                </w:tcPr>
                <w:p w14:paraId="3ABC1479"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8 (6</w:t>
                  </w:r>
                  <w:r w:rsidR="002104AE">
                    <w:rPr>
                      <w:rFonts w:ascii="Arial" w:hAnsi="Arial" w:cs="Arial"/>
                      <w:i/>
                      <w:iCs/>
                      <w:color w:val="000000"/>
                      <w:sz w:val="16"/>
                      <w:szCs w:val="16"/>
                    </w:rPr>
                    <w:t>;</w:t>
                  </w:r>
                  <w:r>
                    <w:rPr>
                      <w:rFonts w:ascii="Arial" w:hAnsi="Arial" w:cs="Arial"/>
                      <w:i/>
                      <w:iCs/>
                      <w:color w:val="000000"/>
                      <w:sz w:val="16"/>
                      <w:szCs w:val="16"/>
                    </w:rPr>
                    <w:t>12</w:t>
                  </w:r>
                  <w:r>
                    <w:rPr>
                      <w:rFonts w:ascii="Arial" w:hAnsi="Arial" w:cs="Arial"/>
                      <w:color w:val="000000"/>
                      <w:sz w:val="16"/>
                      <w:szCs w:val="16"/>
                    </w:rPr>
                    <w:t>)</w:t>
                  </w:r>
                </w:p>
              </w:tc>
            </w:tr>
            <w:tr w:rsidR="005B1322" w14:paraId="41222348" w14:textId="77777777" w:rsidTr="005B1322">
              <w:trPr>
                <w:trHeight w:val="315"/>
              </w:trPr>
              <w:tc>
                <w:tcPr>
                  <w:tcW w:w="2400" w:type="dxa"/>
                  <w:tcBorders>
                    <w:top w:val="nil"/>
                    <w:left w:val="single" w:sz="8" w:space="0" w:color="auto"/>
                    <w:bottom w:val="single" w:sz="8" w:space="0" w:color="auto"/>
                    <w:right w:val="single" w:sz="4" w:space="0" w:color="auto"/>
                  </w:tcBorders>
                  <w:vAlign w:val="center"/>
                  <w:hideMark/>
                </w:tcPr>
                <w:p w14:paraId="73E1BDF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tcBorders>
                    <w:top w:val="nil"/>
                    <w:left w:val="nil"/>
                    <w:bottom w:val="single" w:sz="8" w:space="0" w:color="auto"/>
                    <w:right w:val="single" w:sz="4" w:space="0" w:color="auto"/>
                  </w:tcBorders>
                  <w:vAlign w:val="center"/>
                  <w:hideMark/>
                </w:tcPr>
                <w:p w14:paraId="3642609D"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190(30,6%)</w:t>
                  </w:r>
                </w:p>
              </w:tc>
              <w:tc>
                <w:tcPr>
                  <w:tcW w:w="1200" w:type="dxa"/>
                  <w:tcBorders>
                    <w:top w:val="nil"/>
                    <w:left w:val="nil"/>
                    <w:bottom w:val="single" w:sz="8" w:space="0" w:color="auto"/>
                    <w:right w:val="single" w:sz="4" w:space="0" w:color="auto"/>
                  </w:tcBorders>
                  <w:vAlign w:val="center"/>
                  <w:hideMark/>
                </w:tcPr>
                <w:p w14:paraId="2B812873"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36 (11,2%)</w:t>
                  </w:r>
                </w:p>
              </w:tc>
              <w:tc>
                <w:tcPr>
                  <w:tcW w:w="1200" w:type="dxa"/>
                  <w:tcBorders>
                    <w:top w:val="nil"/>
                    <w:left w:val="nil"/>
                    <w:bottom w:val="single" w:sz="4" w:space="0" w:color="auto"/>
                    <w:right w:val="single" w:sz="4" w:space="0" w:color="auto"/>
                  </w:tcBorders>
                  <w:vAlign w:val="center"/>
                  <w:hideMark/>
                </w:tcPr>
                <w:p w14:paraId="14F98D36"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19 (14</w:t>
                  </w:r>
                  <w:r w:rsidR="002104AE">
                    <w:rPr>
                      <w:rFonts w:ascii="Arial" w:hAnsi="Arial" w:cs="Arial"/>
                      <w:i/>
                      <w:iCs/>
                      <w:color w:val="000000"/>
                      <w:sz w:val="16"/>
                      <w:szCs w:val="16"/>
                    </w:rPr>
                    <w:t>;</w:t>
                  </w:r>
                  <w:r>
                    <w:rPr>
                      <w:rFonts w:ascii="Arial" w:hAnsi="Arial" w:cs="Arial"/>
                      <w:i/>
                      <w:iCs/>
                      <w:color w:val="000000"/>
                      <w:sz w:val="16"/>
                      <w:szCs w:val="16"/>
                    </w:rPr>
                    <w:t>24)</w:t>
                  </w:r>
                </w:p>
              </w:tc>
              <w:tc>
                <w:tcPr>
                  <w:tcW w:w="1200" w:type="dxa"/>
                  <w:tcBorders>
                    <w:top w:val="nil"/>
                    <w:left w:val="nil"/>
                    <w:bottom w:val="single" w:sz="4" w:space="0" w:color="auto"/>
                    <w:right w:val="single" w:sz="4" w:space="0" w:color="auto"/>
                  </w:tcBorders>
                  <w:vAlign w:val="center"/>
                  <w:hideMark/>
                </w:tcPr>
                <w:p w14:paraId="44AB0465"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4" w:space="0" w:color="auto"/>
                    <w:right w:val="single" w:sz="4" w:space="0" w:color="auto"/>
                  </w:tcBorders>
                  <w:vAlign w:val="center"/>
                  <w:hideMark/>
                </w:tcPr>
                <w:p w14:paraId="6FD45DDF"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5 (4</w:t>
                  </w:r>
                  <w:r w:rsidR="002104AE">
                    <w:rPr>
                      <w:rFonts w:ascii="Arial" w:hAnsi="Arial" w:cs="Arial"/>
                      <w:i/>
                      <w:iCs/>
                      <w:color w:val="000000"/>
                      <w:sz w:val="16"/>
                      <w:szCs w:val="16"/>
                    </w:rPr>
                    <w:t>;</w:t>
                  </w:r>
                  <w:r>
                    <w:rPr>
                      <w:rFonts w:ascii="Arial" w:hAnsi="Arial" w:cs="Arial"/>
                      <w:i/>
                      <w:iCs/>
                      <w:color w:val="000000"/>
                      <w:sz w:val="16"/>
                      <w:szCs w:val="16"/>
                    </w:rPr>
                    <w:t>7)</w:t>
                  </w:r>
                </w:p>
              </w:tc>
            </w:tr>
            <w:tr w:rsidR="005B1322" w14:paraId="3E265A3B" w14:textId="77777777" w:rsidTr="005B1322">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5B050F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Variable secundaria: mejora SD NRS  ≥4 en la semana 16</w:t>
                  </w:r>
                </w:p>
              </w:tc>
              <w:tc>
                <w:tcPr>
                  <w:tcW w:w="1420" w:type="dxa"/>
                  <w:tcBorders>
                    <w:top w:val="nil"/>
                    <w:left w:val="nil"/>
                    <w:bottom w:val="nil"/>
                    <w:right w:val="single" w:sz="8" w:space="0" w:color="auto"/>
                  </w:tcBorders>
                  <w:vAlign w:val="center"/>
                  <w:hideMark/>
                </w:tcPr>
                <w:p w14:paraId="681E8BA3"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nil"/>
                    <w:left w:val="nil"/>
                    <w:bottom w:val="nil"/>
                    <w:right w:val="single" w:sz="8" w:space="0" w:color="auto"/>
                  </w:tcBorders>
                  <w:vAlign w:val="center"/>
                  <w:hideMark/>
                </w:tcPr>
                <w:p w14:paraId="76DFD4BD"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03F13F6A"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591A7696"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6744315B"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6D1A82CE" w14:textId="77777777" w:rsidTr="005B1322">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60607208" w14:textId="77777777" w:rsidR="005B1322" w:rsidRDefault="005B1322" w:rsidP="005B1322">
                  <w:pPr>
                    <w:rPr>
                      <w:rFonts w:ascii="Arial" w:hAnsi="Arial" w:cs="Arial"/>
                      <w:b/>
                      <w:bCs/>
                      <w:i/>
                      <w:iCs/>
                      <w:color w:val="000000"/>
                      <w:sz w:val="16"/>
                      <w:szCs w:val="16"/>
                    </w:rPr>
                  </w:pPr>
                </w:p>
              </w:tc>
              <w:tc>
                <w:tcPr>
                  <w:tcW w:w="1420" w:type="dxa"/>
                  <w:tcBorders>
                    <w:top w:val="nil"/>
                    <w:left w:val="nil"/>
                    <w:bottom w:val="single" w:sz="8" w:space="0" w:color="auto"/>
                    <w:right w:val="single" w:sz="8" w:space="0" w:color="auto"/>
                  </w:tcBorders>
                  <w:vAlign w:val="center"/>
                  <w:hideMark/>
                </w:tcPr>
                <w:p w14:paraId="6F038C9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(620)</w:t>
                  </w:r>
                </w:p>
              </w:tc>
              <w:tc>
                <w:tcPr>
                  <w:tcW w:w="1200" w:type="dxa"/>
                  <w:tcBorders>
                    <w:top w:val="nil"/>
                    <w:left w:val="nil"/>
                    <w:bottom w:val="single" w:sz="8" w:space="0" w:color="auto"/>
                    <w:right w:val="single" w:sz="8" w:space="0" w:color="auto"/>
                  </w:tcBorders>
                  <w:vAlign w:val="center"/>
                  <w:hideMark/>
                </w:tcPr>
                <w:p w14:paraId="7636A94B"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(321)</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2A099410"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4C82005B"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32547508" w14:textId="77777777" w:rsidR="005B1322" w:rsidRDefault="005B1322" w:rsidP="005B1322">
                  <w:pPr>
                    <w:rPr>
                      <w:rFonts w:ascii="Arial" w:hAnsi="Arial" w:cs="Arial"/>
                      <w:b/>
                      <w:bCs/>
                      <w:i/>
                      <w:iCs/>
                      <w:color w:val="000000"/>
                      <w:sz w:val="16"/>
                      <w:szCs w:val="16"/>
                    </w:rPr>
                  </w:pPr>
                </w:p>
              </w:tc>
            </w:tr>
            <w:tr w:rsidR="005B1322" w14:paraId="266B2061" w14:textId="77777777" w:rsidTr="005B1322">
              <w:trPr>
                <w:trHeight w:val="315"/>
              </w:trPr>
              <w:tc>
                <w:tcPr>
                  <w:tcW w:w="2400" w:type="dxa"/>
                  <w:tcBorders>
                    <w:top w:val="nil"/>
                    <w:left w:val="single" w:sz="4" w:space="0" w:color="auto"/>
                    <w:bottom w:val="single" w:sz="4" w:space="0" w:color="auto"/>
                    <w:right w:val="single" w:sz="4" w:space="0" w:color="auto"/>
                  </w:tcBorders>
                  <w:vAlign w:val="center"/>
                  <w:hideMark/>
                </w:tcPr>
                <w:p w14:paraId="2D18FCF1"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tcBorders>
                    <w:top w:val="nil"/>
                    <w:left w:val="nil"/>
                    <w:bottom w:val="single" w:sz="4" w:space="0" w:color="auto"/>
                    <w:right w:val="single" w:sz="4" w:space="0" w:color="auto"/>
                  </w:tcBorders>
                  <w:vAlign w:val="center"/>
                  <w:hideMark/>
                </w:tcPr>
                <w:p w14:paraId="32AC76C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235 (37,9%)</w:t>
                  </w:r>
                </w:p>
              </w:tc>
              <w:tc>
                <w:tcPr>
                  <w:tcW w:w="1200" w:type="dxa"/>
                  <w:tcBorders>
                    <w:top w:val="nil"/>
                    <w:left w:val="nil"/>
                    <w:bottom w:val="single" w:sz="4" w:space="0" w:color="auto"/>
                    <w:right w:val="single" w:sz="4" w:space="0" w:color="auto"/>
                  </w:tcBorders>
                  <w:vAlign w:val="center"/>
                  <w:hideMark/>
                </w:tcPr>
                <w:p w14:paraId="1D567ABB"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64 (19,9%)</w:t>
                  </w:r>
                </w:p>
              </w:tc>
              <w:tc>
                <w:tcPr>
                  <w:tcW w:w="1200" w:type="dxa"/>
                  <w:tcBorders>
                    <w:top w:val="nil"/>
                    <w:left w:val="nil"/>
                    <w:bottom w:val="single" w:sz="4" w:space="0" w:color="auto"/>
                    <w:right w:val="single" w:sz="4" w:space="0" w:color="auto"/>
                  </w:tcBorders>
                  <w:vAlign w:val="center"/>
                  <w:hideMark/>
                </w:tcPr>
                <w:p w14:paraId="19AF0CC3"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18 (12</w:t>
                  </w:r>
                  <w:r w:rsidR="002104AE">
                    <w:rPr>
                      <w:rFonts w:ascii="Arial" w:hAnsi="Arial" w:cs="Arial"/>
                      <w:i/>
                      <w:iCs/>
                      <w:color w:val="000000"/>
                      <w:sz w:val="16"/>
                      <w:szCs w:val="16"/>
                    </w:rPr>
                    <w:t>;</w:t>
                  </w:r>
                  <w:r>
                    <w:rPr>
                      <w:rFonts w:ascii="Arial" w:hAnsi="Arial" w:cs="Arial"/>
                      <w:i/>
                      <w:iCs/>
                      <w:color w:val="000000"/>
                      <w:sz w:val="16"/>
                      <w:szCs w:val="16"/>
                    </w:rPr>
                    <w:t>24)</w:t>
                  </w:r>
                </w:p>
              </w:tc>
              <w:tc>
                <w:tcPr>
                  <w:tcW w:w="1200" w:type="dxa"/>
                  <w:tcBorders>
                    <w:top w:val="single" w:sz="4" w:space="0" w:color="auto"/>
                    <w:left w:val="nil"/>
                    <w:bottom w:val="single" w:sz="4" w:space="0" w:color="auto"/>
                    <w:right w:val="single" w:sz="4" w:space="0" w:color="auto"/>
                  </w:tcBorders>
                  <w:vAlign w:val="center"/>
                  <w:hideMark/>
                </w:tcPr>
                <w:p w14:paraId="6B894A7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4" w:space="0" w:color="auto"/>
                    <w:right w:val="single" w:sz="4" w:space="0" w:color="auto"/>
                  </w:tcBorders>
                  <w:vAlign w:val="center"/>
                  <w:hideMark/>
                </w:tcPr>
                <w:p w14:paraId="0CFB795A"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6 (4</w:t>
                  </w:r>
                  <w:r w:rsidR="002104AE">
                    <w:rPr>
                      <w:rFonts w:ascii="Arial" w:hAnsi="Arial" w:cs="Arial"/>
                      <w:i/>
                      <w:iCs/>
                      <w:color w:val="000000"/>
                      <w:sz w:val="16"/>
                      <w:szCs w:val="16"/>
                    </w:rPr>
                    <w:t>;</w:t>
                  </w:r>
                  <w:r>
                    <w:rPr>
                      <w:rFonts w:ascii="Arial" w:hAnsi="Arial" w:cs="Arial"/>
                      <w:i/>
                      <w:iCs/>
                      <w:color w:val="000000"/>
                      <w:sz w:val="16"/>
                      <w:szCs w:val="16"/>
                    </w:rPr>
                    <w:t>8)</w:t>
                  </w:r>
                </w:p>
              </w:tc>
            </w:tr>
            <w:tr w:rsidR="005B1322" w14:paraId="75E86A4D" w14:textId="77777777" w:rsidTr="005B1322">
              <w:trPr>
                <w:trHeight w:val="420"/>
              </w:trPr>
              <w:tc>
                <w:tcPr>
                  <w:tcW w:w="24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6C5E2E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Variable secundaria EASI 75 y PP NRS ≥4</w:t>
                  </w:r>
                </w:p>
              </w:tc>
              <w:tc>
                <w:tcPr>
                  <w:tcW w:w="1420" w:type="dxa"/>
                  <w:tcBorders>
                    <w:top w:val="single" w:sz="8" w:space="0" w:color="auto"/>
                    <w:left w:val="nil"/>
                    <w:bottom w:val="nil"/>
                    <w:right w:val="single" w:sz="8" w:space="0" w:color="auto"/>
                  </w:tcBorders>
                  <w:vAlign w:val="center"/>
                  <w:hideMark/>
                </w:tcPr>
                <w:p w14:paraId="209FBF6C"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single" w:sz="8" w:space="0" w:color="auto"/>
                    <w:left w:val="nil"/>
                    <w:bottom w:val="nil"/>
                    <w:right w:val="single" w:sz="8" w:space="0" w:color="auto"/>
                  </w:tcBorders>
                  <w:vAlign w:val="center"/>
                  <w:hideMark/>
                </w:tcPr>
                <w:p w14:paraId="2B7F488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4D0F63E0"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62775E9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1875AFDD"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12C17215" w14:textId="77777777" w:rsidTr="005B1322">
              <w:trPr>
                <w:trHeight w:val="31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704314F0" w14:textId="77777777" w:rsidR="005B1322" w:rsidRDefault="005B1322" w:rsidP="005B1322">
                  <w:pPr>
                    <w:rPr>
                      <w:rFonts w:ascii="Arial" w:hAnsi="Arial" w:cs="Arial"/>
                      <w:b/>
                      <w:bCs/>
                      <w:i/>
                      <w:iCs/>
                      <w:color w:val="000000"/>
                      <w:sz w:val="16"/>
                      <w:szCs w:val="16"/>
                    </w:rPr>
                  </w:pPr>
                </w:p>
              </w:tc>
              <w:tc>
                <w:tcPr>
                  <w:tcW w:w="1420" w:type="dxa"/>
                  <w:tcBorders>
                    <w:top w:val="nil"/>
                    <w:left w:val="nil"/>
                    <w:bottom w:val="single" w:sz="8" w:space="0" w:color="auto"/>
                    <w:right w:val="single" w:sz="8" w:space="0" w:color="auto"/>
                  </w:tcBorders>
                  <w:vAlign w:val="center"/>
                  <w:hideMark/>
                </w:tcPr>
                <w:p w14:paraId="58873CE3"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(620)</w:t>
                  </w:r>
                </w:p>
              </w:tc>
              <w:tc>
                <w:tcPr>
                  <w:tcW w:w="1200" w:type="dxa"/>
                  <w:tcBorders>
                    <w:top w:val="nil"/>
                    <w:left w:val="nil"/>
                    <w:bottom w:val="single" w:sz="8" w:space="0" w:color="auto"/>
                    <w:right w:val="single" w:sz="8" w:space="0" w:color="auto"/>
                  </w:tcBorders>
                  <w:vAlign w:val="center"/>
                  <w:hideMark/>
                </w:tcPr>
                <w:p w14:paraId="5737BA7D"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(321)</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FFA2814"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AE03281"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55FE2AEC" w14:textId="77777777" w:rsidR="005B1322" w:rsidRDefault="005B1322" w:rsidP="005B1322">
                  <w:pPr>
                    <w:rPr>
                      <w:rFonts w:ascii="Arial" w:hAnsi="Arial" w:cs="Arial"/>
                      <w:b/>
                      <w:bCs/>
                      <w:i/>
                      <w:iCs/>
                      <w:color w:val="000000"/>
                      <w:sz w:val="16"/>
                      <w:szCs w:val="16"/>
                    </w:rPr>
                  </w:pPr>
                </w:p>
              </w:tc>
            </w:tr>
            <w:tr w:rsidR="005B1322" w14:paraId="1AB9B6F9" w14:textId="77777777" w:rsidTr="005B1322">
              <w:trPr>
                <w:trHeight w:val="315"/>
              </w:trPr>
              <w:tc>
                <w:tcPr>
                  <w:tcW w:w="2400" w:type="dxa"/>
                  <w:tcBorders>
                    <w:top w:val="nil"/>
                    <w:left w:val="single" w:sz="4" w:space="0" w:color="auto"/>
                    <w:bottom w:val="single" w:sz="4" w:space="0" w:color="auto"/>
                    <w:right w:val="single" w:sz="4" w:space="0" w:color="auto"/>
                  </w:tcBorders>
                  <w:vAlign w:val="center"/>
                  <w:hideMark/>
                </w:tcPr>
                <w:p w14:paraId="22425B0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tcBorders>
                    <w:top w:val="nil"/>
                    <w:left w:val="nil"/>
                    <w:bottom w:val="single" w:sz="4" w:space="0" w:color="auto"/>
                    <w:right w:val="single" w:sz="4" w:space="0" w:color="auto"/>
                  </w:tcBorders>
                  <w:vAlign w:val="center"/>
                  <w:hideMark/>
                </w:tcPr>
                <w:p w14:paraId="66AA2B39"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147 (23,7%)</w:t>
                  </w:r>
                </w:p>
              </w:tc>
              <w:tc>
                <w:tcPr>
                  <w:tcW w:w="1200" w:type="dxa"/>
                  <w:tcBorders>
                    <w:top w:val="nil"/>
                    <w:left w:val="nil"/>
                    <w:bottom w:val="single" w:sz="4" w:space="0" w:color="auto"/>
                    <w:right w:val="single" w:sz="4" w:space="0" w:color="auto"/>
                  </w:tcBorders>
                  <w:vAlign w:val="center"/>
                  <w:hideMark/>
                </w:tcPr>
                <w:p w14:paraId="29491F3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36 (11,2%)</w:t>
                  </w:r>
                </w:p>
              </w:tc>
              <w:tc>
                <w:tcPr>
                  <w:tcW w:w="1200" w:type="dxa"/>
                  <w:tcBorders>
                    <w:top w:val="nil"/>
                    <w:left w:val="nil"/>
                    <w:bottom w:val="single" w:sz="4" w:space="0" w:color="auto"/>
                    <w:right w:val="single" w:sz="4" w:space="0" w:color="auto"/>
                  </w:tcBorders>
                  <w:vAlign w:val="center"/>
                  <w:hideMark/>
                </w:tcPr>
                <w:p w14:paraId="753E93CF"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12 (8</w:t>
                  </w:r>
                  <w:r w:rsidR="002104AE">
                    <w:rPr>
                      <w:rFonts w:ascii="Arial" w:hAnsi="Arial" w:cs="Arial"/>
                      <w:i/>
                      <w:iCs/>
                      <w:color w:val="000000"/>
                      <w:sz w:val="16"/>
                      <w:szCs w:val="16"/>
                    </w:rPr>
                    <w:t>;</w:t>
                  </w:r>
                  <w:r>
                    <w:rPr>
                      <w:rFonts w:ascii="Arial" w:hAnsi="Arial" w:cs="Arial"/>
                      <w:i/>
                      <w:iCs/>
                      <w:color w:val="000000"/>
                      <w:sz w:val="16"/>
                      <w:szCs w:val="16"/>
                    </w:rPr>
                    <w:t>17)</w:t>
                  </w:r>
                </w:p>
              </w:tc>
              <w:tc>
                <w:tcPr>
                  <w:tcW w:w="1200" w:type="dxa"/>
                  <w:tcBorders>
                    <w:top w:val="single" w:sz="4" w:space="0" w:color="auto"/>
                    <w:left w:val="nil"/>
                    <w:bottom w:val="single" w:sz="4" w:space="0" w:color="auto"/>
                    <w:right w:val="single" w:sz="4" w:space="0" w:color="auto"/>
                  </w:tcBorders>
                  <w:vAlign w:val="center"/>
                  <w:hideMark/>
                </w:tcPr>
                <w:p w14:paraId="7CB9537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4" w:space="0" w:color="auto"/>
                    <w:right w:val="single" w:sz="4" w:space="0" w:color="auto"/>
                  </w:tcBorders>
                  <w:vAlign w:val="center"/>
                  <w:hideMark/>
                </w:tcPr>
                <w:p w14:paraId="6CC3484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8 (6</w:t>
                  </w:r>
                  <w:r w:rsidR="002104AE">
                    <w:rPr>
                      <w:rFonts w:ascii="Arial" w:hAnsi="Arial" w:cs="Arial"/>
                      <w:i/>
                      <w:iCs/>
                      <w:color w:val="000000"/>
                      <w:sz w:val="16"/>
                      <w:szCs w:val="16"/>
                    </w:rPr>
                    <w:t>;</w:t>
                  </w:r>
                  <w:r>
                    <w:rPr>
                      <w:rFonts w:ascii="Arial" w:hAnsi="Arial" w:cs="Arial"/>
                      <w:i/>
                      <w:iCs/>
                      <w:color w:val="000000"/>
                      <w:sz w:val="16"/>
                      <w:szCs w:val="16"/>
                    </w:rPr>
                    <w:t>13)</w:t>
                  </w:r>
                </w:p>
              </w:tc>
            </w:tr>
            <w:tr w:rsidR="005B1322" w14:paraId="63A7A954" w14:textId="77777777" w:rsidTr="005B1322">
              <w:trPr>
                <w:trHeight w:val="420"/>
              </w:trPr>
              <w:tc>
                <w:tcPr>
                  <w:tcW w:w="24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1AD31D1"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Variable secundaria mejoría en IGA  y PP NRS ≥4</w:t>
                  </w:r>
                </w:p>
              </w:tc>
              <w:tc>
                <w:tcPr>
                  <w:tcW w:w="1420" w:type="dxa"/>
                  <w:tcBorders>
                    <w:top w:val="single" w:sz="8" w:space="0" w:color="auto"/>
                    <w:left w:val="nil"/>
                    <w:bottom w:val="nil"/>
                    <w:right w:val="single" w:sz="8" w:space="0" w:color="auto"/>
                  </w:tcBorders>
                  <w:vAlign w:val="center"/>
                  <w:hideMark/>
                </w:tcPr>
                <w:p w14:paraId="4C5D041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single" w:sz="8" w:space="0" w:color="auto"/>
                    <w:left w:val="nil"/>
                    <w:bottom w:val="nil"/>
                    <w:right w:val="single" w:sz="8" w:space="0" w:color="auto"/>
                  </w:tcBorders>
                  <w:vAlign w:val="center"/>
                  <w:hideMark/>
                </w:tcPr>
                <w:p w14:paraId="27725559"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68410841"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21E6860C"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23B14B6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3E28240B" w14:textId="77777777" w:rsidTr="005B1322">
              <w:trPr>
                <w:trHeight w:val="31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3217EAB6" w14:textId="77777777" w:rsidR="005B1322" w:rsidRDefault="005B1322" w:rsidP="005B1322">
                  <w:pPr>
                    <w:rPr>
                      <w:rFonts w:ascii="Arial" w:hAnsi="Arial" w:cs="Arial"/>
                      <w:b/>
                      <w:bCs/>
                      <w:i/>
                      <w:iCs/>
                      <w:color w:val="000000"/>
                      <w:sz w:val="16"/>
                      <w:szCs w:val="16"/>
                    </w:rPr>
                  </w:pPr>
                </w:p>
              </w:tc>
              <w:tc>
                <w:tcPr>
                  <w:tcW w:w="1420" w:type="dxa"/>
                  <w:tcBorders>
                    <w:top w:val="nil"/>
                    <w:left w:val="nil"/>
                    <w:bottom w:val="single" w:sz="8" w:space="0" w:color="auto"/>
                    <w:right w:val="single" w:sz="8" w:space="0" w:color="auto"/>
                  </w:tcBorders>
                  <w:vAlign w:val="center"/>
                  <w:hideMark/>
                </w:tcPr>
                <w:p w14:paraId="5A9410D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(620)</w:t>
                  </w:r>
                </w:p>
              </w:tc>
              <w:tc>
                <w:tcPr>
                  <w:tcW w:w="1200" w:type="dxa"/>
                  <w:tcBorders>
                    <w:top w:val="nil"/>
                    <w:left w:val="nil"/>
                    <w:bottom w:val="single" w:sz="8" w:space="0" w:color="auto"/>
                    <w:right w:val="single" w:sz="8" w:space="0" w:color="auto"/>
                  </w:tcBorders>
                  <w:vAlign w:val="center"/>
                  <w:hideMark/>
                </w:tcPr>
                <w:p w14:paraId="7D582329"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(321)</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3949C82B"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5E90DF3A"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76D0AA74" w14:textId="77777777" w:rsidR="005B1322" w:rsidRDefault="005B1322" w:rsidP="005B1322">
                  <w:pPr>
                    <w:rPr>
                      <w:rFonts w:ascii="Arial" w:hAnsi="Arial" w:cs="Arial"/>
                      <w:b/>
                      <w:bCs/>
                      <w:i/>
                      <w:iCs/>
                      <w:color w:val="000000"/>
                      <w:sz w:val="16"/>
                      <w:szCs w:val="16"/>
                    </w:rPr>
                  </w:pPr>
                </w:p>
              </w:tc>
            </w:tr>
            <w:tr w:rsidR="005B1322" w14:paraId="69485D16" w14:textId="77777777" w:rsidTr="005B1322">
              <w:trPr>
                <w:trHeight w:val="315"/>
              </w:trPr>
              <w:tc>
                <w:tcPr>
                  <w:tcW w:w="2400" w:type="dxa"/>
                  <w:tcBorders>
                    <w:top w:val="nil"/>
                    <w:left w:val="single" w:sz="4" w:space="0" w:color="auto"/>
                    <w:bottom w:val="single" w:sz="4" w:space="0" w:color="auto"/>
                    <w:right w:val="single" w:sz="4" w:space="0" w:color="auto"/>
                  </w:tcBorders>
                  <w:vAlign w:val="center"/>
                  <w:hideMark/>
                </w:tcPr>
                <w:p w14:paraId="24FB963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tcBorders>
                    <w:top w:val="nil"/>
                    <w:left w:val="nil"/>
                    <w:bottom w:val="single" w:sz="4" w:space="0" w:color="auto"/>
                    <w:right w:val="single" w:sz="4" w:space="0" w:color="auto"/>
                  </w:tcBorders>
                  <w:vAlign w:val="center"/>
                  <w:hideMark/>
                </w:tcPr>
                <w:p w14:paraId="62BF4646"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122 (19,7%)</w:t>
                  </w:r>
                </w:p>
              </w:tc>
              <w:tc>
                <w:tcPr>
                  <w:tcW w:w="1200" w:type="dxa"/>
                  <w:tcBorders>
                    <w:top w:val="nil"/>
                    <w:left w:val="nil"/>
                    <w:bottom w:val="single" w:sz="4" w:space="0" w:color="auto"/>
                    <w:right w:val="single" w:sz="4" w:space="0" w:color="auto"/>
                  </w:tcBorders>
                  <w:vAlign w:val="center"/>
                  <w:hideMark/>
                </w:tcPr>
                <w:p w14:paraId="5EF7DA66"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30 (9</w:t>
                  </w:r>
                  <w:r w:rsidR="0082762C">
                    <w:rPr>
                      <w:rFonts w:ascii="Arial" w:hAnsi="Arial" w:cs="Arial"/>
                      <w:i/>
                      <w:iCs/>
                      <w:color w:val="000000"/>
                      <w:sz w:val="16"/>
                      <w:szCs w:val="16"/>
                    </w:rPr>
                    <w:t>,</w:t>
                  </w:r>
                  <w:r>
                    <w:rPr>
                      <w:rFonts w:ascii="Arial" w:hAnsi="Arial" w:cs="Arial"/>
                      <w:i/>
                      <w:iCs/>
                      <w:color w:val="000000"/>
                      <w:sz w:val="16"/>
                      <w:szCs w:val="16"/>
                    </w:rPr>
                    <w:t>3%)</w:t>
                  </w:r>
                </w:p>
              </w:tc>
              <w:tc>
                <w:tcPr>
                  <w:tcW w:w="1200" w:type="dxa"/>
                  <w:tcBorders>
                    <w:top w:val="nil"/>
                    <w:left w:val="nil"/>
                    <w:bottom w:val="single" w:sz="4" w:space="0" w:color="auto"/>
                    <w:right w:val="single" w:sz="4" w:space="0" w:color="auto"/>
                  </w:tcBorders>
                  <w:vAlign w:val="center"/>
                  <w:hideMark/>
                </w:tcPr>
                <w:p w14:paraId="6582554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10 (15</w:t>
                  </w:r>
                  <w:r w:rsidR="002104AE">
                    <w:rPr>
                      <w:rFonts w:ascii="Arial" w:hAnsi="Arial" w:cs="Arial"/>
                      <w:i/>
                      <w:iCs/>
                      <w:color w:val="000000"/>
                      <w:sz w:val="16"/>
                      <w:szCs w:val="16"/>
                    </w:rPr>
                    <w:t>;</w:t>
                  </w:r>
                  <w:r>
                    <w:rPr>
                      <w:rFonts w:ascii="Arial" w:hAnsi="Arial" w:cs="Arial"/>
                      <w:i/>
                      <w:iCs/>
                      <w:color w:val="000000"/>
                      <w:sz w:val="16"/>
                      <w:szCs w:val="16"/>
                    </w:rPr>
                    <w:t>6)</w:t>
                  </w:r>
                </w:p>
              </w:tc>
              <w:tc>
                <w:tcPr>
                  <w:tcW w:w="1200" w:type="dxa"/>
                  <w:tcBorders>
                    <w:top w:val="single" w:sz="4" w:space="0" w:color="auto"/>
                    <w:left w:val="nil"/>
                    <w:bottom w:val="single" w:sz="4" w:space="0" w:color="auto"/>
                    <w:right w:val="single" w:sz="4" w:space="0" w:color="auto"/>
                  </w:tcBorders>
                  <w:vAlign w:val="center"/>
                  <w:hideMark/>
                </w:tcPr>
                <w:p w14:paraId="540E0637"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4" w:space="0" w:color="auto"/>
                    <w:right w:val="single" w:sz="4" w:space="0" w:color="auto"/>
                  </w:tcBorders>
                  <w:vAlign w:val="center"/>
                  <w:hideMark/>
                </w:tcPr>
                <w:p w14:paraId="39115721"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10 (7</w:t>
                  </w:r>
                  <w:r w:rsidR="002104AE">
                    <w:rPr>
                      <w:rFonts w:ascii="Arial" w:hAnsi="Arial" w:cs="Arial"/>
                      <w:i/>
                      <w:iCs/>
                      <w:color w:val="000000"/>
                      <w:sz w:val="16"/>
                      <w:szCs w:val="16"/>
                    </w:rPr>
                    <w:t>;</w:t>
                  </w:r>
                  <w:r>
                    <w:rPr>
                      <w:rFonts w:ascii="Arial" w:hAnsi="Arial" w:cs="Arial"/>
                      <w:i/>
                      <w:iCs/>
                      <w:color w:val="000000"/>
                      <w:sz w:val="16"/>
                      <w:szCs w:val="16"/>
                    </w:rPr>
                    <w:t>17)</w:t>
                  </w:r>
                </w:p>
              </w:tc>
            </w:tr>
          </w:tbl>
          <w:p w14:paraId="1827F581" w14:textId="77777777" w:rsidR="0014589F" w:rsidRDefault="0014589F" w:rsidP="0060011B">
            <w:pPr>
              <w:jc w:val="both"/>
              <w:rPr>
                <w:rFonts w:ascii="Arial" w:hAnsi="Arial" w:cs="Arial"/>
                <w:bCs/>
                <w:sz w:val="16"/>
                <w:lang w:val="fr-FR"/>
              </w:rPr>
            </w:pPr>
          </w:p>
          <w:tbl>
            <w:tblPr>
              <w:tblW w:w="8600" w:type="dxa"/>
              <w:tblCellMar>
                <w:left w:w="70" w:type="dxa"/>
                <w:right w:w="70" w:type="dxa"/>
              </w:tblCellMar>
              <w:tblLook w:val="04A0" w:firstRow="1" w:lastRow="0" w:firstColumn="1" w:lastColumn="0" w:noHBand="0" w:noVBand="1"/>
            </w:tblPr>
            <w:tblGrid>
              <w:gridCol w:w="2400"/>
              <w:gridCol w:w="1400"/>
              <w:gridCol w:w="1200"/>
              <w:gridCol w:w="1200"/>
              <w:gridCol w:w="1200"/>
              <w:gridCol w:w="1200"/>
            </w:tblGrid>
            <w:tr w:rsidR="005B1322" w14:paraId="78E82361" w14:textId="77777777" w:rsidTr="005B1322">
              <w:trPr>
                <w:trHeight w:val="315"/>
              </w:trPr>
              <w:tc>
                <w:tcPr>
                  <w:tcW w:w="8600" w:type="dxa"/>
                  <w:gridSpan w:val="6"/>
                  <w:tcBorders>
                    <w:top w:val="single" w:sz="8" w:space="0" w:color="auto"/>
                    <w:left w:val="single" w:sz="8" w:space="0" w:color="auto"/>
                    <w:bottom w:val="single" w:sz="8" w:space="0" w:color="auto"/>
                    <w:right w:val="single" w:sz="8" w:space="0" w:color="000000"/>
                  </w:tcBorders>
                  <w:shd w:val="clear" w:color="000000" w:fill="CCFFCC"/>
                  <w:vAlign w:val="center"/>
                  <w:hideMark/>
                </w:tcPr>
                <w:p w14:paraId="5002078A"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Resultados POBLACIÓN GRAVE</w:t>
                  </w:r>
                </w:p>
              </w:tc>
            </w:tr>
            <w:tr w:rsidR="005B1322" w14:paraId="49110279" w14:textId="77777777" w:rsidTr="005B1322">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CA22FC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Covariables principales, semana 16</w:t>
                  </w:r>
                </w:p>
              </w:tc>
              <w:tc>
                <w:tcPr>
                  <w:tcW w:w="1400" w:type="dxa"/>
                  <w:tcBorders>
                    <w:top w:val="nil"/>
                    <w:left w:val="nil"/>
                    <w:bottom w:val="nil"/>
                    <w:right w:val="single" w:sz="8" w:space="0" w:color="auto"/>
                  </w:tcBorders>
                  <w:vAlign w:val="center"/>
                  <w:hideMark/>
                </w:tcPr>
                <w:p w14:paraId="7510DD81"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nil"/>
                    <w:left w:val="nil"/>
                    <w:bottom w:val="nil"/>
                    <w:right w:val="single" w:sz="8" w:space="0" w:color="auto"/>
                  </w:tcBorders>
                  <w:vAlign w:val="center"/>
                  <w:hideMark/>
                </w:tcPr>
                <w:p w14:paraId="230E9ED1"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nil"/>
                    <w:left w:val="single" w:sz="8" w:space="0" w:color="auto"/>
                    <w:bottom w:val="single" w:sz="8" w:space="0" w:color="000000"/>
                    <w:right w:val="single" w:sz="8" w:space="0" w:color="auto"/>
                  </w:tcBorders>
                  <w:vAlign w:val="center"/>
                  <w:hideMark/>
                </w:tcPr>
                <w:p w14:paraId="02EF82A2"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nil"/>
                    <w:left w:val="single" w:sz="8" w:space="0" w:color="auto"/>
                    <w:bottom w:val="single" w:sz="8" w:space="0" w:color="000000"/>
                    <w:right w:val="single" w:sz="8" w:space="0" w:color="auto"/>
                  </w:tcBorders>
                  <w:vAlign w:val="center"/>
                  <w:hideMark/>
                </w:tcPr>
                <w:p w14:paraId="39733800"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nil"/>
                    <w:left w:val="single" w:sz="8" w:space="0" w:color="auto"/>
                    <w:bottom w:val="single" w:sz="8" w:space="0" w:color="000000"/>
                    <w:right w:val="single" w:sz="8" w:space="0" w:color="auto"/>
                  </w:tcBorders>
                  <w:vAlign w:val="center"/>
                  <w:hideMark/>
                </w:tcPr>
                <w:p w14:paraId="143825DB"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3C83E4DC" w14:textId="77777777" w:rsidTr="005B1322">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2C98B37A" w14:textId="77777777" w:rsidR="005B1322" w:rsidRDefault="005B1322" w:rsidP="005B1322">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792A08CA"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(406)</w:t>
                  </w:r>
                </w:p>
              </w:tc>
              <w:tc>
                <w:tcPr>
                  <w:tcW w:w="1200" w:type="dxa"/>
                  <w:tcBorders>
                    <w:top w:val="nil"/>
                    <w:left w:val="nil"/>
                    <w:bottom w:val="single" w:sz="8" w:space="0" w:color="auto"/>
                    <w:right w:val="single" w:sz="8" w:space="0" w:color="auto"/>
                  </w:tcBorders>
                  <w:vAlign w:val="center"/>
                  <w:hideMark/>
                </w:tcPr>
                <w:p w14:paraId="5CA0136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(210)</w:t>
                  </w:r>
                </w:p>
              </w:tc>
              <w:tc>
                <w:tcPr>
                  <w:tcW w:w="1200" w:type="dxa"/>
                  <w:vMerge/>
                  <w:tcBorders>
                    <w:top w:val="nil"/>
                    <w:left w:val="single" w:sz="8" w:space="0" w:color="auto"/>
                    <w:bottom w:val="single" w:sz="8" w:space="0" w:color="000000"/>
                    <w:right w:val="single" w:sz="8" w:space="0" w:color="auto"/>
                  </w:tcBorders>
                  <w:vAlign w:val="center"/>
                  <w:hideMark/>
                </w:tcPr>
                <w:p w14:paraId="04167274"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C31798B"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110CC8C" w14:textId="77777777" w:rsidR="005B1322" w:rsidRDefault="005B1322" w:rsidP="005B1322">
                  <w:pPr>
                    <w:rPr>
                      <w:rFonts w:ascii="Arial" w:hAnsi="Arial" w:cs="Arial"/>
                      <w:b/>
                      <w:bCs/>
                      <w:i/>
                      <w:iCs/>
                      <w:color w:val="000000"/>
                      <w:sz w:val="16"/>
                      <w:szCs w:val="16"/>
                    </w:rPr>
                  </w:pPr>
                </w:p>
              </w:tc>
            </w:tr>
            <w:tr w:rsidR="005B1322" w14:paraId="38DD6F3D" w14:textId="77777777" w:rsidTr="005B1322">
              <w:trPr>
                <w:trHeight w:val="300"/>
              </w:trPr>
              <w:tc>
                <w:tcPr>
                  <w:tcW w:w="2400" w:type="dxa"/>
                  <w:tcBorders>
                    <w:top w:val="nil"/>
                    <w:left w:val="single" w:sz="8" w:space="0" w:color="auto"/>
                    <w:bottom w:val="nil"/>
                    <w:right w:val="single" w:sz="8" w:space="0" w:color="auto"/>
                  </w:tcBorders>
                  <w:vAlign w:val="center"/>
                  <w:hideMark/>
                </w:tcPr>
                <w:p w14:paraId="2AEFA922" w14:textId="77777777" w:rsidR="005B1322" w:rsidRDefault="005B1322" w:rsidP="005B1322">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00" w:type="dxa"/>
                  <w:vMerge w:val="restart"/>
                  <w:tcBorders>
                    <w:top w:val="nil"/>
                    <w:left w:val="single" w:sz="8" w:space="0" w:color="auto"/>
                    <w:bottom w:val="single" w:sz="8" w:space="0" w:color="000000"/>
                    <w:right w:val="single" w:sz="8" w:space="0" w:color="auto"/>
                  </w:tcBorders>
                  <w:vAlign w:val="center"/>
                  <w:hideMark/>
                </w:tcPr>
                <w:p w14:paraId="473855B1"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144 (35,5%)</w:t>
                  </w:r>
                </w:p>
              </w:tc>
              <w:tc>
                <w:tcPr>
                  <w:tcW w:w="1200" w:type="dxa"/>
                  <w:vMerge w:val="restart"/>
                  <w:tcBorders>
                    <w:top w:val="nil"/>
                    <w:left w:val="single" w:sz="8" w:space="0" w:color="auto"/>
                    <w:bottom w:val="single" w:sz="8" w:space="0" w:color="000000"/>
                    <w:right w:val="single" w:sz="8" w:space="0" w:color="auto"/>
                  </w:tcBorders>
                  <w:vAlign w:val="center"/>
                  <w:hideMark/>
                </w:tcPr>
                <w:p w14:paraId="573C470F"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45 (21,41%)</w:t>
                  </w:r>
                </w:p>
              </w:tc>
              <w:tc>
                <w:tcPr>
                  <w:tcW w:w="1200" w:type="dxa"/>
                  <w:vMerge w:val="restart"/>
                  <w:tcBorders>
                    <w:top w:val="nil"/>
                    <w:left w:val="single" w:sz="8" w:space="0" w:color="auto"/>
                    <w:bottom w:val="single" w:sz="8" w:space="0" w:color="000000"/>
                    <w:right w:val="single" w:sz="8" w:space="0" w:color="auto"/>
                  </w:tcBorders>
                  <w:vAlign w:val="center"/>
                  <w:hideMark/>
                </w:tcPr>
                <w:p w14:paraId="3E7EE989"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14 (7</w:t>
                  </w:r>
                  <w:r w:rsidR="002104AE">
                    <w:rPr>
                      <w:rFonts w:ascii="Arial" w:hAnsi="Arial" w:cs="Arial"/>
                      <w:i/>
                      <w:iCs/>
                      <w:color w:val="000000"/>
                      <w:sz w:val="16"/>
                      <w:szCs w:val="16"/>
                    </w:rPr>
                    <w:t>;</w:t>
                  </w:r>
                  <w:r>
                    <w:rPr>
                      <w:rFonts w:ascii="Arial" w:hAnsi="Arial" w:cs="Arial"/>
                      <w:i/>
                      <w:iCs/>
                      <w:color w:val="000000"/>
                      <w:sz w:val="16"/>
                      <w:szCs w:val="16"/>
                    </w:rPr>
                    <w:t>21)</w:t>
                  </w:r>
                </w:p>
              </w:tc>
              <w:tc>
                <w:tcPr>
                  <w:tcW w:w="1200" w:type="dxa"/>
                  <w:vMerge w:val="restart"/>
                  <w:tcBorders>
                    <w:top w:val="nil"/>
                    <w:left w:val="single" w:sz="8" w:space="0" w:color="auto"/>
                    <w:bottom w:val="single" w:sz="8" w:space="0" w:color="000000"/>
                    <w:right w:val="single" w:sz="8" w:space="0" w:color="auto"/>
                  </w:tcBorders>
                  <w:vAlign w:val="center"/>
                  <w:hideMark/>
                </w:tcPr>
                <w:p w14:paraId="25D1F381"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0,0003</w:t>
                  </w:r>
                </w:p>
              </w:tc>
              <w:tc>
                <w:tcPr>
                  <w:tcW w:w="1200" w:type="dxa"/>
                  <w:vMerge w:val="restart"/>
                  <w:tcBorders>
                    <w:top w:val="nil"/>
                    <w:left w:val="single" w:sz="8" w:space="0" w:color="auto"/>
                    <w:bottom w:val="single" w:sz="8" w:space="0" w:color="000000"/>
                    <w:right w:val="single" w:sz="8" w:space="0" w:color="auto"/>
                  </w:tcBorders>
                  <w:vAlign w:val="center"/>
                  <w:hideMark/>
                </w:tcPr>
                <w:p w14:paraId="02776153"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7 (5</w:t>
                  </w:r>
                  <w:r w:rsidR="00AA6BC8">
                    <w:rPr>
                      <w:rFonts w:ascii="Arial" w:hAnsi="Arial" w:cs="Arial"/>
                      <w:i/>
                      <w:iCs/>
                      <w:color w:val="000000"/>
                      <w:sz w:val="16"/>
                      <w:szCs w:val="16"/>
                    </w:rPr>
                    <w:t>;</w:t>
                  </w:r>
                  <w:r>
                    <w:rPr>
                      <w:rFonts w:ascii="Arial" w:hAnsi="Arial" w:cs="Arial"/>
                      <w:i/>
                      <w:iCs/>
                      <w:color w:val="000000"/>
                      <w:sz w:val="16"/>
                      <w:szCs w:val="16"/>
                    </w:rPr>
                    <w:t>15)</w:t>
                  </w:r>
                </w:p>
              </w:tc>
            </w:tr>
            <w:tr w:rsidR="005B1322" w14:paraId="6DFDBDE5" w14:textId="77777777" w:rsidTr="005B1322">
              <w:trPr>
                <w:trHeight w:val="465"/>
              </w:trPr>
              <w:tc>
                <w:tcPr>
                  <w:tcW w:w="2400" w:type="dxa"/>
                  <w:tcBorders>
                    <w:top w:val="nil"/>
                    <w:left w:val="single" w:sz="8" w:space="0" w:color="auto"/>
                    <w:bottom w:val="single" w:sz="8" w:space="0" w:color="auto"/>
                    <w:right w:val="single" w:sz="8" w:space="0" w:color="auto"/>
                  </w:tcBorders>
                  <w:vAlign w:val="center"/>
                  <w:hideMark/>
                </w:tcPr>
                <w:p w14:paraId="220158F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IGA 0/1 y ≥2 puntos de reducción (semana 16)</w:t>
                  </w:r>
                </w:p>
              </w:tc>
              <w:tc>
                <w:tcPr>
                  <w:tcW w:w="1400" w:type="dxa"/>
                  <w:vMerge/>
                  <w:tcBorders>
                    <w:top w:val="nil"/>
                    <w:left w:val="single" w:sz="8" w:space="0" w:color="auto"/>
                    <w:bottom w:val="single" w:sz="8" w:space="0" w:color="000000"/>
                    <w:right w:val="single" w:sz="8" w:space="0" w:color="auto"/>
                  </w:tcBorders>
                  <w:vAlign w:val="center"/>
                  <w:hideMark/>
                </w:tcPr>
                <w:p w14:paraId="28BE07F8"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D447695"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6860286"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E1BCB10"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B49EC5E" w14:textId="77777777" w:rsidR="005B1322" w:rsidRDefault="005B1322" w:rsidP="005B1322">
                  <w:pPr>
                    <w:rPr>
                      <w:rFonts w:ascii="Arial" w:hAnsi="Arial" w:cs="Arial"/>
                      <w:i/>
                      <w:iCs/>
                      <w:color w:val="000000"/>
                      <w:sz w:val="16"/>
                      <w:szCs w:val="16"/>
                    </w:rPr>
                  </w:pPr>
                </w:p>
              </w:tc>
            </w:tr>
            <w:tr w:rsidR="005B1322" w14:paraId="075B0FB1" w14:textId="77777777" w:rsidTr="005B1322">
              <w:trPr>
                <w:trHeight w:val="300"/>
              </w:trPr>
              <w:tc>
                <w:tcPr>
                  <w:tcW w:w="2400" w:type="dxa"/>
                  <w:tcBorders>
                    <w:top w:val="nil"/>
                    <w:left w:val="single" w:sz="8" w:space="0" w:color="auto"/>
                    <w:bottom w:val="nil"/>
                    <w:right w:val="single" w:sz="8" w:space="0" w:color="auto"/>
                  </w:tcBorders>
                  <w:vAlign w:val="center"/>
                  <w:hideMark/>
                </w:tcPr>
                <w:p w14:paraId="3A6ADBAC" w14:textId="77777777" w:rsidR="005B1322" w:rsidRDefault="005B1322" w:rsidP="005B1322">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00" w:type="dxa"/>
                  <w:vMerge w:val="restart"/>
                  <w:tcBorders>
                    <w:top w:val="nil"/>
                    <w:left w:val="single" w:sz="8" w:space="0" w:color="auto"/>
                    <w:bottom w:val="single" w:sz="8" w:space="0" w:color="000000"/>
                    <w:right w:val="single" w:sz="8" w:space="0" w:color="auto"/>
                  </w:tcBorders>
                  <w:vAlign w:val="center"/>
                  <w:hideMark/>
                </w:tcPr>
                <w:p w14:paraId="307A3B77"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169 (41,6%)</w:t>
                  </w:r>
                </w:p>
              </w:tc>
              <w:tc>
                <w:tcPr>
                  <w:tcW w:w="1200" w:type="dxa"/>
                  <w:vMerge w:val="restart"/>
                  <w:tcBorders>
                    <w:top w:val="nil"/>
                    <w:left w:val="single" w:sz="8" w:space="0" w:color="auto"/>
                    <w:bottom w:val="single" w:sz="8" w:space="0" w:color="000000"/>
                    <w:right w:val="single" w:sz="8" w:space="0" w:color="auto"/>
                  </w:tcBorders>
                  <w:vAlign w:val="center"/>
                  <w:hideMark/>
                </w:tcPr>
                <w:p w14:paraId="5C47FFDF"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50 (23,8%)</w:t>
                  </w:r>
                </w:p>
              </w:tc>
              <w:tc>
                <w:tcPr>
                  <w:tcW w:w="1200" w:type="dxa"/>
                  <w:vMerge w:val="restart"/>
                  <w:tcBorders>
                    <w:top w:val="nil"/>
                    <w:left w:val="single" w:sz="8" w:space="0" w:color="auto"/>
                    <w:bottom w:val="single" w:sz="8" w:space="0" w:color="000000"/>
                    <w:right w:val="single" w:sz="8" w:space="0" w:color="auto"/>
                  </w:tcBorders>
                  <w:vAlign w:val="center"/>
                  <w:hideMark/>
                </w:tcPr>
                <w:p w14:paraId="512FFE5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18 (10</w:t>
                  </w:r>
                  <w:r w:rsidR="002104AE">
                    <w:rPr>
                      <w:rFonts w:ascii="Arial" w:hAnsi="Arial" w:cs="Arial"/>
                      <w:i/>
                      <w:iCs/>
                      <w:color w:val="000000"/>
                      <w:sz w:val="16"/>
                      <w:szCs w:val="16"/>
                    </w:rPr>
                    <w:t>;</w:t>
                  </w:r>
                  <w:r>
                    <w:rPr>
                      <w:rFonts w:ascii="Arial" w:hAnsi="Arial" w:cs="Arial"/>
                      <w:i/>
                      <w:iCs/>
                      <w:color w:val="000000"/>
                      <w:sz w:val="16"/>
                      <w:szCs w:val="16"/>
                    </w:rPr>
                    <w:t>25)</w:t>
                  </w:r>
                </w:p>
              </w:tc>
              <w:tc>
                <w:tcPr>
                  <w:tcW w:w="1200" w:type="dxa"/>
                  <w:vMerge w:val="restart"/>
                  <w:tcBorders>
                    <w:top w:val="nil"/>
                    <w:left w:val="single" w:sz="8" w:space="0" w:color="auto"/>
                    <w:bottom w:val="single" w:sz="8" w:space="0" w:color="000000"/>
                    <w:right w:val="single" w:sz="8" w:space="0" w:color="auto"/>
                  </w:tcBorders>
                  <w:vAlign w:val="center"/>
                  <w:hideMark/>
                </w:tcPr>
                <w:p w14:paraId="393CC11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vMerge w:val="restart"/>
                  <w:tcBorders>
                    <w:top w:val="nil"/>
                    <w:left w:val="single" w:sz="8" w:space="0" w:color="auto"/>
                    <w:bottom w:val="single" w:sz="8" w:space="0" w:color="000000"/>
                    <w:right w:val="single" w:sz="8" w:space="0" w:color="auto"/>
                  </w:tcBorders>
                  <w:vAlign w:val="center"/>
                  <w:hideMark/>
                </w:tcPr>
                <w:p w14:paraId="6AC7A03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6 (4</w:t>
                  </w:r>
                  <w:r w:rsidR="00AA6BC8">
                    <w:rPr>
                      <w:rFonts w:ascii="Arial" w:hAnsi="Arial" w:cs="Arial"/>
                      <w:i/>
                      <w:iCs/>
                      <w:color w:val="000000"/>
                      <w:sz w:val="16"/>
                      <w:szCs w:val="16"/>
                    </w:rPr>
                    <w:t>;</w:t>
                  </w:r>
                  <w:r>
                    <w:rPr>
                      <w:rFonts w:ascii="Arial" w:hAnsi="Arial" w:cs="Arial"/>
                      <w:i/>
                      <w:iCs/>
                      <w:color w:val="000000"/>
                      <w:sz w:val="16"/>
                      <w:szCs w:val="16"/>
                    </w:rPr>
                    <w:t>10)</w:t>
                  </w:r>
                </w:p>
              </w:tc>
            </w:tr>
            <w:tr w:rsidR="005B1322" w14:paraId="038C5931" w14:textId="77777777" w:rsidTr="005B1322">
              <w:trPr>
                <w:trHeight w:val="315"/>
              </w:trPr>
              <w:tc>
                <w:tcPr>
                  <w:tcW w:w="2400" w:type="dxa"/>
                  <w:tcBorders>
                    <w:top w:val="nil"/>
                    <w:left w:val="single" w:sz="8" w:space="0" w:color="auto"/>
                    <w:bottom w:val="single" w:sz="8" w:space="0" w:color="auto"/>
                    <w:right w:val="single" w:sz="8" w:space="0" w:color="auto"/>
                  </w:tcBorders>
                  <w:vAlign w:val="center"/>
                  <w:hideMark/>
                </w:tcPr>
                <w:p w14:paraId="4B75B05F"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EASI 75 (semana 16)</w:t>
                  </w:r>
                </w:p>
              </w:tc>
              <w:tc>
                <w:tcPr>
                  <w:tcW w:w="1400" w:type="dxa"/>
                  <w:vMerge/>
                  <w:tcBorders>
                    <w:top w:val="nil"/>
                    <w:left w:val="single" w:sz="8" w:space="0" w:color="auto"/>
                    <w:bottom w:val="single" w:sz="8" w:space="0" w:color="000000"/>
                    <w:right w:val="single" w:sz="8" w:space="0" w:color="auto"/>
                  </w:tcBorders>
                  <w:vAlign w:val="center"/>
                  <w:hideMark/>
                </w:tcPr>
                <w:p w14:paraId="7CFC19C1"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E74FADF"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8C91D4C"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675AFD1" w14:textId="77777777" w:rsidR="005B1322" w:rsidRDefault="005B1322" w:rsidP="005B1322">
                  <w:pPr>
                    <w:rPr>
                      <w:rFonts w:ascii="Arial" w:hAnsi="Arial" w:cs="Arial"/>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BE6E282" w14:textId="77777777" w:rsidR="005B1322" w:rsidRDefault="005B1322" w:rsidP="005B1322">
                  <w:pPr>
                    <w:rPr>
                      <w:rFonts w:ascii="Arial" w:hAnsi="Arial" w:cs="Arial"/>
                      <w:i/>
                      <w:iCs/>
                      <w:color w:val="000000"/>
                      <w:sz w:val="16"/>
                      <w:szCs w:val="16"/>
                    </w:rPr>
                  </w:pPr>
                </w:p>
              </w:tc>
            </w:tr>
            <w:tr w:rsidR="005B1322" w14:paraId="1E600B00" w14:textId="77777777" w:rsidTr="005B1322">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A46569D"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Variable secundaria mejora NRS</w:t>
                  </w:r>
                  <w:r>
                    <w:rPr>
                      <w:rFonts w:ascii="Calibri" w:hAnsi="Calibri" w:cs="Calibri"/>
                      <w:color w:val="000000"/>
                      <w:sz w:val="16"/>
                      <w:szCs w:val="16"/>
                    </w:rPr>
                    <w:t>≥</w:t>
                  </w:r>
                  <w:r>
                    <w:rPr>
                      <w:rFonts w:ascii="Arial" w:hAnsi="Arial" w:cs="Arial"/>
                      <w:i/>
                      <w:iCs/>
                      <w:color w:val="000000"/>
                      <w:sz w:val="16"/>
                      <w:szCs w:val="16"/>
                    </w:rPr>
                    <w:t>4</w:t>
                  </w:r>
                </w:p>
              </w:tc>
              <w:tc>
                <w:tcPr>
                  <w:tcW w:w="1400" w:type="dxa"/>
                  <w:tcBorders>
                    <w:top w:val="nil"/>
                    <w:left w:val="nil"/>
                    <w:bottom w:val="nil"/>
                    <w:right w:val="single" w:sz="8" w:space="0" w:color="auto"/>
                  </w:tcBorders>
                  <w:vAlign w:val="center"/>
                  <w:hideMark/>
                </w:tcPr>
                <w:p w14:paraId="37758626"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nil"/>
                    <w:left w:val="nil"/>
                    <w:bottom w:val="nil"/>
                    <w:right w:val="single" w:sz="8" w:space="0" w:color="auto"/>
                  </w:tcBorders>
                  <w:vAlign w:val="center"/>
                  <w:hideMark/>
                </w:tcPr>
                <w:p w14:paraId="32A833BA"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nil"/>
                    <w:left w:val="single" w:sz="8" w:space="0" w:color="auto"/>
                    <w:bottom w:val="single" w:sz="8" w:space="0" w:color="000000"/>
                    <w:right w:val="single" w:sz="8" w:space="0" w:color="auto"/>
                  </w:tcBorders>
                  <w:vAlign w:val="center"/>
                  <w:hideMark/>
                </w:tcPr>
                <w:p w14:paraId="79D52AD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nil"/>
                    <w:left w:val="single" w:sz="8" w:space="0" w:color="auto"/>
                    <w:bottom w:val="single" w:sz="8" w:space="0" w:color="000000"/>
                    <w:right w:val="single" w:sz="8" w:space="0" w:color="auto"/>
                  </w:tcBorders>
                  <w:vAlign w:val="center"/>
                  <w:hideMark/>
                </w:tcPr>
                <w:p w14:paraId="01D8F311"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nil"/>
                    <w:left w:val="single" w:sz="8" w:space="0" w:color="auto"/>
                    <w:bottom w:val="single" w:sz="8" w:space="0" w:color="000000"/>
                    <w:right w:val="single" w:sz="8" w:space="0" w:color="auto"/>
                  </w:tcBorders>
                  <w:vAlign w:val="center"/>
                  <w:hideMark/>
                </w:tcPr>
                <w:p w14:paraId="7AF183F3"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3A833A4E" w14:textId="77777777" w:rsidTr="005B1322">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6592C402" w14:textId="77777777" w:rsidR="005B1322" w:rsidRDefault="005B1322" w:rsidP="005B1322">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4A7665BB"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(406)</w:t>
                  </w:r>
                </w:p>
              </w:tc>
              <w:tc>
                <w:tcPr>
                  <w:tcW w:w="1200" w:type="dxa"/>
                  <w:tcBorders>
                    <w:top w:val="nil"/>
                    <w:left w:val="nil"/>
                    <w:bottom w:val="single" w:sz="8" w:space="0" w:color="auto"/>
                    <w:right w:val="single" w:sz="8" w:space="0" w:color="auto"/>
                  </w:tcBorders>
                  <w:vAlign w:val="center"/>
                  <w:hideMark/>
                </w:tcPr>
                <w:p w14:paraId="3B298B1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(210)</w:t>
                  </w:r>
                </w:p>
              </w:tc>
              <w:tc>
                <w:tcPr>
                  <w:tcW w:w="1200" w:type="dxa"/>
                  <w:vMerge/>
                  <w:tcBorders>
                    <w:top w:val="nil"/>
                    <w:left w:val="single" w:sz="8" w:space="0" w:color="auto"/>
                    <w:bottom w:val="single" w:sz="8" w:space="0" w:color="000000"/>
                    <w:right w:val="single" w:sz="8" w:space="0" w:color="auto"/>
                  </w:tcBorders>
                  <w:vAlign w:val="center"/>
                  <w:hideMark/>
                </w:tcPr>
                <w:p w14:paraId="43C9576E"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E2BF6A6"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7A1F00F" w14:textId="77777777" w:rsidR="005B1322" w:rsidRDefault="005B1322" w:rsidP="005B1322">
                  <w:pPr>
                    <w:rPr>
                      <w:rFonts w:ascii="Arial" w:hAnsi="Arial" w:cs="Arial"/>
                      <w:b/>
                      <w:bCs/>
                      <w:i/>
                      <w:iCs/>
                      <w:color w:val="000000"/>
                      <w:sz w:val="16"/>
                      <w:szCs w:val="16"/>
                    </w:rPr>
                  </w:pPr>
                </w:p>
              </w:tc>
            </w:tr>
            <w:tr w:rsidR="005B1322" w14:paraId="0513EDEF" w14:textId="77777777" w:rsidTr="005B1322">
              <w:trPr>
                <w:trHeight w:val="300"/>
              </w:trPr>
              <w:tc>
                <w:tcPr>
                  <w:tcW w:w="2400" w:type="dxa"/>
                  <w:tcBorders>
                    <w:top w:val="nil"/>
                    <w:left w:val="single" w:sz="8" w:space="0" w:color="auto"/>
                    <w:bottom w:val="single" w:sz="4" w:space="0" w:color="auto"/>
                    <w:right w:val="single" w:sz="4" w:space="0" w:color="auto"/>
                  </w:tcBorders>
                  <w:vAlign w:val="center"/>
                  <w:hideMark/>
                </w:tcPr>
                <w:p w14:paraId="5760876B"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w:t>
                  </w:r>
                </w:p>
              </w:tc>
              <w:tc>
                <w:tcPr>
                  <w:tcW w:w="1400" w:type="dxa"/>
                  <w:tcBorders>
                    <w:top w:val="nil"/>
                    <w:left w:val="nil"/>
                    <w:bottom w:val="single" w:sz="4" w:space="0" w:color="auto"/>
                    <w:right w:val="single" w:sz="4" w:space="0" w:color="auto"/>
                  </w:tcBorders>
                  <w:vAlign w:val="center"/>
                  <w:hideMark/>
                </w:tcPr>
                <w:p w14:paraId="2D37FFD8"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25 (6,2%)</w:t>
                  </w:r>
                </w:p>
              </w:tc>
              <w:tc>
                <w:tcPr>
                  <w:tcW w:w="1200" w:type="dxa"/>
                  <w:tcBorders>
                    <w:top w:val="nil"/>
                    <w:left w:val="nil"/>
                    <w:bottom w:val="single" w:sz="4" w:space="0" w:color="auto"/>
                    <w:right w:val="single" w:sz="4" w:space="0" w:color="auto"/>
                  </w:tcBorders>
                  <w:vAlign w:val="center"/>
                  <w:hideMark/>
                </w:tcPr>
                <w:p w14:paraId="585ED17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4 (1,9%)</w:t>
                  </w:r>
                </w:p>
              </w:tc>
              <w:tc>
                <w:tcPr>
                  <w:tcW w:w="1200" w:type="dxa"/>
                  <w:tcBorders>
                    <w:top w:val="nil"/>
                    <w:left w:val="nil"/>
                    <w:bottom w:val="single" w:sz="4" w:space="0" w:color="auto"/>
                    <w:right w:val="single" w:sz="4" w:space="0" w:color="auto"/>
                  </w:tcBorders>
                  <w:vAlign w:val="center"/>
                  <w:hideMark/>
                </w:tcPr>
                <w:p w14:paraId="4897A850"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4 (1</w:t>
                  </w:r>
                  <w:r w:rsidR="002104AE">
                    <w:rPr>
                      <w:rFonts w:ascii="Arial" w:hAnsi="Arial" w:cs="Arial"/>
                      <w:i/>
                      <w:iCs/>
                      <w:color w:val="000000"/>
                      <w:sz w:val="16"/>
                      <w:szCs w:val="16"/>
                    </w:rPr>
                    <w:t>;</w:t>
                  </w:r>
                  <w:r>
                    <w:rPr>
                      <w:rFonts w:ascii="Arial" w:hAnsi="Arial" w:cs="Arial"/>
                      <w:i/>
                      <w:iCs/>
                      <w:color w:val="000000"/>
                      <w:sz w:val="16"/>
                      <w:szCs w:val="16"/>
                    </w:rPr>
                    <w:t>7)</w:t>
                  </w:r>
                </w:p>
              </w:tc>
              <w:tc>
                <w:tcPr>
                  <w:tcW w:w="1200" w:type="dxa"/>
                  <w:tcBorders>
                    <w:top w:val="nil"/>
                    <w:left w:val="nil"/>
                    <w:bottom w:val="single" w:sz="4" w:space="0" w:color="auto"/>
                    <w:right w:val="single" w:sz="4" w:space="0" w:color="auto"/>
                  </w:tcBorders>
                  <w:vAlign w:val="center"/>
                  <w:hideMark/>
                </w:tcPr>
                <w:p w14:paraId="7D20E139"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0,0183</w:t>
                  </w:r>
                </w:p>
              </w:tc>
              <w:tc>
                <w:tcPr>
                  <w:tcW w:w="1200" w:type="dxa"/>
                  <w:tcBorders>
                    <w:top w:val="nil"/>
                    <w:left w:val="nil"/>
                    <w:bottom w:val="single" w:sz="4" w:space="0" w:color="auto"/>
                    <w:right w:val="single" w:sz="8" w:space="0" w:color="auto"/>
                  </w:tcBorders>
                  <w:vAlign w:val="center"/>
                  <w:hideMark/>
                </w:tcPr>
                <w:p w14:paraId="716D319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24 (14</w:t>
                  </w:r>
                  <w:r w:rsidR="00AA6BC8">
                    <w:rPr>
                      <w:rFonts w:ascii="Arial" w:hAnsi="Arial" w:cs="Arial"/>
                      <w:i/>
                      <w:iCs/>
                      <w:color w:val="000000"/>
                      <w:sz w:val="16"/>
                      <w:szCs w:val="16"/>
                    </w:rPr>
                    <w:t>;</w:t>
                  </w:r>
                  <w:r>
                    <w:rPr>
                      <w:rFonts w:ascii="Arial" w:hAnsi="Arial" w:cs="Arial"/>
                      <w:i/>
                      <w:iCs/>
                      <w:color w:val="000000"/>
                      <w:sz w:val="16"/>
                      <w:szCs w:val="16"/>
                    </w:rPr>
                    <w:t>79)</w:t>
                  </w:r>
                </w:p>
              </w:tc>
            </w:tr>
            <w:tr w:rsidR="005B1322" w14:paraId="19766328" w14:textId="77777777" w:rsidTr="005B1322">
              <w:trPr>
                <w:trHeight w:val="300"/>
              </w:trPr>
              <w:tc>
                <w:tcPr>
                  <w:tcW w:w="2400" w:type="dxa"/>
                  <w:tcBorders>
                    <w:top w:val="nil"/>
                    <w:left w:val="single" w:sz="8" w:space="0" w:color="auto"/>
                    <w:bottom w:val="single" w:sz="4" w:space="0" w:color="auto"/>
                    <w:right w:val="single" w:sz="4" w:space="0" w:color="auto"/>
                  </w:tcBorders>
                  <w:vAlign w:val="center"/>
                  <w:hideMark/>
                </w:tcPr>
                <w:p w14:paraId="689BA457"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2</w:t>
                  </w:r>
                </w:p>
              </w:tc>
              <w:tc>
                <w:tcPr>
                  <w:tcW w:w="1400" w:type="dxa"/>
                  <w:tcBorders>
                    <w:top w:val="nil"/>
                    <w:left w:val="nil"/>
                    <w:bottom w:val="single" w:sz="4" w:space="0" w:color="auto"/>
                    <w:right w:val="single" w:sz="4" w:space="0" w:color="auto"/>
                  </w:tcBorders>
                  <w:vAlign w:val="center"/>
                  <w:hideMark/>
                </w:tcPr>
                <w:p w14:paraId="35FC987D"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84 (20,7%)</w:t>
                  </w:r>
                </w:p>
              </w:tc>
              <w:tc>
                <w:tcPr>
                  <w:tcW w:w="1200" w:type="dxa"/>
                  <w:tcBorders>
                    <w:top w:val="nil"/>
                    <w:left w:val="nil"/>
                    <w:bottom w:val="single" w:sz="4" w:space="0" w:color="auto"/>
                    <w:right w:val="single" w:sz="4" w:space="0" w:color="auto"/>
                  </w:tcBorders>
                  <w:vAlign w:val="center"/>
                  <w:hideMark/>
                </w:tcPr>
                <w:p w14:paraId="3672C90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8 (3,8%)</w:t>
                  </w:r>
                </w:p>
              </w:tc>
              <w:tc>
                <w:tcPr>
                  <w:tcW w:w="1200" w:type="dxa"/>
                  <w:tcBorders>
                    <w:top w:val="nil"/>
                    <w:left w:val="nil"/>
                    <w:bottom w:val="single" w:sz="4" w:space="0" w:color="auto"/>
                    <w:right w:val="single" w:sz="4" w:space="0" w:color="auto"/>
                  </w:tcBorders>
                  <w:vAlign w:val="center"/>
                  <w:hideMark/>
                </w:tcPr>
                <w:p w14:paraId="6C97E929"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17 (13</w:t>
                  </w:r>
                  <w:r w:rsidR="002104AE">
                    <w:rPr>
                      <w:rFonts w:ascii="Arial" w:hAnsi="Arial" w:cs="Arial"/>
                      <w:i/>
                      <w:iCs/>
                      <w:color w:val="000000"/>
                      <w:sz w:val="16"/>
                      <w:szCs w:val="16"/>
                    </w:rPr>
                    <w:t>;</w:t>
                  </w:r>
                  <w:r>
                    <w:rPr>
                      <w:rFonts w:ascii="Arial" w:hAnsi="Arial" w:cs="Arial"/>
                      <w:i/>
                      <w:iCs/>
                      <w:color w:val="000000"/>
                      <w:sz w:val="16"/>
                      <w:szCs w:val="16"/>
                    </w:rPr>
                    <w:t>22)</w:t>
                  </w:r>
                </w:p>
              </w:tc>
              <w:tc>
                <w:tcPr>
                  <w:tcW w:w="1200" w:type="dxa"/>
                  <w:tcBorders>
                    <w:top w:val="nil"/>
                    <w:left w:val="nil"/>
                    <w:bottom w:val="single" w:sz="4" w:space="0" w:color="auto"/>
                    <w:right w:val="single" w:sz="4" w:space="0" w:color="auto"/>
                  </w:tcBorders>
                  <w:vAlign w:val="center"/>
                  <w:hideMark/>
                </w:tcPr>
                <w:p w14:paraId="1AD8CA40"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4" w:space="0" w:color="auto"/>
                    <w:right w:val="single" w:sz="8" w:space="0" w:color="auto"/>
                  </w:tcBorders>
                  <w:vAlign w:val="center"/>
                  <w:hideMark/>
                </w:tcPr>
                <w:p w14:paraId="09D3B293"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6 (5</w:t>
                  </w:r>
                  <w:r w:rsidR="00AA6BC8">
                    <w:rPr>
                      <w:rFonts w:ascii="Arial" w:hAnsi="Arial" w:cs="Arial"/>
                      <w:i/>
                      <w:iCs/>
                      <w:color w:val="000000"/>
                      <w:sz w:val="16"/>
                      <w:szCs w:val="16"/>
                    </w:rPr>
                    <w:t>;</w:t>
                  </w:r>
                  <w:r>
                    <w:rPr>
                      <w:rFonts w:ascii="Arial" w:hAnsi="Arial" w:cs="Arial"/>
                      <w:i/>
                      <w:iCs/>
                      <w:color w:val="000000"/>
                      <w:sz w:val="16"/>
                      <w:szCs w:val="16"/>
                    </w:rPr>
                    <w:t>8)</w:t>
                  </w:r>
                </w:p>
              </w:tc>
            </w:tr>
            <w:tr w:rsidR="005B1322" w14:paraId="456D58A6" w14:textId="77777777" w:rsidTr="005B1322">
              <w:trPr>
                <w:trHeight w:val="300"/>
              </w:trPr>
              <w:tc>
                <w:tcPr>
                  <w:tcW w:w="2400" w:type="dxa"/>
                  <w:tcBorders>
                    <w:top w:val="nil"/>
                    <w:left w:val="single" w:sz="8" w:space="0" w:color="auto"/>
                    <w:bottom w:val="single" w:sz="4" w:space="0" w:color="auto"/>
                    <w:right w:val="single" w:sz="4" w:space="0" w:color="auto"/>
                  </w:tcBorders>
                  <w:vAlign w:val="center"/>
                  <w:hideMark/>
                </w:tcPr>
                <w:p w14:paraId="6DC6C06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4</w:t>
                  </w:r>
                </w:p>
              </w:tc>
              <w:tc>
                <w:tcPr>
                  <w:tcW w:w="1400" w:type="dxa"/>
                  <w:tcBorders>
                    <w:top w:val="nil"/>
                    <w:left w:val="nil"/>
                    <w:bottom w:val="single" w:sz="4" w:space="0" w:color="auto"/>
                    <w:right w:val="single" w:sz="4" w:space="0" w:color="auto"/>
                  </w:tcBorders>
                  <w:vAlign w:val="center"/>
                  <w:hideMark/>
                </w:tcPr>
                <w:p w14:paraId="7CCF5B0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115 (28,3%)</w:t>
                  </w:r>
                </w:p>
              </w:tc>
              <w:tc>
                <w:tcPr>
                  <w:tcW w:w="1200" w:type="dxa"/>
                  <w:tcBorders>
                    <w:top w:val="nil"/>
                    <w:left w:val="nil"/>
                    <w:bottom w:val="single" w:sz="4" w:space="0" w:color="auto"/>
                    <w:right w:val="single" w:sz="4" w:space="0" w:color="auto"/>
                  </w:tcBorders>
                  <w:vAlign w:val="center"/>
                  <w:hideMark/>
                </w:tcPr>
                <w:p w14:paraId="39E4C77B"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15 (7,1%)</w:t>
                  </w:r>
                </w:p>
              </w:tc>
              <w:tc>
                <w:tcPr>
                  <w:tcW w:w="1200" w:type="dxa"/>
                  <w:tcBorders>
                    <w:top w:val="nil"/>
                    <w:left w:val="nil"/>
                    <w:bottom w:val="single" w:sz="4" w:space="0" w:color="auto"/>
                    <w:right w:val="single" w:sz="4" w:space="0" w:color="auto"/>
                  </w:tcBorders>
                  <w:vAlign w:val="center"/>
                  <w:hideMark/>
                </w:tcPr>
                <w:p w14:paraId="18C597B9"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21 (16</w:t>
                  </w:r>
                  <w:r w:rsidR="002104AE">
                    <w:rPr>
                      <w:rFonts w:ascii="Arial" w:hAnsi="Arial" w:cs="Arial"/>
                      <w:i/>
                      <w:iCs/>
                      <w:color w:val="000000"/>
                      <w:sz w:val="16"/>
                      <w:szCs w:val="16"/>
                    </w:rPr>
                    <w:t>;</w:t>
                  </w:r>
                  <w:r>
                    <w:rPr>
                      <w:rFonts w:ascii="Arial" w:hAnsi="Arial" w:cs="Arial"/>
                      <w:i/>
                      <w:iCs/>
                      <w:color w:val="000000"/>
                      <w:sz w:val="16"/>
                      <w:szCs w:val="16"/>
                    </w:rPr>
                    <w:t>27)</w:t>
                  </w:r>
                </w:p>
              </w:tc>
              <w:tc>
                <w:tcPr>
                  <w:tcW w:w="1200" w:type="dxa"/>
                  <w:tcBorders>
                    <w:top w:val="nil"/>
                    <w:left w:val="nil"/>
                    <w:bottom w:val="single" w:sz="4" w:space="0" w:color="auto"/>
                    <w:right w:val="single" w:sz="4" w:space="0" w:color="auto"/>
                  </w:tcBorders>
                  <w:vAlign w:val="center"/>
                  <w:hideMark/>
                </w:tcPr>
                <w:p w14:paraId="6F5A461B"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4" w:space="0" w:color="auto"/>
                    <w:right w:val="single" w:sz="8" w:space="0" w:color="auto"/>
                  </w:tcBorders>
                  <w:vAlign w:val="center"/>
                  <w:hideMark/>
                </w:tcPr>
                <w:p w14:paraId="754078F5"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5 (4</w:t>
                  </w:r>
                  <w:r w:rsidR="00AA6BC8">
                    <w:rPr>
                      <w:rFonts w:ascii="Arial" w:hAnsi="Arial" w:cs="Arial"/>
                      <w:i/>
                      <w:iCs/>
                      <w:color w:val="000000"/>
                      <w:sz w:val="16"/>
                      <w:szCs w:val="16"/>
                    </w:rPr>
                    <w:t>;</w:t>
                  </w:r>
                  <w:r>
                    <w:rPr>
                      <w:rFonts w:ascii="Arial" w:hAnsi="Arial" w:cs="Arial"/>
                      <w:i/>
                      <w:iCs/>
                      <w:color w:val="000000"/>
                      <w:sz w:val="16"/>
                      <w:szCs w:val="16"/>
                    </w:rPr>
                    <w:t>6)</w:t>
                  </w:r>
                </w:p>
              </w:tc>
            </w:tr>
            <w:tr w:rsidR="005B1322" w14:paraId="4EF1346C" w14:textId="77777777" w:rsidTr="005B1322">
              <w:trPr>
                <w:trHeight w:val="315"/>
              </w:trPr>
              <w:tc>
                <w:tcPr>
                  <w:tcW w:w="2400" w:type="dxa"/>
                  <w:tcBorders>
                    <w:top w:val="nil"/>
                    <w:left w:val="single" w:sz="8" w:space="0" w:color="auto"/>
                    <w:bottom w:val="single" w:sz="8" w:space="0" w:color="auto"/>
                    <w:right w:val="single" w:sz="4" w:space="0" w:color="auto"/>
                  </w:tcBorders>
                  <w:vAlign w:val="center"/>
                  <w:hideMark/>
                </w:tcPr>
                <w:p w14:paraId="0EEEA5B5"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8" w:space="0" w:color="auto"/>
                    <w:right w:val="single" w:sz="4" w:space="0" w:color="auto"/>
                  </w:tcBorders>
                  <w:vAlign w:val="center"/>
                  <w:hideMark/>
                </w:tcPr>
                <w:p w14:paraId="7457DC9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187 (46,1%)</w:t>
                  </w:r>
                </w:p>
              </w:tc>
              <w:tc>
                <w:tcPr>
                  <w:tcW w:w="1200" w:type="dxa"/>
                  <w:tcBorders>
                    <w:top w:val="nil"/>
                    <w:left w:val="nil"/>
                    <w:bottom w:val="single" w:sz="8" w:space="0" w:color="auto"/>
                    <w:right w:val="single" w:sz="4" w:space="0" w:color="auto"/>
                  </w:tcBorders>
                  <w:vAlign w:val="center"/>
                  <w:hideMark/>
                </w:tcPr>
                <w:p w14:paraId="69B61313"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39 (18,6%)</w:t>
                  </w:r>
                </w:p>
              </w:tc>
              <w:tc>
                <w:tcPr>
                  <w:tcW w:w="1200" w:type="dxa"/>
                  <w:tcBorders>
                    <w:top w:val="nil"/>
                    <w:left w:val="nil"/>
                    <w:bottom w:val="single" w:sz="8" w:space="0" w:color="auto"/>
                    <w:right w:val="single" w:sz="4" w:space="0" w:color="auto"/>
                  </w:tcBorders>
                  <w:vAlign w:val="center"/>
                  <w:hideMark/>
                </w:tcPr>
                <w:p w14:paraId="09069CB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27 (20</w:t>
                  </w:r>
                  <w:r w:rsidR="002104AE">
                    <w:rPr>
                      <w:rFonts w:ascii="Arial" w:hAnsi="Arial" w:cs="Arial"/>
                      <w:i/>
                      <w:iCs/>
                      <w:color w:val="000000"/>
                      <w:sz w:val="16"/>
                      <w:szCs w:val="16"/>
                    </w:rPr>
                    <w:t>;</w:t>
                  </w:r>
                  <w:r>
                    <w:rPr>
                      <w:rFonts w:ascii="Arial" w:hAnsi="Arial" w:cs="Arial"/>
                      <w:i/>
                      <w:iCs/>
                      <w:color w:val="000000"/>
                      <w:sz w:val="16"/>
                      <w:szCs w:val="16"/>
                    </w:rPr>
                    <w:t>35)</w:t>
                  </w:r>
                </w:p>
              </w:tc>
              <w:tc>
                <w:tcPr>
                  <w:tcW w:w="1200" w:type="dxa"/>
                  <w:tcBorders>
                    <w:top w:val="nil"/>
                    <w:left w:val="nil"/>
                    <w:bottom w:val="single" w:sz="4" w:space="0" w:color="auto"/>
                    <w:right w:val="single" w:sz="4" w:space="0" w:color="auto"/>
                  </w:tcBorders>
                  <w:vAlign w:val="center"/>
                  <w:hideMark/>
                </w:tcPr>
                <w:p w14:paraId="5DB7DA85"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nil"/>
                    <w:left w:val="nil"/>
                    <w:bottom w:val="single" w:sz="8" w:space="0" w:color="auto"/>
                    <w:right w:val="single" w:sz="8" w:space="0" w:color="auto"/>
                  </w:tcBorders>
                  <w:vAlign w:val="center"/>
                  <w:hideMark/>
                </w:tcPr>
                <w:p w14:paraId="714714AD"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4 (3</w:t>
                  </w:r>
                  <w:r w:rsidR="00AA6BC8">
                    <w:rPr>
                      <w:rFonts w:ascii="Arial" w:hAnsi="Arial" w:cs="Arial"/>
                      <w:i/>
                      <w:iCs/>
                      <w:color w:val="000000"/>
                      <w:sz w:val="16"/>
                      <w:szCs w:val="16"/>
                    </w:rPr>
                    <w:t>;</w:t>
                  </w:r>
                  <w:r>
                    <w:rPr>
                      <w:rFonts w:ascii="Arial" w:hAnsi="Arial" w:cs="Arial"/>
                      <w:i/>
                      <w:iCs/>
                      <w:color w:val="000000"/>
                      <w:sz w:val="16"/>
                      <w:szCs w:val="16"/>
                    </w:rPr>
                    <w:t>5)</w:t>
                  </w:r>
                </w:p>
              </w:tc>
            </w:tr>
            <w:tr w:rsidR="005B1322" w14:paraId="0F1D9C2A" w14:textId="77777777" w:rsidTr="005B1322">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674EB9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Variable secundaria PP NRS &lt;2 </w:t>
                  </w:r>
                </w:p>
              </w:tc>
              <w:tc>
                <w:tcPr>
                  <w:tcW w:w="1400" w:type="dxa"/>
                  <w:tcBorders>
                    <w:top w:val="nil"/>
                    <w:left w:val="nil"/>
                    <w:bottom w:val="nil"/>
                    <w:right w:val="single" w:sz="8" w:space="0" w:color="auto"/>
                  </w:tcBorders>
                  <w:vAlign w:val="center"/>
                  <w:hideMark/>
                </w:tcPr>
                <w:p w14:paraId="1E7E462A"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nil"/>
                    <w:left w:val="nil"/>
                    <w:bottom w:val="nil"/>
                    <w:right w:val="single" w:sz="8" w:space="0" w:color="auto"/>
                  </w:tcBorders>
                  <w:vAlign w:val="center"/>
                  <w:hideMark/>
                </w:tcPr>
                <w:p w14:paraId="6D5671FA"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nil"/>
                    <w:left w:val="single" w:sz="8" w:space="0" w:color="auto"/>
                    <w:bottom w:val="single" w:sz="8" w:space="0" w:color="000000"/>
                    <w:right w:val="single" w:sz="8" w:space="0" w:color="auto"/>
                  </w:tcBorders>
                  <w:vAlign w:val="center"/>
                  <w:hideMark/>
                </w:tcPr>
                <w:p w14:paraId="285F70EB"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707BACD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nil"/>
                    <w:left w:val="single" w:sz="8" w:space="0" w:color="auto"/>
                    <w:bottom w:val="single" w:sz="8" w:space="0" w:color="000000"/>
                    <w:right w:val="single" w:sz="8" w:space="0" w:color="auto"/>
                  </w:tcBorders>
                  <w:vAlign w:val="center"/>
                  <w:hideMark/>
                </w:tcPr>
                <w:p w14:paraId="53A22977"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544CABF2" w14:textId="77777777" w:rsidTr="005B1322">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7DFCBA3E" w14:textId="77777777" w:rsidR="005B1322" w:rsidRDefault="005B1322" w:rsidP="005B1322">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6381C532"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(406)</w:t>
                  </w:r>
                </w:p>
              </w:tc>
              <w:tc>
                <w:tcPr>
                  <w:tcW w:w="1200" w:type="dxa"/>
                  <w:tcBorders>
                    <w:top w:val="nil"/>
                    <w:left w:val="nil"/>
                    <w:bottom w:val="single" w:sz="8" w:space="0" w:color="auto"/>
                    <w:right w:val="single" w:sz="8" w:space="0" w:color="auto"/>
                  </w:tcBorders>
                  <w:vAlign w:val="center"/>
                  <w:hideMark/>
                </w:tcPr>
                <w:p w14:paraId="047705E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(210)</w:t>
                  </w:r>
                </w:p>
              </w:tc>
              <w:tc>
                <w:tcPr>
                  <w:tcW w:w="1200" w:type="dxa"/>
                  <w:vMerge/>
                  <w:tcBorders>
                    <w:top w:val="nil"/>
                    <w:left w:val="single" w:sz="8" w:space="0" w:color="auto"/>
                    <w:bottom w:val="single" w:sz="8" w:space="0" w:color="000000"/>
                    <w:right w:val="single" w:sz="8" w:space="0" w:color="auto"/>
                  </w:tcBorders>
                  <w:vAlign w:val="center"/>
                  <w:hideMark/>
                </w:tcPr>
                <w:p w14:paraId="652B2B1D"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4421E574"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36C7EE3" w14:textId="77777777" w:rsidR="005B1322" w:rsidRDefault="005B1322" w:rsidP="005B1322">
                  <w:pPr>
                    <w:rPr>
                      <w:rFonts w:ascii="Arial" w:hAnsi="Arial" w:cs="Arial"/>
                      <w:b/>
                      <w:bCs/>
                      <w:i/>
                      <w:iCs/>
                      <w:color w:val="000000"/>
                      <w:sz w:val="16"/>
                      <w:szCs w:val="16"/>
                    </w:rPr>
                  </w:pPr>
                </w:p>
              </w:tc>
            </w:tr>
            <w:tr w:rsidR="005B1322" w14:paraId="782C9FF5" w14:textId="77777777" w:rsidTr="005B1322">
              <w:trPr>
                <w:trHeight w:val="315"/>
              </w:trPr>
              <w:tc>
                <w:tcPr>
                  <w:tcW w:w="2400" w:type="dxa"/>
                  <w:tcBorders>
                    <w:top w:val="nil"/>
                    <w:left w:val="single" w:sz="8" w:space="0" w:color="auto"/>
                    <w:bottom w:val="single" w:sz="4" w:space="0" w:color="auto"/>
                    <w:right w:val="single" w:sz="4" w:space="0" w:color="auto"/>
                  </w:tcBorders>
                  <w:vAlign w:val="center"/>
                  <w:hideMark/>
                </w:tcPr>
                <w:p w14:paraId="1C6D48D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4</w:t>
                  </w:r>
                </w:p>
              </w:tc>
              <w:tc>
                <w:tcPr>
                  <w:tcW w:w="1400" w:type="dxa"/>
                  <w:tcBorders>
                    <w:top w:val="nil"/>
                    <w:left w:val="nil"/>
                    <w:bottom w:val="single" w:sz="4" w:space="0" w:color="auto"/>
                    <w:right w:val="single" w:sz="4" w:space="0" w:color="auto"/>
                  </w:tcBorders>
                  <w:vAlign w:val="center"/>
                  <w:hideMark/>
                </w:tcPr>
                <w:p w14:paraId="278F54F7"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51 (12,6%)</w:t>
                  </w:r>
                </w:p>
              </w:tc>
              <w:tc>
                <w:tcPr>
                  <w:tcW w:w="1200" w:type="dxa"/>
                  <w:tcBorders>
                    <w:top w:val="nil"/>
                    <w:left w:val="nil"/>
                    <w:bottom w:val="single" w:sz="4" w:space="0" w:color="auto"/>
                    <w:right w:val="single" w:sz="4" w:space="0" w:color="auto"/>
                  </w:tcBorders>
                  <w:vAlign w:val="center"/>
                  <w:hideMark/>
                </w:tcPr>
                <w:p w14:paraId="40BB55C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6 (2,9%)</w:t>
                  </w:r>
                </w:p>
              </w:tc>
              <w:tc>
                <w:tcPr>
                  <w:tcW w:w="1200" w:type="dxa"/>
                  <w:tcBorders>
                    <w:top w:val="single" w:sz="4" w:space="0" w:color="auto"/>
                    <w:left w:val="nil"/>
                    <w:bottom w:val="single" w:sz="4" w:space="0" w:color="auto"/>
                    <w:right w:val="single" w:sz="4" w:space="0" w:color="auto"/>
                  </w:tcBorders>
                  <w:vAlign w:val="center"/>
                  <w:hideMark/>
                </w:tcPr>
                <w:p w14:paraId="6DD7A403"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10 (6</w:t>
                  </w:r>
                  <w:r w:rsidR="002104AE">
                    <w:rPr>
                      <w:rFonts w:ascii="Arial" w:hAnsi="Arial" w:cs="Arial"/>
                      <w:i/>
                      <w:iCs/>
                      <w:color w:val="000000"/>
                      <w:sz w:val="16"/>
                      <w:szCs w:val="16"/>
                    </w:rPr>
                    <w:t>;</w:t>
                  </w:r>
                  <w:r>
                    <w:rPr>
                      <w:rFonts w:ascii="Arial" w:hAnsi="Arial" w:cs="Arial"/>
                      <w:i/>
                      <w:iCs/>
                      <w:color w:val="000000"/>
                      <w:sz w:val="16"/>
                      <w:szCs w:val="16"/>
                    </w:rPr>
                    <w:t>14)</w:t>
                  </w:r>
                </w:p>
              </w:tc>
              <w:tc>
                <w:tcPr>
                  <w:tcW w:w="1200" w:type="dxa"/>
                  <w:tcBorders>
                    <w:top w:val="single" w:sz="4" w:space="0" w:color="auto"/>
                    <w:left w:val="nil"/>
                    <w:bottom w:val="single" w:sz="4" w:space="0" w:color="auto"/>
                    <w:right w:val="single" w:sz="4" w:space="0" w:color="auto"/>
                  </w:tcBorders>
                  <w:vAlign w:val="center"/>
                  <w:hideMark/>
                </w:tcPr>
                <w:p w14:paraId="04BC01AD"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single" w:sz="4" w:space="0" w:color="auto"/>
                    <w:left w:val="nil"/>
                    <w:bottom w:val="single" w:sz="8" w:space="0" w:color="auto"/>
                    <w:right w:val="single" w:sz="8" w:space="0" w:color="auto"/>
                  </w:tcBorders>
                  <w:vAlign w:val="center"/>
                  <w:hideMark/>
                </w:tcPr>
                <w:p w14:paraId="3B99039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10 (7</w:t>
                  </w:r>
                  <w:r w:rsidR="00AA6BC8">
                    <w:rPr>
                      <w:rFonts w:ascii="Arial" w:hAnsi="Arial" w:cs="Arial"/>
                      <w:i/>
                      <w:iCs/>
                      <w:color w:val="000000"/>
                      <w:sz w:val="16"/>
                      <w:szCs w:val="16"/>
                    </w:rPr>
                    <w:t>;</w:t>
                  </w:r>
                  <w:r>
                    <w:rPr>
                      <w:rFonts w:ascii="Arial" w:hAnsi="Arial" w:cs="Arial"/>
                      <w:i/>
                      <w:iCs/>
                      <w:color w:val="000000"/>
                      <w:sz w:val="16"/>
                      <w:szCs w:val="16"/>
                    </w:rPr>
                    <w:t>17)</w:t>
                  </w:r>
                </w:p>
              </w:tc>
            </w:tr>
            <w:tr w:rsidR="005B1322" w14:paraId="64BCC79F" w14:textId="77777777" w:rsidTr="005B1322">
              <w:trPr>
                <w:trHeight w:val="315"/>
              </w:trPr>
              <w:tc>
                <w:tcPr>
                  <w:tcW w:w="2400" w:type="dxa"/>
                  <w:tcBorders>
                    <w:top w:val="nil"/>
                    <w:left w:val="single" w:sz="8" w:space="0" w:color="auto"/>
                    <w:bottom w:val="single" w:sz="8" w:space="0" w:color="auto"/>
                    <w:right w:val="single" w:sz="4" w:space="0" w:color="auto"/>
                  </w:tcBorders>
                  <w:vAlign w:val="center"/>
                  <w:hideMark/>
                </w:tcPr>
                <w:p w14:paraId="630178DB"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8" w:space="0" w:color="auto"/>
                    <w:right w:val="single" w:sz="4" w:space="0" w:color="auto"/>
                  </w:tcBorders>
                  <w:vAlign w:val="center"/>
                  <w:hideMark/>
                </w:tcPr>
                <w:p w14:paraId="4A86575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113 (27,8%)</w:t>
                  </w:r>
                </w:p>
              </w:tc>
              <w:tc>
                <w:tcPr>
                  <w:tcW w:w="1200" w:type="dxa"/>
                  <w:tcBorders>
                    <w:top w:val="nil"/>
                    <w:left w:val="nil"/>
                    <w:bottom w:val="single" w:sz="8" w:space="0" w:color="auto"/>
                    <w:right w:val="single" w:sz="4" w:space="0" w:color="auto"/>
                  </w:tcBorders>
                  <w:vAlign w:val="center"/>
                  <w:hideMark/>
                </w:tcPr>
                <w:p w14:paraId="1ED10F5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16 (7,6%)</w:t>
                  </w:r>
                </w:p>
              </w:tc>
              <w:tc>
                <w:tcPr>
                  <w:tcW w:w="1200" w:type="dxa"/>
                  <w:tcBorders>
                    <w:top w:val="nil"/>
                    <w:left w:val="nil"/>
                    <w:bottom w:val="single" w:sz="4" w:space="0" w:color="auto"/>
                    <w:right w:val="single" w:sz="4" w:space="0" w:color="auto"/>
                  </w:tcBorders>
                  <w:vAlign w:val="center"/>
                  <w:hideMark/>
                </w:tcPr>
                <w:p w14:paraId="5545CCE0"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20 (15</w:t>
                  </w:r>
                  <w:r w:rsidR="002104AE">
                    <w:rPr>
                      <w:rFonts w:ascii="Arial" w:hAnsi="Arial" w:cs="Arial"/>
                      <w:i/>
                      <w:iCs/>
                      <w:color w:val="000000"/>
                      <w:sz w:val="16"/>
                      <w:szCs w:val="16"/>
                    </w:rPr>
                    <w:t>;</w:t>
                  </w:r>
                  <w:r>
                    <w:rPr>
                      <w:rFonts w:ascii="Arial" w:hAnsi="Arial" w:cs="Arial"/>
                      <w:i/>
                      <w:iCs/>
                      <w:color w:val="000000"/>
                      <w:sz w:val="16"/>
                      <w:szCs w:val="16"/>
                    </w:rPr>
                    <w:t>26)</w:t>
                  </w:r>
                </w:p>
              </w:tc>
              <w:tc>
                <w:tcPr>
                  <w:tcW w:w="1200" w:type="dxa"/>
                  <w:tcBorders>
                    <w:top w:val="nil"/>
                    <w:left w:val="nil"/>
                    <w:bottom w:val="single" w:sz="4" w:space="0" w:color="auto"/>
                    <w:right w:val="single" w:sz="4" w:space="0" w:color="auto"/>
                  </w:tcBorders>
                  <w:vAlign w:val="center"/>
                  <w:hideMark/>
                </w:tcPr>
                <w:p w14:paraId="71D19287"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single" w:sz="4" w:space="0" w:color="auto"/>
                    <w:left w:val="nil"/>
                    <w:bottom w:val="single" w:sz="8" w:space="0" w:color="auto"/>
                    <w:right w:val="single" w:sz="8" w:space="0" w:color="auto"/>
                  </w:tcBorders>
                  <w:vAlign w:val="center"/>
                  <w:hideMark/>
                </w:tcPr>
                <w:p w14:paraId="0FEF2721"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5 (4</w:t>
                  </w:r>
                  <w:r w:rsidR="00AA6BC8">
                    <w:rPr>
                      <w:rFonts w:ascii="Arial" w:hAnsi="Arial" w:cs="Arial"/>
                      <w:i/>
                      <w:iCs/>
                      <w:color w:val="000000"/>
                      <w:sz w:val="16"/>
                      <w:szCs w:val="16"/>
                    </w:rPr>
                    <w:t>;</w:t>
                  </w:r>
                  <w:r>
                    <w:rPr>
                      <w:rFonts w:ascii="Arial" w:hAnsi="Arial" w:cs="Arial"/>
                      <w:i/>
                      <w:iCs/>
                      <w:color w:val="000000"/>
                      <w:sz w:val="16"/>
                      <w:szCs w:val="16"/>
                    </w:rPr>
                    <w:t>7)</w:t>
                  </w:r>
                </w:p>
              </w:tc>
            </w:tr>
            <w:tr w:rsidR="005B1322" w14:paraId="13084B3F" w14:textId="77777777" w:rsidTr="005B1322">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943062A"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Variable secundaria: mejora SD NRS  ≥4 en la semana 16</w:t>
                  </w:r>
                </w:p>
              </w:tc>
              <w:tc>
                <w:tcPr>
                  <w:tcW w:w="1400" w:type="dxa"/>
                  <w:tcBorders>
                    <w:top w:val="nil"/>
                    <w:left w:val="nil"/>
                    <w:bottom w:val="nil"/>
                    <w:right w:val="single" w:sz="8" w:space="0" w:color="auto"/>
                  </w:tcBorders>
                  <w:vAlign w:val="center"/>
                  <w:hideMark/>
                </w:tcPr>
                <w:p w14:paraId="5B504635"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nil"/>
                    <w:left w:val="nil"/>
                    <w:bottom w:val="nil"/>
                    <w:right w:val="single" w:sz="8" w:space="0" w:color="auto"/>
                  </w:tcBorders>
                  <w:vAlign w:val="center"/>
                  <w:hideMark/>
                </w:tcPr>
                <w:p w14:paraId="31A24E00"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3A971B4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51FF8036"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nil"/>
                    <w:left w:val="single" w:sz="8" w:space="0" w:color="auto"/>
                    <w:bottom w:val="single" w:sz="8" w:space="0" w:color="000000"/>
                    <w:right w:val="single" w:sz="8" w:space="0" w:color="auto"/>
                  </w:tcBorders>
                  <w:vAlign w:val="center"/>
                  <w:hideMark/>
                </w:tcPr>
                <w:p w14:paraId="51E681A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0AC1BB57" w14:textId="77777777" w:rsidTr="005B1322">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403B5B1F" w14:textId="77777777" w:rsidR="005B1322" w:rsidRDefault="005B1322" w:rsidP="005B1322">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402386A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(406)</w:t>
                  </w:r>
                </w:p>
              </w:tc>
              <w:tc>
                <w:tcPr>
                  <w:tcW w:w="1200" w:type="dxa"/>
                  <w:tcBorders>
                    <w:top w:val="nil"/>
                    <w:left w:val="nil"/>
                    <w:bottom w:val="single" w:sz="8" w:space="0" w:color="auto"/>
                    <w:right w:val="single" w:sz="8" w:space="0" w:color="auto"/>
                  </w:tcBorders>
                  <w:vAlign w:val="center"/>
                  <w:hideMark/>
                </w:tcPr>
                <w:p w14:paraId="2DF2B9EC"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(210)</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53D35E1D"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E4E08"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B947E64" w14:textId="77777777" w:rsidR="005B1322" w:rsidRDefault="005B1322" w:rsidP="005B1322">
                  <w:pPr>
                    <w:rPr>
                      <w:rFonts w:ascii="Arial" w:hAnsi="Arial" w:cs="Arial"/>
                      <w:b/>
                      <w:bCs/>
                      <w:i/>
                      <w:iCs/>
                      <w:color w:val="000000"/>
                      <w:sz w:val="16"/>
                      <w:szCs w:val="16"/>
                    </w:rPr>
                  </w:pPr>
                </w:p>
              </w:tc>
            </w:tr>
            <w:tr w:rsidR="005B1322" w14:paraId="68110219" w14:textId="77777777" w:rsidTr="005B1322">
              <w:trPr>
                <w:trHeight w:val="315"/>
              </w:trPr>
              <w:tc>
                <w:tcPr>
                  <w:tcW w:w="2400" w:type="dxa"/>
                  <w:tcBorders>
                    <w:top w:val="nil"/>
                    <w:left w:val="single" w:sz="4" w:space="0" w:color="auto"/>
                    <w:bottom w:val="single" w:sz="4" w:space="0" w:color="auto"/>
                    <w:right w:val="single" w:sz="4" w:space="0" w:color="auto"/>
                  </w:tcBorders>
                  <w:vAlign w:val="center"/>
                  <w:hideMark/>
                </w:tcPr>
                <w:p w14:paraId="453CB991"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4" w:space="0" w:color="auto"/>
                    <w:right w:val="single" w:sz="4" w:space="0" w:color="auto"/>
                  </w:tcBorders>
                  <w:vAlign w:val="center"/>
                  <w:hideMark/>
                </w:tcPr>
                <w:p w14:paraId="45A7DC06"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171 (42,1%)</w:t>
                  </w:r>
                </w:p>
              </w:tc>
              <w:tc>
                <w:tcPr>
                  <w:tcW w:w="1200" w:type="dxa"/>
                  <w:tcBorders>
                    <w:top w:val="nil"/>
                    <w:left w:val="nil"/>
                    <w:bottom w:val="single" w:sz="4" w:space="0" w:color="auto"/>
                    <w:right w:val="single" w:sz="4" w:space="0" w:color="auto"/>
                  </w:tcBorders>
                  <w:vAlign w:val="center"/>
                  <w:hideMark/>
                </w:tcPr>
                <w:p w14:paraId="53B09EAE"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47 (22,4%)</w:t>
                  </w:r>
                </w:p>
              </w:tc>
              <w:tc>
                <w:tcPr>
                  <w:tcW w:w="1200" w:type="dxa"/>
                  <w:tcBorders>
                    <w:top w:val="single" w:sz="4" w:space="0" w:color="auto"/>
                    <w:left w:val="nil"/>
                    <w:bottom w:val="single" w:sz="4" w:space="0" w:color="auto"/>
                    <w:right w:val="single" w:sz="4" w:space="0" w:color="auto"/>
                  </w:tcBorders>
                  <w:vAlign w:val="center"/>
                  <w:hideMark/>
                </w:tcPr>
                <w:p w14:paraId="39C46482"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20 (12</w:t>
                  </w:r>
                  <w:r w:rsidR="00AA6BC8">
                    <w:rPr>
                      <w:rFonts w:ascii="Arial" w:hAnsi="Arial" w:cs="Arial"/>
                      <w:i/>
                      <w:iCs/>
                      <w:color w:val="000000"/>
                      <w:sz w:val="16"/>
                      <w:szCs w:val="16"/>
                    </w:rPr>
                    <w:t>;2</w:t>
                  </w:r>
                  <w:r>
                    <w:rPr>
                      <w:rFonts w:ascii="Arial" w:hAnsi="Arial" w:cs="Arial"/>
                      <w:i/>
                      <w:iCs/>
                      <w:color w:val="000000"/>
                      <w:sz w:val="16"/>
                      <w:szCs w:val="16"/>
                    </w:rPr>
                    <w:t>7)</w:t>
                  </w:r>
                </w:p>
              </w:tc>
              <w:tc>
                <w:tcPr>
                  <w:tcW w:w="1200" w:type="dxa"/>
                  <w:tcBorders>
                    <w:top w:val="single" w:sz="4" w:space="0" w:color="auto"/>
                    <w:left w:val="nil"/>
                    <w:bottom w:val="single" w:sz="4" w:space="0" w:color="auto"/>
                    <w:right w:val="single" w:sz="4" w:space="0" w:color="auto"/>
                  </w:tcBorders>
                  <w:vAlign w:val="center"/>
                  <w:hideMark/>
                </w:tcPr>
                <w:p w14:paraId="3E50AD43"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single" w:sz="4" w:space="0" w:color="auto"/>
                    <w:left w:val="nil"/>
                    <w:bottom w:val="single" w:sz="8" w:space="0" w:color="auto"/>
                    <w:right w:val="single" w:sz="8" w:space="0" w:color="auto"/>
                  </w:tcBorders>
                  <w:vAlign w:val="center"/>
                  <w:hideMark/>
                </w:tcPr>
                <w:p w14:paraId="3813BB9B"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5 (4</w:t>
                  </w:r>
                  <w:r w:rsidR="00AA6BC8">
                    <w:rPr>
                      <w:rFonts w:ascii="Arial" w:hAnsi="Arial" w:cs="Arial"/>
                      <w:i/>
                      <w:iCs/>
                      <w:color w:val="000000"/>
                      <w:sz w:val="16"/>
                      <w:szCs w:val="16"/>
                    </w:rPr>
                    <w:t>;</w:t>
                  </w:r>
                  <w:r>
                    <w:rPr>
                      <w:rFonts w:ascii="Arial" w:hAnsi="Arial" w:cs="Arial"/>
                      <w:i/>
                      <w:iCs/>
                      <w:color w:val="000000"/>
                      <w:sz w:val="16"/>
                      <w:szCs w:val="16"/>
                    </w:rPr>
                    <w:t>8)</w:t>
                  </w:r>
                </w:p>
              </w:tc>
            </w:tr>
            <w:tr w:rsidR="005B1322" w14:paraId="38138BF8" w14:textId="77777777" w:rsidTr="005B1322">
              <w:trPr>
                <w:trHeight w:val="420"/>
              </w:trPr>
              <w:tc>
                <w:tcPr>
                  <w:tcW w:w="24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F8A5C49"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Variable secundaria EASI 75 y PP NRS ≥4</w:t>
                  </w:r>
                </w:p>
              </w:tc>
              <w:tc>
                <w:tcPr>
                  <w:tcW w:w="1400" w:type="dxa"/>
                  <w:tcBorders>
                    <w:top w:val="single" w:sz="8" w:space="0" w:color="auto"/>
                    <w:left w:val="nil"/>
                    <w:bottom w:val="nil"/>
                    <w:right w:val="single" w:sz="8" w:space="0" w:color="auto"/>
                  </w:tcBorders>
                  <w:vAlign w:val="center"/>
                  <w:hideMark/>
                </w:tcPr>
                <w:p w14:paraId="2A03493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single" w:sz="8" w:space="0" w:color="auto"/>
                    <w:left w:val="nil"/>
                    <w:bottom w:val="nil"/>
                    <w:right w:val="single" w:sz="8" w:space="0" w:color="auto"/>
                  </w:tcBorders>
                  <w:vAlign w:val="center"/>
                  <w:hideMark/>
                </w:tcPr>
                <w:p w14:paraId="5B1D9894"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1973436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75EE8862"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nil"/>
                    <w:left w:val="single" w:sz="8" w:space="0" w:color="auto"/>
                    <w:bottom w:val="single" w:sz="8" w:space="0" w:color="000000"/>
                    <w:right w:val="single" w:sz="8" w:space="0" w:color="auto"/>
                  </w:tcBorders>
                  <w:vAlign w:val="center"/>
                  <w:hideMark/>
                </w:tcPr>
                <w:p w14:paraId="5AF304F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128B3DBA" w14:textId="77777777" w:rsidTr="005B1322">
              <w:trPr>
                <w:trHeight w:val="31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60ED810F" w14:textId="77777777" w:rsidR="005B1322" w:rsidRDefault="005B1322" w:rsidP="005B1322">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127CFFBB"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(406)</w:t>
                  </w:r>
                </w:p>
              </w:tc>
              <w:tc>
                <w:tcPr>
                  <w:tcW w:w="1200" w:type="dxa"/>
                  <w:tcBorders>
                    <w:top w:val="nil"/>
                    <w:left w:val="nil"/>
                    <w:bottom w:val="single" w:sz="8" w:space="0" w:color="auto"/>
                    <w:right w:val="single" w:sz="8" w:space="0" w:color="auto"/>
                  </w:tcBorders>
                  <w:vAlign w:val="center"/>
                  <w:hideMark/>
                </w:tcPr>
                <w:p w14:paraId="606B7642"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(210)</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15A4AD34"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9955498"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0DB279C" w14:textId="77777777" w:rsidR="005B1322" w:rsidRDefault="005B1322" w:rsidP="005B1322">
                  <w:pPr>
                    <w:rPr>
                      <w:rFonts w:ascii="Arial" w:hAnsi="Arial" w:cs="Arial"/>
                      <w:b/>
                      <w:bCs/>
                      <w:i/>
                      <w:iCs/>
                      <w:color w:val="000000"/>
                      <w:sz w:val="16"/>
                      <w:szCs w:val="16"/>
                    </w:rPr>
                  </w:pPr>
                </w:p>
              </w:tc>
            </w:tr>
            <w:tr w:rsidR="005B1322" w14:paraId="63336E3C" w14:textId="77777777" w:rsidTr="005B1322">
              <w:trPr>
                <w:trHeight w:val="315"/>
              </w:trPr>
              <w:tc>
                <w:tcPr>
                  <w:tcW w:w="2400" w:type="dxa"/>
                  <w:tcBorders>
                    <w:top w:val="nil"/>
                    <w:left w:val="single" w:sz="4" w:space="0" w:color="auto"/>
                    <w:bottom w:val="single" w:sz="4" w:space="0" w:color="auto"/>
                    <w:right w:val="single" w:sz="4" w:space="0" w:color="auto"/>
                  </w:tcBorders>
                  <w:vAlign w:val="center"/>
                  <w:hideMark/>
                </w:tcPr>
                <w:p w14:paraId="02CBC8F0"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4" w:space="0" w:color="auto"/>
                    <w:right w:val="single" w:sz="4" w:space="0" w:color="auto"/>
                  </w:tcBorders>
                  <w:vAlign w:val="center"/>
                  <w:hideMark/>
                </w:tcPr>
                <w:p w14:paraId="5EE853C9"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105 (25,9%)</w:t>
                  </w:r>
                </w:p>
              </w:tc>
              <w:tc>
                <w:tcPr>
                  <w:tcW w:w="1200" w:type="dxa"/>
                  <w:tcBorders>
                    <w:top w:val="nil"/>
                    <w:left w:val="nil"/>
                    <w:bottom w:val="single" w:sz="4" w:space="0" w:color="auto"/>
                    <w:right w:val="single" w:sz="4" w:space="0" w:color="auto"/>
                  </w:tcBorders>
                  <w:vAlign w:val="center"/>
                  <w:hideMark/>
                </w:tcPr>
                <w:p w14:paraId="11E3337F"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24 (11,4%)</w:t>
                  </w:r>
                </w:p>
              </w:tc>
              <w:tc>
                <w:tcPr>
                  <w:tcW w:w="1200" w:type="dxa"/>
                  <w:tcBorders>
                    <w:top w:val="single" w:sz="4" w:space="0" w:color="auto"/>
                    <w:left w:val="nil"/>
                    <w:bottom w:val="single" w:sz="4" w:space="0" w:color="auto"/>
                    <w:right w:val="single" w:sz="4" w:space="0" w:color="auto"/>
                  </w:tcBorders>
                  <w:vAlign w:val="center"/>
                  <w:hideMark/>
                </w:tcPr>
                <w:p w14:paraId="543B41B6"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14 (8</w:t>
                  </w:r>
                  <w:r w:rsidR="00AA6BC8">
                    <w:rPr>
                      <w:rFonts w:ascii="Arial" w:hAnsi="Arial" w:cs="Arial"/>
                      <w:i/>
                      <w:iCs/>
                      <w:color w:val="000000"/>
                      <w:sz w:val="16"/>
                      <w:szCs w:val="16"/>
                    </w:rPr>
                    <w:t>;</w:t>
                  </w:r>
                  <w:r>
                    <w:rPr>
                      <w:rFonts w:ascii="Arial" w:hAnsi="Arial" w:cs="Arial"/>
                      <w:i/>
                      <w:iCs/>
                      <w:color w:val="000000"/>
                      <w:sz w:val="16"/>
                      <w:szCs w:val="16"/>
                    </w:rPr>
                    <w:t>20)</w:t>
                  </w:r>
                </w:p>
              </w:tc>
              <w:tc>
                <w:tcPr>
                  <w:tcW w:w="1200" w:type="dxa"/>
                  <w:tcBorders>
                    <w:top w:val="single" w:sz="4" w:space="0" w:color="auto"/>
                    <w:left w:val="nil"/>
                    <w:bottom w:val="single" w:sz="4" w:space="0" w:color="auto"/>
                    <w:right w:val="single" w:sz="4" w:space="0" w:color="auto"/>
                  </w:tcBorders>
                  <w:vAlign w:val="center"/>
                  <w:hideMark/>
                </w:tcPr>
                <w:p w14:paraId="0054D443"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tcBorders>
                    <w:top w:val="single" w:sz="4" w:space="0" w:color="auto"/>
                    <w:left w:val="nil"/>
                    <w:bottom w:val="single" w:sz="8" w:space="0" w:color="auto"/>
                    <w:right w:val="single" w:sz="8" w:space="0" w:color="auto"/>
                  </w:tcBorders>
                  <w:vAlign w:val="center"/>
                  <w:hideMark/>
                </w:tcPr>
                <w:p w14:paraId="515FCC74"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7 (5</w:t>
                  </w:r>
                  <w:r w:rsidR="00AA6BC8">
                    <w:rPr>
                      <w:rFonts w:ascii="Arial" w:hAnsi="Arial" w:cs="Arial"/>
                      <w:i/>
                      <w:iCs/>
                      <w:color w:val="000000"/>
                      <w:sz w:val="16"/>
                      <w:szCs w:val="16"/>
                    </w:rPr>
                    <w:t>;</w:t>
                  </w:r>
                  <w:r>
                    <w:rPr>
                      <w:rFonts w:ascii="Arial" w:hAnsi="Arial" w:cs="Arial"/>
                      <w:i/>
                      <w:iCs/>
                      <w:color w:val="000000"/>
                      <w:sz w:val="16"/>
                      <w:szCs w:val="16"/>
                    </w:rPr>
                    <w:t>12)</w:t>
                  </w:r>
                </w:p>
              </w:tc>
            </w:tr>
            <w:tr w:rsidR="005B1322" w14:paraId="6A8F75AE" w14:textId="77777777" w:rsidTr="005B1322">
              <w:trPr>
                <w:trHeight w:val="420"/>
              </w:trPr>
              <w:tc>
                <w:tcPr>
                  <w:tcW w:w="24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718D1D5"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Variable secundaria mejoría en IGA  y PP NRS ≥4</w:t>
                  </w:r>
                </w:p>
              </w:tc>
              <w:tc>
                <w:tcPr>
                  <w:tcW w:w="1400" w:type="dxa"/>
                  <w:tcBorders>
                    <w:top w:val="single" w:sz="8" w:space="0" w:color="auto"/>
                    <w:left w:val="nil"/>
                    <w:bottom w:val="nil"/>
                    <w:right w:val="single" w:sz="8" w:space="0" w:color="auto"/>
                  </w:tcBorders>
                  <w:vAlign w:val="center"/>
                  <w:hideMark/>
                </w:tcPr>
                <w:p w14:paraId="1E36B0A6"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tcBorders>
                    <w:top w:val="single" w:sz="8" w:space="0" w:color="auto"/>
                    <w:left w:val="nil"/>
                    <w:bottom w:val="nil"/>
                    <w:right w:val="single" w:sz="8" w:space="0" w:color="auto"/>
                  </w:tcBorders>
                  <w:vAlign w:val="center"/>
                  <w:hideMark/>
                </w:tcPr>
                <w:p w14:paraId="332382BC"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745B2323"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675FE26F"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vMerge w:val="restart"/>
                  <w:tcBorders>
                    <w:top w:val="nil"/>
                    <w:left w:val="single" w:sz="8" w:space="0" w:color="auto"/>
                    <w:bottom w:val="single" w:sz="8" w:space="0" w:color="000000"/>
                    <w:right w:val="single" w:sz="8" w:space="0" w:color="auto"/>
                  </w:tcBorders>
                  <w:vAlign w:val="center"/>
                  <w:hideMark/>
                </w:tcPr>
                <w:p w14:paraId="647EABBE"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5B1322" w14:paraId="23772A9D" w14:textId="77777777" w:rsidTr="005B1322">
              <w:trPr>
                <w:trHeight w:val="31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1CA2965D" w14:textId="77777777" w:rsidR="005B1322" w:rsidRDefault="005B1322" w:rsidP="005B1322">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246F34D2"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(406)</w:t>
                  </w:r>
                </w:p>
              </w:tc>
              <w:tc>
                <w:tcPr>
                  <w:tcW w:w="1200" w:type="dxa"/>
                  <w:tcBorders>
                    <w:top w:val="nil"/>
                    <w:left w:val="nil"/>
                    <w:bottom w:val="single" w:sz="8" w:space="0" w:color="auto"/>
                    <w:right w:val="single" w:sz="8" w:space="0" w:color="auto"/>
                  </w:tcBorders>
                  <w:vAlign w:val="center"/>
                  <w:hideMark/>
                </w:tcPr>
                <w:p w14:paraId="594A1742" w14:textId="77777777" w:rsidR="005B1322" w:rsidRDefault="005B1322" w:rsidP="005B1322">
                  <w:pPr>
                    <w:jc w:val="center"/>
                    <w:rPr>
                      <w:rFonts w:ascii="Arial" w:hAnsi="Arial" w:cs="Arial"/>
                      <w:b/>
                      <w:bCs/>
                      <w:i/>
                      <w:iCs/>
                      <w:color w:val="000000"/>
                      <w:sz w:val="16"/>
                      <w:szCs w:val="16"/>
                    </w:rPr>
                  </w:pPr>
                  <w:r>
                    <w:rPr>
                      <w:rFonts w:ascii="Arial" w:hAnsi="Arial" w:cs="Arial"/>
                      <w:b/>
                      <w:bCs/>
                      <w:i/>
                      <w:iCs/>
                      <w:color w:val="000000"/>
                      <w:sz w:val="16"/>
                      <w:szCs w:val="16"/>
                    </w:rPr>
                    <w:t>N (210)</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A6B16F2" w14:textId="77777777" w:rsidR="005B1322" w:rsidRDefault="005B1322" w:rsidP="005B1322">
                  <w:pPr>
                    <w:rPr>
                      <w:rFonts w:ascii="Arial" w:hAnsi="Arial" w:cs="Arial"/>
                      <w:b/>
                      <w:bCs/>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495BFED5" w14:textId="77777777" w:rsidR="005B1322" w:rsidRDefault="005B1322" w:rsidP="005B1322">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94BFEB4" w14:textId="77777777" w:rsidR="005B1322" w:rsidRDefault="005B1322" w:rsidP="005B1322">
                  <w:pPr>
                    <w:rPr>
                      <w:rFonts w:ascii="Arial" w:hAnsi="Arial" w:cs="Arial"/>
                      <w:b/>
                      <w:bCs/>
                      <w:i/>
                      <w:iCs/>
                      <w:color w:val="000000"/>
                      <w:sz w:val="16"/>
                      <w:szCs w:val="16"/>
                    </w:rPr>
                  </w:pPr>
                </w:p>
              </w:tc>
            </w:tr>
            <w:tr w:rsidR="005B1322" w14:paraId="1A332A69" w14:textId="77777777" w:rsidTr="005B1322">
              <w:trPr>
                <w:trHeight w:val="315"/>
              </w:trPr>
              <w:tc>
                <w:tcPr>
                  <w:tcW w:w="2400" w:type="dxa"/>
                  <w:tcBorders>
                    <w:top w:val="nil"/>
                    <w:left w:val="single" w:sz="4" w:space="0" w:color="auto"/>
                    <w:bottom w:val="single" w:sz="4" w:space="0" w:color="auto"/>
                    <w:right w:val="single" w:sz="4" w:space="0" w:color="auto"/>
                  </w:tcBorders>
                  <w:vAlign w:val="center"/>
                  <w:hideMark/>
                </w:tcPr>
                <w:p w14:paraId="2DAAA01A"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4" w:space="0" w:color="auto"/>
                    <w:right w:val="single" w:sz="4" w:space="0" w:color="auto"/>
                  </w:tcBorders>
                  <w:vAlign w:val="center"/>
                  <w:hideMark/>
                </w:tcPr>
                <w:p w14:paraId="05CCE1D6"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88 (21,7%)</w:t>
                  </w:r>
                </w:p>
              </w:tc>
              <w:tc>
                <w:tcPr>
                  <w:tcW w:w="1200" w:type="dxa"/>
                  <w:tcBorders>
                    <w:top w:val="nil"/>
                    <w:left w:val="nil"/>
                    <w:bottom w:val="single" w:sz="4" w:space="0" w:color="auto"/>
                    <w:right w:val="single" w:sz="4" w:space="0" w:color="auto"/>
                  </w:tcBorders>
                  <w:vAlign w:val="center"/>
                  <w:hideMark/>
                </w:tcPr>
                <w:p w14:paraId="200080CC"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21 (10</w:t>
                  </w:r>
                  <w:r w:rsidR="002104AE">
                    <w:rPr>
                      <w:rFonts w:ascii="Arial" w:hAnsi="Arial" w:cs="Arial"/>
                      <w:i/>
                      <w:iCs/>
                      <w:color w:val="000000"/>
                      <w:sz w:val="16"/>
                      <w:szCs w:val="16"/>
                    </w:rPr>
                    <w:t>,0</w:t>
                  </w:r>
                  <w:r>
                    <w:rPr>
                      <w:rFonts w:ascii="Arial" w:hAnsi="Arial" w:cs="Arial"/>
                      <w:i/>
                      <w:iCs/>
                      <w:color w:val="000000"/>
                      <w:sz w:val="16"/>
                      <w:szCs w:val="16"/>
                    </w:rPr>
                    <w:t>%)</w:t>
                  </w:r>
                </w:p>
              </w:tc>
              <w:tc>
                <w:tcPr>
                  <w:tcW w:w="1200" w:type="dxa"/>
                  <w:tcBorders>
                    <w:top w:val="single" w:sz="4" w:space="0" w:color="auto"/>
                    <w:left w:val="nil"/>
                    <w:bottom w:val="single" w:sz="4" w:space="0" w:color="auto"/>
                    <w:right w:val="single" w:sz="4" w:space="0" w:color="auto"/>
                  </w:tcBorders>
                  <w:vAlign w:val="center"/>
                  <w:hideMark/>
                </w:tcPr>
                <w:p w14:paraId="4E59D279"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12 (6</w:t>
                  </w:r>
                  <w:r w:rsidR="00AA6BC8">
                    <w:rPr>
                      <w:rFonts w:ascii="Arial" w:hAnsi="Arial" w:cs="Arial"/>
                      <w:i/>
                      <w:iCs/>
                      <w:color w:val="000000"/>
                      <w:sz w:val="16"/>
                      <w:szCs w:val="16"/>
                    </w:rPr>
                    <w:t>;</w:t>
                  </w:r>
                  <w:r>
                    <w:rPr>
                      <w:rFonts w:ascii="Arial" w:hAnsi="Arial" w:cs="Arial"/>
                      <w:i/>
                      <w:iCs/>
                      <w:color w:val="000000"/>
                      <w:sz w:val="16"/>
                      <w:szCs w:val="16"/>
                    </w:rPr>
                    <w:t>17)</w:t>
                  </w:r>
                </w:p>
              </w:tc>
              <w:tc>
                <w:tcPr>
                  <w:tcW w:w="1200" w:type="dxa"/>
                  <w:tcBorders>
                    <w:top w:val="single" w:sz="4" w:space="0" w:color="auto"/>
                    <w:left w:val="nil"/>
                    <w:bottom w:val="single" w:sz="4" w:space="0" w:color="auto"/>
                    <w:right w:val="single" w:sz="4" w:space="0" w:color="auto"/>
                  </w:tcBorders>
                  <w:vAlign w:val="center"/>
                  <w:hideMark/>
                </w:tcPr>
                <w:p w14:paraId="66EC46EB"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0,0003</w:t>
                  </w:r>
                </w:p>
              </w:tc>
              <w:tc>
                <w:tcPr>
                  <w:tcW w:w="1200" w:type="dxa"/>
                  <w:tcBorders>
                    <w:top w:val="single" w:sz="4" w:space="0" w:color="auto"/>
                    <w:left w:val="nil"/>
                    <w:bottom w:val="single" w:sz="8" w:space="0" w:color="auto"/>
                    <w:right w:val="single" w:sz="8" w:space="0" w:color="auto"/>
                  </w:tcBorders>
                  <w:vAlign w:val="center"/>
                  <w:hideMark/>
                </w:tcPr>
                <w:p w14:paraId="116992D8" w14:textId="77777777" w:rsidR="005B1322" w:rsidRDefault="005B1322" w:rsidP="005B1322">
                  <w:pPr>
                    <w:jc w:val="center"/>
                    <w:rPr>
                      <w:rFonts w:ascii="Arial" w:hAnsi="Arial" w:cs="Arial"/>
                      <w:i/>
                      <w:iCs/>
                      <w:color w:val="000000"/>
                      <w:sz w:val="16"/>
                      <w:szCs w:val="16"/>
                    </w:rPr>
                  </w:pPr>
                  <w:r>
                    <w:rPr>
                      <w:rFonts w:ascii="Arial" w:hAnsi="Arial" w:cs="Arial"/>
                      <w:i/>
                      <w:iCs/>
                      <w:color w:val="000000"/>
                      <w:sz w:val="16"/>
                      <w:szCs w:val="16"/>
                    </w:rPr>
                    <w:t>9 (6</w:t>
                  </w:r>
                  <w:r w:rsidR="00AA6BC8">
                    <w:rPr>
                      <w:rFonts w:ascii="Arial" w:hAnsi="Arial" w:cs="Arial"/>
                      <w:i/>
                      <w:iCs/>
                      <w:color w:val="000000"/>
                      <w:sz w:val="16"/>
                      <w:szCs w:val="16"/>
                    </w:rPr>
                    <w:t>;</w:t>
                  </w:r>
                  <w:r>
                    <w:rPr>
                      <w:rFonts w:ascii="Arial" w:hAnsi="Arial" w:cs="Arial"/>
                      <w:i/>
                      <w:iCs/>
                      <w:color w:val="000000"/>
                      <w:sz w:val="16"/>
                      <w:szCs w:val="16"/>
                    </w:rPr>
                    <w:t>17)</w:t>
                  </w:r>
                </w:p>
              </w:tc>
            </w:tr>
          </w:tbl>
          <w:p w14:paraId="37EEABA0" w14:textId="77777777" w:rsidR="0060011B" w:rsidRPr="001751E3" w:rsidRDefault="0060011B" w:rsidP="0060011B">
            <w:pPr>
              <w:jc w:val="both"/>
              <w:rPr>
                <w:rFonts w:ascii="Arial" w:hAnsi="Arial" w:cs="Arial"/>
                <w:bCs/>
                <w:sz w:val="16"/>
                <w:lang w:val="fr-FR"/>
              </w:rPr>
            </w:pPr>
          </w:p>
        </w:tc>
      </w:tr>
      <w:tr w:rsidR="00BC3E8E" w:rsidRPr="006F6ABB" w14:paraId="68E440B0" w14:textId="77777777" w:rsidTr="00BC3E8E">
        <w:trPr>
          <w:trHeight w:val="230"/>
        </w:trPr>
        <w:tc>
          <w:tcPr>
            <w:tcW w:w="8890" w:type="dxa"/>
            <w:shd w:val="clear" w:color="auto" w:fill="E6E6E6"/>
          </w:tcPr>
          <w:p w14:paraId="24004E76" w14:textId="77777777" w:rsidR="00BC3E8E" w:rsidRPr="006F6ABB" w:rsidRDefault="00BC3E8E" w:rsidP="00BC3E8E">
            <w:pPr>
              <w:rPr>
                <w:rFonts w:ascii="Arial" w:hAnsi="Arial" w:cs="Arial"/>
                <w:sz w:val="16"/>
                <w:szCs w:val="16"/>
              </w:rPr>
            </w:pPr>
            <w:r w:rsidRPr="006F6ABB">
              <w:rPr>
                <w:rFonts w:ascii="Arial" w:hAnsi="Arial" w:cs="Arial"/>
                <w:sz w:val="16"/>
                <w:szCs w:val="16"/>
              </w:rPr>
              <w:t>-Calculadoras para variables binarias: RAR y NNT y sus IC 95 %.</w:t>
            </w:r>
            <w:r w:rsidRPr="006F6ABB">
              <w:rPr>
                <w:rFonts w:ascii="Arial" w:hAnsi="Arial" w:cs="Arial"/>
                <w:b/>
                <w:sz w:val="16"/>
                <w:szCs w:val="16"/>
              </w:rPr>
              <w:t>CASPe</w:t>
            </w:r>
            <w:r w:rsidRPr="006F6ABB">
              <w:rPr>
                <w:rFonts w:ascii="Arial" w:hAnsi="Arial" w:cs="Arial"/>
                <w:sz w:val="16"/>
                <w:szCs w:val="16"/>
              </w:rPr>
              <w:t>.</w:t>
            </w:r>
            <w:r w:rsidRPr="006F6ABB">
              <w:rPr>
                <w:rFonts w:ascii="Arial" w:hAnsi="Arial" w:cs="Arial"/>
                <w:b/>
                <w:bCs/>
                <w:sz w:val="16"/>
                <w:szCs w:val="16"/>
              </w:rPr>
              <w:t xml:space="preserve"> </w:t>
            </w:r>
            <w:r w:rsidRPr="006F6ABB">
              <w:rPr>
                <w:rFonts w:ascii="Arial" w:hAnsi="Arial" w:cs="Arial"/>
                <w:b/>
                <w:sz w:val="16"/>
                <w:szCs w:val="16"/>
                <w:highlight w:val="yellow"/>
                <w:u w:val="single"/>
              </w:rPr>
              <w:t>Pulse aquí</w:t>
            </w:r>
            <w:r w:rsidRPr="006F6ABB">
              <w:rPr>
                <w:rFonts w:ascii="Arial" w:hAnsi="Arial" w:cs="Arial"/>
                <w:b/>
                <w:sz w:val="16"/>
                <w:szCs w:val="16"/>
              </w:rPr>
              <w:t xml:space="preserve"> ;</w:t>
            </w:r>
            <w:r w:rsidRPr="006F6ABB">
              <w:rPr>
                <w:rFonts w:ascii="Arial" w:hAnsi="Arial" w:cs="Arial"/>
                <w:sz w:val="16"/>
                <w:szCs w:val="16"/>
              </w:rPr>
              <w:t xml:space="preserve"> </w:t>
            </w:r>
            <w:r w:rsidRPr="006F6ABB">
              <w:rPr>
                <w:rFonts w:ascii="Arial" w:hAnsi="Arial" w:cs="Arial"/>
                <w:b/>
                <w:sz w:val="16"/>
                <w:szCs w:val="16"/>
              </w:rPr>
              <w:t>SIGN</w:t>
            </w:r>
            <w:r w:rsidRPr="006F6ABB">
              <w:rPr>
                <w:rFonts w:ascii="Arial" w:hAnsi="Arial" w:cs="Arial"/>
                <w:sz w:val="16"/>
                <w:szCs w:val="16"/>
              </w:rPr>
              <w:t>:</w:t>
            </w:r>
            <w:r w:rsidRPr="006F6ABB">
              <w:rPr>
                <w:rFonts w:ascii="Arial" w:hAnsi="Arial" w:cs="Arial"/>
                <w:b/>
                <w:bCs/>
                <w:sz w:val="16"/>
                <w:szCs w:val="16"/>
              </w:rPr>
              <w:t xml:space="preserve"> </w:t>
            </w:r>
            <w:r w:rsidRPr="006F6ABB">
              <w:rPr>
                <w:rFonts w:ascii="Arial" w:hAnsi="Arial" w:cs="Arial"/>
                <w:b/>
                <w:sz w:val="16"/>
                <w:szCs w:val="16"/>
                <w:highlight w:val="yellow"/>
                <w:u w:val="single"/>
              </w:rPr>
              <w:t>Pulse aquí</w:t>
            </w:r>
            <w:r w:rsidRPr="006F6ABB">
              <w:rPr>
                <w:rFonts w:ascii="Arial" w:hAnsi="Arial" w:cs="Arial"/>
                <w:b/>
                <w:sz w:val="16"/>
                <w:szCs w:val="16"/>
                <w:highlight w:val="yellow"/>
              </w:rPr>
              <w:t>.</w:t>
            </w:r>
          </w:p>
          <w:p w14:paraId="3ACEDB7C" w14:textId="77777777" w:rsidR="00BC3E8E" w:rsidRPr="006F6ABB" w:rsidRDefault="00BC3E8E" w:rsidP="00BC3E8E">
            <w:pPr>
              <w:rPr>
                <w:rFonts w:ascii="Arial" w:hAnsi="Arial" w:cs="Arial"/>
                <w:b/>
                <w:sz w:val="16"/>
                <w:szCs w:val="16"/>
                <w:u w:val="single"/>
              </w:rPr>
            </w:pPr>
            <w:r w:rsidRPr="006F6ABB">
              <w:rPr>
                <w:rFonts w:ascii="Arial" w:hAnsi="Arial" w:cs="Arial"/>
                <w:sz w:val="16"/>
                <w:szCs w:val="16"/>
              </w:rPr>
              <w:t xml:space="preserve">-Calculadora para variables continuas: </w:t>
            </w:r>
            <w:r w:rsidRPr="006F6ABB">
              <w:rPr>
                <w:rFonts w:ascii="Arial" w:hAnsi="Arial" w:cs="Arial"/>
                <w:b/>
                <w:sz w:val="16"/>
                <w:szCs w:val="16"/>
              </w:rPr>
              <w:t>R.Saracho</w:t>
            </w:r>
            <w:r w:rsidRPr="006F6ABB">
              <w:rPr>
                <w:rFonts w:ascii="Arial" w:hAnsi="Arial" w:cs="Arial"/>
                <w:sz w:val="16"/>
                <w:szCs w:val="16"/>
              </w:rPr>
              <w:t xml:space="preserve">. </w:t>
            </w:r>
            <w:r w:rsidRPr="006F6ABB">
              <w:rPr>
                <w:rFonts w:ascii="Arial" w:hAnsi="Arial" w:cs="Arial"/>
                <w:b/>
                <w:sz w:val="16"/>
                <w:szCs w:val="16"/>
                <w:highlight w:val="yellow"/>
                <w:u w:val="single"/>
              </w:rPr>
              <w:t>Pulse aquí</w:t>
            </w:r>
          </w:p>
          <w:p w14:paraId="2CC6FCFD" w14:textId="77777777" w:rsidR="00BC3E8E" w:rsidRPr="006F6ABB" w:rsidRDefault="00BC3E8E" w:rsidP="00BC3E8E">
            <w:pPr>
              <w:rPr>
                <w:rFonts w:ascii="Arial" w:hAnsi="Arial" w:cs="Arial"/>
                <w:b/>
                <w:sz w:val="16"/>
                <w:szCs w:val="16"/>
                <w:u w:val="single"/>
              </w:rPr>
            </w:pPr>
            <w:r w:rsidRPr="006F6ABB">
              <w:rPr>
                <w:rFonts w:ascii="Arial" w:hAnsi="Arial" w:cs="Arial"/>
                <w:b/>
                <w:sz w:val="16"/>
                <w:szCs w:val="16"/>
                <w:u w:val="single"/>
              </w:rPr>
              <w:t>-</w:t>
            </w:r>
            <w:r w:rsidRPr="006F6ABB">
              <w:rPr>
                <w:rFonts w:ascii="Arial" w:hAnsi="Arial" w:cs="Arial"/>
                <w:b/>
                <w:sz w:val="16"/>
                <w:szCs w:val="16"/>
              </w:rPr>
              <w:t>Otras calculadoras/programas en página GENESIS:</w:t>
            </w:r>
            <w:r w:rsidRPr="006F6ABB">
              <w:rPr>
                <w:rFonts w:ascii="Arial" w:hAnsi="Arial" w:cs="Arial"/>
                <w:b/>
                <w:sz w:val="16"/>
                <w:szCs w:val="16"/>
                <w:u w:val="single"/>
              </w:rPr>
              <w:t xml:space="preserve"> </w:t>
            </w:r>
            <w:hyperlink r:id="rId12" w:history="1">
              <w:r w:rsidRPr="006F6ABB">
                <w:rPr>
                  <w:rStyle w:val="Hipervnculo"/>
                  <w:rFonts w:ascii="Arial" w:hAnsi="Arial" w:cs="Arial"/>
                  <w:sz w:val="16"/>
                  <w:szCs w:val="16"/>
                </w:rPr>
                <w:t>http://gruposdetrabajo.sefh.es/genesis/genesis/Enlaces/Calculadoras.htm</w:t>
              </w:r>
            </w:hyperlink>
          </w:p>
        </w:tc>
      </w:tr>
    </w:tbl>
    <w:p w14:paraId="1792846B" w14:textId="77777777" w:rsidR="004C34BF" w:rsidRDefault="004C34BF" w:rsidP="00BC3E8E">
      <w:pPr>
        <w:snapToGrid w:val="0"/>
        <w:jc w:val="both"/>
        <w:rPr>
          <w:rFonts w:ascii="Arial" w:hAnsi="Arial" w:cs="Arial"/>
          <w:b/>
          <w:color w:val="000080"/>
          <w:sz w:val="20"/>
          <w:szCs w:val="20"/>
          <w:lang w:val="es-ES_tradnl"/>
        </w:rPr>
      </w:pPr>
    </w:p>
    <w:p w14:paraId="6AEEC699" w14:textId="77777777" w:rsidR="000171EE" w:rsidRDefault="000171EE" w:rsidP="00BC3E8E">
      <w:pPr>
        <w:snapToGrid w:val="0"/>
        <w:jc w:val="both"/>
        <w:rPr>
          <w:rFonts w:ascii="Arial" w:hAnsi="Arial" w:cs="Arial"/>
          <w:b/>
          <w:color w:val="000080"/>
          <w:sz w:val="20"/>
          <w:szCs w:val="20"/>
          <w:lang w:val="es-ES_tradnl"/>
        </w:rPr>
      </w:pPr>
    </w:p>
    <w:p w14:paraId="6545D198" w14:textId="77777777" w:rsidR="000171EE" w:rsidRDefault="000171EE" w:rsidP="00BC3E8E">
      <w:pPr>
        <w:snapToGrid w:val="0"/>
        <w:jc w:val="both"/>
        <w:rPr>
          <w:rFonts w:ascii="Arial" w:hAnsi="Arial" w:cs="Arial"/>
          <w:b/>
          <w:color w:val="000080"/>
          <w:sz w:val="20"/>
          <w:szCs w:val="20"/>
          <w:lang w:val="es-ES_tradnl"/>
        </w:rPr>
      </w:pPr>
    </w:p>
    <w:p w14:paraId="4286915B" w14:textId="77777777" w:rsidR="000171EE" w:rsidRDefault="000171EE" w:rsidP="00BC3E8E">
      <w:pPr>
        <w:snapToGrid w:val="0"/>
        <w:jc w:val="both"/>
        <w:rPr>
          <w:rFonts w:ascii="Arial" w:hAnsi="Arial" w:cs="Arial"/>
          <w:b/>
          <w:color w:val="000080"/>
          <w:sz w:val="20"/>
          <w:szCs w:val="20"/>
          <w:lang w:val="es-ES_tradnl"/>
        </w:rPr>
      </w:pPr>
    </w:p>
    <w:p w14:paraId="3F83216E" w14:textId="77777777" w:rsidR="000171EE" w:rsidRDefault="000171EE" w:rsidP="00BC3E8E">
      <w:pPr>
        <w:snapToGrid w:val="0"/>
        <w:jc w:val="both"/>
        <w:rPr>
          <w:rFonts w:ascii="Arial" w:hAnsi="Arial" w:cs="Arial"/>
          <w:b/>
          <w:color w:val="000080"/>
          <w:sz w:val="20"/>
          <w:szCs w:val="20"/>
          <w:lang w:val="es-ES_tradnl"/>
        </w:rPr>
      </w:pPr>
    </w:p>
    <w:p w14:paraId="24A65CD8" w14:textId="77777777" w:rsidR="000171EE" w:rsidRDefault="000171EE" w:rsidP="00BC3E8E">
      <w:pPr>
        <w:snapToGrid w:val="0"/>
        <w:jc w:val="both"/>
        <w:rPr>
          <w:rFonts w:ascii="Arial" w:hAnsi="Arial" w:cs="Arial"/>
          <w:b/>
          <w:color w:val="000080"/>
          <w:sz w:val="20"/>
          <w:szCs w:val="20"/>
          <w:lang w:val="es-ES_tradnl"/>
        </w:rPr>
      </w:pPr>
    </w:p>
    <w:p w14:paraId="1D4482D1" w14:textId="77777777" w:rsidR="000171EE" w:rsidRDefault="000171EE" w:rsidP="00BC3E8E">
      <w:pPr>
        <w:snapToGrid w:val="0"/>
        <w:jc w:val="both"/>
        <w:rPr>
          <w:rFonts w:ascii="Arial" w:hAnsi="Arial" w:cs="Arial"/>
          <w:b/>
          <w:color w:val="000080"/>
          <w:sz w:val="20"/>
          <w:szCs w:val="20"/>
          <w:lang w:val="es-ES_tradnl"/>
        </w:rPr>
      </w:pPr>
    </w:p>
    <w:p w14:paraId="685B562D" w14:textId="77777777" w:rsidR="004C34BF" w:rsidRDefault="004C34BF" w:rsidP="00BC3E8E">
      <w:pPr>
        <w:snapToGrid w:val="0"/>
        <w:jc w:val="both"/>
        <w:rPr>
          <w:rFonts w:ascii="Arial" w:hAnsi="Arial" w:cs="Arial"/>
          <w:b/>
          <w:color w:val="000080"/>
          <w:sz w:val="20"/>
          <w:szCs w:val="20"/>
          <w:lang w:val="es-ES_tradnl"/>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4C34BF" w:rsidRPr="006F6ABB" w14:paraId="2A022E41" w14:textId="77777777">
        <w:tc>
          <w:tcPr>
            <w:tcW w:w="8890" w:type="dxa"/>
            <w:shd w:val="clear" w:color="auto" w:fill="CCFFCC"/>
          </w:tcPr>
          <w:p w14:paraId="1305FCC7" w14:textId="77777777" w:rsidR="004C34BF" w:rsidRDefault="004C34BF">
            <w:pPr>
              <w:rPr>
                <w:rFonts w:ascii="Arial" w:hAnsi="Arial" w:cs="Arial"/>
                <w:b/>
                <w:bCs/>
                <w:sz w:val="20"/>
                <w:szCs w:val="20"/>
              </w:rPr>
            </w:pPr>
            <w:r w:rsidRPr="006F6ABB">
              <w:rPr>
                <w:rFonts w:ascii="Arial" w:hAnsi="Arial" w:cs="Arial"/>
                <w:b/>
                <w:i/>
                <w:sz w:val="20"/>
                <w:szCs w:val="20"/>
                <w:lang w:val="es-ES_tradnl"/>
              </w:rPr>
              <w:t xml:space="preserve">Tabla </w:t>
            </w:r>
            <w:r>
              <w:rPr>
                <w:rFonts w:ascii="Arial" w:hAnsi="Arial" w:cs="Arial"/>
                <w:b/>
                <w:i/>
                <w:sz w:val="20"/>
                <w:szCs w:val="20"/>
                <w:lang w:val="es-ES_tradnl"/>
              </w:rPr>
              <w:t>6</w:t>
            </w:r>
            <w:r w:rsidRPr="006F6ABB">
              <w:rPr>
                <w:rFonts w:ascii="Arial" w:hAnsi="Arial" w:cs="Arial"/>
                <w:b/>
                <w:i/>
                <w:sz w:val="20"/>
                <w:szCs w:val="20"/>
                <w:lang w:val="es-ES_tradnl"/>
              </w:rPr>
              <w:t xml:space="preserve">.  </w:t>
            </w:r>
            <w:r>
              <w:rPr>
                <w:rFonts w:ascii="Arial" w:hAnsi="Arial" w:cs="Arial"/>
                <w:b/>
                <w:bCs/>
                <w:sz w:val="20"/>
                <w:szCs w:val="20"/>
              </w:rPr>
              <w:t>Resultados de eficacia del ensayo ARCADIA-2</w:t>
            </w:r>
          </w:p>
          <w:p w14:paraId="67BF1E81" w14:textId="77777777" w:rsidR="004C34BF" w:rsidRPr="006F6ABB" w:rsidRDefault="004C34BF">
            <w:pPr>
              <w:rPr>
                <w:rFonts w:ascii="Arial" w:hAnsi="Arial" w:cs="Arial"/>
                <w:b/>
                <w:i/>
                <w:sz w:val="16"/>
                <w:lang w:val="es-ES_tradnl"/>
              </w:rPr>
            </w:pPr>
            <w:r w:rsidRPr="006F6ABB">
              <w:rPr>
                <w:rFonts w:ascii="Arial" w:hAnsi="Arial" w:cs="Arial"/>
                <w:b/>
                <w:i/>
                <w:sz w:val="16"/>
                <w:lang w:val="es-ES_tradnl"/>
              </w:rPr>
              <w:t>Referencia:</w:t>
            </w:r>
            <w:r w:rsidR="000171EE">
              <w:rPr>
                <w:rFonts w:ascii="Arial" w:hAnsi="Arial" w:cs="Arial"/>
                <w:b/>
                <w:i/>
                <w:sz w:val="16"/>
                <w:lang w:val="es-ES_tradnl"/>
              </w:rPr>
              <w:t xml:space="preserve"> </w:t>
            </w:r>
            <w:r w:rsidR="000171EE" w:rsidRPr="000171EE">
              <w:rPr>
                <w:rFonts w:ascii="Arial" w:hAnsi="Arial" w:cs="Arial"/>
                <w:b/>
                <w:i/>
                <w:sz w:val="16"/>
              </w:rPr>
              <w:t>Silverberg, J. I., Wollenberg, A., Reich, A., Thaçi, D., Legat, F. J., Papp, K. A., ... &amp; Piketty, C. (2024). Nemolizumab with concomitant topical therapy in adolescents and adults with moderate-to-severe atopic dermatitis (ARCADIA 1 and ARCADIA 2): results from two replicate, double-blind, randomised controlled phase 3 trials. </w:t>
            </w:r>
            <w:r w:rsidR="000171EE" w:rsidRPr="000171EE">
              <w:rPr>
                <w:rFonts w:ascii="Arial" w:hAnsi="Arial" w:cs="Arial"/>
                <w:b/>
                <w:i/>
                <w:iCs/>
                <w:sz w:val="16"/>
              </w:rPr>
              <w:t>The Lancet</w:t>
            </w:r>
            <w:r w:rsidR="000171EE" w:rsidRPr="000171EE">
              <w:rPr>
                <w:rFonts w:ascii="Arial" w:hAnsi="Arial" w:cs="Arial"/>
                <w:b/>
                <w:i/>
                <w:sz w:val="16"/>
              </w:rPr>
              <w:t>, </w:t>
            </w:r>
            <w:r w:rsidR="000171EE" w:rsidRPr="000171EE">
              <w:rPr>
                <w:rFonts w:ascii="Arial" w:hAnsi="Arial" w:cs="Arial"/>
                <w:b/>
                <w:i/>
                <w:iCs/>
                <w:sz w:val="16"/>
              </w:rPr>
              <w:t>404</w:t>
            </w:r>
            <w:r w:rsidR="000171EE" w:rsidRPr="000171EE">
              <w:rPr>
                <w:rFonts w:ascii="Arial" w:hAnsi="Arial" w:cs="Arial"/>
                <w:b/>
                <w:i/>
                <w:sz w:val="16"/>
              </w:rPr>
              <w:t>(10451), 445-460.</w:t>
            </w:r>
          </w:p>
        </w:tc>
      </w:tr>
      <w:tr w:rsidR="004C34BF" w:rsidRPr="006F6ABB" w14:paraId="7D5EFCC3" w14:textId="77777777" w:rsidTr="000D2465">
        <w:trPr>
          <w:trHeight w:val="2427"/>
        </w:trPr>
        <w:tc>
          <w:tcPr>
            <w:tcW w:w="8890" w:type="dxa"/>
          </w:tcPr>
          <w:p w14:paraId="30B542F7" w14:textId="77777777" w:rsidR="004C34BF" w:rsidRDefault="004C34BF">
            <w:pPr>
              <w:jc w:val="both"/>
              <w:rPr>
                <w:rFonts w:ascii="Arial" w:hAnsi="Arial" w:cs="Arial"/>
                <w:sz w:val="16"/>
              </w:rPr>
            </w:pPr>
            <w:r w:rsidRPr="00E36385">
              <w:rPr>
                <w:rFonts w:ascii="Arial" w:hAnsi="Arial" w:cs="Arial"/>
                <w:b/>
                <w:bCs/>
                <w:sz w:val="16"/>
              </w:rPr>
              <w:t>-Nº de pacientes:</w:t>
            </w:r>
            <w:r>
              <w:rPr>
                <w:rFonts w:ascii="Arial" w:hAnsi="Arial" w:cs="Arial"/>
                <w:sz w:val="16"/>
              </w:rPr>
              <w:t xml:space="preserve"> </w:t>
            </w:r>
            <w:r w:rsidR="0060011B">
              <w:rPr>
                <w:rFonts w:ascii="Arial" w:hAnsi="Arial" w:cs="Arial"/>
                <w:sz w:val="16"/>
              </w:rPr>
              <w:t>787</w:t>
            </w:r>
          </w:p>
          <w:p w14:paraId="34D6BEEB" w14:textId="77777777" w:rsidR="004C34BF" w:rsidRPr="006F6ABB" w:rsidRDefault="004C34BF">
            <w:pPr>
              <w:jc w:val="both"/>
              <w:rPr>
                <w:rFonts w:ascii="Arial" w:hAnsi="Arial" w:cs="Arial"/>
                <w:sz w:val="16"/>
              </w:rPr>
            </w:pPr>
          </w:p>
          <w:p w14:paraId="2D671843" w14:textId="77777777" w:rsidR="004C34BF" w:rsidRDefault="004C34BF">
            <w:pPr>
              <w:jc w:val="both"/>
              <w:rPr>
                <w:rFonts w:ascii="Arial" w:hAnsi="Arial" w:cs="Arial"/>
                <w:sz w:val="16"/>
              </w:rPr>
            </w:pPr>
            <w:r w:rsidRPr="00E36385">
              <w:rPr>
                <w:rFonts w:ascii="Arial" w:hAnsi="Arial" w:cs="Arial"/>
                <w:b/>
                <w:bCs/>
                <w:sz w:val="16"/>
              </w:rPr>
              <w:t>-Diseño:</w:t>
            </w:r>
            <w:r w:rsidRPr="006F6ABB">
              <w:rPr>
                <w:rFonts w:ascii="Arial" w:hAnsi="Arial" w:cs="Arial"/>
                <w:sz w:val="16"/>
              </w:rPr>
              <w:t xml:space="preserve"> </w:t>
            </w:r>
            <w:r>
              <w:rPr>
                <w:rFonts w:ascii="Arial" w:hAnsi="Arial" w:cs="Arial"/>
                <w:sz w:val="16"/>
              </w:rPr>
              <w:t xml:space="preserve">Estudio fase III, con </w:t>
            </w:r>
            <w:r w:rsidRPr="0031446F">
              <w:rPr>
                <w:rFonts w:ascii="Arial" w:hAnsi="Arial" w:cs="Arial"/>
                <w:sz w:val="16"/>
              </w:rPr>
              <w:t>aleatoriza</w:t>
            </w:r>
            <w:r>
              <w:rPr>
                <w:rFonts w:ascii="Arial" w:hAnsi="Arial" w:cs="Arial"/>
                <w:sz w:val="16"/>
              </w:rPr>
              <w:t xml:space="preserve">ción estratificada según criterios de </w:t>
            </w:r>
            <w:r w:rsidRPr="002035D2">
              <w:rPr>
                <w:rFonts w:ascii="Arial" w:hAnsi="Arial" w:cs="Arial"/>
                <w:sz w:val="16"/>
              </w:rPr>
              <w:t>gravedad de la enfermedad basal (puntuación IGA de 3 [moderada] o 4 [grave]) y por la gravedad del prurito (puntuación PP-NRS 7 [prurito grave] o &lt;7 [prurito moderado])</w:t>
            </w:r>
            <w:r>
              <w:rPr>
                <w:rFonts w:ascii="Arial" w:hAnsi="Arial" w:cs="Arial"/>
                <w:sz w:val="16"/>
              </w:rPr>
              <w:t>, con una proporción 2:1 en el brazo de nemolizumab frente a placebo,</w:t>
            </w:r>
            <w:r w:rsidRPr="0031446F">
              <w:rPr>
                <w:rFonts w:ascii="Arial" w:hAnsi="Arial" w:cs="Arial"/>
                <w:sz w:val="16"/>
              </w:rPr>
              <w:t xml:space="preserve"> doble ciego</w:t>
            </w:r>
            <w:r>
              <w:rPr>
                <w:rFonts w:ascii="Arial" w:hAnsi="Arial" w:cs="Arial"/>
                <w:sz w:val="16"/>
              </w:rPr>
              <w:t xml:space="preserve">, </w:t>
            </w:r>
            <w:r w:rsidRPr="0031446F">
              <w:rPr>
                <w:rFonts w:ascii="Arial" w:hAnsi="Arial" w:cs="Arial"/>
                <w:sz w:val="16"/>
              </w:rPr>
              <w:t xml:space="preserve">controlado con placebo </w:t>
            </w:r>
            <w:r>
              <w:rPr>
                <w:rFonts w:ascii="Arial" w:hAnsi="Arial" w:cs="Arial"/>
                <w:sz w:val="16"/>
              </w:rPr>
              <w:t xml:space="preserve">y de grupos paralelos. En la fase de mantenimiento de re-aleatoriza a los pacientes respondedores (1:1:1). </w:t>
            </w:r>
          </w:p>
          <w:p w14:paraId="671A827A" w14:textId="77777777" w:rsidR="004C34BF" w:rsidRPr="0031446F" w:rsidRDefault="004C34BF">
            <w:pPr>
              <w:jc w:val="both"/>
              <w:rPr>
                <w:rFonts w:ascii="Arial" w:hAnsi="Arial" w:cs="Arial"/>
                <w:sz w:val="16"/>
              </w:rPr>
            </w:pPr>
          </w:p>
          <w:p w14:paraId="7F0C6EBD" w14:textId="77777777" w:rsidR="004C34BF" w:rsidRDefault="004C34BF">
            <w:pPr>
              <w:jc w:val="both"/>
              <w:rPr>
                <w:rFonts w:ascii="Arial" w:hAnsi="Arial" w:cs="Arial"/>
                <w:sz w:val="16"/>
              </w:rPr>
            </w:pPr>
            <w:r w:rsidRPr="006F6ABB">
              <w:rPr>
                <w:rFonts w:ascii="Arial" w:hAnsi="Arial" w:cs="Arial"/>
                <w:sz w:val="16"/>
              </w:rPr>
              <w:t>-</w:t>
            </w:r>
            <w:r w:rsidRPr="00E36385">
              <w:rPr>
                <w:rFonts w:ascii="Arial" w:hAnsi="Arial" w:cs="Arial"/>
                <w:b/>
                <w:bCs/>
                <w:sz w:val="16"/>
              </w:rPr>
              <w:t>Tratamiento grupo activo y tratamiento grupo control:</w:t>
            </w:r>
            <w:r w:rsidRPr="006F6ABB">
              <w:rPr>
                <w:rFonts w:ascii="Arial" w:hAnsi="Arial" w:cs="Arial"/>
                <w:sz w:val="16"/>
              </w:rPr>
              <w:t xml:space="preserve">  </w:t>
            </w:r>
            <w:r>
              <w:rPr>
                <w:rFonts w:ascii="Arial" w:hAnsi="Arial" w:cs="Arial"/>
                <w:sz w:val="16"/>
              </w:rPr>
              <w:t xml:space="preserve">Nemolizumab con dosis de carga 60mg y posteriormente 30 </w:t>
            </w:r>
            <w:r w:rsidRPr="0087183F">
              <w:rPr>
                <w:rFonts w:ascii="Arial" w:hAnsi="Arial" w:cs="Arial"/>
                <w:color w:val="000000"/>
                <w:sz w:val="16"/>
              </w:rPr>
              <w:t>mg/cadaQ4W hasta la semana 16 (n=</w:t>
            </w:r>
            <w:r w:rsidR="0060011B" w:rsidRPr="0087183F">
              <w:rPr>
                <w:rFonts w:ascii="Arial" w:hAnsi="Arial" w:cs="Arial"/>
                <w:color w:val="000000"/>
                <w:sz w:val="16"/>
              </w:rPr>
              <w:t>522</w:t>
            </w:r>
            <w:r w:rsidRPr="0087183F">
              <w:rPr>
                <w:rFonts w:ascii="Arial" w:hAnsi="Arial" w:cs="Arial"/>
                <w:color w:val="000000"/>
                <w:sz w:val="16"/>
              </w:rPr>
              <w:t>) vs placebo Q4W hasta la semana 16 (n=</w:t>
            </w:r>
            <w:r w:rsidR="00810D9E" w:rsidRPr="0087183F">
              <w:rPr>
                <w:rFonts w:ascii="Arial" w:hAnsi="Arial" w:cs="Arial"/>
                <w:color w:val="000000"/>
                <w:sz w:val="16"/>
              </w:rPr>
              <w:t>265</w:t>
            </w:r>
            <w:r w:rsidRPr="0087183F">
              <w:rPr>
                <w:rFonts w:ascii="Arial" w:hAnsi="Arial" w:cs="Arial"/>
                <w:color w:val="000000"/>
                <w:sz w:val="16"/>
              </w:rPr>
              <w:t>). En la fase de mantenimiento (hasta semana 48), los pacientes respondedores, se re-aleatorizaron a nemolizumab 30 mg Q4W (n=</w:t>
            </w:r>
            <w:r w:rsidR="00810D9E" w:rsidRPr="0087183F">
              <w:rPr>
                <w:rFonts w:ascii="Arial" w:hAnsi="Arial" w:cs="Arial"/>
                <w:color w:val="000000"/>
                <w:sz w:val="16"/>
              </w:rPr>
              <w:t>79</w:t>
            </w:r>
            <w:r w:rsidRPr="0087183F">
              <w:rPr>
                <w:rFonts w:ascii="Arial" w:hAnsi="Arial" w:cs="Arial"/>
                <w:color w:val="000000"/>
                <w:sz w:val="16"/>
              </w:rPr>
              <w:t>), nemolizumab Q8W (n=</w:t>
            </w:r>
            <w:r w:rsidR="00810D9E" w:rsidRPr="0087183F">
              <w:rPr>
                <w:rFonts w:ascii="Arial" w:hAnsi="Arial" w:cs="Arial"/>
                <w:color w:val="000000"/>
                <w:sz w:val="16"/>
              </w:rPr>
              <w:t>78</w:t>
            </w:r>
            <w:r w:rsidRPr="0087183F">
              <w:rPr>
                <w:rFonts w:ascii="Arial" w:hAnsi="Arial" w:cs="Arial"/>
                <w:color w:val="000000"/>
                <w:sz w:val="16"/>
              </w:rPr>
              <w:t>) o placebo Q4W (n=</w:t>
            </w:r>
            <w:r w:rsidR="00810D9E" w:rsidRPr="0087183F">
              <w:rPr>
                <w:rFonts w:ascii="Arial" w:hAnsi="Arial" w:cs="Arial"/>
                <w:color w:val="000000"/>
                <w:sz w:val="16"/>
              </w:rPr>
              <w:t>78</w:t>
            </w:r>
            <w:r w:rsidRPr="0087183F">
              <w:rPr>
                <w:rFonts w:ascii="Arial" w:hAnsi="Arial" w:cs="Arial"/>
                <w:color w:val="000000"/>
                <w:sz w:val="16"/>
              </w:rPr>
              <w:t>) y los pacientes que iniciaron con placebo se mantuvieron con placebo (n=</w:t>
            </w:r>
            <w:r w:rsidR="00810D9E" w:rsidRPr="0087183F">
              <w:rPr>
                <w:rFonts w:ascii="Arial" w:hAnsi="Arial" w:cs="Arial"/>
                <w:color w:val="000000"/>
                <w:sz w:val="16"/>
              </w:rPr>
              <w:t>85</w:t>
            </w:r>
            <w:r w:rsidRPr="0087183F">
              <w:rPr>
                <w:rFonts w:ascii="Arial" w:hAnsi="Arial" w:cs="Arial"/>
                <w:color w:val="000000"/>
                <w:sz w:val="16"/>
              </w:rPr>
              <w:t>). En ambos brazos, este tratamiento se administró junto con una terapia tópica</w:t>
            </w:r>
            <w:r w:rsidRPr="0087183F">
              <w:rPr>
                <w:rFonts w:ascii="Arial" w:hAnsi="Arial" w:cs="Arial"/>
                <w:b/>
                <w:bCs/>
                <w:color w:val="000000"/>
                <w:sz w:val="16"/>
              </w:rPr>
              <w:t xml:space="preserve"> </w:t>
            </w:r>
            <w:r w:rsidRPr="0087183F">
              <w:rPr>
                <w:rFonts w:ascii="Arial" w:hAnsi="Arial" w:cs="Arial"/>
                <w:color w:val="000000"/>
                <w:sz w:val="16"/>
              </w:rPr>
              <w:t>(TCS con o sin TCI).</w:t>
            </w:r>
            <w:r>
              <w:rPr>
                <w:rFonts w:ascii="Arial" w:hAnsi="Arial" w:cs="Arial"/>
                <w:sz w:val="16"/>
              </w:rPr>
              <w:t xml:space="preserve"> </w:t>
            </w:r>
          </w:p>
          <w:p w14:paraId="1B01427F" w14:textId="77777777" w:rsidR="004C34BF" w:rsidRPr="006F6ABB" w:rsidRDefault="004C34BF">
            <w:pPr>
              <w:jc w:val="both"/>
              <w:rPr>
                <w:rFonts w:ascii="Arial" w:hAnsi="Arial" w:cs="Arial"/>
                <w:sz w:val="16"/>
              </w:rPr>
            </w:pPr>
          </w:p>
          <w:p w14:paraId="1A60C31A" w14:textId="77777777" w:rsidR="004C34BF" w:rsidRPr="000E1E58" w:rsidRDefault="004C34BF">
            <w:pPr>
              <w:jc w:val="both"/>
              <w:rPr>
                <w:rFonts w:ascii="Arial" w:hAnsi="Arial" w:cs="Arial"/>
                <w:sz w:val="16"/>
              </w:rPr>
            </w:pPr>
            <w:r w:rsidRPr="000E1E58">
              <w:rPr>
                <w:rFonts w:ascii="Arial" w:hAnsi="Arial" w:cs="Arial"/>
                <w:b/>
                <w:bCs/>
                <w:sz w:val="16"/>
              </w:rPr>
              <w:t>-Criterios de inclusión:</w:t>
            </w:r>
            <w:r w:rsidRPr="006F6ABB">
              <w:rPr>
                <w:rFonts w:ascii="Arial" w:hAnsi="Arial" w:cs="Arial"/>
                <w:sz w:val="16"/>
              </w:rPr>
              <w:t xml:space="preserve"> </w:t>
            </w:r>
            <w:r w:rsidRPr="000E1E58">
              <w:rPr>
                <w:rFonts w:ascii="Arial" w:hAnsi="Arial" w:cs="Arial"/>
                <w:sz w:val="16"/>
              </w:rPr>
              <w:t>adultos y adolescentes (&gt;12 años) con diagnóstico confirmado de DA moderada a grave (según los criterios de Hanifin y Rajka o la AAD) durante al menos 2 años antes del cribado, con IGA ≥ 3 o superior, EASI ≥ 16, afectación de la superficie corporal (BSA) por DA del 10% o más, PP NRS≥ de 4.0 e historia documentada de respuesta inadecuada a medicamentos tópicos (TCS con o sin TCI).</w:t>
            </w:r>
          </w:p>
          <w:p w14:paraId="0D29826F" w14:textId="77777777" w:rsidR="004C34BF" w:rsidRPr="006F6ABB" w:rsidRDefault="004C34BF">
            <w:pPr>
              <w:jc w:val="both"/>
              <w:rPr>
                <w:rFonts w:ascii="Arial" w:hAnsi="Arial" w:cs="Arial"/>
                <w:sz w:val="16"/>
              </w:rPr>
            </w:pPr>
          </w:p>
          <w:p w14:paraId="0C7D8277" w14:textId="77777777" w:rsidR="004C34BF" w:rsidRDefault="004C34BF">
            <w:pPr>
              <w:jc w:val="both"/>
              <w:rPr>
                <w:rFonts w:ascii="Arial" w:hAnsi="Arial" w:cs="Arial"/>
                <w:sz w:val="16"/>
              </w:rPr>
            </w:pPr>
            <w:r w:rsidRPr="000E1E58">
              <w:rPr>
                <w:rFonts w:ascii="Arial" w:hAnsi="Arial" w:cs="Arial"/>
                <w:b/>
                <w:bCs/>
                <w:sz w:val="16"/>
              </w:rPr>
              <w:t>-Criterios de exclusión:</w:t>
            </w:r>
            <w:r w:rsidRPr="000E1E58">
              <w:rPr>
                <w:rFonts w:ascii="Arial" w:hAnsi="Arial" w:cs="Arial"/>
                <w:sz w:val="16"/>
              </w:rPr>
              <w:t xml:space="preserve"> peso corporal &lt; 30 Kg, exacerbación de asma que suponga hospitalización en los 12 meses anteriores, asma mal controlada durante los 3 meses anteriores</w:t>
            </w:r>
            <w:r>
              <w:rPr>
                <w:rFonts w:ascii="Arial" w:hAnsi="Arial" w:cs="Arial"/>
                <w:sz w:val="16"/>
              </w:rPr>
              <w:t>, t</w:t>
            </w:r>
            <w:r w:rsidRPr="000E1E58">
              <w:rPr>
                <w:rFonts w:ascii="Arial" w:hAnsi="Arial" w:cs="Arial"/>
                <w:sz w:val="16"/>
              </w:rPr>
              <w:t>est de control del asma (ACT) ≤19 (solo para sujetos con antecedentes de asma) y flujo espiratorio máximo (PEF) &lt;80 % del valor previsto. Sujetos con antecedentes médicos actuales de enfermedad pulmonar obstructiva crónica y/o bronquitis crónica.</w:t>
            </w:r>
          </w:p>
          <w:p w14:paraId="4602D42A" w14:textId="77777777" w:rsidR="004C34BF" w:rsidRPr="006F6ABB" w:rsidRDefault="004C34BF">
            <w:pPr>
              <w:jc w:val="both"/>
              <w:rPr>
                <w:rFonts w:ascii="Arial" w:hAnsi="Arial" w:cs="Arial"/>
                <w:sz w:val="16"/>
              </w:rPr>
            </w:pPr>
          </w:p>
          <w:p w14:paraId="75922D4A" w14:textId="77777777" w:rsidR="004C34BF" w:rsidRDefault="004C34BF">
            <w:pPr>
              <w:jc w:val="both"/>
              <w:rPr>
                <w:rFonts w:ascii="Arial" w:hAnsi="Arial" w:cs="Arial"/>
                <w:sz w:val="16"/>
              </w:rPr>
            </w:pPr>
            <w:r w:rsidRPr="00B536FB">
              <w:rPr>
                <w:rFonts w:ascii="Arial" w:hAnsi="Arial" w:cs="Arial"/>
                <w:b/>
                <w:bCs/>
                <w:sz w:val="16"/>
              </w:rPr>
              <w:t>-Pérdidas:</w:t>
            </w:r>
            <w:r>
              <w:rPr>
                <w:rFonts w:ascii="Arial" w:hAnsi="Arial" w:cs="Arial"/>
                <w:sz w:val="16"/>
              </w:rPr>
              <w:t xml:space="preserve"> Pacientes que no completaron tratamiento hasta la semana 16 con nemolizumab 30mg Q4W  (n=</w:t>
            </w:r>
            <w:r w:rsidR="00810D9E">
              <w:rPr>
                <w:rFonts w:ascii="Arial" w:hAnsi="Arial" w:cs="Arial"/>
                <w:sz w:val="16"/>
              </w:rPr>
              <w:t>52, 3 no iniciaron y 49 discontinuaron</w:t>
            </w:r>
            <w:r>
              <w:rPr>
                <w:rFonts w:ascii="Arial" w:hAnsi="Arial" w:cs="Arial"/>
                <w:sz w:val="16"/>
              </w:rPr>
              <w:t>) y con placebo (n=</w:t>
            </w:r>
            <w:r w:rsidR="00810D9E">
              <w:rPr>
                <w:rFonts w:ascii="Arial" w:hAnsi="Arial" w:cs="Arial"/>
                <w:sz w:val="16"/>
              </w:rPr>
              <w:t>24, 2 no iniciaron y 22 discontinuaron</w:t>
            </w:r>
            <w:r>
              <w:rPr>
                <w:rFonts w:ascii="Arial" w:hAnsi="Arial" w:cs="Arial"/>
                <w:sz w:val="16"/>
              </w:rPr>
              <w:t>). Pacientes respondedores a nemolizumab que no continuaron tratamiento hasta la semana 48 con: nemolizumab 30 mg Q4W (n=</w:t>
            </w:r>
            <w:r w:rsidR="00810D9E">
              <w:rPr>
                <w:rFonts w:ascii="Arial" w:hAnsi="Arial" w:cs="Arial"/>
                <w:sz w:val="16"/>
              </w:rPr>
              <w:t>13</w:t>
            </w:r>
            <w:r>
              <w:rPr>
                <w:rFonts w:ascii="Arial" w:hAnsi="Arial" w:cs="Arial"/>
                <w:sz w:val="16"/>
              </w:rPr>
              <w:t>), nemolizumab Q8W (n=</w:t>
            </w:r>
            <w:r w:rsidR="00810D9E">
              <w:rPr>
                <w:rFonts w:ascii="Arial" w:hAnsi="Arial" w:cs="Arial"/>
                <w:sz w:val="16"/>
              </w:rPr>
              <w:t>10</w:t>
            </w:r>
            <w:r>
              <w:rPr>
                <w:rFonts w:ascii="Arial" w:hAnsi="Arial" w:cs="Arial"/>
                <w:sz w:val="16"/>
              </w:rPr>
              <w:t>), placebo (n=</w:t>
            </w:r>
            <w:r w:rsidR="00810D9E">
              <w:rPr>
                <w:rFonts w:ascii="Arial" w:hAnsi="Arial" w:cs="Arial"/>
                <w:sz w:val="16"/>
              </w:rPr>
              <w:t>12</w:t>
            </w:r>
            <w:r>
              <w:rPr>
                <w:rFonts w:ascii="Arial" w:hAnsi="Arial" w:cs="Arial"/>
                <w:sz w:val="16"/>
              </w:rPr>
              <w:t>), pacientes respondedores con placebo que no continuaron hasta la semana 48 (n=</w:t>
            </w:r>
            <w:r w:rsidR="00810D9E">
              <w:rPr>
                <w:rFonts w:ascii="Arial" w:hAnsi="Arial" w:cs="Arial"/>
                <w:sz w:val="16"/>
              </w:rPr>
              <w:t>10</w:t>
            </w:r>
            <w:r>
              <w:rPr>
                <w:rFonts w:ascii="Arial" w:hAnsi="Arial" w:cs="Arial"/>
                <w:sz w:val="16"/>
              </w:rPr>
              <w:t xml:space="preserve">). </w:t>
            </w:r>
          </w:p>
          <w:p w14:paraId="03E06E84" w14:textId="77777777" w:rsidR="004C34BF" w:rsidRPr="006F6ABB" w:rsidRDefault="004C34BF">
            <w:pPr>
              <w:jc w:val="both"/>
              <w:rPr>
                <w:rFonts w:ascii="Arial" w:hAnsi="Arial" w:cs="Arial"/>
                <w:sz w:val="16"/>
              </w:rPr>
            </w:pPr>
          </w:p>
          <w:p w14:paraId="53FC7087" w14:textId="77777777" w:rsidR="00275870" w:rsidRDefault="00275870" w:rsidP="00275870">
            <w:pPr>
              <w:jc w:val="both"/>
              <w:rPr>
                <w:rFonts w:ascii="Arial" w:hAnsi="Arial" w:cs="Arial"/>
                <w:sz w:val="16"/>
              </w:rPr>
            </w:pPr>
            <w:r w:rsidRPr="00415AF5">
              <w:rPr>
                <w:rFonts w:ascii="Arial" w:hAnsi="Arial" w:cs="Arial"/>
                <w:b/>
                <w:bCs/>
                <w:sz w:val="16"/>
              </w:rPr>
              <w:t>-Tipo de análisis:</w:t>
            </w:r>
            <w:r>
              <w:t xml:space="preserve"> </w:t>
            </w:r>
            <w:r w:rsidRPr="00415AF5">
              <w:rPr>
                <w:rFonts w:ascii="Arial" w:hAnsi="Arial" w:cs="Arial"/>
                <w:sz w:val="16"/>
              </w:rPr>
              <w:t>Los análisis de eficacia primaria y secundaria clave se realizaron en dos poblaciones predefinidas, controladas por el error de Tipo I</w:t>
            </w:r>
            <w:r>
              <w:rPr>
                <w:rFonts w:ascii="Arial" w:hAnsi="Arial" w:cs="Arial"/>
                <w:sz w:val="16"/>
              </w:rPr>
              <w:t>, población por</w:t>
            </w:r>
            <w:r w:rsidR="00DF5D96">
              <w:rPr>
                <w:rFonts w:ascii="Arial" w:hAnsi="Arial" w:cs="Arial"/>
                <w:sz w:val="16"/>
              </w:rPr>
              <w:t xml:space="preserve"> </w:t>
            </w:r>
            <w:r>
              <w:rPr>
                <w:rFonts w:ascii="Arial" w:hAnsi="Arial" w:cs="Arial"/>
                <w:sz w:val="16"/>
              </w:rPr>
              <w:t xml:space="preserve">ITT completa y subpoblación grave (NRS≥7). </w:t>
            </w:r>
            <w:r w:rsidRPr="00415AF5">
              <w:rPr>
                <w:rFonts w:ascii="Arial" w:hAnsi="Arial" w:cs="Arial"/>
                <w:sz w:val="16"/>
              </w:rPr>
              <w:t>La población per protocolo (PP) también se utilizó para análisis de eficacia, considerados como análisis de apoyo</w:t>
            </w:r>
            <w:r>
              <w:rPr>
                <w:rFonts w:ascii="Arial" w:hAnsi="Arial" w:cs="Arial"/>
                <w:sz w:val="16"/>
              </w:rPr>
              <w:t xml:space="preserve">. </w:t>
            </w:r>
          </w:p>
          <w:p w14:paraId="1675DC30" w14:textId="77777777" w:rsidR="00275870" w:rsidRDefault="00275870" w:rsidP="00275870">
            <w:pPr>
              <w:jc w:val="both"/>
              <w:rPr>
                <w:rFonts w:ascii="Arial" w:hAnsi="Arial" w:cs="Arial"/>
                <w:sz w:val="16"/>
              </w:rPr>
            </w:pPr>
          </w:p>
          <w:p w14:paraId="428CDB8E" w14:textId="77777777" w:rsidR="00275870" w:rsidRDefault="00275870" w:rsidP="00275870">
            <w:pPr>
              <w:jc w:val="both"/>
              <w:rPr>
                <w:rFonts w:ascii="Arial" w:hAnsi="Arial" w:cs="Arial"/>
                <w:sz w:val="16"/>
              </w:rPr>
            </w:pPr>
            <w:r>
              <w:rPr>
                <w:rFonts w:ascii="Arial" w:hAnsi="Arial" w:cs="Arial"/>
                <w:sz w:val="16"/>
              </w:rPr>
              <w:t>Se incluyeron 2 variables covariables primarias y 9 variables secundarias clave. P</w:t>
            </w:r>
            <w:r w:rsidRPr="00415AF5">
              <w:rPr>
                <w:rFonts w:ascii="Arial" w:hAnsi="Arial" w:cs="Arial"/>
                <w:sz w:val="16"/>
              </w:rPr>
              <w:t>ara controlar el error de Tipo I a un nivel de significancia del 5%, se implementó un enfoque jerárquico de control secuencial</w:t>
            </w:r>
            <w:r>
              <w:rPr>
                <w:rFonts w:ascii="Arial" w:hAnsi="Arial" w:cs="Arial"/>
                <w:sz w:val="16"/>
              </w:rPr>
              <w:t xml:space="preserve"> de manera que l</w:t>
            </w:r>
            <w:r w:rsidRPr="00415AF5">
              <w:rPr>
                <w:rFonts w:ascii="Arial" w:hAnsi="Arial" w:cs="Arial"/>
                <w:sz w:val="16"/>
              </w:rPr>
              <w:t>os endpoints coprimarios se probaron a un nivel de significancia del 2.5% para cada población (ITT completa y subpoblación de prurito grave)</w:t>
            </w:r>
            <w:r>
              <w:rPr>
                <w:rFonts w:ascii="Arial" w:hAnsi="Arial" w:cs="Arial"/>
                <w:sz w:val="16"/>
              </w:rPr>
              <w:t>.</w:t>
            </w:r>
            <w:r>
              <w:t xml:space="preserve"> </w:t>
            </w:r>
            <w:r w:rsidRPr="00415AF5">
              <w:rPr>
                <w:rFonts w:ascii="Arial" w:hAnsi="Arial" w:cs="Arial"/>
                <w:sz w:val="16"/>
              </w:rPr>
              <w:t>Si ambos endpoints coprimarios eran estadísticamente significativos (p &lt;2.5%) en una población, se procedía a probar secuencialmente los endpoints secundarios clave. El fracaso en alcanzar la significancia estadística en un punto terminaba las pruebas posteriores</w:t>
            </w:r>
            <w:r>
              <w:rPr>
                <w:rFonts w:ascii="Arial" w:hAnsi="Arial" w:cs="Arial"/>
                <w:sz w:val="16"/>
              </w:rPr>
              <w:t xml:space="preserve">. </w:t>
            </w:r>
          </w:p>
          <w:p w14:paraId="30CFA051" w14:textId="77777777" w:rsidR="00275870" w:rsidRDefault="00275870" w:rsidP="00275870">
            <w:pPr>
              <w:jc w:val="both"/>
              <w:rPr>
                <w:rFonts w:ascii="Arial" w:hAnsi="Arial" w:cs="Arial"/>
                <w:sz w:val="16"/>
              </w:rPr>
            </w:pPr>
          </w:p>
          <w:p w14:paraId="28461314" w14:textId="77777777" w:rsidR="00275870" w:rsidRDefault="00275870" w:rsidP="00275870">
            <w:pPr>
              <w:jc w:val="both"/>
              <w:rPr>
                <w:rFonts w:ascii="Arial" w:hAnsi="Arial" w:cs="Arial"/>
                <w:sz w:val="16"/>
              </w:rPr>
            </w:pPr>
            <w:r w:rsidRPr="00415AF5">
              <w:rPr>
                <w:rFonts w:ascii="Arial" w:hAnsi="Arial" w:cs="Arial"/>
                <w:sz w:val="16"/>
              </w:rPr>
              <w:t>Los endpoints binarios coprimarios y secundarios clave se analizaron mediante la Prueba de Cochran–Mantel–Haenszel (CMH)</w:t>
            </w:r>
            <w:r>
              <w:rPr>
                <w:rFonts w:ascii="Arial" w:hAnsi="Arial" w:cs="Arial"/>
                <w:sz w:val="16"/>
              </w:rPr>
              <w:t xml:space="preserve"> y e</w:t>
            </w:r>
            <w:r w:rsidRPr="00415AF5">
              <w:rPr>
                <w:rFonts w:ascii="Arial" w:hAnsi="Arial" w:cs="Arial"/>
                <w:sz w:val="16"/>
              </w:rPr>
              <w:t>sta prueba se ajustó por las variables de estratificación de la aleatorización</w:t>
            </w:r>
            <w:r>
              <w:rPr>
                <w:rFonts w:ascii="Arial" w:hAnsi="Arial" w:cs="Arial"/>
                <w:sz w:val="16"/>
              </w:rPr>
              <w:t xml:space="preserve">. </w:t>
            </w:r>
            <w:r w:rsidRPr="00415AF5">
              <w:rPr>
                <w:rFonts w:ascii="Arial" w:hAnsi="Arial" w:cs="Arial"/>
                <w:sz w:val="16"/>
              </w:rPr>
              <w:t>Los endpoints continuos no clave se analizaron mediante el Análisis de Covarianza (ANCOVA) con imputación múltiple (MI bajo el supuesto MAR) o Modelos Mixtos para Mediciones Repetidas (MMRM)</w:t>
            </w:r>
            <w:r>
              <w:rPr>
                <w:rFonts w:ascii="Arial" w:hAnsi="Arial" w:cs="Arial"/>
                <w:sz w:val="16"/>
              </w:rPr>
              <w:t>.</w:t>
            </w:r>
          </w:p>
          <w:p w14:paraId="23569CF7" w14:textId="77777777" w:rsidR="004C34BF" w:rsidRPr="006F6ABB" w:rsidRDefault="004C34BF">
            <w:pPr>
              <w:jc w:val="both"/>
              <w:rPr>
                <w:rFonts w:ascii="Arial" w:hAnsi="Arial" w:cs="Arial"/>
                <w:sz w:val="16"/>
              </w:rPr>
            </w:pPr>
          </w:p>
          <w:p w14:paraId="4CD07A22" w14:textId="77777777" w:rsidR="004C34BF" w:rsidRDefault="004C34BF">
            <w:pPr>
              <w:jc w:val="both"/>
              <w:rPr>
                <w:rFonts w:ascii="Arial" w:hAnsi="Arial" w:cs="Arial"/>
                <w:sz w:val="16"/>
              </w:rPr>
            </w:pPr>
            <w:r w:rsidRPr="001751E3">
              <w:rPr>
                <w:rFonts w:ascii="Arial" w:hAnsi="Arial" w:cs="Arial"/>
                <w:b/>
                <w:bCs/>
                <w:sz w:val="16"/>
              </w:rPr>
              <w:t>- Cálculo de tamaño muestral:</w:t>
            </w:r>
            <w:r>
              <w:t xml:space="preserve"> </w:t>
            </w:r>
            <w:r w:rsidRPr="001751E3">
              <w:rPr>
                <w:rFonts w:ascii="Arial" w:hAnsi="Arial" w:cs="Arial"/>
                <w:sz w:val="16"/>
              </w:rPr>
              <w:t xml:space="preserve">El tamaño muestral se eligió con el objetivo de caracterizar el perfil de </w:t>
            </w:r>
            <w:r>
              <w:rPr>
                <w:rFonts w:ascii="Arial" w:hAnsi="Arial" w:cs="Arial"/>
                <w:sz w:val="16"/>
              </w:rPr>
              <w:t xml:space="preserve">eficacia y </w:t>
            </w:r>
            <w:r w:rsidRPr="001751E3">
              <w:rPr>
                <w:rFonts w:ascii="Arial" w:hAnsi="Arial" w:cs="Arial"/>
                <w:sz w:val="16"/>
              </w:rPr>
              <w:t>seguridad</w:t>
            </w:r>
            <w:r>
              <w:rPr>
                <w:rFonts w:ascii="Arial" w:hAnsi="Arial" w:cs="Arial"/>
                <w:sz w:val="16"/>
              </w:rPr>
              <w:t xml:space="preserve"> de nemolizumab</w:t>
            </w:r>
            <w:r w:rsidRPr="001751E3">
              <w:rPr>
                <w:rFonts w:ascii="Arial" w:hAnsi="Arial" w:cs="Arial"/>
                <w:sz w:val="16"/>
              </w:rPr>
              <w:t>. Cada una de las comparaciones de las dos ramas de tratamiento con la rama control se realizaron con una potencia del 9</w:t>
            </w:r>
            <w:r>
              <w:rPr>
                <w:rFonts w:ascii="Arial" w:hAnsi="Arial" w:cs="Arial"/>
                <w:sz w:val="16"/>
              </w:rPr>
              <w:t>0</w:t>
            </w:r>
            <w:r w:rsidRPr="001751E3">
              <w:rPr>
                <w:rFonts w:ascii="Arial" w:hAnsi="Arial" w:cs="Arial"/>
                <w:sz w:val="16"/>
              </w:rPr>
              <w:t xml:space="preserve">% (alfa de dos colas=0.025 cada comparación) para detectar una diferencia del </w:t>
            </w:r>
            <w:r>
              <w:rPr>
                <w:rFonts w:ascii="Arial" w:hAnsi="Arial" w:cs="Arial"/>
                <w:sz w:val="16"/>
              </w:rPr>
              <w:t>18</w:t>
            </w:r>
            <w:r w:rsidRPr="001751E3">
              <w:rPr>
                <w:rFonts w:ascii="Arial" w:hAnsi="Arial" w:cs="Arial"/>
                <w:sz w:val="16"/>
              </w:rPr>
              <w:t xml:space="preserve">% entre </w:t>
            </w:r>
            <w:r>
              <w:rPr>
                <w:rFonts w:ascii="Arial" w:hAnsi="Arial" w:cs="Arial"/>
                <w:sz w:val="16"/>
              </w:rPr>
              <w:t xml:space="preserve">nemolizumab </w:t>
            </w:r>
            <w:r w:rsidRPr="001751E3">
              <w:rPr>
                <w:rFonts w:ascii="Arial" w:hAnsi="Arial" w:cs="Arial"/>
                <w:sz w:val="16"/>
              </w:rPr>
              <w:t>y placebo en IGA a las 16 semanas, asumiendo tasas de respuesta del 3</w:t>
            </w:r>
            <w:r>
              <w:rPr>
                <w:rFonts w:ascii="Arial" w:hAnsi="Arial" w:cs="Arial"/>
                <w:sz w:val="16"/>
              </w:rPr>
              <w:t>0</w:t>
            </w:r>
            <w:r w:rsidRPr="001751E3">
              <w:rPr>
                <w:rFonts w:ascii="Arial" w:hAnsi="Arial" w:cs="Arial"/>
                <w:sz w:val="16"/>
              </w:rPr>
              <w:t>% (</w:t>
            </w:r>
            <w:r>
              <w:rPr>
                <w:rFonts w:ascii="Arial" w:hAnsi="Arial" w:cs="Arial"/>
                <w:sz w:val="16"/>
              </w:rPr>
              <w:t>nemolizumab</w:t>
            </w:r>
            <w:r w:rsidRPr="001751E3">
              <w:rPr>
                <w:rFonts w:ascii="Arial" w:hAnsi="Arial" w:cs="Arial"/>
                <w:sz w:val="16"/>
              </w:rPr>
              <w:t>) y del 1</w:t>
            </w:r>
            <w:r>
              <w:rPr>
                <w:rFonts w:ascii="Arial" w:hAnsi="Arial" w:cs="Arial"/>
                <w:sz w:val="16"/>
              </w:rPr>
              <w:t>2</w:t>
            </w:r>
            <w:r w:rsidRPr="001751E3">
              <w:rPr>
                <w:rFonts w:ascii="Arial" w:hAnsi="Arial" w:cs="Arial"/>
                <w:sz w:val="16"/>
              </w:rPr>
              <w:t>% (placebo). Para el EASI-75 el tamaño muestral también tiene un poder del 9</w:t>
            </w:r>
            <w:r>
              <w:rPr>
                <w:rFonts w:ascii="Arial" w:hAnsi="Arial" w:cs="Arial"/>
                <w:sz w:val="16"/>
              </w:rPr>
              <w:t>0</w:t>
            </w:r>
            <w:r w:rsidRPr="001751E3">
              <w:rPr>
                <w:rFonts w:ascii="Arial" w:hAnsi="Arial" w:cs="Arial"/>
                <w:sz w:val="16"/>
              </w:rPr>
              <w:t xml:space="preserve">%, </w:t>
            </w:r>
            <w:r>
              <w:rPr>
                <w:rFonts w:ascii="Arial" w:hAnsi="Arial" w:cs="Arial"/>
                <w:sz w:val="16"/>
              </w:rPr>
              <w:t xml:space="preserve">para detectar una diferencia del 30% </w:t>
            </w:r>
            <w:r w:rsidRPr="001751E3">
              <w:rPr>
                <w:rFonts w:ascii="Arial" w:hAnsi="Arial" w:cs="Arial"/>
                <w:sz w:val="16"/>
              </w:rPr>
              <w:t xml:space="preserve">asumiendo tasas de respuesta en la semana 16 de </w:t>
            </w:r>
            <w:r>
              <w:rPr>
                <w:rFonts w:ascii="Arial" w:hAnsi="Arial" w:cs="Arial"/>
                <w:sz w:val="16"/>
              </w:rPr>
              <w:t>49</w:t>
            </w:r>
            <w:r w:rsidRPr="001751E3">
              <w:rPr>
                <w:rFonts w:ascii="Arial" w:hAnsi="Arial" w:cs="Arial"/>
                <w:sz w:val="16"/>
              </w:rPr>
              <w:t>% (</w:t>
            </w:r>
            <w:r>
              <w:rPr>
                <w:rFonts w:ascii="Arial" w:hAnsi="Arial" w:cs="Arial"/>
                <w:sz w:val="16"/>
              </w:rPr>
              <w:t>nemolizumab</w:t>
            </w:r>
            <w:r w:rsidRPr="001751E3">
              <w:rPr>
                <w:rFonts w:ascii="Arial" w:hAnsi="Arial" w:cs="Arial"/>
                <w:sz w:val="16"/>
              </w:rPr>
              <w:t>) y de 1</w:t>
            </w:r>
            <w:r>
              <w:rPr>
                <w:rFonts w:ascii="Arial" w:hAnsi="Arial" w:cs="Arial"/>
                <w:sz w:val="16"/>
              </w:rPr>
              <w:t>9</w:t>
            </w:r>
            <w:r w:rsidRPr="001751E3">
              <w:rPr>
                <w:rFonts w:ascii="Arial" w:hAnsi="Arial" w:cs="Arial"/>
                <w:sz w:val="16"/>
              </w:rPr>
              <w:t>% (placebo).</w:t>
            </w:r>
          </w:p>
          <w:p w14:paraId="74EA5259" w14:textId="77777777" w:rsidR="004C34BF" w:rsidRDefault="004C34BF">
            <w:pPr>
              <w:jc w:val="both"/>
              <w:rPr>
                <w:rFonts w:ascii="Arial" w:hAnsi="Arial" w:cs="Arial"/>
                <w:bCs/>
                <w:sz w:val="16"/>
                <w:lang w:val="fr-FR"/>
              </w:rPr>
            </w:pPr>
            <w:r w:rsidRPr="001751E3">
              <w:rPr>
                <w:rFonts w:ascii="Arial" w:hAnsi="Arial" w:cs="Arial"/>
                <w:bCs/>
                <w:sz w:val="16"/>
                <w:lang w:val="fr-FR"/>
              </w:rPr>
              <w:t xml:space="preserve">El tamaño muestral </w:t>
            </w:r>
            <w:r>
              <w:rPr>
                <w:rFonts w:ascii="Arial" w:hAnsi="Arial" w:cs="Arial"/>
                <w:bCs/>
                <w:sz w:val="16"/>
                <w:lang w:val="fr-FR"/>
              </w:rPr>
              <w:t xml:space="preserve">necesario </w:t>
            </w:r>
            <w:r w:rsidRPr="001751E3">
              <w:rPr>
                <w:rFonts w:ascii="Arial" w:hAnsi="Arial" w:cs="Arial"/>
                <w:bCs/>
                <w:sz w:val="16"/>
                <w:lang w:val="fr-FR"/>
              </w:rPr>
              <w:t>estimado</w:t>
            </w:r>
            <w:r>
              <w:rPr>
                <w:rFonts w:ascii="Arial" w:hAnsi="Arial" w:cs="Arial"/>
                <w:bCs/>
                <w:sz w:val="16"/>
                <w:lang w:val="fr-FR"/>
              </w:rPr>
              <w:t xml:space="preserve"> incialmente,</w:t>
            </w:r>
            <w:r w:rsidR="0060011B">
              <w:rPr>
                <w:rFonts w:ascii="Arial" w:hAnsi="Arial" w:cs="Arial"/>
                <w:bCs/>
                <w:sz w:val="16"/>
                <w:lang w:val="fr-FR"/>
              </w:rPr>
              <w:t xml:space="preserve"> </w:t>
            </w:r>
            <w:r w:rsidRPr="001751E3">
              <w:rPr>
                <w:rFonts w:ascii="Arial" w:hAnsi="Arial" w:cs="Arial"/>
                <w:bCs/>
                <w:sz w:val="16"/>
                <w:lang w:val="fr-FR"/>
              </w:rPr>
              <w:t xml:space="preserve">fue de 270 sujetos (90 placebo y 180 nemolizumab), que posteriormente se aumentó a 750 sujetos (250 placebo, 500 nemolizumab) para asegurar obtener datos adecuados sobre seguridad. </w:t>
            </w:r>
            <w:r w:rsidR="0060011B">
              <w:rPr>
                <w:rFonts w:ascii="Arial" w:hAnsi="Arial" w:cs="Arial"/>
                <w:bCs/>
                <w:sz w:val="16"/>
                <w:lang w:val="fr-FR"/>
              </w:rPr>
              <w:t>Finalmente se aumenta el tamaño muestral para poder obtener al menos 130 adolescentes (12-17 años).</w:t>
            </w:r>
          </w:p>
          <w:p w14:paraId="5C662507" w14:textId="77777777" w:rsidR="003C58E7" w:rsidRDefault="003C58E7">
            <w:pPr>
              <w:jc w:val="both"/>
              <w:rPr>
                <w:rFonts w:ascii="Arial" w:hAnsi="Arial" w:cs="Arial"/>
                <w:bCs/>
                <w:sz w:val="16"/>
                <w:lang w:val="fr-FR"/>
              </w:rPr>
            </w:pPr>
          </w:p>
          <w:tbl>
            <w:tblPr>
              <w:tblW w:w="8620" w:type="dxa"/>
              <w:tblCellMar>
                <w:left w:w="70" w:type="dxa"/>
                <w:right w:w="70" w:type="dxa"/>
              </w:tblCellMar>
              <w:tblLook w:val="04A0" w:firstRow="1" w:lastRow="0" w:firstColumn="1" w:lastColumn="0" w:noHBand="0" w:noVBand="1"/>
            </w:tblPr>
            <w:tblGrid>
              <w:gridCol w:w="2400"/>
              <w:gridCol w:w="1400"/>
              <w:gridCol w:w="20"/>
              <w:gridCol w:w="1180"/>
              <w:gridCol w:w="20"/>
              <w:gridCol w:w="1180"/>
              <w:gridCol w:w="20"/>
              <w:gridCol w:w="1180"/>
              <w:gridCol w:w="20"/>
              <w:gridCol w:w="1180"/>
              <w:gridCol w:w="20"/>
            </w:tblGrid>
            <w:tr w:rsidR="003C58E7" w14:paraId="13C3EEC1" w14:textId="77777777" w:rsidTr="000D2465">
              <w:trPr>
                <w:trHeight w:val="315"/>
              </w:trPr>
              <w:tc>
                <w:tcPr>
                  <w:tcW w:w="8620" w:type="dxa"/>
                  <w:gridSpan w:val="11"/>
                  <w:tcBorders>
                    <w:top w:val="single" w:sz="8" w:space="0" w:color="auto"/>
                    <w:left w:val="single" w:sz="8" w:space="0" w:color="auto"/>
                    <w:bottom w:val="single" w:sz="8" w:space="0" w:color="auto"/>
                    <w:right w:val="single" w:sz="8" w:space="0" w:color="000000"/>
                  </w:tcBorders>
                  <w:shd w:val="clear" w:color="000000" w:fill="CCFFCC"/>
                  <w:vAlign w:val="center"/>
                  <w:hideMark/>
                </w:tcPr>
                <w:p w14:paraId="55A771C1"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Resultados  POBLACIÓN TOTAL</w:t>
                  </w:r>
                </w:p>
              </w:tc>
            </w:tr>
            <w:tr w:rsidR="003C58E7" w14:paraId="3CD161E5" w14:textId="77777777" w:rsidTr="000D2465">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EAB1C55"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Covariables principales, semana 16</w:t>
                  </w:r>
                </w:p>
              </w:tc>
              <w:tc>
                <w:tcPr>
                  <w:tcW w:w="1420" w:type="dxa"/>
                  <w:gridSpan w:val="2"/>
                  <w:tcBorders>
                    <w:top w:val="nil"/>
                    <w:left w:val="nil"/>
                    <w:bottom w:val="nil"/>
                    <w:right w:val="single" w:sz="8" w:space="0" w:color="auto"/>
                  </w:tcBorders>
                  <w:vAlign w:val="center"/>
                  <w:hideMark/>
                </w:tcPr>
                <w:p w14:paraId="656AC7E3"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4C833597"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60ABD1CC"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3A9C672F"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1D2F5B61"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3C58E7" w14:paraId="6218CDA8" w14:textId="77777777" w:rsidTr="000D2465">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47A556DF" w14:textId="77777777" w:rsidR="003C58E7" w:rsidRDefault="003C58E7" w:rsidP="003C58E7">
                  <w:pPr>
                    <w:rPr>
                      <w:rFonts w:ascii="Arial" w:hAnsi="Arial" w:cs="Arial"/>
                      <w:b/>
                      <w:bCs/>
                      <w:i/>
                      <w:iCs/>
                      <w:color w:val="000000"/>
                      <w:sz w:val="16"/>
                      <w:szCs w:val="16"/>
                    </w:rPr>
                  </w:pPr>
                </w:p>
              </w:tc>
              <w:tc>
                <w:tcPr>
                  <w:tcW w:w="1420" w:type="dxa"/>
                  <w:gridSpan w:val="2"/>
                  <w:tcBorders>
                    <w:top w:val="nil"/>
                    <w:left w:val="nil"/>
                    <w:bottom w:val="single" w:sz="8" w:space="0" w:color="auto"/>
                    <w:right w:val="single" w:sz="8" w:space="0" w:color="auto"/>
                  </w:tcBorders>
                  <w:vAlign w:val="center"/>
                  <w:hideMark/>
                </w:tcPr>
                <w:p w14:paraId="2D028A32"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(522)</w:t>
                  </w:r>
                </w:p>
              </w:tc>
              <w:tc>
                <w:tcPr>
                  <w:tcW w:w="1200" w:type="dxa"/>
                  <w:gridSpan w:val="2"/>
                  <w:tcBorders>
                    <w:top w:val="nil"/>
                    <w:left w:val="nil"/>
                    <w:bottom w:val="single" w:sz="8" w:space="0" w:color="auto"/>
                    <w:right w:val="single" w:sz="8" w:space="0" w:color="auto"/>
                  </w:tcBorders>
                  <w:vAlign w:val="center"/>
                  <w:hideMark/>
                </w:tcPr>
                <w:p w14:paraId="557C6A31"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(265)</w:t>
                  </w:r>
                </w:p>
              </w:tc>
              <w:tc>
                <w:tcPr>
                  <w:tcW w:w="1200" w:type="dxa"/>
                  <w:gridSpan w:val="2"/>
                  <w:vMerge/>
                  <w:tcBorders>
                    <w:top w:val="nil"/>
                    <w:left w:val="single" w:sz="8" w:space="0" w:color="auto"/>
                    <w:bottom w:val="single" w:sz="8" w:space="0" w:color="000000"/>
                    <w:right w:val="single" w:sz="8" w:space="0" w:color="auto"/>
                  </w:tcBorders>
                  <w:vAlign w:val="center"/>
                  <w:hideMark/>
                </w:tcPr>
                <w:p w14:paraId="2102C553" w14:textId="77777777" w:rsidR="003C58E7" w:rsidRDefault="003C58E7" w:rsidP="003C58E7">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0258CDBC" w14:textId="77777777" w:rsidR="003C58E7" w:rsidRDefault="003C58E7" w:rsidP="003C58E7">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23D94AD7" w14:textId="77777777" w:rsidR="003C58E7" w:rsidRDefault="003C58E7" w:rsidP="003C58E7">
                  <w:pPr>
                    <w:rPr>
                      <w:rFonts w:ascii="Arial" w:hAnsi="Arial" w:cs="Arial"/>
                      <w:b/>
                      <w:bCs/>
                      <w:i/>
                      <w:iCs/>
                      <w:color w:val="000000"/>
                      <w:sz w:val="16"/>
                      <w:szCs w:val="16"/>
                    </w:rPr>
                  </w:pPr>
                </w:p>
              </w:tc>
            </w:tr>
            <w:tr w:rsidR="003C58E7" w14:paraId="207CF957" w14:textId="77777777" w:rsidTr="000D2465">
              <w:trPr>
                <w:trHeight w:val="300"/>
              </w:trPr>
              <w:tc>
                <w:tcPr>
                  <w:tcW w:w="2400" w:type="dxa"/>
                  <w:tcBorders>
                    <w:top w:val="nil"/>
                    <w:left w:val="single" w:sz="8" w:space="0" w:color="auto"/>
                    <w:bottom w:val="nil"/>
                    <w:right w:val="single" w:sz="8" w:space="0" w:color="auto"/>
                  </w:tcBorders>
                  <w:vAlign w:val="center"/>
                  <w:hideMark/>
                </w:tcPr>
                <w:p w14:paraId="6C9695AC" w14:textId="77777777" w:rsidR="003C58E7" w:rsidRDefault="003C58E7" w:rsidP="003C58E7">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20" w:type="dxa"/>
                  <w:gridSpan w:val="2"/>
                  <w:vMerge w:val="restart"/>
                  <w:tcBorders>
                    <w:top w:val="nil"/>
                    <w:left w:val="single" w:sz="8" w:space="0" w:color="auto"/>
                    <w:bottom w:val="single" w:sz="8" w:space="0" w:color="000000"/>
                    <w:right w:val="single" w:sz="8" w:space="0" w:color="auto"/>
                  </w:tcBorders>
                  <w:vAlign w:val="center"/>
                  <w:hideMark/>
                </w:tcPr>
                <w:p w14:paraId="67F8DA0C"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197 (37,7%)</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50D1F439"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69 (26</w:t>
                  </w:r>
                  <w:r w:rsidR="00AA6BC8">
                    <w:rPr>
                      <w:rFonts w:ascii="Arial" w:hAnsi="Arial" w:cs="Arial"/>
                      <w:i/>
                      <w:iCs/>
                      <w:color w:val="000000"/>
                      <w:sz w:val="16"/>
                      <w:szCs w:val="16"/>
                    </w:rPr>
                    <w:t>,0</w:t>
                  </w:r>
                  <w:r>
                    <w:rPr>
                      <w:rFonts w:ascii="Arial" w:hAnsi="Arial" w:cs="Arial"/>
                      <w:i/>
                      <w:iCs/>
                      <w:color w:val="000000"/>
                      <w:sz w:val="16"/>
                      <w:szCs w:val="16"/>
                    </w:rPr>
                    <w:t>%)</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2192FDD5"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12 (5</w:t>
                  </w:r>
                  <w:r w:rsidR="00AA6BC8">
                    <w:rPr>
                      <w:rFonts w:ascii="Arial" w:hAnsi="Arial" w:cs="Arial"/>
                      <w:i/>
                      <w:iCs/>
                      <w:color w:val="000000"/>
                      <w:sz w:val="16"/>
                      <w:szCs w:val="16"/>
                    </w:rPr>
                    <w:t>;</w:t>
                  </w:r>
                  <w:r>
                    <w:rPr>
                      <w:rFonts w:ascii="Arial" w:hAnsi="Arial" w:cs="Arial"/>
                      <w:i/>
                      <w:iCs/>
                      <w:color w:val="000000"/>
                      <w:sz w:val="16"/>
                      <w:szCs w:val="16"/>
                    </w:rPr>
                    <w:t>18)</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1F20A707"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0,001</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42B4786E"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9 (5</w:t>
                  </w:r>
                  <w:r w:rsidR="00AA6BC8">
                    <w:rPr>
                      <w:rFonts w:ascii="Arial" w:hAnsi="Arial" w:cs="Arial"/>
                      <w:i/>
                      <w:iCs/>
                      <w:color w:val="000000"/>
                      <w:sz w:val="16"/>
                      <w:szCs w:val="16"/>
                    </w:rPr>
                    <w:t>;</w:t>
                  </w:r>
                  <w:r>
                    <w:rPr>
                      <w:rFonts w:ascii="Arial" w:hAnsi="Arial" w:cs="Arial"/>
                      <w:i/>
                      <w:iCs/>
                      <w:color w:val="000000"/>
                      <w:sz w:val="16"/>
                      <w:szCs w:val="16"/>
                    </w:rPr>
                    <w:t>20)</w:t>
                  </w:r>
                </w:p>
              </w:tc>
            </w:tr>
            <w:tr w:rsidR="003C58E7" w14:paraId="7B20CFBF" w14:textId="77777777" w:rsidTr="000D2465">
              <w:trPr>
                <w:trHeight w:val="465"/>
              </w:trPr>
              <w:tc>
                <w:tcPr>
                  <w:tcW w:w="2400" w:type="dxa"/>
                  <w:tcBorders>
                    <w:top w:val="nil"/>
                    <w:left w:val="single" w:sz="8" w:space="0" w:color="auto"/>
                    <w:bottom w:val="single" w:sz="8" w:space="0" w:color="auto"/>
                    <w:right w:val="single" w:sz="8" w:space="0" w:color="auto"/>
                  </w:tcBorders>
                  <w:vAlign w:val="center"/>
                  <w:hideMark/>
                </w:tcPr>
                <w:p w14:paraId="75764F3A"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IGA 0/1 y ≥2 puntos de reducción (semana 16)</w:t>
                  </w:r>
                </w:p>
              </w:tc>
              <w:tc>
                <w:tcPr>
                  <w:tcW w:w="1420" w:type="dxa"/>
                  <w:gridSpan w:val="2"/>
                  <w:vMerge/>
                  <w:tcBorders>
                    <w:top w:val="nil"/>
                    <w:left w:val="single" w:sz="8" w:space="0" w:color="auto"/>
                    <w:bottom w:val="single" w:sz="8" w:space="0" w:color="000000"/>
                    <w:right w:val="single" w:sz="8" w:space="0" w:color="auto"/>
                  </w:tcBorders>
                  <w:vAlign w:val="center"/>
                  <w:hideMark/>
                </w:tcPr>
                <w:p w14:paraId="56CA4EFE" w14:textId="77777777" w:rsidR="003C58E7" w:rsidRDefault="003C58E7" w:rsidP="003C58E7">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2A4547E8" w14:textId="77777777" w:rsidR="003C58E7" w:rsidRDefault="003C58E7" w:rsidP="003C58E7">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3EE45CC2" w14:textId="77777777" w:rsidR="003C58E7" w:rsidRDefault="003C58E7" w:rsidP="003C58E7">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59C75145" w14:textId="77777777" w:rsidR="003C58E7" w:rsidRDefault="003C58E7" w:rsidP="003C58E7">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4E85B941" w14:textId="77777777" w:rsidR="003C58E7" w:rsidRDefault="003C58E7" w:rsidP="003C58E7">
                  <w:pPr>
                    <w:rPr>
                      <w:rFonts w:ascii="Arial" w:hAnsi="Arial" w:cs="Arial"/>
                      <w:i/>
                      <w:iCs/>
                      <w:color w:val="000000"/>
                      <w:sz w:val="16"/>
                      <w:szCs w:val="16"/>
                    </w:rPr>
                  </w:pPr>
                </w:p>
              </w:tc>
            </w:tr>
            <w:tr w:rsidR="003C58E7" w14:paraId="5ECFA938" w14:textId="77777777" w:rsidTr="000D2465">
              <w:trPr>
                <w:trHeight w:val="300"/>
              </w:trPr>
              <w:tc>
                <w:tcPr>
                  <w:tcW w:w="2400" w:type="dxa"/>
                  <w:tcBorders>
                    <w:top w:val="nil"/>
                    <w:left w:val="single" w:sz="8" w:space="0" w:color="auto"/>
                    <w:bottom w:val="nil"/>
                    <w:right w:val="single" w:sz="8" w:space="0" w:color="auto"/>
                  </w:tcBorders>
                  <w:vAlign w:val="center"/>
                  <w:hideMark/>
                </w:tcPr>
                <w:p w14:paraId="34CECA20" w14:textId="77777777" w:rsidR="003C58E7" w:rsidRDefault="003C58E7" w:rsidP="003C58E7">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20" w:type="dxa"/>
                  <w:gridSpan w:val="2"/>
                  <w:vMerge w:val="restart"/>
                  <w:tcBorders>
                    <w:top w:val="nil"/>
                    <w:left w:val="single" w:sz="8" w:space="0" w:color="auto"/>
                    <w:bottom w:val="single" w:sz="8" w:space="0" w:color="000000"/>
                    <w:right w:val="single" w:sz="8" w:space="0" w:color="auto"/>
                  </w:tcBorders>
                  <w:vAlign w:val="center"/>
                  <w:hideMark/>
                </w:tcPr>
                <w:p w14:paraId="7C2CEB4A"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220 (42,1%)</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624B6287"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80 (30,2%)</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010FBD92"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12 (5</w:t>
                  </w:r>
                  <w:r w:rsidR="00AA6BC8">
                    <w:rPr>
                      <w:rFonts w:ascii="Arial" w:hAnsi="Arial" w:cs="Arial"/>
                      <w:i/>
                      <w:iCs/>
                      <w:color w:val="000000"/>
                      <w:sz w:val="16"/>
                      <w:szCs w:val="16"/>
                    </w:rPr>
                    <w:t>;</w:t>
                  </w:r>
                  <w:r>
                    <w:rPr>
                      <w:rFonts w:ascii="Arial" w:hAnsi="Arial" w:cs="Arial"/>
                      <w:i/>
                      <w:iCs/>
                      <w:color w:val="000000"/>
                      <w:sz w:val="16"/>
                      <w:szCs w:val="16"/>
                    </w:rPr>
                    <w:t>19)</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53E84C6D"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0,0011</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11C8C8E5"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8 (5</w:t>
                  </w:r>
                  <w:r w:rsidR="00AA6BC8">
                    <w:rPr>
                      <w:rFonts w:ascii="Arial" w:hAnsi="Arial" w:cs="Arial"/>
                      <w:i/>
                      <w:iCs/>
                      <w:color w:val="000000"/>
                      <w:sz w:val="16"/>
                      <w:szCs w:val="16"/>
                    </w:rPr>
                    <w:t>;</w:t>
                  </w:r>
                  <w:r>
                    <w:rPr>
                      <w:rFonts w:ascii="Arial" w:hAnsi="Arial" w:cs="Arial"/>
                      <w:i/>
                      <w:iCs/>
                      <w:color w:val="000000"/>
                      <w:sz w:val="16"/>
                      <w:szCs w:val="16"/>
                    </w:rPr>
                    <w:t>20)</w:t>
                  </w:r>
                </w:p>
              </w:tc>
            </w:tr>
            <w:tr w:rsidR="003C58E7" w14:paraId="7989AA73" w14:textId="77777777" w:rsidTr="000D2465">
              <w:trPr>
                <w:trHeight w:val="315"/>
              </w:trPr>
              <w:tc>
                <w:tcPr>
                  <w:tcW w:w="2400" w:type="dxa"/>
                  <w:tcBorders>
                    <w:top w:val="nil"/>
                    <w:left w:val="single" w:sz="8" w:space="0" w:color="auto"/>
                    <w:bottom w:val="single" w:sz="8" w:space="0" w:color="auto"/>
                    <w:right w:val="single" w:sz="8" w:space="0" w:color="auto"/>
                  </w:tcBorders>
                  <w:vAlign w:val="center"/>
                  <w:hideMark/>
                </w:tcPr>
                <w:p w14:paraId="5F9BB3BE"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EASI 75 (semana 16)</w:t>
                  </w:r>
                </w:p>
              </w:tc>
              <w:tc>
                <w:tcPr>
                  <w:tcW w:w="1420" w:type="dxa"/>
                  <w:gridSpan w:val="2"/>
                  <w:vMerge/>
                  <w:tcBorders>
                    <w:top w:val="nil"/>
                    <w:left w:val="single" w:sz="8" w:space="0" w:color="auto"/>
                    <w:bottom w:val="single" w:sz="8" w:space="0" w:color="000000"/>
                    <w:right w:val="single" w:sz="8" w:space="0" w:color="auto"/>
                  </w:tcBorders>
                  <w:vAlign w:val="center"/>
                  <w:hideMark/>
                </w:tcPr>
                <w:p w14:paraId="734B572A" w14:textId="77777777" w:rsidR="003C58E7" w:rsidRDefault="003C58E7" w:rsidP="003C58E7">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2C5BC99D" w14:textId="77777777" w:rsidR="003C58E7" w:rsidRDefault="003C58E7" w:rsidP="003C58E7">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5852607A" w14:textId="77777777" w:rsidR="003C58E7" w:rsidRDefault="003C58E7" w:rsidP="003C58E7">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6B4C1D5B" w14:textId="77777777" w:rsidR="003C58E7" w:rsidRDefault="003C58E7" w:rsidP="003C58E7">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620F219F" w14:textId="77777777" w:rsidR="003C58E7" w:rsidRDefault="003C58E7" w:rsidP="003C58E7">
                  <w:pPr>
                    <w:rPr>
                      <w:rFonts w:ascii="Arial" w:hAnsi="Arial" w:cs="Arial"/>
                      <w:i/>
                      <w:iCs/>
                      <w:color w:val="000000"/>
                      <w:sz w:val="16"/>
                      <w:szCs w:val="16"/>
                    </w:rPr>
                  </w:pPr>
                </w:p>
              </w:tc>
            </w:tr>
            <w:tr w:rsidR="003C58E7" w14:paraId="2EC15845" w14:textId="77777777" w:rsidTr="000D2465">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15CE7E1"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Variable secundaria mejora NRS</w:t>
                  </w:r>
                  <w:r>
                    <w:rPr>
                      <w:rFonts w:ascii="Calibri" w:hAnsi="Calibri" w:cs="Calibri"/>
                      <w:color w:val="000000"/>
                      <w:sz w:val="16"/>
                      <w:szCs w:val="16"/>
                    </w:rPr>
                    <w:t>≥</w:t>
                  </w:r>
                  <w:r>
                    <w:rPr>
                      <w:rFonts w:ascii="Arial" w:hAnsi="Arial" w:cs="Arial"/>
                      <w:i/>
                      <w:iCs/>
                      <w:color w:val="000000"/>
                      <w:sz w:val="16"/>
                      <w:szCs w:val="16"/>
                    </w:rPr>
                    <w:t>4</w:t>
                  </w:r>
                </w:p>
              </w:tc>
              <w:tc>
                <w:tcPr>
                  <w:tcW w:w="1420" w:type="dxa"/>
                  <w:gridSpan w:val="2"/>
                  <w:tcBorders>
                    <w:top w:val="nil"/>
                    <w:left w:val="nil"/>
                    <w:bottom w:val="nil"/>
                    <w:right w:val="single" w:sz="8" w:space="0" w:color="auto"/>
                  </w:tcBorders>
                  <w:vAlign w:val="center"/>
                  <w:hideMark/>
                </w:tcPr>
                <w:p w14:paraId="54385E01"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117B4035"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405ADDB0"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78F777C2"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48BA50FA"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3C58E7" w14:paraId="598EE4A4" w14:textId="77777777" w:rsidTr="000D2465">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4A64138D" w14:textId="77777777" w:rsidR="003C58E7" w:rsidRDefault="003C58E7" w:rsidP="003C58E7">
                  <w:pPr>
                    <w:rPr>
                      <w:rFonts w:ascii="Arial" w:hAnsi="Arial" w:cs="Arial"/>
                      <w:b/>
                      <w:bCs/>
                      <w:i/>
                      <w:iCs/>
                      <w:color w:val="000000"/>
                      <w:sz w:val="16"/>
                      <w:szCs w:val="16"/>
                    </w:rPr>
                  </w:pPr>
                </w:p>
              </w:tc>
              <w:tc>
                <w:tcPr>
                  <w:tcW w:w="1420" w:type="dxa"/>
                  <w:gridSpan w:val="2"/>
                  <w:tcBorders>
                    <w:top w:val="nil"/>
                    <w:left w:val="nil"/>
                    <w:bottom w:val="single" w:sz="8" w:space="0" w:color="auto"/>
                    <w:right w:val="single" w:sz="8" w:space="0" w:color="auto"/>
                  </w:tcBorders>
                  <w:vAlign w:val="center"/>
                  <w:hideMark/>
                </w:tcPr>
                <w:p w14:paraId="7C4EE2CF"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(522)</w:t>
                  </w:r>
                </w:p>
              </w:tc>
              <w:tc>
                <w:tcPr>
                  <w:tcW w:w="1200" w:type="dxa"/>
                  <w:gridSpan w:val="2"/>
                  <w:tcBorders>
                    <w:top w:val="nil"/>
                    <w:left w:val="nil"/>
                    <w:bottom w:val="single" w:sz="8" w:space="0" w:color="auto"/>
                    <w:right w:val="single" w:sz="8" w:space="0" w:color="auto"/>
                  </w:tcBorders>
                  <w:vAlign w:val="center"/>
                  <w:hideMark/>
                </w:tcPr>
                <w:p w14:paraId="79601030"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(265)</w:t>
                  </w:r>
                </w:p>
              </w:tc>
              <w:tc>
                <w:tcPr>
                  <w:tcW w:w="1200" w:type="dxa"/>
                  <w:gridSpan w:val="2"/>
                  <w:vMerge/>
                  <w:tcBorders>
                    <w:top w:val="nil"/>
                    <w:left w:val="single" w:sz="8" w:space="0" w:color="auto"/>
                    <w:bottom w:val="single" w:sz="8" w:space="0" w:color="000000"/>
                    <w:right w:val="single" w:sz="8" w:space="0" w:color="auto"/>
                  </w:tcBorders>
                  <w:vAlign w:val="center"/>
                  <w:hideMark/>
                </w:tcPr>
                <w:p w14:paraId="7559FE57" w14:textId="77777777" w:rsidR="003C58E7" w:rsidRDefault="003C58E7" w:rsidP="003C58E7">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187F4805" w14:textId="77777777" w:rsidR="003C58E7" w:rsidRDefault="003C58E7" w:rsidP="003C58E7">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65FA9765" w14:textId="77777777" w:rsidR="003C58E7" w:rsidRDefault="003C58E7" w:rsidP="003C58E7">
                  <w:pPr>
                    <w:rPr>
                      <w:rFonts w:ascii="Arial" w:hAnsi="Arial" w:cs="Arial"/>
                      <w:b/>
                      <w:bCs/>
                      <w:i/>
                      <w:iCs/>
                      <w:color w:val="000000"/>
                      <w:sz w:val="16"/>
                      <w:szCs w:val="16"/>
                    </w:rPr>
                  </w:pPr>
                </w:p>
              </w:tc>
            </w:tr>
            <w:tr w:rsidR="003C58E7" w14:paraId="1474C334" w14:textId="77777777" w:rsidTr="000D2465">
              <w:trPr>
                <w:trHeight w:val="315"/>
              </w:trPr>
              <w:tc>
                <w:tcPr>
                  <w:tcW w:w="2400" w:type="dxa"/>
                  <w:tcBorders>
                    <w:top w:val="nil"/>
                    <w:left w:val="single" w:sz="8" w:space="0" w:color="auto"/>
                    <w:bottom w:val="single" w:sz="4" w:space="0" w:color="auto"/>
                    <w:right w:val="single" w:sz="4" w:space="0" w:color="auto"/>
                  </w:tcBorders>
                  <w:vAlign w:val="center"/>
                  <w:hideMark/>
                </w:tcPr>
                <w:p w14:paraId="59E65772"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Semana 1</w:t>
                  </w:r>
                </w:p>
              </w:tc>
              <w:tc>
                <w:tcPr>
                  <w:tcW w:w="1420" w:type="dxa"/>
                  <w:gridSpan w:val="2"/>
                  <w:tcBorders>
                    <w:top w:val="nil"/>
                    <w:left w:val="nil"/>
                    <w:bottom w:val="single" w:sz="4" w:space="0" w:color="auto"/>
                    <w:right w:val="single" w:sz="4" w:space="0" w:color="auto"/>
                  </w:tcBorders>
                  <w:vAlign w:val="center"/>
                  <w:hideMark/>
                </w:tcPr>
                <w:p w14:paraId="74B59185"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35 (6,7%)</w:t>
                  </w:r>
                </w:p>
              </w:tc>
              <w:tc>
                <w:tcPr>
                  <w:tcW w:w="1200" w:type="dxa"/>
                  <w:gridSpan w:val="2"/>
                  <w:tcBorders>
                    <w:top w:val="nil"/>
                    <w:left w:val="nil"/>
                    <w:bottom w:val="single" w:sz="4" w:space="0" w:color="auto"/>
                    <w:right w:val="single" w:sz="4" w:space="0" w:color="auto"/>
                  </w:tcBorders>
                  <w:vAlign w:val="center"/>
                  <w:hideMark/>
                </w:tcPr>
                <w:p w14:paraId="749C84BD"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 (0,4%)</w:t>
                  </w:r>
                </w:p>
              </w:tc>
              <w:tc>
                <w:tcPr>
                  <w:tcW w:w="1200" w:type="dxa"/>
                  <w:gridSpan w:val="2"/>
                  <w:tcBorders>
                    <w:top w:val="nil"/>
                    <w:left w:val="nil"/>
                    <w:bottom w:val="single" w:sz="4" w:space="0" w:color="auto"/>
                    <w:right w:val="single" w:sz="4" w:space="0" w:color="auto"/>
                  </w:tcBorders>
                  <w:vAlign w:val="center"/>
                  <w:hideMark/>
                </w:tcPr>
                <w:p w14:paraId="339D3661"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6 (4</w:t>
                  </w:r>
                  <w:r w:rsidR="00AA6BC8">
                    <w:rPr>
                      <w:rFonts w:ascii="Arial" w:hAnsi="Arial" w:cs="Arial"/>
                      <w:i/>
                      <w:iCs/>
                      <w:color w:val="000000"/>
                      <w:sz w:val="16"/>
                      <w:szCs w:val="16"/>
                    </w:rPr>
                    <w:t>;</w:t>
                  </w:r>
                  <w:r>
                    <w:rPr>
                      <w:rFonts w:ascii="Arial" w:hAnsi="Arial" w:cs="Arial"/>
                      <w:i/>
                      <w:iCs/>
                      <w:color w:val="000000"/>
                      <w:sz w:val="16"/>
                      <w:szCs w:val="16"/>
                    </w:rPr>
                    <w:t>9)</w:t>
                  </w:r>
                </w:p>
              </w:tc>
              <w:tc>
                <w:tcPr>
                  <w:tcW w:w="1200" w:type="dxa"/>
                  <w:gridSpan w:val="2"/>
                  <w:tcBorders>
                    <w:top w:val="nil"/>
                    <w:left w:val="nil"/>
                    <w:bottom w:val="single" w:sz="4" w:space="0" w:color="auto"/>
                    <w:right w:val="single" w:sz="4" w:space="0" w:color="auto"/>
                  </w:tcBorders>
                  <w:vAlign w:val="center"/>
                  <w:hideMark/>
                </w:tcPr>
                <w:p w14:paraId="313BFA7C"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8" w:space="0" w:color="auto"/>
                  </w:tcBorders>
                  <w:vAlign w:val="center"/>
                  <w:hideMark/>
                </w:tcPr>
                <w:p w14:paraId="65053951"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16 (12</w:t>
                  </w:r>
                  <w:r w:rsidR="00AA6BC8">
                    <w:rPr>
                      <w:rFonts w:ascii="Arial" w:hAnsi="Arial" w:cs="Arial"/>
                      <w:i/>
                      <w:iCs/>
                      <w:color w:val="000000"/>
                      <w:sz w:val="16"/>
                      <w:szCs w:val="16"/>
                    </w:rPr>
                    <w:t>;</w:t>
                  </w:r>
                  <w:r>
                    <w:rPr>
                      <w:rFonts w:ascii="Arial" w:hAnsi="Arial" w:cs="Arial"/>
                      <w:i/>
                      <w:iCs/>
                      <w:color w:val="000000"/>
                      <w:sz w:val="16"/>
                      <w:szCs w:val="16"/>
                    </w:rPr>
                    <w:t>25)</w:t>
                  </w:r>
                </w:p>
              </w:tc>
            </w:tr>
            <w:tr w:rsidR="003C58E7" w14:paraId="42A5BB5E" w14:textId="77777777" w:rsidTr="000D2465">
              <w:trPr>
                <w:trHeight w:val="315"/>
              </w:trPr>
              <w:tc>
                <w:tcPr>
                  <w:tcW w:w="2400" w:type="dxa"/>
                  <w:tcBorders>
                    <w:top w:val="nil"/>
                    <w:left w:val="single" w:sz="8" w:space="0" w:color="auto"/>
                    <w:bottom w:val="single" w:sz="4" w:space="0" w:color="auto"/>
                    <w:right w:val="single" w:sz="4" w:space="0" w:color="auto"/>
                  </w:tcBorders>
                  <w:vAlign w:val="center"/>
                  <w:hideMark/>
                </w:tcPr>
                <w:p w14:paraId="5E714F25"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Semana 2</w:t>
                  </w:r>
                </w:p>
              </w:tc>
              <w:tc>
                <w:tcPr>
                  <w:tcW w:w="1420" w:type="dxa"/>
                  <w:gridSpan w:val="2"/>
                  <w:tcBorders>
                    <w:top w:val="nil"/>
                    <w:left w:val="nil"/>
                    <w:bottom w:val="single" w:sz="4" w:space="0" w:color="auto"/>
                    <w:right w:val="single" w:sz="4" w:space="0" w:color="auto"/>
                  </w:tcBorders>
                  <w:vAlign w:val="center"/>
                  <w:hideMark/>
                </w:tcPr>
                <w:p w14:paraId="3BF6338E"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88 (16,9%)</w:t>
                  </w:r>
                </w:p>
              </w:tc>
              <w:tc>
                <w:tcPr>
                  <w:tcW w:w="1200" w:type="dxa"/>
                  <w:gridSpan w:val="2"/>
                  <w:tcBorders>
                    <w:top w:val="nil"/>
                    <w:left w:val="nil"/>
                    <w:bottom w:val="single" w:sz="4" w:space="0" w:color="auto"/>
                    <w:right w:val="single" w:sz="4" w:space="0" w:color="auto"/>
                  </w:tcBorders>
                  <w:vAlign w:val="center"/>
                  <w:hideMark/>
                </w:tcPr>
                <w:p w14:paraId="6F24A4C0"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5 (1,9%)</w:t>
                  </w:r>
                </w:p>
              </w:tc>
              <w:tc>
                <w:tcPr>
                  <w:tcW w:w="1200" w:type="dxa"/>
                  <w:gridSpan w:val="2"/>
                  <w:tcBorders>
                    <w:top w:val="nil"/>
                    <w:left w:val="nil"/>
                    <w:bottom w:val="single" w:sz="4" w:space="0" w:color="auto"/>
                    <w:right w:val="single" w:sz="4" w:space="0" w:color="auto"/>
                  </w:tcBorders>
                  <w:vAlign w:val="center"/>
                  <w:hideMark/>
                </w:tcPr>
                <w:p w14:paraId="6BD1559B"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15 (11</w:t>
                  </w:r>
                  <w:r w:rsidR="00AA6BC8">
                    <w:rPr>
                      <w:rFonts w:ascii="Arial" w:hAnsi="Arial" w:cs="Arial"/>
                      <w:i/>
                      <w:iCs/>
                      <w:color w:val="000000"/>
                      <w:sz w:val="16"/>
                      <w:szCs w:val="16"/>
                    </w:rPr>
                    <w:t>;</w:t>
                  </w:r>
                  <w:r>
                    <w:rPr>
                      <w:rFonts w:ascii="Arial" w:hAnsi="Arial" w:cs="Arial"/>
                      <w:i/>
                      <w:iCs/>
                      <w:color w:val="000000"/>
                      <w:sz w:val="16"/>
                      <w:szCs w:val="16"/>
                    </w:rPr>
                    <w:t>19)</w:t>
                  </w:r>
                </w:p>
              </w:tc>
              <w:tc>
                <w:tcPr>
                  <w:tcW w:w="1200" w:type="dxa"/>
                  <w:gridSpan w:val="2"/>
                  <w:tcBorders>
                    <w:top w:val="single" w:sz="8" w:space="0" w:color="auto"/>
                    <w:left w:val="nil"/>
                    <w:bottom w:val="single" w:sz="4" w:space="0" w:color="auto"/>
                    <w:right w:val="single" w:sz="4" w:space="0" w:color="auto"/>
                  </w:tcBorders>
                  <w:vAlign w:val="center"/>
                  <w:hideMark/>
                </w:tcPr>
                <w:p w14:paraId="58CDFEE3"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8" w:space="0" w:color="auto"/>
                  </w:tcBorders>
                  <w:vAlign w:val="center"/>
                  <w:hideMark/>
                </w:tcPr>
                <w:p w14:paraId="71B833BD"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7 (5</w:t>
                  </w:r>
                  <w:r w:rsidR="00AA6BC8">
                    <w:rPr>
                      <w:rFonts w:ascii="Arial" w:hAnsi="Arial" w:cs="Arial"/>
                      <w:i/>
                      <w:iCs/>
                      <w:color w:val="000000"/>
                      <w:sz w:val="16"/>
                      <w:szCs w:val="16"/>
                    </w:rPr>
                    <w:t>;</w:t>
                  </w:r>
                  <w:r>
                    <w:rPr>
                      <w:rFonts w:ascii="Arial" w:hAnsi="Arial" w:cs="Arial"/>
                      <w:i/>
                      <w:iCs/>
                      <w:color w:val="000000"/>
                      <w:sz w:val="16"/>
                      <w:szCs w:val="16"/>
                    </w:rPr>
                    <w:t>9)</w:t>
                  </w:r>
                </w:p>
              </w:tc>
            </w:tr>
            <w:tr w:rsidR="003C58E7" w14:paraId="0A9C0293" w14:textId="77777777" w:rsidTr="000D2465">
              <w:trPr>
                <w:trHeight w:val="315"/>
              </w:trPr>
              <w:tc>
                <w:tcPr>
                  <w:tcW w:w="2400" w:type="dxa"/>
                  <w:tcBorders>
                    <w:top w:val="nil"/>
                    <w:left w:val="single" w:sz="8" w:space="0" w:color="auto"/>
                    <w:bottom w:val="single" w:sz="4" w:space="0" w:color="auto"/>
                    <w:right w:val="single" w:sz="4" w:space="0" w:color="auto"/>
                  </w:tcBorders>
                  <w:vAlign w:val="center"/>
                  <w:hideMark/>
                </w:tcPr>
                <w:p w14:paraId="6B11D997"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Semana 4</w:t>
                  </w:r>
                </w:p>
              </w:tc>
              <w:tc>
                <w:tcPr>
                  <w:tcW w:w="1420" w:type="dxa"/>
                  <w:gridSpan w:val="2"/>
                  <w:tcBorders>
                    <w:top w:val="nil"/>
                    <w:left w:val="nil"/>
                    <w:bottom w:val="single" w:sz="4" w:space="0" w:color="auto"/>
                    <w:right w:val="single" w:sz="4" w:space="0" w:color="auto"/>
                  </w:tcBorders>
                  <w:vAlign w:val="center"/>
                  <w:hideMark/>
                </w:tcPr>
                <w:p w14:paraId="26D56AE5"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136 (26,1%)</w:t>
                  </w:r>
                </w:p>
              </w:tc>
              <w:tc>
                <w:tcPr>
                  <w:tcW w:w="1200" w:type="dxa"/>
                  <w:gridSpan w:val="2"/>
                  <w:tcBorders>
                    <w:top w:val="nil"/>
                    <w:left w:val="nil"/>
                    <w:bottom w:val="single" w:sz="4" w:space="0" w:color="auto"/>
                    <w:right w:val="single" w:sz="4" w:space="0" w:color="auto"/>
                  </w:tcBorders>
                  <w:vAlign w:val="center"/>
                  <w:hideMark/>
                </w:tcPr>
                <w:p w14:paraId="6472A28A"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14 (5,3%)</w:t>
                  </w:r>
                </w:p>
              </w:tc>
              <w:tc>
                <w:tcPr>
                  <w:tcW w:w="1200" w:type="dxa"/>
                  <w:gridSpan w:val="2"/>
                  <w:tcBorders>
                    <w:top w:val="nil"/>
                    <w:left w:val="nil"/>
                    <w:bottom w:val="single" w:sz="4" w:space="0" w:color="auto"/>
                    <w:right w:val="single" w:sz="4" w:space="0" w:color="auto"/>
                  </w:tcBorders>
                  <w:vAlign w:val="center"/>
                  <w:hideMark/>
                </w:tcPr>
                <w:p w14:paraId="1CD26FB0"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21 (16</w:t>
                  </w:r>
                  <w:r w:rsidR="00AA6BC8">
                    <w:rPr>
                      <w:rFonts w:ascii="Arial" w:hAnsi="Arial" w:cs="Arial"/>
                      <w:i/>
                      <w:iCs/>
                      <w:color w:val="000000"/>
                      <w:sz w:val="16"/>
                      <w:szCs w:val="16"/>
                    </w:rPr>
                    <w:t>;</w:t>
                  </w:r>
                  <w:r>
                    <w:rPr>
                      <w:rFonts w:ascii="Arial" w:hAnsi="Arial" w:cs="Arial"/>
                      <w:i/>
                      <w:iCs/>
                      <w:color w:val="000000"/>
                      <w:sz w:val="16"/>
                      <w:szCs w:val="16"/>
                    </w:rPr>
                    <w:t>25)</w:t>
                  </w:r>
                </w:p>
              </w:tc>
              <w:tc>
                <w:tcPr>
                  <w:tcW w:w="1200" w:type="dxa"/>
                  <w:gridSpan w:val="2"/>
                  <w:tcBorders>
                    <w:top w:val="single" w:sz="8" w:space="0" w:color="auto"/>
                    <w:left w:val="nil"/>
                    <w:bottom w:val="single" w:sz="4" w:space="0" w:color="auto"/>
                    <w:right w:val="single" w:sz="4" w:space="0" w:color="auto"/>
                  </w:tcBorders>
                  <w:vAlign w:val="center"/>
                  <w:hideMark/>
                </w:tcPr>
                <w:p w14:paraId="50136776"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8" w:space="0" w:color="auto"/>
                  </w:tcBorders>
                  <w:vAlign w:val="center"/>
                  <w:hideMark/>
                </w:tcPr>
                <w:p w14:paraId="1375005F"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5 (4</w:t>
                  </w:r>
                  <w:r w:rsidR="00AA6BC8">
                    <w:rPr>
                      <w:rFonts w:ascii="Arial" w:hAnsi="Arial" w:cs="Arial"/>
                      <w:i/>
                      <w:iCs/>
                      <w:color w:val="000000"/>
                      <w:sz w:val="16"/>
                      <w:szCs w:val="16"/>
                    </w:rPr>
                    <w:t>;</w:t>
                  </w:r>
                  <w:r>
                    <w:rPr>
                      <w:rFonts w:ascii="Arial" w:hAnsi="Arial" w:cs="Arial"/>
                      <w:i/>
                      <w:iCs/>
                      <w:color w:val="000000"/>
                      <w:sz w:val="16"/>
                      <w:szCs w:val="16"/>
                    </w:rPr>
                    <w:t>6)</w:t>
                  </w:r>
                </w:p>
              </w:tc>
            </w:tr>
            <w:tr w:rsidR="003C58E7" w14:paraId="12797518" w14:textId="77777777" w:rsidTr="000D2465">
              <w:trPr>
                <w:trHeight w:val="315"/>
              </w:trPr>
              <w:tc>
                <w:tcPr>
                  <w:tcW w:w="2400" w:type="dxa"/>
                  <w:tcBorders>
                    <w:top w:val="nil"/>
                    <w:left w:val="single" w:sz="8" w:space="0" w:color="auto"/>
                    <w:bottom w:val="single" w:sz="8" w:space="0" w:color="auto"/>
                    <w:right w:val="single" w:sz="4" w:space="0" w:color="auto"/>
                  </w:tcBorders>
                  <w:vAlign w:val="center"/>
                  <w:hideMark/>
                </w:tcPr>
                <w:p w14:paraId="1E1B6E83"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gridSpan w:val="2"/>
                  <w:tcBorders>
                    <w:top w:val="nil"/>
                    <w:left w:val="nil"/>
                    <w:bottom w:val="single" w:sz="8" w:space="0" w:color="auto"/>
                    <w:right w:val="single" w:sz="4" w:space="0" w:color="auto"/>
                  </w:tcBorders>
                  <w:vAlign w:val="center"/>
                  <w:hideMark/>
                </w:tcPr>
                <w:p w14:paraId="1D6B5868"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214 (41</w:t>
                  </w:r>
                  <w:r w:rsidR="00AA6BC8">
                    <w:rPr>
                      <w:rFonts w:ascii="Arial" w:hAnsi="Arial" w:cs="Arial"/>
                      <w:i/>
                      <w:iCs/>
                      <w:color w:val="000000"/>
                      <w:sz w:val="16"/>
                      <w:szCs w:val="16"/>
                    </w:rPr>
                    <w:t>,0</w:t>
                  </w:r>
                  <w:r>
                    <w:rPr>
                      <w:rFonts w:ascii="Arial" w:hAnsi="Arial" w:cs="Arial"/>
                      <w:i/>
                      <w:iCs/>
                      <w:color w:val="000000"/>
                      <w:sz w:val="16"/>
                      <w:szCs w:val="16"/>
                    </w:rPr>
                    <w:t>%)</w:t>
                  </w:r>
                </w:p>
              </w:tc>
              <w:tc>
                <w:tcPr>
                  <w:tcW w:w="1200" w:type="dxa"/>
                  <w:gridSpan w:val="2"/>
                  <w:tcBorders>
                    <w:top w:val="nil"/>
                    <w:left w:val="nil"/>
                    <w:bottom w:val="single" w:sz="8" w:space="0" w:color="auto"/>
                    <w:right w:val="single" w:sz="4" w:space="0" w:color="auto"/>
                  </w:tcBorders>
                  <w:vAlign w:val="center"/>
                  <w:hideMark/>
                </w:tcPr>
                <w:p w14:paraId="3A2B45D4"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48 (18,1%)</w:t>
                  </w:r>
                </w:p>
              </w:tc>
              <w:tc>
                <w:tcPr>
                  <w:tcW w:w="1200" w:type="dxa"/>
                  <w:gridSpan w:val="2"/>
                  <w:tcBorders>
                    <w:top w:val="nil"/>
                    <w:left w:val="nil"/>
                    <w:bottom w:val="single" w:sz="8" w:space="0" w:color="auto"/>
                    <w:right w:val="single" w:sz="4" w:space="0" w:color="auto"/>
                  </w:tcBorders>
                  <w:vAlign w:val="center"/>
                  <w:hideMark/>
                </w:tcPr>
                <w:p w14:paraId="2922AAC3"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23 (17</w:t>
                  </w:r>
                  <w:r w:rsidR="00AA6BC8">
                    <w:rPr>
                      <w:rFonts w:ascii="Arial" w:hAnsi="Arial" w:cs="Arial"/>
                      <w:i/>
                      <w:iCs/>
                      <w:color w:val="000000"/>
                      <w:sz w:val="16"/>
                      <w:szCs w:val="16"/>
                    </w:rPr>
                    <w:t>;</w:t>
                  </w:r>
                  <w:r>
                    <w:rPr>
                      <w:rFonts w:ascii="Arial" w:hAnsi="Arial" w:cs="Arial"/>
                      <w:i/>
                      <w:iCs/>
                      <w:color w:val="000000"/>
                      <w:sz w:val="16"/>
                      <w:szCs w:val="16"/>
                    </w:rPr>
                    <w:t>29)</w:t>
                  </w:r>
                </w:p>
              </w:tc>
              <w:tc>
                <w:tcPr>
                  <w:tcW w:w="1200" w:type="dxa"/>
                  <w:gridSpan w:val="2"/>
                  <w:tcBorders>
                    <w:top w:val="single" w:sz="8" w:space="0" w:color="auto"/>
                    <w:left w:val="nil"/>
                    <w:bottom w:val="single" w:sz="4" w:space="0" w:color="auto"/>
                    <w:right w:val="single" w:sz="4" w:space="0" w:color="auto"/>
                  </w:tcBorders>
                  <w:vAlign w:val="center"/>
                  <w:hideMark/>
                </w:tcPr>
                <w:p w14:paraId="31FDBF07"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8" w:space="0" w:color="auto"/>
                    <w:right w:val="single" w:sz="8" w:space="0" w:color="auto"/>
                  </w:tcBorders>
                  <w:vAlign w:val="center"/>
                  <w:hideMark/>
                </w:tcPr>
                <w:p w14:paraId="6E962E41"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4 (3</w:t>
                  </w:r>
                  <w:r w:rsidR="00AA6BC8">
                    <w:rPr>
                      <w:rFonts w:ascii="Arial" w:hAnsi="Arial" w:cs="Arial"/>
                      <w:i/>
                      <w:iCs/>
                      <w:color w:val="000000"/>
                      <w:sz w:val="16"/>
                      <w:szCs w:val="16"/>
                    </w:rPr>
                    <w:t>;</w:t>
                  </w:r>
                  <w:r>
                    <w:rPr>
                      <w:rFonts w:ascii="Arial" w:hAnsi="Arial" w:cs="Arial"/>
                      <w:i/>
                      <w:iCs/>
                      <w:color w:val="000000"/>
                      <w:sz w:val="16"/>
                      <w:szCs w:val="16"/>
                    </w:rPr>
                    <w:t>6)</w:t>
                  </w:r>
                </w:p>
              </w:tc>
            </w:tr>
            <w:tr w:rsidR="003C58E7" w14:paraId="3631881D" w14:textId="77777777" w:rsidTr="000D2465">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88DC866"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 xml:space="preserve">Variable secundaria PP NRS &lt;2 </w:t>
                  </w:r>
                </w:p>
              </w:tc>
              <w:tc>
                <w:tcPr>
                  <w:tcW w:w="1420" w:type="dxa"/>
                  <w:gridSpan w:val="2"/>
                  <w:tcBorders>
                    <w:top w:val="nil"/>
                    <w:left w:val="nil"/>
                    <w:bottom w:val="nil"/>
                    <w:right w:val="single" w:sz="8" w:space="0" w:color="auto"/>
                  </w:tcBorders>
                  <w:vAlign w:val="center"/>
                  <w:hideMark/>
                </w:tcPr>
                <w:p w14:paraId="524DD11D"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0E5C1A22"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7E634099"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40B21AE7"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0BBEEA5C"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3C58E7" w14:paraId="6BB0A5D0" w14:textId="77777777" w:rsidTr="000D2465">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253F9F52" w14:textId="77777777" w:rsidR="003C58E7" w:rsidRDefault="003C58E7" w:rsidP="003C58E7">
                  <w:pPr>
                    <w:rPr>
                      <w:rFonts w:ascii="Arial" w:hAnsi="Arial" w:cs="Arial"/>
                      <w:b/>
                      <w:bCs/>
                      <w:i/>
                      <w:iCs/>
                      <w:color w:val="000000"/>
                      <w:sz w:val="16"/>
                      <w:szCs w:val="16"/>
                    </w:rPr>
                  </w:pPr>
                </w:p>
              </w:tc>
              <w:tc>
                <w:tcPr>
                  <w:tcW w:w="1420" w:type="dxa"/>
                  <w:gridSpan w:val="2"/>
                  <w:tcBorders>
                    <w:top w:val="nil"/>
                    <w:left w:val="nil"/>
                    <w:bottom w:val="single" w:sz="8" w:space="0" w:color="auto"/>
                    <w:right w:val="single" w:sz="8" w:space="0" w:color="auto"/>
                  </w:tcBorders>
                  <w:vAlign w:val="center"/>
                  <w:hideMark/>
                </w:tcPr>
                <w:p w14:paraId="14CFDE04"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(522)</w:t>
                  </w:r>
                </w:p>
              </w:tc>
              <w:tc>
                <w:tcPr>
                  <w:tcW w:w="1200" w:type="dxa"/>
                  <w:gridSpan w:val="2"/>
                  <w:tcBorders>
                    <w:top w:val="nil"/>
                    <w:left w:val="nil"/>
                    <w:bottom w:val="single" w:sz="8" w:space="0" w:color="auto"/>
                    <w:right w:val="single" w:sz="8" w:space="0" w:color="auto"/>
                  </w:tcBorders>
                  <w:vAlign w:val="center"/>
                  <w:hideMark/>
                </w:tcPr>
                <w:p w14:paraId="0584EF09"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(265)</w:t>
                  </w:r>
                </w:p>
              </w:tc>
              <w:tc>
                <w:tcPr>
                  <w:tcW w:w="1200" w:type="dxa"/>
                  <w:gridSpan w:val="2"/>
                  <w:vMerge/>
                  <w:tcBorders>
                    <w:top w:val="nil"/>
                    <w:left w:val="single" w:sz="8" w:space="0" w:color="auto"/>
                    <w:bottom w:val="single" w:sz="8" w:space="0" w:color="000000"/>
                    <w:right w:val="single" w:sz="8" w:space="0" w:color="auto"/>
                  </w:tcBorders>
                  <w:vAlign w:val="center"/>
                  <w:hideMark/>
                </w:tcPr>
                <w:p w14:paraId="57D2ECDB" w14:textId="77777777" w:rsidR="003C58E7" w:rsidRDefault="003C58E7" w:rsidP="003C58E7">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1D57D6D" w14:textId="77777777" w:rsidR="003C58E7" w:rsidRDefault="003C58E7" w:rsidP="003C58E7">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06399FB5" w14:textId="77777777" w:rsidR="003C58E7" w:rsidRDefault="003C58E7" w:rsidP="003C58E7">
                  <w:pPr>
                    <w:rPr>
                      <w:rFonts w:ascii="Arial" w:hAnsi="Arial" w:cs="Arial"/>
                      <w:b/>
                      <w:bCs/>
                      <w:i/>
                      <w:iCs/>
                      <w:color w:val="000000"/>
                      <w:sz w:val="16"/>
                      <w:szCs w:val="16"/>
                    </w:rPr>
                  </w:pPr>
                </w:p>
              </w:tc>
            </w:tr>
            <w:tr w:rsidR="003C58E7" w14:paraId="5272926F" w14:textId="77777777" w:rsidTr="000D2465">
              <w:trPr>
                <w:trHeight w:val="315"/>
              </w:trPr>
              <w:tc>
                <w:tcPr>
                  <w:tcW w:w="2400" w:type="dxa"/>
                  <w:tcBorders>
                    <w:top w:val="nil"/>
                    <w:left w:val="single" w:sz="8" w:space="0" w:color="auto"/>
                    <w:bottom w:val="single" w:sz="4" w:space="0" w:color="auto"/>
                    <w:right w:val="single" w:sz="4" w:space="0" w:color="auto"/>
                  </w:tcBorders>
                  <w:vAlign w:val="center"/>
                  <w:hideMark/>
                </w:tcPr>
                <w:p w14:paraId="72D60C34"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Semana 4</w:t>
                  </w:r>
                </w:p>
              </w:tc>
              <w:tc>
                <w:tcPr>
                  <w:tcW w:w="1420" w:type="dxa"/>
                  <w:gridSpan w:val="2"/>
                  <w:tcBorders>
                    <w:top w:val="nil"/>
                    <w:left w:val="nil"/>
                    <w:bottom w:val="single" w:sz="4" w:space="0" w:color="auto"/>
                    <w:right w:val="single" w:sz="4" w:space="0" w:color="auto"/>
                  </w:tcBorders>
                  <w:vAlign w:val="center"/>
                  <w:hideMark/>
                </w:tcPr>
                <w:p w14:paraId="189F199C"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83 (15,9%)</w:t>
                  </w:r>
                </w:p>
              </w:tc>
              <w:tc>
                <w:tcPr>
                  <w:tcW w:w="1200" w:type="dxa"/>
                  <w:gridSpan w:val="2"/>
                  <w:tcBorders>
                    <w:top w:val="nil"/>
                    <w:left w:val="nil"/>
                    <w:bottom w:val="single" w:sz="4" w:space="0" w:color="auto"/>
                    <w:right w:val="nil"/>
                  </w:tcBorders>
                  <w:vAlign w:val="center"/>
                  <w:hideMark/>
                </w:tcPr>
                <w:p w14:paraId="2AA62CBF"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7 (2,6%)</w:t>
                  </w:r>
                </w:p>
              </w:tc>
              <w:tc>
                <w:tcPr>
                  <w:tcW w:w="1200" w:type="dxa"/>
                  <w:gridSpan w:val="2"/>
                  <w:tcBorders>
                    <w:top w:val="nil"/>
                    <w:left w:val="single" w:sz="4" w:space="0" w:color="auto"/>
                    <w:bottom w:val="single" w:sz="4" w:space="0" w:color="auto"/>
                    <w:right w:val="single" w:sz="4" w:space="0" w:color="auto"/>
                  </w:tcBorders>
                  <w:vAlign w:val="center"/>
                  <w:hideMark/>
                </w:tcPr>
                <w:p w14:paraId="440F6245"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13 (10</w:t>
                  </w:r>
                  <w:r w:rsidR="00AA6BC8">
                    <w:rPr>
                      <w:rFonts w:ascii="Arial" w:hAnsi="Arial" w:cs="Arial"/>
                      <w:i/>
                      <w:iCs/>
                      <w:color w:val="000000"/>
                      <w:sz w:val="16"/>
                      <w:szCs w:val="16"/>
                    </w:rPr>
                    <w:t>;</w:t>
                  </w:r>
                  <w:r>
                    <w:rPr>
                      <w:rFonts w:ascii="Arial" w:hAnsi="Arial" w:cs="Arial"/>
                      <w:i/>
                      <w:iCs/>
                      <w:color w:val="000000"/>
                      <w:sz w:val="16"/>
                      <w:szCs w:val="16"/>
                    </w:rPr>
                    <w:t>17)</w:t>
                  </w:r>
                </w:p>
              </w:tc>
              <w:tc>
                <w:tcPr>
                  <w:tcW w:w="1200" w:type="dxa"/>
                  <w:gridSpan w:val="2"/>
                  <w:tcBorders>
                    <w:top w:val="nil"/>
                    <w:left w:val="nil"/>
                    <w:bottom w:val="single" w:sz="4" w:space="0" w:color="auto"/>
                    <w:right w:val="single" w:sz="4" w:space="0" w:color="auto"/>
                  </w:tcBorders>
                  <w:vAlign w:val="center"/>
                  <w:hideMark/>
                </w:tcPr>
                <w:p w14:paraId="1D39C477"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4" w:space="0" w:color="auto"/>
                  </w:tcBorders>
                  <w:vAlign w:val="center"/>
                  <w:hideMark/>
                </w:tcPr>
                <w:p w14:paraId="4C32C313"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8 (6</w:t>
                  </w:r>
                  <w:r w:rsidR="00AA6BC8">
                    <w:rPr>
                      <w:rFonts w:ascii="Arial" w:hAnsi="Arial" w:cs="Arial"/>
                      <w:i/>
                      <w:iCs/>
                      <w:color w:val="000000"/>
                      <w:sz w:val="16"/>
                      <w:szCs w:val="16"/>
                    </w:rPr>
                    <w:t>;</w:t>
                  </w:r>
                  <w:r>
                    <w:rPr>
                      <w:rFonts w:ascii="Arial" w:hAnsi="Arial" w:cs="Arial"/>
                      <w:i/>
                      <w:iCs/>
                      <w:color w:val="000000"/>
                      <w:sz w:val="16"/>
                      <w:szCs w:val="16"/>
                    </w:rPr>
                    <w:t>10)</w:t>
                  </w:r>
                </w:p>
              </w:tc>
            </w:tr>
            <w:tr w:rsidR="003C58E7" w14:paraId="45F736E3" w14:textId="77777777" w:rsidTr="000D2465">
              <w:trPr>
                <w:trHeight w:val="315"/>
              </w:trPr>
              <w:tc>
                <w:tcPr>
                  <w:tcW w:w="2400" w:type="dxa"/>
                  <w:tcBorders>
                    <w:top w:val="nil"/>
                    <w:left w:val="single" w:sz="8" w:space="0" w:color="auto"/>
                    <w:bottom w:val="single" w:sz="8" w:space="0" w:color="auto"/>
                    <w:right w:val="single" w:sz="4" w:space="0" w:color="auto"/>
                  </w:tcBorders>
                  <w:vAlign w:val="center"/>
                  <w:hideMark/>
                </w:tcPr>
                <w:p w14:paraId="106880B2"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gridSpan w:val="2"/>
                  <w:tcBorders>
                    <w:top w:val="nil"/>
                    <w:left w:val="nil"/>
                    <w:bottom w:val="single" w:sz="8" w:space="0" w:color="auto"/>
                    <w:right w:val="single" w:sz="4" w:space="0" w:color="auto"/>
                  </w:tcBorders>
                  <w:vAlign w:val="center"/>
                  <w:hideMark/>
                </w:tcPr>
                <w:p w14:paraId="141DF460"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148 (28,4%)</w:t>
                  </w:r>
                </w:p>
              </w:tc>
              <w:tc>
                <w:tcPr>
                  <w:tcW w:w="1200" w:type="dxa"/>
                  <w:gridSpan w:val="2"/>
                  <w:tcBorders>
                    <w:top w:val="nil"/>
                    <w:left w:val="nil"/>
                    <w:bottom w:val="single" w:sz="8" w:space="0" w:color="auto"/>
                    <w:right w:val="single" w:sz="4" w:space="0" w:color="auto"/>
                  </w:tcBorders>
                  <w:vAlign w:val="center"/>
                  <w:hideMark/>
                </w:tcPr>
                <w:p w14:paraId="5C34B3D5"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30 (11,3%)</w:t>
                  </w:r>
                </w:p>
              </w:tc>
              <w:tc>
                <w:tcPr>
                  <w:tcW w:w="1200" w:type="dxa"/>
                  <w:gridSpan w:val="2"/>
                  <w:tcBorders>
                    <w:top w:val="nil"/>
                    <w:left w:val="nil"/>
                    <w:bottom w:val="single" w:sz="4" w:space="0" w:color="auto"/>
                    <w:right w:val="single" w:sz="4" w:space="0" w:color="auto"/>
                  </w:tcBorders>
                  <w:vAlign w:val="center"/>
                  <w:hideMark/>
                </w:tcPr>
                <w:p w14:paraId="6CE3CB9E"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17 (12</w:t>
                  </w:r>
                  <w:r w:rsidR="00AA6BC8">
                    <w:rPr>
                      <w:rFonts w:ascii="Arial" w:hAnsi="Arial" w:cs="Arial"/>
                      <w:i/>
                      <w:iCs/>
                      <w:color w:val="000000"/>
                      <w:sz w:val="16"/>
                      <w:szCs w:val="16"/>
                    </w:rPr>
                    <w:t>;</w:t>
                  </w:r>
                  <w:r>
                    <w:rPr>
                      <w:rFonts w:ascii="Arial" w:hAnsi="Arial" w:cs="Arial"/>
                      <w:i/>
                      <w:iCs/>
                      <w:color w:val="000000"/>
                      <w:sz w:val="16"/>
                      <w:szCs w:val="16"/>
                    </w:rPr>
                    <w:t>22)</w:t>
                  </w:r>
                </w:p>
              </w:tc>
              <w:tc>
                <w:tcPr>
                  <w:tcW w:w="1200" w:type="dxa"/>
                  <w:gridSpan w:val="2"/>
                  <w:tcBorders>
                    <w:top w:val="single" w:sz="8" w:space="0" w:color="auto"/>
                    <w:left w:val="nil"/>
                    <w:bottom w:val="single" w:sz="4" w:space="0" w:color="auto"/>
                    <w:right w:val="single" w:sz="4" w:space="0" w:color="auto"/>
                  </w:tcBorders>
                  <w:vAlign w:val="center"/>
                  <w:hideMark/>
                </w:tcPr>
                <w:p w14:paraId="7A07530C"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4" w:space="0" w:color="auto"/>
                  </w:tcBorders>
                  <w:vAlign w:val="center"/>
                  <w:hideMark/>
                </w:tcPr>
                <w:p w14:paraId="0609EDDF"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6 (4</w:t>
                  </w:r>
                  <w:r w:rsidR="00AA6BC8">
                    <w:rPr>
                      <w:rFonts w:ascii="Arial" w:hAnsi="Arial" w:cs="Arial"/>
                      <w:i/>
                      <w:iCs/>
                      <w:color w:val="000000"/>
                      <w:sz w:val="16"/>
                      <w:szCs w:val="16"/>
                    </w:rPr>
                    <w:t>;</w:t>
                  </w:r>
                  <w:r>
                    <w:rPr>
                      <w:rFonts w:ascii="Arial" w:hAnsi="Arial" w:cs="Arial"/>
                      <w:i/>
                      <w:iCs/>
                      <w:color w:val="000000"/>
                      <w:sz w:val="16"/>
                      <w:szCs w:val="16"/>
                    </w:rPr>
                    <w:t>9)</w:t>
                  </w:r>
                </w:p>
              </w:tc>
            </w:tr>
            <w:tr w:rsidR="003C58E7" w14:paraId="4C59E646" w14:textId="77777777" w:rsidTr="000D2465">
              <w:trPr>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801891E"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Variable secundaria: mejora SD NRS  ≥4 en la semana 16</w:t>
                  </w:r>
                </w:p>
              </w:tc>
              <w:tc>
                <w:tcPr>
                  <w:tcW w:w="1420" w:type="dxa"/>
                  <w:gridSpan w:val="2"/>
                  <w:tcBorders>
                    <w:top w:val="nil"/>
                    <w:left w:val="nil"/>
                    <w:bottom w:val="nil"/>
                    <w:right w:val="single" w:sz="8" w:space="0" w:color="auto"/>
                  </w:tcBorders>
                  <w:vAlign w:val="center"/>
                  <w:hideMark/>
                </w:tcPr>
                <w:p w14:paraId="2DF617E5"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54FF776B"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67952BCB"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60BE0879"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75580237"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3C58E7" w14:paraId="6BC87982" w14:textId="77777777" w:rsidTr="000D2465">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2FE3F3A8" w14:textId="77777777" w:rsidR="003C58E7" w:rsidRDefault="003C58E7" w:rsidP="003C58E7">
                  <w:pPr>
                    <w:rPr>
                      <w:rFonts w:ascii="Arial" w:hAnsi="Arial" w:cs="Arial"/>
                      <w:b/>
                      <w:bCs/>
                      <w:i/>
                      <w:iCs/>
                      <w:color w:val="000000"/>
                      <w:sz w:val="16"/>
                      <w:szCs w:val="16"/>
                    </w:rPr>
                  </w:pPr>
                </w:p>
              </w:tc>
              <w:tc>
                <w:tcPr>
                  <w:tcW w:w="1420" w:type="dxa"/>
                  <w:gridSpan w:val="2"/>
                  <w:tcBorders>
                    <w:top w:val="nil"/>
                    <w:left w:val="nil"/>
                    <w:bottom w:val="single" w:sz="8" w:space="0" w:color="auto"/>
                    <w:right w:val="single" w:sz="8" w:space="0" w:color="auto"/>
                  </w:tcBorders>
                  <w:vAlign w:val="center"/>
                  <w:hideMark/>
                </w:tcPr>
                <w:p w14:paraId="570740E8"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(522)</w:t>
                  </w:r>
                </w:p>
              </w:tc>
              <w:tc>
                <w:tcPr>
                  <w:tcW w:w="1200" w:type="dxa"/>
                  <w:gridSpan w:val="2"/>
                  <w:tcBorders>
                    <w:top w:val="nil"/>
                    <w:left w:val="nil"/>
                    <w:bottom w:val="single" w:sz="8" w:space="0" w:color="auto"/>
                    <w:right w:val="single" w:sz="8" w:space="0" w:color="auto"/>
                  </w:tcBorders>
                  <w:vAlign w:val="center"/>
                  <w:hideMark/>
                </w:tcPr>
                <w:p w14:paraId="4C51EC0E"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(265)</w:t>
                  </w: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DD9C4E0" w14:textId="77777777" w:rsidR="003C58E7" w:rsidRDefault="003C58E7" w:rsidP="003C58E7">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662C5E1" w14:textId="77777777" w:rsidR="003C58E7" w:rsidRDefault="003C58E7" w:rsidP="003C58E7">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64E0FFF" w14:textId="77777777" w:rsidR="003C58E7" w:rsidRDefault="003C58E7" w:rsidP="003C58E7">
                  <w:pPr>
                    <w:rPr>
                      <w:rFonts w:ascii="Arial" w:hAnsi="Arial" w:cs="Arial"/>
                      <w:b/>
                      <w:bCs/>
                      <w:i/>
                      <w:iCs/>
                      <w:color w:val="000000"/>
                      <w:sz w:val="16"/>
                      <w:szCs w:val="16"/>
                    </w:rPr>
                  </w:pPr>
                </w:p>
              </w:tc>
            </w:tr>
            <w:tr w:rsidR="003C58E7" w14:paraId="107D7271" w14:textId="77777777" w:rsidTr="000D2465">
              <w:trPr>
                <w:trHeight w:val="315"/>
              </w:trPr>
              <w:tc>
                <w:tcPr>
                  <w:tcW w:w="2400" w:type="dxa"/>
                  <w:tcBorders>
                    <w:top w:val="nil"/>
                    <w:left w:val="single" w:sz="4" w:space="0" w:color="auto"/>
                    <w:bottom w:val="single" w:sz="4" w:space="0" w:color="auto"/>
                    <w:right w:val="single" w:sz="4" w:space="0" w:color="auto"/>
                  </w:tcBorders>
                  <w:vAlign w:val="center"/>
                  <w:hideMark/>
                </w:tcPr>
                <w:p w14:paraId="04EA6232"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gridSpan w:val="2"/>
                  <w:tcBorders>
                    <w:top w:val="nil"/>
                    <w:left w:val="nil"/>
                    <w:bottom w:val="single" w:sz="4" w:space="0" w:color="auto"/>
                    <w:right w:val="single" w:sz="4" w:space="0" w:color="auto"/>
                  </w:tcBorders>
                  <w:vAlign w:val="center"/>
                  <w:hideMark/>
                </w:tcPr>
                <w:p w14:paraId="2EC5D648"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175 (33,5%)</w:t>
                  </w:r>
                </w:p>
              </w:tc>
              <w:tc>
                <w:tcPr>
                  <w:tcW w:w="1200" w:type="dxa"/>
                  <w:gridSpan w:val="2"/>
                  <w:tcBorders>
                    <w:top w:val="nil"/>
                    <w:left w:val="nil"/>
                    <w:bottom w:val="single" w:sz="4" w:space="0" w:color="auto"/>
                    <w:right w:val="single" w:sz="4" w:space="0" w:color="auto"/>
                  </w:tcBorders>
                  <w:vAlign w:val="center"/>
                  <w:hideMark/>
                </w:tcPr>
                <w:p w14:paraId="76BA51E2"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43 (16,2%)</w:t>
                  </w:r>
                </w:p>
              </w:tc>
              <w:tc>
                <w:tcPr>
                  <w:tcW w:w="1200" w:type="dxa"/>
                  <w:gridSpan w:val="2"/>
                  <w:tcBorders>
                    <w:top w:val="nil"/>
                    <w:left w:val="nil"/>
                    <w:bottom w:val="single" w:sz="4" w:space="0" w:color="auto"/>
                    <w:right w:val="single" w:sz="4" w:space="0" w:color="auto"/>
                  </w:tcBorders>
                  <w:vAlign w:val="center"/>
                  <w:hideMark/>
                </w:tcPr>
                <w:p w14:paraId="64E4411D"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17 (11</w:t>
                  </w:r>
                  <w:r w:rsidR="00AA6BC8">
                    <w:rPr>
                      <w:rFonts w:ascii="Arial" w:hAnsi="Arial" w:cs="Arial"/>
                      <w:i/>
                      <w:iCs/>
                      <w:color w:val="000000"/>
                      <w:sz w:val="16"/>
                      <w:szCs w:val="16"/>
                    </w:rPr>
                    <w:t>;</w:t>
                  </w:r>
                  <w:r>
                    <w:rPr>
                      <w:rFonts w:ascii="Arial" w:hAnsi="Arial" w:cs="Arial"/>
                      <w:i/>
                      <w:iCs/>
                      <w:color w:val="000000"/>
                      <w:sz w:val="16"/>
                      <w:szCs w:val="16"/>
                    </w:rPr>
                    <w:t>23)</w:t>
                  </w:r>
                </w:p>
              </w:tc>
              <w:tc>
                <w:tcPr>
                  <w:tcW w:w="1200" w:type="dxa"/>
                  <w:gridSpan w:val="2"/>
                  <w:tcBorders>
                    <w:top w:val="nil"/>
                    <w:left w:val="nil"/>
                    <w:bottom w:val="single" w:sz="4" w:space="0" w:color="auto"/>
                    <w:right w:val="single" w:sz="4" w:space="0" w:color="auto"/>
                  </w:tcBorders>
                  <w:vAlign w:val="center"/>
                  <w:hideMark/>
                </w:tcPr>
                <w:p w14:paraId="23A2D2AC"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4" w:space="0" w:color="auto"/>
                  </w:tcBorders>
                  <w:vAlign w:val="center"/>
                  <w:hideMark/>
                </w:tcPr>
                <w:p w14:paraId="3878E1DB"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6 (4</w:t>
                  </w:r>
                  <w:r w:rsidR="00AA6BC8">
                    <w:rPr>
                      <w:rFonts w:ascii="Arial" w:hAnsi="Arial" w:cs="Arial"/>
                      <w:i/>
                      <w:iCs/>
                      <w:color w:val="000000"/>
                      <w:sz w:val="16"/>
                      <w:szCs w:val="16"/>
                    </w:rPr>
                    <w:t>;</w:t>
                  </w:r>
                  <w:r>
                    <w:rPr>
                      <w:rFonts w:ascii="Arial" w:hAnsi="Arial" w:cs="Arial"/>
                      <w:i/>
                      <w:iCs/>
                      <w:color w:val="000000"/>
                      <w:sz w:val="16"/>
                      <w:szCs w:val="16"/>
                    </w:rPr>
                    <w:t>9)</w:t>
                  </w:r>
                </w:p>
              </w:tc>
            </w:tr>
            <w:tr w:rsidR="003C58E7" w14:paraId="413E5BF3" w14:textId="77777777" w:rsidTr="000D2465">
              <w:trPr>
                <w:trHeight w:val="420"/>
              </w:trPr>
              <w:tc>
                <w:tcPr>
                  <w:tcW w:w="24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79C1166"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Variable secundaria EASI 75 y PP NRS ≥4</w:t>
                  </w:r>
                </w:p>
              </w:tc>
              <w:tc>
                <w:tcPr>
                  <w:tcW w:w="1420" w:type="dxa"/>
                  <w:gridSpan w:val="2"/>
                  <w:tcBorders>
                    <w:top w:val="nil"/>
                    <w:left w:val="nil"/>
                    <w:bottom w:val="nil"/>
                    <w:right w:val="single" w:sz="8" w:space="0" w:color="auto"/>
                  </w:tcBorders>
                  <w:vAlign w:val="center"/>
                  <w:hideMark/>
                </w:tcPr>
                <w:p w14:paraId="7954404E"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3033F0C4"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53A84F91"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7B0148A3"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7B4C82AF"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3C58E7" w14:paraId="6B78C294" w14:textId="77777777" w:rsidTr="000D2465">
              <w:trPr>
                <w:trHeight w:val="31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105A542B" w14:textId="77777777" w:rsidR="003C58E7" w:rsidRDefault="003C58E7" w:rsidP="003C58E7">
                  <w:pPr>
                    <w:rPr>
                      <w:rFonts w:ascii="Arial" w:hAnsi="Arial" w:cs="Arial"/>
                      <w:b/>
                      <w:bCs/>
                      <w:i/>
                      <w:iCs/>
                      <w:color w:val="000000"/>
                      <w:sz w:val="16"/>
                      <w:szCs w:val="16"/>
                    </w:rPr>
                  </w:pPr>
                </w:p>
              </w:tc>
              <w:tc>
                <w:tcPr>
                  <w:tcW w:w="1420" w:type="dxa"/>
                  <w:gridSpan w:val="2"/>
                  <w:tcBorders>
                    <w:top w:val="nil"/>
                    <w:left w:val="nil"/>
                    <w:bottom w:val="single" w:sz="8" w:space="0" w:color="auto"/>
                    <w:right w:val="single" w:sz="8" w:space="0" w:color="auto"/>
                  </w:tcBorders>
                  <w:vAlign w:val="center"/>
                  <w:hideMark/>
                </w:tcPr>
                <w:p w14:paraId="745BB5C2"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(522)</w:t>
                  </w:r>
                </w:p>
              </w:tc>
              <w:tc>
                <w:tcPr>
                  <w:tcW w:w="1200" w:type="dxa"/>
                  <w:gridSpan w:val="2"/>
                  <w:tcBorders>
                    <w:top w:val="nil"/>
                    <w:left w:val="nil"/>
                    <w:bottom w:val="single" w:sz="8" w:space="0" w:color="auto"/>
                    <w:right w:val="single" w:sz="8" w:space="0" w:color="auto"/>
                  </w:tcBorders>
                  <w:vAlign w:val="center"/>
                  <w:hideMark/>
                </w:tcPr>
                <w:p w14:paraId="7D58BFE5"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(265)</w:t>
                  </w: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0C6AE19" w14:textId="77777777" w:rsidR="003C58E7" w:rsidRDefault="003C58E7" w:rsidP="003C58E7">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111E34D" w14:textId="77777777" w:rsidR="003C58E7" w:rsidRDefault="003C58E7" w:rsidP="003C58E7">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649E23B" w14:textId="77777777" w:rsidR="003C58E7" w:rsidRDefault="003C58E7" w:rsidP="003C58E7">
                  <w:pPr>
                    <w:rPr>
                      <w:rFonts w:ascii="Arial" w:hAnsi="Arial" w:cs="Arial"/>
                      <w:b/>
                      <w:bCs/>
                      <w:i/>
                      <w:iCs/>
                      <w:color w:val="000000"/>
                      <w:sz w:val="16"/>
                      <w:szCs w:val="16"/>
                    </w:rPr>
                  </w:pPr>
                </w:p>
              </w:tc>
            </w:tr>
            <w:tr w:rsidR="003C58E7" w14:paraId="5EE3FF07" w14:textId="77777777" w:rsidTr="000D2465">
              <w:trPr>
                <w:trHeight w:val="315"/>
              </w:trPr>
              <w:tc>
                <w:tcPr>
                  <w:tcW w:w="2400" w:type="dxa"/>
                  <w:tcBorders>
                    <w:top w:val="nil"/>
                    <w:left w:val="single" w:sz="4" w:space="0" w:color="auto"/>
                    <w:bottom w:val="single" w:sz="4" w:space="0" w:color="auto"/>
                    <w:right w:val="single" w:sz="4" w:space="0" w:color="auto"/>
                  </w:tcBorders>
                  <w:vAlign w:val="center"/>
                  <w:hideMark/>
                </w:tcPr>
                <w:p w14:paraId="12CD9D1B"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gridSpan w:val="2"/>
                  <w:tcBorders>
                    <w:top w:val="nil"/>
                    <w:left w:val="nil"/>
                    <w:bottom w:val="single" w:sz="4" w:space="0" w:color="auto"/>
                    <w:right w:val="single" w:sz="4" w:space="0" w:color="auto"/>
                  </w:tcBorders>
                  <w:vAlign w:val="center"/>
                  <w:hideMark/>
                </w:tcPr>
                <w:p w14:paraId="7510D9AA"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120 (23%)</w:t>
                  </w:r>
                </w:p>
              </w:tc>
              <w:tc>
                <w:tcPr>
                  <w:tcW w:w="1200" w:type="dxa"/>
                  <w:gridSpan w:val="2"/>
                  <w:tcBorders>
                    <w:top w:val="nil"/>
                    <w:left w:val="nil"/>
                    <w:bottom w:val="single" w:sz="4" w:space="0" w:color="auto"/>
                    <w:right w:val="single" w:sz="4" w:space="0" w:color="auto"/>
                  </w:tcBorders>
                  <w:vAlign w:val="center"/>
                  <w:hideMark/>
                </w:tcPr>
                <w:p w14:paraId="227B4C31"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26 (9,8%)</w:t>
                  </w:r>
                </w:p>
              </w:tc>
              <w:tc>
                <w:tcPr>
                  <w:tcW w:w="1200" w:type="dxa"/>
                  <w:gridSpan w:val="2"/>
                  <w:tcBorders>
                    <w:top w:val="nil"/>
                    <w:left w:val="nil"/>
                    <w:bottom w:val="single" w:sz="4" w:space="0" w:color="auto"/>
                    <w:right w:val="single" w:sz="4" w:space="0" w:color="auto"/>
                  </w:tcBorders>
                  <w:vAlign w:val="center"/>
                  <w:hideMark/>
                </w:tcPr>
                <w:p w14:paraId="6F26A9F9"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13 (8</w:t>
                  </w:r>
                  <w:r w:rsidR="00AA6BC8">
                    <w:rPr>
                      <w:rFonts w:ascii="Arial" w:hAnsi="Arial" w:cs="Arial"/>
                      <w:i/>
                      <w:iCs/>
                      <w:color w:val="000000"/>
                      <w:sz w:val="16"/>
                      <w:szCs w:val="16"/>
                    </w:rPr>
                    <w:t>;</w:t>
                  </w:r>
                  <w:r>
                    <w:rPr>
                      <w:rFonts w:ascii="Arial" w:hAnsi="Arial" w:cs="Arial"/>
                      <w:i/>
                      <w:iCs/>
                      <w:color w:val="000000"/>
                      <w:sz w:val="16"/>
                      <w:szCs w:val="16"/>
                    </w:rPr>
                    <w:t>18)</w:t>
                  </w:r>
                </w:p>
              </w:tc>
              <w:tc>
                <w:tcPr>
                  <w:tcW w:w="1200" w:type="dxa"/>
                  <w:gridSpan w:val="2"/>
                  <w:tcBorders>
                    <w:top w:val="nil"/>
                    <w:left w:val="nil"/>
                    <w:bottom w:val="single" w:sz="4" w:space="0" w:color="auto"/>
                    <w:right w:val="single" w:sz="4" w:space="0" w:color="auto"/>
                  </w:tcBorders>
                  <w:vAlign w:val="center"/>
                  <w:hideMark/>
                </w:tcPr>
                <w:p w14:paraId="39539BCF"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4" w:space="0" w:color="auto"/>
                  </w:tcBorders>
                  <w:vAlign w:val="center"/>
                  <w:hideMark/>
                </w:tcPr>
                <w:p w14:paraId="578D32D5"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8 (5</w:t>
                  </w:r>
                  <w:r w:rsidR="00AA6BC8">
                    <w:rPr>
                      <w:rFonts w:ascii="Arial" w:hAnsi="Arial" w:cs="Arial"/>
                      <w:i/>
                      <w:iCs/>
                      <w:color w:val="000000"/>
                      <w:sz w:val="16"/>
                      <w:szCs w:val="16"/>
                    </w:rPr>
                    <w:t>;</w:t>
                  </w:r>
                  <w:r>
                    <w:rPr>
                      <w:rFonts w:ascii="Arial" w:hAnsi="Arial" w:cs="Arial"/>
                      <w:i/>
                      <w:iCs/>
                      <w:color w:val="000000"/>
                      <w:sz w:val="16"/>
                      <w:szCs w:val="16"/>
                    </w:rPr>
                    <w:t>12)</w:t>
                  </w:r>
                </w:p>
              </w:tc>
            </w:tr>
            <w:tr w:rsidR="003C58E7" w14:paraId="6B609BC6" w14:textId="77777777" w:rsidTr="000D2465">
              <w:trPr>
                <w:trHeight w:val="420"/>
              </w:trPr>
              <w:tc>
                <w:tcPr>
                  <w:tcW w:w="24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BBB8DBA"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Variable secundaria mejoría en IGA  y PP NRS ≥4</w:t>
                  </w:r>
                </w:p>
              </w:tc>
              <w:tc>
                <w:tcPr>
                  <w:tcW w:w="1420" w:type="dxa"/>
                  <w:gridSpan w:val="2"/>
                  <w:tcBorders>
                    <w:top w:val="nil"/>
                    <w:left w:val="nil"/>
                    <w:bottom w:val="nil"/>
                    <w:right w:val="single" w:sz="8" w:space="0" w:color="auto"/>
                  </w:tcBorders>
                  <w:vAlign w:val="center"/>
                  <w:hideMark/>
                </w:tcPr>
                <w:p w14:paraId="1538FEC7"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4692C27A"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073BA647"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1666B11C"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7CA5454D"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3C58E7" w14:paraId="4365E0B2" w14:textId="77777777" w:rsidTr="000D2465">
              <w:trPr>
                <w:trHeight w:val="31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7444DE0F" w14:textId="77777777" w:rsidR="003C58E7" w:rsidRDefault="003C58E7" w:rsidP="003C58E7">
                  <w:pPr>
                    <w:rPr>
                      <w:rFonts w:ascii="Arial" w:hAnsi="Arial" w:cs="Arial"/>
                      <w:b/>
                      <w:bCs/>
                      <w:i/>
                      <w:iCs/>
                      <w:color w:val="000000"/>
                      <w:sz w:val="16"/>
                      <w:szCs w:val="16"/>
                    </w:rPr>
                  </w:pPr>
                </w:p>
              </w:tc>
              <w:tc>
                <w:tcPr>
                  <w:tcW w:w="1420" w:type="dxa"/>
                  <w:gridSpan w:val="2"/>
                  <w:tcBorders>
                    <w:top w:val="nil"/>
                    <w:left w:val="nil"/>
                    <w:bottom w:val="single" w:sz="8" w:space="0" w:color="auto"/>
                    <w:right w:val="single" w:sz="8" w:space="0" w:color="auto"/>
                  </w:tcBorders>
                  <w:vAlign w:val="center"/>
                  <w:hideMark/>
                </w:tcPr>
                <w:p w14:paraId="1107CB48"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(522)</w:t>
                  </w:r>
                </w:p>
              </w:tc>
              <w:tc>
                <w:tcPr>
                  <w:tcW w:w="1200" w:type="dxa"/>
                  <w:gridSpan w:val="2"/>
                  <w:tcBorders>
                    <w:top w:val="nil"/>
                    <w:left w:val="nil"/>
                    <w:bottom w:val="single" w:sz="8" w:space="0" w:color="auto"/>
                    <w:right w:val="single" w:sz="8" w:space="0" w:color="auto"/>
                  </w:tcBorders>
                  <w:vAlign w:val="center"/>
                  <w:hideMark/>
                </w:tcPr>
                <w:p w14:paraId="730E36EF" w14:textId="77777777" w:rsidR="003C58E7" w:rsidRDefault="003C58E7" w:rsidP="003C58E7">
                  <w:pPr>
                    <w:jc w:val="center"/>
                    <w:rPr>
                      <w:rFonts w:ascii="Arial" w:hAnsi="Arial" w:cs="Arial"/>
                      <w:b/>
                      <w:bCs/>
                      <w:i/>
                      <w:iCs/>
                      <w:color w:val="000000"/>
                      <w:sz w:val="16"/>
                      <w:szCs w:val="16"/>
                    </w:rPr>
                  </w:pPr>
                  <w:r>
                    <w:rPr>
                      <w:rFonts w:ascii="Arial" w:hAnsi="Arial" w:cs="Arial"/>
                      <w:b/>
                      <w:bCs/>
                      <w:i/>
                      <w:iCs/>
                      <w:color w:val="000000"/>
                      <w:sz w:val="16"/>
                      <w:szCs w:val="16"/>
                    </w:rPr>
                    <w:t>N (265)</w:t>
                  </w: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35E6E5B" w14:textId="77777777" w:rsidR="003C58E7" w:rsidRDefault="003C58E7" w:rsidP="003C58E7">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58BC5287" w14:textId="77777777" w:rsidR="003C58E7" w:rsidRDefault="003C58E7" w:rsidP="003C58E7">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BB6EB18" w14:textId="77777777" w:rsidR="003C58E7" w:rsidRDefault="003C58E7" w:rsidP="003C58E7">
                  <w:pPr>
                    <w:rPr>
                      <w:rFonts w:ascii="Arial" w:hAnsi="Arial" w:cs="Arial"/>
                      <w:b/>
                      <w:bCs/>
                      <w:i/>
                      <w:iCs/>
                      <w:color w:val="000000"/>
                      <w:sz w:val="16"/>
                      <w:szCs w:val="16"/>
                    </w:rPr>
                  </w:pPr>
                </w:p>
              </w:tc>
            </w:tr>
            <w:tr w:rsidR="003C58E7" w14:paraId="35D3F19B" w14:textId="77777777" w:rsidTr="000D2465">
              <w:trPr>
                <w:trHeight w:val="315"/>
              </w:trPr>
              <w:tc>
                <w:tcPr>
                  <w:tcW w:w="2400" w:type="dxa"/>
                  <w:tcBorders>
                    <w:top w:val="nil"/>
                    <w:left w:val="single" w:sz="4" w:space="0" w:color="auto"/>
                    <w:bottom w:val="nil"/>
                    <w:right w:val="single" w:sz="4" w:space="0" w:color="auto"/>
                  </w:tcBorders>
                  <w:vAlign w:val="center"/>
                  <w:hideMark/>
                </w:tcPr>
                <w:p w14:paraId="3669D280"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Semana 16</w:t>
                  </w:r>
                </w:p>
              </w:tc>
              <w:tc>
                <w:tcPr>
                  <w:tcW w:w="1420" w:type="dxa"/>
                  <w:gridSpan w:val="2"/>
                  <w:tcBorders>
                    <w:top w:val="nil"/>
                    <w:left w:val="nil"/>
                    <w:bottom w:val="nil"/>
                    <w:right w:val="single" w:sz="4" w:space="0" w:color="auto"/>
                  </w:tcBorders>
                  <w:vAlign w:val="center"/>
                  <w:hideMark/>
                </w:tcPr>
                <w:p w14:paraId="14BD3711"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107 (20,5%)</w:t>
                  </w:r>
                </w:p>
              </w:tc>
              <w:tc>
                <w:tcPr>
                  <w:tcW w:w="1200" w:type="dxa"/>
                  <w:gridSpan w:val="2"/>
                  <w:tcBorders>
                    <w:top w:val="nil"/>
                    <w:left w:val="nil"/>
                    <w:bottom w:val="nil"/>
                    <w:right w:val="single" w:sz="4" w:space="0" w:color="auto"/>
                  </w:tcBorders>
                  <w:vAlign w:val="center"/>
                  <w:hideMark/>
                </w:tcPr>
                <w:p w14:paraId="39F6545A"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23 (8,7%)</w:t>
                  </w:r>
                </w:p>
              </w:tc>
              <w:tc>
                <w:tcPr>
                  <w:tcW w:w="1200" w:type="dxa"/>
                  <w:gridSpan w:val="2"/>
                  <w:tcBorders>
                    <w:top w:val="nil"/>
                    <w:left w:val="nil"/>
                    <w:bottom w:val="nil"/>
                    <w:right w:val="single" w:sz="4" w:space="0" w:color="auto"/>
                  </w:tcBorders>
                  <w:vAlign w:val="center"/>
                  <w:hideMark/>
                </w:tcPr>
                <w:p w14:paraId="3A0EDDFB"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12 (7</w:t>
                  </w:r>
                  <w:r w:rsidR="00AA6BC8">
                    <w:rPr>
                      <w:rFonts w:ascii="Arial" w:hAnsi="Arial" w:cs="Arial"/>
                      <w:i/>
                      <w:iCs/>
                      <w:color w:val="000000"/>
                      <w:sz w:val="16"/>
                      <w:szCs w:val="16"/>
                    </w:rPr>
                    <w:t>;</w:t>
                  </w:r>
                  <w:r>
                    <w:rPr>
                      <w:rFonts w:ascii="Arial" w:hAnsi="Arial" w:cs="Arial"/>
                      <w:i/>
                      <w:iCs/>
                      <w:color w:val="000000"/>
                      <w:sz w:val="16"/>
                      <w:szCs w:val="16"/>
                    </w:rPr>
                    <w:t>17)</w:t>
                  </w:r>
                </w:p>
              </w:tc>
              <w:tc>
                <w:tcPr>
                  <w:tcW w:w="1200" w:type="dxa"/>
                  <w:gridSpan w:val="2"/>
                  <w:tcBorders>
                    <w:top w:val="nil"/>
                    <w:left w:val="nil"/>
                    <w:bottom w:val="nil"/>
                    <w:right w:val="single" w:sz="4" w:space="0" w:color="auto"/>
                  </w:tcBorders>
                  <w:vAlign w:val="center"/>
                  <w:hideMark/>
                </w:tcPr>
                <w:p w14:paraId="6766C57E"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nil"/>
                    <w:right w:val="single" w:sz="4" w:space="0" w:color="auto"/>
                  </w:tcBorders>
                  <w:vAlign w:val="center"/>
                  <w:hideMark/>
                </w:tcPr>
                <w:p w14:paraId="6CB34E69" w14:textId="77777777" w:rsidR="003C58E7" w:rsidRDefault="003C58E7" w:rsidP="003C58E7">
                  <w:pPr>
                    <w:jc w:val="center"/>
                    <w:rPr>
                      <w:rFonts w:ascii="Arial" w:hAnsi="Arial" w:cs="Arial"/>
                      <w:i/>
                      <w:iCs/>
                      <w:color w:val="000000"/>
                      <w:sz w:val="16"/>
                      <w:szCs w:val="16"/>
                    </w:rPr>
                  </w:pPr>
                  <w:r>
                    <w:rPr>
                      <w:rFonts w:ascii="Arial" w:hAnsi="Arial" w:cs="Arial"/>
                      <w:i/>
                      <w:iCs/>
                      <w:color w:val="000000"/>
                      <w:sz w:val="16"/>
                      <w:szCs w:val="16"/>
                    </w:rPr>
                    <w:t>8 (6</w:t>
                  </w:r>
                  <w:r w:rsidR="00AA6BC8">
                    <w:rPr>
                      <w:rFonts w:ascii="Arial" w:hAnsi="Arial" w:cs="Arial"/>
                      <w:i/>
                      <w:iCs/>
                      <w:color w:val="000000"/>
                      <w:sz w:val="16"/>
                      <w:szCs w:val="16"/>
                    </w:rPr>
                    <w:t>;</w:t>
                  </w:r>
                  <w:r>
                    <w:rPr>
                      <w:rFonts w:ascii="Arial" w:hAnsi="Arial" w:cs="Arial"/>
                      <w:i/>
                      <w:iCs/>
                      <w:color w:val="000000"/>
                      <w:sz w:val="16"/>
                      <w:szCs w:val="16"/>
                    </w:rPr>
                    <w:t>14)</w:t>
                  </w:r>
                </w:p>
              </w:tc>
            </w:tr>
            <w:tr w:rsidR="000D2465" w14:paraId="77E95690" w14:textId="77777777" w:rsidTr="000D2465">
              <w:trPr>
                <w:trHeight w:val="315"/>
              </w:trPr>
              <w:tc>
                <w:tcPr>
                  <w:tcW w:w="2400" w:type="dxa"/>
                  <w:tcBorders>
                    <w:top w:val="nil"/>
                    <w:left w:val="single" w:sz="4" w:space="0" w:color="auto"/>
                    <w:bottom w:val="single" w:sz="4" w:space="0" w:color="auto"/>
                    <w:right w:val="single" w:sz="4" w:space="0" w:color="auto"/>
                  </w:tcBorders>
                  <w:vAlign w:val="center"/>
                </w:tcPr>
                <w:p w14:paraId="1EE88AAC" w14:textId="77777777" w:rsidR="000D2465" w:rsidRDefault="000D2465" w:rsidP="000D2465">
                  <w:pPr>
                    <w:rPr>
                      <w:rFonts w:ascii="Arial" w:hAnsi="Arial" w:cs="Arial"/>
                      <w:i/>
                      <w:iCs/>
                      <w:color w:val="000000"/>
                      <w:sz w:val="16"/>
                      <w:szCs w:val="16"/>
                    </w:rPr>
                  </w:pPr>
                </w:p>
              </w:tc>
              <w:tc>
                <w:tcPr>
                  <w:tcW w:w="1420" w:type="dxa"/>
                  <w:gridSpan w:val="2"/>
                  <w:tcBorders>
                    <w:top w:val="nil"/>
                    <w:left w:val="nil"/>
                    <w:bottom w:val="single" w:sz="4" w:space="0" w:color="auto"/>
                    <w:right w:val="single" w:sz="4" w:space="0" w:color="auto"/>
                  </w:tcBorders>
                  <w:vAlign w:val="center"/>
                </w:tcPr>
                <w:p w14:paraId="5A1CA746" w14:textId="77777777" w:rsidR="000D2465" w:rsidRDefault="000D2465" w:rsidP="003C58E7">
                  <w:pPr>
                    <w:jc w:val="center"/>
                    <w:rPr>
                      <w:rFonts w:ascii="Arial" w:hAnsi="Arial" w:cs="Arial"/>
                      <w:i/>
                      <w:iCs/>
                      <w:color w:val="000000"/>
                      <w:sz w:val="16"/>
                      <w:szCs w:val="16"/>
                    </w:rPr>
                  </w:pPr>
                </w:p>
              </w:tc>
              <w:tc>
                <w:tcPr>
                  <w:tcW w:w="1200" w:type="dxa"/>
                  <w:gridSpan w:val="2"/>
                  <w:tcBorders>
                    <w:top w:val="nil"/>
                    <w:left w:val="nil"/>
                    <w:bottom w:val="single" w:sz="4" w:space="0" w:color="auto"/>
                    <w:right w:val="single" w:sz="4" w:space="0" w:color="auto"/>
                  </w:tcBorders>
                  <w:vAlign w:val="center"/>
                </w:tcPr>
                <w:p w14:paraId="184A0A83" w14:textId="77777777" w:rsidR="000D2465" w:rsidRDefault="000D2465" w:rsidP="003C58E7">
                  <w:pPr>
                    <w:jc w:val="center"/>
                    <w:rPr>
                      <w:rFonts w:ascii="Arial" w:hAnsi="Arial" w:cs="Arial"/>
                      <w:i/>
                      <w:iCs/>
                      <w:color w:val="000000"/>
                      <w:sz w:val="16"/>
                      <w:szCs w:val="16"/>
                    </w:rPr>
                  </w:pPr>
                </w:p>
              </w:tc>
              <w:tc>
                <w:tcPr>
                  <w:tcW w:w="1200" w:type="dxa"/>
                  <w:gridSpan w:val="2"/>
                  <w:tcBorders>
                    <w:top w:val="nil"/>
                    <w:left w:val="nil"/>
                    <w:bottom w:val="single" w:sz="4" w:space="0" w:color="auto"/>
                    <w:right w:val="single" w:sz="4" w:space="0" w:color="auto"/>
                  </w:tcBorders>
                  <w:vAlign w:val="center"/>
                </w:tcPr>
                <w:p w14:paraId="6B821483" w14:textId="77777777" w:rsidR="000D2465" w:rsidRDefault="000D2465" w:rsidP="003C58E7">
                  <w:pPr>
                    <w:jc w:val="center"/>
                    <w:rPr>
                      <w:rFonts w:ascii="Arial" w:hAnsi="Arial" w:cs="Arial"/>
                      <w:i/>
                      <w:iCs/>
                      <w:color w:val="000000"/>
                      <w:sz w:val="16"/>
                      <w:szCs w:val="16"/>
                    </w:rPr>
                  </w:pPr>
                </w:p>
              </w:tc>
              <w:tc>
                <w:tcPr>
                  <w:tcW w:w="1200" w:type="dxa"/>
                  <w:gridSpan w:val="2"/>
                  <w:tcBorders>
                    <w:top w:val="nil"/>
                    <w:left w:val="nil"/>
                    <w:bottom w:val="single" w:sz="4" w:space="0" w:color="auto"/>
                    <w:right w:val="single" w:sz="4" w:space="0" w:color="auto"/>
                  </w:tcBorders>
                  <w:vAlign w:val="center"/>
                </w:tcPr>
                <w:p w14:paraId="7859C605" w14:textId="77777777" w:rsidR="000D2465" w:rsidRDefault="000D2465" w:rsidP="003C58E7">
                  <w:pPr>
                    <w:jc w:val="center"/>
                    <w:rPr>
                      <w:rFonts w:ascii="Arial" w:hAnsi="Arial" w:cs="Arial"/>
                      <w:i/>
                      <w:iCs/>
                      <w:color w:val="000000"/>
                      <w:sz w:val="16"/>
                      <w:szCs w:val="16"/>
                    </w:rPr>
                  </w:pPr>
                </w:p>
              </w:tc>
              <w:tc>
                <w:tcPr>
                  <w:tcW w:w="1200" w:type="dxa"/>
                  <w:gridSpan w:val="2"/>
                  <w:tcBorders>
                    <w:top w:val="nil"/>
                    <w:left w:val="nil"/>
                    <w:bottom w:val="single" w:sz="4" w:space="0" w:color="auto"/>
                    <w:right w:val="single" w:sz="4" w:space="0" w:color="auto"/>
                  </w:tcBorders>
                  <w:vAlign w:val="center"/>
                </w:tcPr>
                <w:p w14:paraId="270EA554" w14:textId="77777777" w:rsidR="000D2465" w:rsidRDefault="000D2465" w:rsidP="003C58E7">
                  <w:pPr>
                    <w:jc w:val="center"/>
                    <w:rPr>
                      <w:rFonts w:ascii="Arial" w:hAnsi="Arial" w:cs="Arial"/>
                      <w:i/>
                      <w:iCs/>
                      <w:color w:val="000000"/>
                      <w:sz w:val="16"/>
                      <w:szCs w:val="16"/>
                    </w:rPr>
                  </w:pPr>
                </w:p>
              </w:tc>
            </w:tr>
            <w:tr w:rsidR="000D2465" w14:paraId="2B3B9C38" w14:textId="77777777" w:rsidTr="000D2465">
              <w:trPr>
                <w:gridAfter w:val="1"/>
                <w:wAfter w:w="20" w:type="dxa"/>
                <w:trHeight w:val="315"/>
              </w:trPr>
              <w:tc>
                <w:tcPr>
                  <w:tcW w:w="8600" w:type="dxa"/>
                  <w:gridSpan w:val="10"/>
                  <w:tcBorders>
                    <w:top w:val="single" w:sz="8" w:space="0" w:color="auto"/>
                    <w:left w:val="single" w:sz="8" w:space="0" w:color="auto"/>
                    <w:bottom w:val="single" w:sz="8" w:space="0" w:color="auto"/>
                    <w:right w:val="single" w:sz="8" w:space="0" w:color="000000"/>
                  </w:tcBorders>
                  <w:shd w:val="clear" w:color="000000" w:fill="CCFFCC"/>
                  <w:vAlign w:val="center"/>
                  <w:hideMark/>
                </w:tcPr>
                <w:p w14:paraId="4DAAC45A"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Resultados POBLACIÓN GRAVE</w:t>
                  </w:r>
                </w:p>
              </w:tc>
            </w:tr>
            <w:tr w:rsidR="000D2465" w14:paraId="2D863B7F" w14:textId="77777777" w:rsidTr="000D2465">
              <w:trPr>
                <w:gridAfter w:val="1"/>
                <w:wAfter w:w="20" w:type="dxa"/>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8E4DCEC"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Covariables principales, semana 16</w:t>
                  </w:r>
                </w:p>
              </w:tc>
              <w:tc>
                <w:tcPr>
                  <w:tcW w:w="1400" w:type="dxa"/>
                  <w:tcBorders>
                    <w:top w:val="nil"/>
                    <w:left w:val="nil"/>
                    <w:bottom w:val="nil"/>
                    <w:right w:val="single" w:sz="8" w:space="0" w:color="auto"/>
                  </w:tcBorders>
                  <w:vAlign w:val="center"/>
                  <w:hideMark/>
                </w:tcPr>
                <w:p w14:paraId="6EFC15A2"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57D6E821"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6A9412A0"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4D9B7FC2"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61810413"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0D2465" w14:paraId="00DEF8A4" w14:textId="77777777" w:rsidTr="000D2465">
              <w:trPr>
                <w:gridAfter w:val="1"/>
                <w:wAfter w:w="20" w:type="dxa"/>
                <w:trHeight w:val="315"/>
              </w:trPr>
              <w:tc>
                <w:tcPr>
                  <w:tcW w:w="2400" w:type="dxa"/>
                  <w:vMerge/>
                  <w:tcBorders>
                    <w:top w:val="nil"/>
                    <w:left w:val="single" w:sz="8" w:space="0" w:color="auto"/>
                    <w:bottom w:val="single" w:sz="8" w:space="0" w:color="000000"/>
                    <w:right w:val="single" w:sz="8" w:space="0" w:color="auto"/>
                  </w:tcBorders>
                  <w:vAlign w:val="center"/>
                  <w:hideMark/>
                </w:tcPr>
                <w:p w14:paraId="11A554E0" w14:textId="77777777" w:rsidR="000D2465" w:rsidRDefault="000D2465" w:rsidP="000D2465">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0EB5D1C5"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(316)</w:t>
                  </w:r>
                </w:p>
              </w:tc>
              <w:tc>
                <w:tcPr>
                  <w:tcW w:w="1200" w:type="dxa"/>
                  <w:gridSpan w:val="2"/>
                  <w:tcBorders>
                    <w:top w:val="nil"/>
                    <w:left w:val="nil"/>
                    <w:bottom w:val="single" w:sz="8" w:space="0" w:color="auto"/>
                    <w:right w:val="single" w:sz="8" w:space="0" w:color="auto"/>
                  </w:tcBorders>
                  <w:vAlign w:val="center"/>
                  <w:hideMark/>
                </w:tcPr>
                <w:p w14:paraId="703D357A"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(164)</w:t>
                  </w:r>
                </w:p>
              </w:tc>
              <w:tc>
                <w:tcPr>
                  <w:tcW w:w="1200" w:type="dxa"/>
                  <w:gridSpan w:val="2"/>
                  <w:vMerge/>
                  <w:tcBorders>
                    <w:top w:val="nil"/>
                    <w:left w:val="single" w:sz="8" w:space="0" w:color="auto"/>
                    <w:bottom w:val="single" w:sz="8" w:space="0" w:color="000000"/>
                    <w:right w:val="single" w:sz="8" w:space="0" w:color="auto"/>
                  </w:tcBorders>
                  <w:vAlign w:val="center"/>
                  <w:hideMark/>
                </w:tcPr>
                <w:p w14:paraId="77396B06" w14:textId="77777777" w:rsidR="000D2465" w:rsidRDefault="000D2465" w:rsidP="000D2465">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70CBBFFC" w14:textId="77777777" w:rsidR="000D2465" w:rsidRDefault="000D2465" w:rsidP="000D2465">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53911BA9" w14:textId="77777777" w:rsidR="000D2465" w:rsidRDefault="000D2465" w:rsidP="000D2465">
                  <w:pPr>
                    <w:rPr>
                      <w:rFonts w:ascii="Arial" w:hAnsi="Arial" w:cs="Arial"/>
                      <w:b/>
                      <w:bCs/>
                      <w:i/>
                      <w:iCs/>
                      <w:color w:val="000000"/>
                      <w:sz w:val="16"/>
                      <w:szCs w:val="16"/>
                    </w:rPr>
                  </w:pPr>
                </w:p>
              </w:tc>
            </w:tr>
            <w:tr w:rsidR="000D2465" w14:paraId="352FE4C3" w14:textId="77777777" w:rsidTr="000D2465">
              <w:trPr>
                <w:gridAfter w:val="1"/>
                <w:wAfter w:w="20" w:type="dxa"/>
                <w:trHeight w:val="300"/>
              </w:trPr>
              <w:tc>
                <w:tcPr>
                  <w:tcW w:w="2400" w:type="dxa"/>
                  <w:tcBorders>
                    <w:top w:val="nil"/>
                    <w:left w:val="single" w:sz="8" w:space="0" w:color="auto"/>
                    <w:bottom w:val="nil"/>
                    <w:right w:val="single" w:sz="8" w:space="0" w:color="auto"/>
                  </w:tcBorders>
                  <w:vAlign w:val="center"/>
                  <w:hideMark/>
                </w:tcPr>
                <w:p w14:paraId="04F561AE" w14:textId="77777777" w:rsidR="000D2465" w:rsidRDefault="000D2465" w:rsidP="000D2465">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00" w:type="dxa"/>
                  <w:vMerge w:val="restart"/>
                  <w:tcBorders>
                    <w:top w:val="nil"/>
                    <w:left w:val="single" w:sz="8" w:space="0" w:color="auto"/>
                    <w:bottom w:val="single" w:sz="8" w:space="0" w:color="000000"/>
                    <w:right w:val="single" w:sz="8" w:space="0" w:color="auto"/>
                  </w:tcBorders>
                  <w:vAlign w:val="center"/>
                  <w:hideMark/>
                </w:tcPr>
                <w:p w14:paraId="54B1093B"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116 (36,7%)</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26BC0A8A"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36 (22,0%)</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16ED0C27"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15 (7</w:t>
                  </w:r>
                  <w:r w:rsidR="00AA6BC8">
                    <w:rPr>
                      <w:rFonts w:ascii="Arial" w:hAnsi="Arial" w:cs="Arial"/>
                      <w:i/>
                      <w:iCs/>
                      <w:color w:val="000000"/>
                      <w:sz w:val="16"/>
                      <w:szCs w:val="16"/>
                    </w:rPr>
                    <w:t>;</w:t>
                  </w:r>
                  <w:r>
                    <w:rPr>
                      <w:rFonts w:ascii="Arial" w:hAnsi="Arial" w:cs="Arial"/>
                      <w:i/>
                      <w:iCs/>
                      <w:color w:val="000000"/>
                      <w:sz w:val="16"/>
                      <w:szCs w:val="16"/>
                    </w:rPr>
                    <w:t>23)</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1EF7FA9A"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0,0010</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2A55B5E5"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7 (4</w:t>
                  </w:r>
                  <w:r w:rsidR="00AA6BC8">
                    <w:rPr>
                      <w:rFonts w:ascii="Arial" w:hAnsi="Arial" w:cs="Arial"/>
                      <w:i/>
                      <w:iCs/>
                      <w:color w:val="000000"/>
                      <w:sz w:val="16"/>
                      <w:szCs w:val="16"/>
                    </w:rPr>
                    <w:t>;</w:t>
                  </w:r>
                  <w:r>
                    <w:rPr>
                      <w:rFonts w:ascii="Arial" w:hAnsi="Arial" w:cs="Arial"/>
                      <w:i/>
                      <w:iCs/>
                      <w:color w:val="000000"/>
                      <w:sz w:val="16"/>
                      <w:szCs w:val="16"/>
                    </w:rPr>
                    <w:t>15)</w:t>
                  </w:r>
                </w:p>
              </w:tc>
            </w:tr>
            <w:tr w:rsidR="000D2465" w14:paraId="4D57369D" w14:textId="77777777" w:rsidTr="000D2465">
              <w:trPr>
                <w:gridAfter w:val="1"/>
                <w:wAfter w:w="20" w:type="dxa"/>
                <w:trHeight w:val="465"/>
              </w:trPr>
              <w:tc>
                <w:tcPr>
                  <w:tcW w:w="2400" w:type="dxa"/>
                  <w:tcBorders>
                    <w:top w:val="nil"/>
                    <w:left w:val="single" w:sz="8" w:space="0" w:color="auto"/>
                    <w:bottom w:val="single" w:sz="8" w:space="0" w:color="auto"/>
                    <w:right w:val="single" w:sz="8" w:space="0" w:color="auto"/>
                  </w:tcBorders>
                  <w:vAlign w:val="center"/>
                  <w:hideMark/>
                </w:tcPr>
                <w:p w14:paraId="0967ED20"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IGA 0/1 y ≥2 puntos de reducción (semana 16)</w:t>
                  </w:r>
                </w:p>
              </w:tc>
              <w:tc>
                <w:tcPr>
                  <w:tcW w:w="1400" w:type="dxa"/>
                  <w:vMerge/>
                  <w:tcBorders>
                    <w:top w:val="nil"/>
                    <w:left w:val="single" w:sz="8" w:space="0" w:color="auto"/>
                    <w:bottom w:val="single" w:sz="8" w:space="0" w:color="000000"/>
                    <w:right w:val="single" w:sz="8" w:space="0" w:color="auto"/>
                  </w:tcBorders>
                  <w:vAlign w:val="center"/>
                  <w:hideMark/>
                </w:tcPr>
                <w:p w14:paraId="7300A7C2" w14:textId="77777777" w:rsidR="000D2465" w:rsidRDefault="000D2465" w:rsidP="000D2465">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7B30B416" w14:textId="77777777" w:rsidR="000D2465" w:rsidRDefault="000D2465" w:rsidP="000D2465">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16799E84" w14:textId="77777777" w:rsidR="000D2465" w:rsidRDefault="000D2465" w:rsidP="000D2465">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52C2DE6E" w14:textId="77777777" w:rsidR="000D2465" w:rsidRDefault="000D2465" w:rsidP="000D2465">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18DC0FCF" w14:textId="77777777" w:rsidR="000D2465" w:rsidRDefault="000D2465" w:rsidP="000D2465">
                  <w:pPr>
                    <w:rPr>
                      <w:rFonts w:ascii="Arial" w:hAnsi="Arial" w:cs="Arial"/>
                      <w:i/>
                      <w:iCs/>
                      <w:color w:val="000000"/>
                      <w:sz w:val="16"/>
                      <w:szCs w:val="16"/>
                    </w:rPr>
                  </w:pPr>
                </w:p>
              </w:tc>
            </w:tr>
            <w:tr w:rsidR="000D2465" w14:paraId="61482E42" w14:textId="77777777" w:rsidTr="000D2465">
              <w:trPr>
                <w:gridAfter w:val="1"/>
                <w:wAfter w:w="20" w:type="dxa"/>
                <w:trHeight w:val="300"/>
              </w:trPr>
              <w:tc>
                <w:tcPr>
                  <w:tcW w:w="2400" w:type="dxa"/>
                  <w:tcBorders>
                    <w:top w:val="nil"/>
                    <w:left w:val="single" w:sz="8" w:space="0" w:color="auto"/>
                    <w:bottom w:val="nil"/>
                    <w:right w:val="single" w:sz="8" w:space="0" w:color="auto"/>
                  </w:tcBorders>
                  <w:vAlign w:val="center"/>
                  <w:hideMark/>
                </w:tcPr>
                <w:p w14:paraId="25D70AA4" w14:textId="77777777" w:rsidR="000D2465" w:rsidRDefault="000D2465" w:rsidP="000D2465">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00" w:type="dxa"/>
                  <w:vMerge w:val="restart"/>
                  <w:tcBorders>
                    <w:top w:val="nil"/>
                    <w:left w:val="single" w:sz="8" w:space="0" w:color="auto"/>
                    <w:bottom w:val="single" w:sz="8" w:space="0" w:color="000000"/>
                    <w:right w:val="single" w:sz="8" w:space="0" w:color="auto"/>
                  </w:tcBorders>
                  <w:vAlign w:val="center"/>
                  <w:hideMark/>
                </w:tcPr>
                <w:p w14:paraId="45BFF4BE"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130 (41,1%)</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701CFB95"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41 (25,0%)</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22EC65D0"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16 (8</w:t>
                  </w:r>
                  <w:r w:rsidR="00AA6BC8">
                    <w:rPr>
                      <w:rFonts w:ascii="Arial" w:hAnsi="Arial" w:cs="Arial"/>
                      <w:i/>
                      <w:iCs/>
                      <w:color w:val="000000"/>
                      <w:sz w:val="16"/>
                      <w:szCs w:val="16"/>
                    </w:rPr>
                    <w:t>;</w:t>
                  </w:r>
                  <w:r>
                    <w:rPr>
                      <w:rFonts w:ascii="Arial" w:hAnsi="Arial" w:cs="Arial"/>
                      <w:i/>
                      <w:iCs/>
                      <w:color w:val="000000"/>
                      <w:sz w:val="16"/>
                      <w:szCs w:val="16"/>
                    </w:rPr>
                    <w:t>25)</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620A9894"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0,0005</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4B8C5290"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6 (4</w:t>
                  </w:r>
                  <w:r w:rsidR="00AA6BC8">
                    <w:rPr>
                      <w:rFonts w:ascii="Arial" w:hAnsi="Arial" w:cs="Arial"/>
                      <w:i/>
                      <w:iCs/>
                      <w:color w:val="000000"/>
                      <w:sz w:val="16"/>
                      <w:szCs w:val="16"/>
                    </w:rPr>
                    <w:t>;</w:t>
                  </w:r>
                  <w:r>
                    <w:rPr>
                      <w:rFonts w:ascii="Arial" w:hAnsi="Arial" w:cs="Arial"/>
                      <w:i/>
                      <w:iCs/>
                      <w:color w:val="000000"/>
                      <w:sz w:val="16"/>
                      <w:szCs w:val="16"/>
                    </w:rPr>
                    <w:t>13)</w:t>
                  </w:r>
                </w:p>
              </w:tc>
            </w:tr>
            <w:tr w:rsidR="000D2465" w14:paraId="3CA1677F" w14:textId="77777777" w:rsidTr="000D2465">
              <w:trPr>
                <w:gridAfter w:val="1"/>
                <w:wAfter w:w="20" w:type="dxa"/>
                <w:trHeight w:val="315"/>
              </w:trPr>
              <w:tc>
                <w:tcPr>
                  <w:tcW w:w="2400" w:type="dxa"/>
                  <w:tcBorders>
                    <w:top w:val="nil"/>
                    <w:left w:val="single" w:sz="8" w:space="0" w:color="auto"/>
                    <w:bottom w:val="single" w:sz="8" w:space="0" w:color="auto"/>
                    <w:right w:val="single" w:sz="8" w:space="0" w:color="auto"/>
                  </w:tcBorders>
                  <w:vAlign w:val="center"/>
                  <w:hideMark/>
                </w:tcPr>
                <w:p w14:paraId="292392EA"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EASI 75 (semana 16)</w:t>
                  </w:r>
                </w:p>
              </w:tc>
              <w:tc>
                <w:tcPr>
                  <w:tcW w:w="1400" w:type="dxa"/>
                  <w:vMerge/>
                  <w:tcBorders>
                    <w:top w:val="nil"/>
                    <w:left w:val="single" w:sz="8" w:space="0" w:color="auto"/>
                    <w:bottom w:val="single" w:sz="8" w:space="0" w:color="000000"/>
                    <w:right w:val="single" w:sz="8" w:space="0" w:color="auto"/>
                  </w:tcBorders>
                  <w:vAlign w:val="center"/>
                  <w:hideMark/>
                </w:tcPr>
                <w:p w14:paraId="54C7D4ED" w14:textId="77777777" w:rsidR="000D2465" w:rsidRDefault="000D2465" w:rsidP="000D2465">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1140719A" w14:textId="77777777" w:rsidR="000D2465" w:rsidRDefault="000D2465" w:rsidP="000D2465">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7052CAD4" w14:textId="77777777" w:rsidR="000D2465" w:rsidRDefault="000D2465" w:rsidP="000D2465">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333C1576" w14:textId="77777777" w:rsidR="000D2465" w:rsidRDefault="000D2465" w:rsidP="000D2465">
                  <w:pPr>
                    <w:rPr>
                      <w:rFonts w:ascii="Arial" w:hAnsi="Arial" w:cs="Arial"/>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23101FD1" w14:textId="77777777" w:rsidR="000D2465" w:rsidRDefault="000D2465" w:rsidP="000D2465">
                  <w:pPr>
                    <w:rPr>
                      <w:rFonts w:ascii="Arial" w:hAnsi="Arial" w:cs="Arial"/>
                      <w:i/>
                      <w:iCs/>
                      <w:color w:val="000000"/>
                      <w:sz w:val="16"/>
                      <w:szCs w:val="16"/>
                    </w:rPr>
                  </w:pPr>
                </w:p>
              </w:tc>
            </w:tr>
            <w:tr w:rsidR="000D2465" w14:paraId="796C39F1" w14:textId="77777777" w:rsidTr="000D2465">
              <w:trPr>
                <w:gridAfter w:val="1"/>
                <w:wAfter w:w="20" w:type="dxa"/>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70C536C"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Variable secundaria mejora NRS</w:t>
                  </w:r>
                  <w:r>
                    <w:rPr>
                      <w:rFonts w:ascii="Calibri" w:hAnsi="Calibri" w:cs="Calibri"/>
                      <w:color w:val="000000"/>
                      <w:sz w:val="16"/>
                      <w:szCs w:val="16"/>
                    </w:rPr>
                    <w:t>≥</w:t>
                  </w:r>
                  <w:r>
                    <w:rPr>
                      <w:rFonts w:ascii="Arial" w:hAnsi="Arial" w:cs="Arial"/>
                      <w:i/>
                      <w:iCs/>
                      <w:color w:val="000000"/>
                      <w:sz w:val="16"/>
                      <w:szCs w:val="16"/>
                    </w:rPr>
                    <w:t>4</w:t>
                  </w:r>
                </w:p>
              </w:tc>
              <w:tc>
                <w:tcPr>
                  <w:tcW w:w="1400" w:type="dxa"/>
                  <w:tcBorders>
                    <w:top w:val="nil"/>
                    <w:left w:val="nil"/>
                    <w:bottom w:val="nil"/>
                    <w:right w:val="single" w:sz="8" w:space="0" w:color="auto"/>
                  </w:tcBorders>
                  <w:vAlign w:val="center"/>
                  <w:hideMark/>
                </w:tcPr>
                <w:p w14:paraId="4EE9195F"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5F7F21C2"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2B3EFDEC"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2AA01689"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5A8D4A67"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0D2465" w14:paraId="5B3F4C52" w14:textId="77777777" w:rsidTr="000D2465">
              <w:trPr>
                <w:gridAfter w:val="1"/>
                <w:wAfter w:w="20" w:type="dxa"/>
                <w:trHeight w:val="315"/>
              </w:trPr>
              <w:tc>
                <w:tcPr>
                  <w:tcW w:w="2400" w:type="dxa"/>
                  <w:vMerge/>
                  <w:tcBorders>
                    <w:top w:val="nil"/>
                    <w:left w:val="single" w:sz="8" w:space="0" w:color="auto"/>
                    <w:bottom w:val="single" w:sz="8" w:space="0" w:color="000000"/>
                    <w:right w:val="single" w:sz="8" w:space="0" w:color="auto"/>
                  </w:tcBorders>
                  <w:vAlign w:val="center"/>
                  <w:hideMark/>
                </w:tcPr>
                <w:p w14:paraId="47F7BB4D" w14:textId="77777777" w:rsidR="000D2465" w:rsidRDefault="000D2465" w:rsidP="000D2465">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05D9506B"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(316)</w:t>
                  </w:r>
                </w:p>
              </w:tc>
              <w:tc>
                <w:tcPr>
                  <w:tcW w:w="1200" w:type="dxa"/>
                  <w:gridSpan w:val="2"/>
                  <w:tcBorders>
                    <w:top w:val="nil"/>
                    <w:left w:val="nil"/>
                    <w:bottom w:val="single" w:sz="8" w:space="0" w:color="auto"/>
                    <w:right w:val="single" w:sz="8" w:space="0" w:color="auto"/>
                  </w:tcBorders>
                  <w:vAlign w:val="center"/>
                  <w:hideMark/>
                </w:tcPr>
                <w:p w14:paraId="7CEECB5F"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(164)</w:t>
                  </w:r>
                </w:p>
              </w:tc>
              <w:tc>
                <w:tcPr>
                  <w:tcW w:w="1200" w:type="dxa"/>
                  <w:gridSpan w:val="2"/>
                  <w:vMerge/>
                  <w:tcBorders>
                    <w:top w:val="nil"/>
                    <w:left w:val="single" w:sz="8" w:space="0" w:color="auto"/>
                    <w:bottom w:val="single" w:sz="8" w:space="0" w:color="000000"/>
                    <w:right w:val="single" w:sz="8" w:space="0" w:color="auto"/>
                  </w:tcBorders>
                  <w:vAlign w:val="center"/>
                  <w:hideMark/>
                </w:tcPr>
                <w:p w14:paraId="6FFCE5AF" w14:textId="77777777" w:rsidR="000D2465" w:rsidRDefault="000D2465" w:rsidP="000D2465">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54045340" w14:textId="77777777" w:rsidR="000D2465" w:rsidRDefault="000D2465" w:rsidP="000D2465">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44FA8EA6" w14:textId="77777777" w:rsidR="000D2465" w:rsidRDefault="000D2465" w:rsidP="000D2465">
                  <w:pPr>
                    <w:rPr>
                      <w:rFonts w:ascii="Arial" w:hAnsi="Arial" w:cs="Arial"/>
                      <w:b/>
                      <w:bCs/>
                      <w:i/>
                      <w:iCs/>
                      <w:color w:val="000000"/>
                      <w:sz w:val="16"/>
                      <w:szCs w:val="16"/>
                    </w:rPr>
                  </w:pPr>
                </w:p>
              </w:tc>
            </w:tr>
            <w:tr w:rsidR="000D2465" w14:paraId="6B3DB85C" w14:textId="77777777" w:rsidTr="000D2465">
              <w:trPr>
                <w:gridAfter w:val="1"/>
                <w:wAfter w:w="20" w:type="dxa"/>
                <w:trHeight w:val="315"/>
              </w:trPr>
              <w:tc>
                <w:tcPr>
                  <w:tcW w:w="2400" w:type="dxa"/>
                  <w:tcBorders>
                    <w:top w:val="nil"/>
                    <w:left w:val="single" w:sz="8" w:space="0" w:color="auto"/>
                    <w:bottom w:val="single" w:sz="4" w:space="0" w:color="auto"/>
                    <w:right w:val="single" w:sz="4" w:space="0" w:color="auto"/>
                  </w:tcBorders>
                  <w:vAlign w:val="center"/>
                  <w:hideMark/>
                </w:tcPr>
                <w:p w14:paraId="265FD3B6"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Semana 1</w:t>
                  </w:r>
                </w:p>
              </w:tc>
              <w:tc>
                <w:tcPr>
                  <w:tcW w:w="1400" w:type="dxa"/>
                  <w:tcBorders>
                    <w:top w:val="nil"/>
                    <w:left w:val="nil"/>
                    <w:bottom w:val="single" w:sz="4" w:space="0" w:color="auto"/>
                    <w:right w:val="single" w:sz="4" w:space="0" w:color="auto"/>
                  </w:tcBorders>
                  <w:vAlign w:val="center"/>
                  <w:hideMark/>
                </w:tcPr>
                <w:p w14:paraId="4549B280"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27 (8,5%)</w:t>
                  </w:r>
                </w:p>
              </w:tc>
              <w:tc>
                <w:tcPr>
                  <w:tcW w:w="1200" w:type="dxa"/>
                  <w:gridSpan w:val="2"/>
                  <w:tcBorders>
                    <w:top w:val="nil"/>
                    <w:left w:val="nil"/>
                    <w:bottom w:val="single" w:sz="4" w:space="0" w:color="auto"/>
                    <w:right w:val="single" w:sz="4" w:space="0" w:color="auto"/>
                  </w:tcBorders>
                  <w:vAlign w:val="center"/>
                  <w:hideMark/>
                </w:tcPr>
                <w:p w14:paraId="3751B9FC"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 (0,6%)</w:t>
                  </w:r>
                </w:p>
              </w:tc>
              <w:tc>
                <w:tcPr>
                  <w:tcW w:w="1200" w:type="dxa"/>
                  <w:gridSpan w:val="2"/>
                  <w:tcBorders>
                    <w:top w:val="nil"/>
                    <w:left w:val="nil"/>
                    <w:bottom w:val="single" w:sz="4" w:space="0" w:color="auto"/>
                    <w:right w:val="single" w:sz="4" w:space="0" w:color="auto"/>
                  </w:tcBorders>
                  <w:vAlign w:val="center"/>
                  <w:hideMark/>
                </w:tcPr>
                <w:p w14:paraId="5558B816"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8 (5</w:t>
                  </w:r>
                  <w:r w:rsidR="00AA6BC8">
                    <w:rPr>
                      <w:rFonts w:ascii="Arial" w:hAnsi="Arial" w:cs="Arial"/>
                      <w:i/>
                      <w:iCs/>
                      <w:color w:val="000000"/>
                      <w:sz w:val="16"/>
                      <w:szCs w:val="16"/>
                    </w:rPr>
                    <w:t>;</w:t>
                  </w:r>
                  <w:r>
                    <w:rPr>
                      <w:rFonts w:ascii="Arial" w:hAnsi="Arial" w:cs="Arial"/>
                      <w:i/>
                      <w:iCs/>
                      <w:color w:val="000000"/>
                      <w:sz w:val="16"/>
                      <w:szCs w:val="16"/>
                    </w:rPr>
                    <w:t>11)</w:t>
                  </w:r>
                </w:p>
              </w:tc>
              <w:tc>
                <w:tcPr>
                  <w:tcW w:w="1200" w:type="dxa"/>
                  <w:gridSpan w:val="2"/>
                  <w:tcBorders>
                    <w:top w:val="nil"/>
                    <w:left w:val="nil"/>
                    <w:bottom w:val="single" w:sz="4" w:space="0" w:color="auto"/>
                    <w:right w:val="single" w:sz="4" w:space="0" w:color="auto"/>
                  </w:tcBorders>
                  <w:vAlign w:val="center"/>
                  <w:hideMark/>
                </w:tcPr>
                <w:p w14:paraId="479AFF08"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0,0004</w:t>
                  </w:r>
                </w:p>
              </w:tc>
              <w:tc>
                <w:tcPr>
                  <w:tcW w:w="1200" w:type="dxa"/>
                  <w:gridSpan w:val="2"/>
                  <w:tcBorders>
                    <w:top w:val="nil"/>
                    <w:left w:val="nil"/>
                    <w:bottom w:val="single" w:sz="4" w:space="0" w:color="auto"/>
                    <w:right w:val="single" w:sz="8" w:space="0" w:color="auto"/>
                  </w:tcBorders>
                  <w:vAlign w:val="center"/>
                  <w:hideMark/>
                </w:tcPr>
                <w:p w14:paraId="2036A3FC"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13 (9</w:t>
                  </w:r>
                  <w:r w:rsidR="00AA6BC8">
                    <w:rPr>
                      <w:rFonts w:ascii="Arial" w:hAnsi="Arial" w:cs="Arial"/>
                      <w:i/>
                      <w:iCs/>
                      <w:color w:val="000000"/>
                      <w:sz w:val="16"/>
                      <w:szCs w:val="16"/>
                    </w:rPr>
                    <w:t>;</w:t>
                  </w:r>
                  <w:r>
                    <w:rPr>
                      <w:rFonts w:ascii="Arial" w:hAnsi="Arial" w:cs="Arial"/>
                      <w:i/>
                      <w:iCs/>
                      <w:color w:val="000000"/>
                      <w:sz w:val="16"/>
                      <w:szCs w:val="16"/>
                    </w:rPr>
                    <w:t>22)</w:t>
                  </w:r>
                </w:p>
              </w:tc>
            </w:tr>
            <w:tr w:rsidR="000D2465" w14:paraId="24BF25B2" w14:textId="77777777" w:rsidTr="000D2465">
              <w:trPr>
                <w:gridAfter w:val="1"/>
                <w:wAfter w:w="20" w:type="dxa"/>
                <w:trHeight w:val="315"/>
              </w:trPr>
              <w:tc>
                <w:tcPr>
                  <w:tcW w:w="2400" w:type="dxa"/>
                  <w:tcBorders>
                    <w:top w:val="nil"/>
                    <w:left w:val="single" w:sz="8" w:space="0" w:color="auto"/>
                    <w:bottom w:val="single" w:sz="4" w:space="0" w:color="auto"/>
                    <w:right w:val="single" w:sz="4" w:space="0" w:color="auto"/>
                  </w:tcBorders>
                  <w:vAlign w:val="center"/>
                  <w:hideMark/>
                </w:tcPr>
                <w:p w14:paraId="39D69C01"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Semana 2</w:t>
                  </w:r>
                </w:p>
              </w:tc>
              <w:tc>
                <w:tcPr>
                  <w:tcW w:w="1400" w:type="dxa"/>
                  <w:tcBorders>
                    <w:top w:val="nil"/>
                    <w:left w:val="nil"/>
                    <w:bottom w:val="single" w:sz="4" w:space="0" w:color="auto"/>
                    <w:right w:val="single" w:sz="4" w:space="0" w:color="auto"/>
                  </w:tcBorders>
                  <w:vAlign w:val="center"/>
                  <w:hideMark/>
                </w:tcPr>
                <w:p w14:paraId="792BB27E"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61 (19,3%)</w:t>
                  </w:r>
                </w:p>
              </w:tc>
              <w:tc>
                <w:tcPr>
                  <w:tcW w:w="1200" w:type="dxa"/>
                  <w:gridSpan w:val="2"/>
                  <w:tcBorders>
                    <w:top w:val="nil"/>
                    <w:left w:val="nil"/>
                    <w:bottom w:val="single" w:sz="4" w:space="0" w:color="auto"/>
                    <w:right w:val="single" w:sz="4" w:space="0" w:color="auto"/>
                  </w:tcBorders>
                  <w:vAlign w:val="center"/>
                  <w:hideMark/>
                </w:tcPr>
                <w:p w14:paraId="1C6B8DB4"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5 (3,0%)</w:t>
                  </w:r>
                </w:p>
              </w:tc>
              <w:tc>
                <w:tcPr>
                  <w:tcW w:w="1200" w:type="dxa"/>
                  <w:gridSpan w:val="2"/>
                  <w:tcBorders>
                    <w:top w:val="nil"/>
                    <w:left w:val="nil"/>
                    <w:bottom w:val="single" w:sz="4" w:space="0" w:color="auto"/>
                    <w:right w:val="single" w:sz="4" w:space="0" w:color="auto"/>
                  </w:tcBorders>
                  <w:vAlign w:val="center"/>
                  <w:hideMark/>
                </w:tcPr>
                <w:p w14:paraId="6527E4AA"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16 (11</w:t>
                  </w:r>
                  <w:r w:rsidR="00AA6BC8">
                    <w:rPr>
                      <w:rFonts w:ascii="Arial" w:hAnsi="Arial" w:cs="Arial"/>
                      <w:i/>
                      <w:iCs/>
                      <w:color w:val="000000"/>
                      <w:sz w:val="16"/>
                      <w:szCs w:val="16"/>
                    </w:rPr>
                    <w:t>;</w:t>
                  </w:r>
                  <w:r>
                    <w:rPr>
                      <w:rFonts w:ascii="Arial" w:hAnsi="Arial" w:cs="Arial"/>
                      <w:i/>
                      <w:iCs/>
                      <w:color w:val="000000"/>
                      <w:sz w:val="16"/>
                      <w:szCs w:val="16"/>
                    </w:rPr>
                    <w:t>21)</w:t>
                  </w:r>
                </w:p>
              </w:tc>
              <w:tc>
                <w:tcPr>
                  <w:tcW w:w="1200" w:type="dxa"/>
                  <w:gridSpan w:val="2"/>
                  <w:tcBorders>
                    <w:top w:val="nil"/>
                    <w:left w:val="nil"/>
                    <w:bottom w:val="single" w:sz="4" w:space="0" w:color="auto"/>
                    <w:right w:val="single" w:sz="4" w:space="0" w:color="auto"/>
                  </w:tcBorders>
                  <w:vAlign w:val="center"/>
                  <w:hideMark/>
                </w:tcPr>
                <w:p w14:paraId="467C4964"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8" w:space="0" w:color="auto"/>
                  </w:tcBorders>
                  <w:vAlign w:val="center"/>
                  <w:hideMark/>
                </w:tcPr>
                <w:p w14:paraId="29184FEE"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6 (5</w:t>
                  </w:r>
                  <w:r w:rsidR="00AA6BC8">
                    <w:rPr>
                      <w:rFonts w:ascii="Arial" w:hAnsi="Arial" w:cs="Arial"/>
                      <w:i/>
                      <w:iCs/>
                      <w:color w:val="000000"/>
                      <w:sz w:val="16"/>
                      <w:szCs w:val="16"/>
                    </w:rPr>
                    <w:t>;</w:t>
                  </w:r>
                  <w:r>
                    <w:rPr>
                      <w:rFonts w:ascii="Arial" w:hAnsi="Arial" w:cs="Arial"/>
                      <w:i/>
                      <w:iCs/>
                      <w:color w:val="000000"/>
                      <w:sz w:val="16"/>
                      <w:szCs w:val="16"/>
                    </w:rPr>
                    <w:t>9)</w:t>
                  </w:r>
                </w:p>
              </w:tc>
            </w:tr>
            <w:tr w:rsidR="000D2465" w14:paraId="73CCBCF1" w14:textId="77777777" w:rsidTr="000D2465">
              <w:trPr>
                <w:gridAfter w:val="1"/>
                <w:wAfter w:w="20" w:type="dxa"/>
                <w:trHeight w:val="315"/>
              </w:trPr>
              <w:tc>
                <w:tcPr>
                  <w:tcW w:w="2400" w:type="dxa"/>
                  <w:tcBorders>
                    <w:top w:val="nil"/>
                    <w:left w:val="single" w:sz="8" w:space="0" w:color="auto"/>
                    <w:bottom w:val="single" w:sz="4" w:space="0" w:color="auto"/>
                    <w:right w:val="single" w:sz="4" w:space="0" w:color="auto"/>
                  </w:tcBorders>
                  <w:vAlign w:val="center"/>
                  <w:hideMark/>
                </w:tcPr>
                <w:p w14:paraId="5415D509"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Semana 4</w:t>
                  </w:r>
                </w:p>
              </w:tc>
              <w:tc>
                <w:tcPr>
                  <w:tcW w:w="1400" w:type="dxa"/>
                  <w:tcBorders>
                    <w:top w:val="nil"/>
                    <w:left w:val="nil"/>
                    <w:bottom w:val="single" w:sz="4" w:space="0" w:color="auto"/>
                    <w:right w:val="single" w:sz="4" w:space="0" w:color="auto"/>
                  </w:tcBorders>
                  <w:vAlign w:val="center"/>
                  <w:hideMark/>
                </w:tcPr>
                <w:p w14:paraId="649A9D06"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96 (30,4%)</w:t>
                  </w:r>
                </w:p>
              </w:tc>
              <w:tc>
                <w:tcPr>
                  <w:tcW w:w="1200" w:type="dxa"/>
                  <w:gridSpan w:val="2"/>
                  <w:tcBorders>
                    <w:top w:val="nil"/>
                    <w:left w:val="nil"/>
                    <w:bottom w:val="single" w:sz="4" w:space="0" w:color="auto"/>
                    <w:right w:val="single" w:sz="4" w:space="0" w:color="auto"/>
                  </w:tcBorders>
                  <w:vAlign w:val="center"/>
                  <w:hideMark/>
                </w:tcPr>
                <w:p w14:paraId="1A86D875"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13 (7,91%)</w:t>
                  </w:r>
                </w:p>
              </w:tc>
              <w:tc>
                <w:tcPr>
                  <w:tcW w:w="1200" w:type="dxa"/>
                  <w:gridSpan w:val="2"/>
                  <w:tcBorders>
                    <w:top w:val="nil"/>
                    <w:left w:val="nil"/>
                    <w:bottom w:val="single" w:sz="4" w:space="0" w:color="auto"/>
                    <w:right w:val="single" w:sz="4" w:space="0" w:color="auto"/>
                  </w:tcBorders>
                  <w:vAlign w:val="center"/>
                  <w:hideMark/>
                </w:tcPr>
                <w:p w14:paraId="422ABBD9"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22 (16</w:t>
                  </w:r>
                  <w:r w:rsidR="00AA6BC8">
                    <w:rPr>
                      <w:rFonts w:ascii="Arial" w:hAnsi="Arial" w:cs="Arial"/>
                      <w:i/>
                      <w:iCs/>
                      <w:color w:val="000000"/>
                      <w:sz w:val="16"/>
                      <w:szCs w:val="16"/>
                    </w:rPr>
                    <w:t>;</w:t>
                  </w:r>
                  <w:r>
                    <w:rPr>
                      <w:rFonts w:ascii="Arial" w:hAnsi="Arial" w:cs="Arial"/>
                      <w:i/>
                      <w:iCs/>
                      <w:color w:val="000000"/>
                      <w:sz w:val="16"/>
                      <w:szCs w:val="16"/>
                    </w:rPr>
                    <w:t>29)</w:t>
                  </w:r>
                </w:p>
              </w:tc>
              <w:tc>
                <w:tcPr>
                  <w:tcW w:w="1200" w:type="dxa"/>
                  <w:gridSpan w:val="2"/>
                  <w:tcBorders>
                    <w:top w:val="nil"/>
                    <w:left w:val="nil"/>
                    <w:bottom w:val="single" w:sz="4" w:space="0" w:color="auto"/>
                    <w:right w:val="single" w:sz="4" w:space="0" w:color="auto"/>
                  </w:tcBorders>
                  <w:vAlign w:val="center"/>
                  <w:hideMark/>
                </w:tcPr>
                <w:p w14:paraId="7C754846"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8" w:space="0" w:color="auto"/>
                  </w:tcBorders>
                  <w:vAlign w:val="center"/>
                  <w:hideMark/>
                </w:tcPr>
                <w:p w14:paraId="3A629A78"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4 (3</w:t>
                  </w:r>
                  <w:r w:rsidR="00AA6BC8">
                    <w:rPr>
                      <w:rFonts w:ascii="Arial" w:hAnsi="Arial" w:cs="Arial"/>
                      <w:i/>
                      <w:iCs/>
                      <w:color w:val="000000"/>
                      <w:sz w:val="16"/>
                      <w:szCs w:val="16"/>
                    </w:rPr>
                    <w:t>;</w:t>
                  </w:r>
                  <w:r>
                    <w:rPr>
                      <w:rFonts w:ascii="Arial" w:hAnsi="Arial" w:cs="Arial"/>
                      <w:i/>
                      <w:iCs/>
                      <w:color w:val="000000"/>
                      <w:sz w:val="16"/>
                      <w:szCs w:val="16"/>
                    </w:rPr>
                    <w:t>6)</w:t>
                  </w:r>
                </w:p>
              </w:tc>
            </w:tr>
            <w:tr w:rsidR="000D2465" w14:paraId="0E01BF18" w14:textId="77777777" w:rsidTr="000D2465">
              <w:trPr>
                <w:gridAfter w:val="1"/>
                <w:wAfter w:w="20" w:type="dxa"/>
                <w:trHeight w:val="315"/>
              </w:trPr>
              <w:tc>
                <w:tcPr>
                  <w:tcW w:w="2400" w:type="dxa"/>
                  <w:tcBorders>
                    <w:top w:val="nil"/>
                    <w:left w:val="single" w:sz="8" w:space="0" w:color="auto"/>
                    <w:bottom w:val="single" w:sz="8" w:space="0" w:color="auto"/>
                    <w:right w:val="single" w:sz="4" w:space="0" w:color="auto"/>
                  </w:tcBorders>
                  <w:vAlign w:val="center"/>
                  <w:hideMark/>
                </w:tcPr>
                <w:p w14:paraId="1079511B"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8" w:space="0" w:color="auto"/>
                    <w:right w:val="single" w:sz="4" w:space="0" w:color="auto"/>
                  </w:tcBorders>
                  <w:vAlign w:val="center"/>
                  <w:hideMark/>
                </w:tcPr>
                <w:p w14:paraId="19292D7C"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153 (48,4%)</w:t>
                  </w:r>
                </w:p>
              </w:tc>
              <w:tc>
                <w:tcPr>
                  <w:tcW w:w="1200" w:type="dxa"/>
                  <w:gridSpan w:val="2"/>
                  <w:tcBorders>
                    <w:top w:val="nil"/>
                    <w:left w:val="nil"/>
                    <w:bottom w:val="single" w:sz="8" w:space="0" w:color="auto"/>
                    <w:right w:val="single" w:sz="4" w:space="0" w:color="auto"/>
                  </w:tcBorders>
                  <w:vAlign w:val="center"/>
                  <w:hideMark/>
                </w:tcPr>
                <w:p w14:paraId="5BC2BC1F"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35 (21,3%)</w:t>
                  </w:r>
                </w:p>
              </w:tc>
              <w:tc>
                <w:tcPr>
                  <w:tcW w:w="1200" w:type="dxa"/>
                  <w:gridSpan w:val="2"/>
                  <w:tcBorders>
                    <w:top w:val="nil"/>
                    <w:left w:val="nil"/>
                    <w:bottom w:val="single" w:sz="8" w:space="0" w:color="auto"/>
                    <w:right w:val="single" w:sz="4" w:space="0" w:color="auto"/>
                  </w:tcBorders>
                  <w:vAlign w:val="center"/>
                  <w:hideMark/>
                </w:tcPr>
                <w:p w14:paraId="58B7D571"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27 (19</w:t>
                  </w:r>
                  <w:r w:rsidR="00AA6BC8">
                    <w:rPr>
                      <w:rFonts w:ascii="Arial" w:hAnsi="Arial" w:cs="Arial"/>
                      <w:i/>
                      <w:iCs/>
                      <w:color w:val="000000"/>
                      <w:sz w:val="16"/>
                      <w:szCs w:val="16"/>
                    </w:rPr>
                    <w:t>;</w:t>
                  </w:r>
                  <w:r>
                    <w:rPr>
                      <w:rFonts w:ascii="Arial" w:hAnsi="Arial" w:cs="Arial"/>
                      <w:i/>
                      <w:iCs/>
                      <w:color w:val="000000"/>
                      <w:sz w:val="16"/>
                      <w:szCs w:val="16"/>
                    </w:rPr>
                    <w:t>35)</w:t>
                  </w:r>
                </w:p>
              </w:tc>
              <w:tc>
                <w:tcPr>
                  <w:tcW w:w="1200" w:type="dxa"/>
                  <w:gridSpan w:val="2"/>
                  <w:tcBorders>
                    <w:top w:val="nil"/>
                    <w:left w:val="nil"/>
                    <w:bottom w:val="nil"/>
                    <w:right w:val="single" w:sz="4" w:space="0" w:color="auto"/>
                  </w:tcBorders>
                  <w:vAlign w:val="center"/>
                  <w:hideMark/>
                </w:tcPr>
                <w:p w14:paraId="1F842446"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8" w:space="0" w:color="auto"/>
                    <w:right w:val="single" w:sz="8" w:space="0" w:color="auto"/>
                  </w:tcBorders>
                  <w:vAlign w:val="center"/>
                  <w:hideMark/>
                </w:tcPr>
                <w:p w14:paraId="2B704B33"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4 (3</w:t>
                  </w:r>
                  <w:r w:rsidR="00AA6BC8">
                    <w:rPr>
                      <w:rFonts w:ascii="Arial" w:hAnsi="Arial" w:cs="Arial"/>
                      <w:i/>
                      <w:iCs/>
                      <w:color w:val="000000"/>
                      <w:sz w:val="16"/>
                      <w:szCs w:val="16"/>
                    </w:rPr>
                    <w:t>;</w:t>
                  </w:r>
                  <w:r>
                    <w:rPr>
                      <w:rFonts w:ascii="Arial" w:hAnsi="Arial" w:cs="Arial"/>
                      <w:i/>
                      <w:iCs/>
                      <w:color w:val="000000"/>
                      <w:sz w:val="16"/>
                      <w:szCs w:val="16"/>
                    </w:rPr>
                    <w:t>5)</w:t>
                  </w:r>
                </w:p>
              </w:tc>
            </w:tr>
            <w:tr w:rsidR="000D2465" w14:paraId="04ED415A" w14:textId="77777777" w:rsidTr="000D2465">
              <w:trPr>
                <w:gridAfter w:val="1"/>
                <w:wAfter w:w="20" w:type="dxa"/>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40CADD8"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 xml:space="preserve">Variable secundaria PP NRS &lt;2 </w:t>
                  </w:r>
                </w:p>
              </w:tc>
              <w:tc>
                <w:tcPr>
                  <w:tcW w:w="1400" w:type="dxa"/>
                  <w:tcBorders>
                    <w:top w:val="nil"/>
                    <w:left w:val="nil"/>
                    <w:bottom w:val="nil"/>
                    <w:right w:val="single" w:sz="8" w:space="0" w:color="auto"/>
                  </w:tcBorders>
                  <w:vAlign w:val="center"/>
                  <w:hideMark/>
                </w:tcPr>
                <w:p w14:paraId="2576252A"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407C931A"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062413EE"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311D4FE1"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4C8E29FA"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0D2465" w14:paraId="18023247" w14:textId="77777777" w:rsidTr="000D2465">
              <w:trPr>
                <w:gridAfter w:val="1"/>
                <w:wAfter w:w="20" w:type="dxa"/>
                <w:trHeight w:val="315"/>
              </w:trPr>
              <w:tc>
                <w:tcPr>
                  <w:tcW w:w="2400" w:type="dxa"/>
                  <w:vMerge/>
                  <w:tcBorders>
                    <w:top w:val="nil"/>
                    <w:left w:val="single" w:sz="8" w:space="0" w:color="auto"/>
                    <w:bottom w:val="single" w:sz="8" w:space="0" w:color="000000"/>
                    <w:right w:val="single" w:sz="8" w:space="0" w:color="auto"/>
                  </w:tcBorders>
                  <w:vAlign w:val="center"/>
                  <w:hideMark/>
                </w:tcPr>
                <w:p w14:paraId="1CF0D1E5" w14:textId="77777777" w:rsidR="000D2465" w:rsidRDefault="000D2465" w:rsidP="000D2465">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5DB0FA82"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(316)</w:t>
                  </w:r>
                </w:p>
              </w:tc>
              <w:tc>
                <w:tcPr>
                  <w:tcW w:w="1200" w:type="dxa"/>
                  <w:gridSpan w:val="2"/>
                  <w:tcBorders>
                    <w:top w:val="nil"/>
                    <w:left w:val="nil"/>
                    <w:bottom w:val="single" w:sz="8" w:space="0" w:color="auto"/>
                    <w:right w:val="single" w:sz="8" w:space="0" w:color="auto"/>
                  </w:tcBorders>
                  <w:vAlign w:val="center"/>
                  <w:hideMark/>
                </w:tcPr>
                <w:p w14:paraId="69872F88"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(164)</w:t>
                  </w:r>
                </w:p>
              </w:tc>
              <w:tc>
                <w:tcPr>
                  <w:tcW w:w="1200" w:type="dxa"/>
                  <w:gridSpan w:val="2"/>
                  <w:vMerge/>
                  <w:tcBorders>
                    <w:top w:val="nil"/>
                    <w:left w:val="single" w:sz="8" w:space="0" w:color="auto"/>
                    <w:bottom w:val="single" w:sz="8" w:space="0" w:color="000000"/>
                    <w:right w:val="single" w:sz="8" w:space="0" w:color="auto"/>
                  </w:tcBorders>
                  <w:vAlign w:val="center"/>
                  <w:hideMark/>
                </w:tcPr>
                <w:p w14:paraId="02375A3D" w14:textId="77777777" w:rsidR="000D2465" w:rsidRDefault="000D2465" w:rsidP="000D2465">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208D83DE" w14:textId="77777777" w:rsidR="000D2465" w:rsidRDefault="000D2465" w:rsidP="000D2465">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7008ADD8" w14:textId="77777777" w:rsidR="000D2465" w:rsidRDefault="000D2465" w:rsidP="000D2465">
                  <w:pPr>
                    <w:rPr>
                      <w:rFonts w:ascii="Arial" w:hAnsi="Arial" w:cs="Arial"/>
                      <w:b/>
                      <w:bCs/>
                      <w:i/>
                      <w:iCs/>
                      <w:color w:val="000000"/>
                      <w:sz w:val="16"/>
                      <w:szCs w:val="16"/>
                    </w:rPr>
                  </w:pPr>
                </w:p>
              </w:tc>
            </w:tr>
            <w:tr w:rsidR="000D2465" w14:paraId="41F8F035" w14:textId="77777777" w:rsidTr="000D2465">
              <w:trPr>
                <w:gridAfter w:val="1"/>
                <w:wAfter w:w="20" w:type="dxa"/>
                <w:trHeight w:val="315"/>
              </w:trPr>
              <w:tc>
                <w:tcPr>
                  <w:tcW w:w="2400" w:type="dxa"/>
                  <w:tcBorders>
                    <w:top w:val="nil"/>
                    <w:left w:val="single" w:sz="8" w:space="0" w:color="auto"/>
                    <w:bottom w:val="single" w:sz="4" w:space="0" w:color="auto"/>
                    <w:right w:val="single" w:sz="4" w:space="0" w:color="auto"/>
                  </w:tcBorders>
                  <w:vAlign w:val="center"/>
                  <w:hideMark/>
                </w:tcPr>
                <w:p w14:paraId="274F9C8B"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Semana 4</w:t>
                  </w:r>
                </w:p>
              </w:tc>
              <w:tc>
                <w:tcPr>
                  <w:tcW w:w="1400" w:type="dxa"/>
                  <w:tcBorders>
                    <w:top w:val="nil"/>
                    <w:left w:val="nil"/>
                    <w:bottom w:val="single" w:sz="4" w:space="0" w:color="auto"/>
                    <w:right w:val="single" w:sz="4" w:space="0" w:color="auto"/>
                  </w:tcBorders>
                  <w:vAlign w:val="center"/>
                  <w:hideMark/>
                </w:tcPr>
                <w:p w14:paraId="343556AA"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35 (11,1%)</w:t>
                  </w:r>
                </w:p>
              </w:tc>
              <w:tc>
                <w:tcPr>
                  <w:tcW w:w="1200" w:type="dxa"/>
                  <w:gridSpan w:val="2"/>
                  <w:tcBorders>
                    <w:top w:val="nil"/>
                    <w:left w:val="nil"/>
                    <w:bottom w:val="single" w:sz="4" w:space="0" w:color="auto"/>
                    <w:right w:val="single" w:sz="4" w:space="0" w:color="auto"/>
                  </w:tcBorders>
                  <w:vAlign w:val="center"/>
                  <w:hideMark/>
                </w:tcPr>
                <w:p w14:paraId="7D4A8D3F"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2 (1,2%)</w:t>
                  </w:r>
                </w:p>
              </w:tc>
              <w:tc>
                <w:tcPr>
                  <w:tcW w:w="1200" w:type="dxa"/>
                  <w:gridSpan w:val="2"/>
                  <w:tcBorders>
                    <w:top w:val="single" w:sz="4" w:space="0" w:color="auto"/>
                    <w:left w:val="nil"/>
                    <w:bottom w:val="single" w:sz="4" w:space="0" w:color="auto"/>
                    <w:right w:val="single" w:sz="4" w:space="0" w:color="auto"/>
                  </w:tcBorders>
                  <w:vAlign w:val="center"/>
                  <w:hideMark/>
                </w:tcPr>
                <w:p w14:paraId="3019B3C2"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10 (6</w:t>
                  </w:r>
                  <w:r w:rsidR="00AA6BC8">
                    <w:rPr>
                      <w:rFonts w:ascii="Arial" w:hAnsi="Arial" w:cs="Arial"/>
                      <w:i/>
                      <w:iCs/>
                      <w:color w:val="000000"/>
                      <w:sz w:val="16"/>
                      <w:szCs w:val="16"/>
                    </w:rPr>
                    <w:t>;</w:t>
                  </w:r>
                  <w:r>
                    <w:rPr>
                      <w:rFonts w:ascii="Arial" w:hAnsi="Arial" w:cs="Arial"/>
                      <w:i/>
                      <w:iCs/>
                      <w:color w:val="000000"/>
                      <w:sz w:val="16"/>
                      <w:szCs w:val="16"/>
                    </w:rPr>
                    <w:t>14)</w:t>
                  </w:r>
                </w:p>
              </w:tc>
              <w:tc>
                <w:tcPr>
                  <w:tcW w:w="1200" w:type="dxa"/>
                  <w:gridSpan w:val="2"/>
                  <w:tcBorders>
                    <w:top w:val="single" w:sz="4" w:space="0" w:color="auto"/>
                    <w:left w:val="nil"/>
                    <w:bottom w:val="single" w:sz="4" w:space="0" w:color="auto"/>
                    <w:right w:val="single" w:sz="4" w:space="0" w:color="auto"/>
                  </w:tcBorders>
                  <w:vAlign w:val="center"/>
                  <w:hideMark/>
                </w:tcPr>
                <w:p w14:paraId="6511D558"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single" w:sz="4" w:space="0" w:color="auto"/>
                    <w:right w:val="single" w:sz="4" w:space="0" w:color="auto"/>
                  </w:tcBorders>
                  <w:vAlign w:val="center"/>
                  <w:hideMark/>
                </w:tcPr>
                <w:p w14:paraId="78326FD3"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10 (7</w:t>
                  </w:r>
                  <w:r w:rsidR="00AA6BC8">
                    <w:rPr>
                      <w:rFonts w:ascii="Arial" w:hAnsi="Arial" w:cs="Arial"/>
                      <w:i/>
                      <w:iCs/>
                      <w:color w:val="000000"/>
                      <w:sz w:val="16"/>
                      <w:szCs w:val="16"/>
                    </w:rPr>
                    <w:t>;</w:t>
                  </w:r>
                  <w:r>
                    <w:rPr>
                      <w:rFonts w:ascii="Arial" w:hAnsi="Arial" w:cs="Arial"/>
                      <w:i/>
                      <w:iCs/>
                      <w:color w:val="000000"/>
                      <w:sz w:val="16"/>
                      <w:szCs w:val="16"/>
                    </w:rPr>
                    <w:t>17)</w:t>
                  </w:r>
                </w:p>
              </w:tc>
            </w:tr>
            <w:tr w:rsidR="000D2465" w14:paraId="1E3A7D38" w14:textId="77777777" w:rsidTr="000D2465">
              <w:trPr>
                <w:gridAfter w:val="1"/>
                <w:wAfter w:w="20" w:type="dxa"/>
                <w:trHeight w:val="315"/>
              </w:trPr>
              <w:tc>
                <w:tcPr>
                  <w:tcW w:w="2400" w:type="dxa"/>
                  <w:tcBorders>
                    <w:top w:val="nil"/>
                    <w:left w:val="single" w:sz="8" w:space="0" w:color="auto"/>
                    <w:bottom w:val="single" w:sz="8" w:space="0" w:color="auto"/>
                    <w:right w:val="single" w:sz="4" w:space="0" w:color="auto"/>
                  </w:tcBorders>
                  <w:vAlign w:val="center"/>
                  <w:hideMark/>
                </w:tcPr>
                <w:p w14:paraId="0623F328"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8" w:space="0" w:color="auto"/>
                    <w:right w:val="single" w:sz="4" w:space="0" w:color="auto"/>
                  </w:tcBorders>
                  <w:vAlign w:val="center"/>
                  <w:hideMark/>
                </w:tcPr>
                <w:p w14:paraId="2C33E71A"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85 (26,9%)</w:t>
                  </w:r>
                </w:p>
              </w:tc>
              <w:tc>
                <w:tcPr>
                  <w:tcW w:w="1200" w:type="dxa"/>
                  <w:gridSpan w:val="2"/>
                  <w:tcBorders>
                    <w:top w:val="nil"/>
                    <w:left w:val="nil"/>
                    <w:bottom w:val="single" w:sz="8" w:space="0" w:color="auto"/>
                    <w:right w:val="single" w:sz="4" w:space="0" w:color="auto"/>
                  </w:tcBorders>
                  <w:vAlign w:val="center"/>
                  <w:hideMark/>
                </w:tcPr>
                <w:p w14:paraId="5E35924E"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14 (8,5%)</w:t>
                  </w:r>
                </w:p>
              </w:tc>
              <w:tc>
                <w:tcPr>
                  <w:tcW w:w="1200" w:type="dxa"/>
                  <w:gridSpan w:val="2"/>
                  <w:tcBorders>
                    <w:top w:val="nil"/>
                    <w:left w:val="nil"/>
                    <w:bottom w:val="single" w:sz="4" w:space="0" w:color="auto"/>
                    <w:right w:val="single" w:sz="4" w:space="0" w:color="auto"/>
                  </w:tcBorders>
                  <w:vAlign w:val="center"/>
                  <w:hideMark/>
                </w:tcPr>
                <w:p w14:paraId="483AAD93"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18 (12</w:t>
                  </w:r>
                  <w:r w:rsidR="00AA6BC8">
                    <w:rPr>
                      <w:rFonts w:ascii="Arial" w:hAnsi="Arial" w:cs="Arial"/>
                      <w:i/>
                      <w:iCs/>
                      <w:color w:val="000000"/>
                      <w:sz w:val="16"/>
                      <w:szCs w:val="16"/>
                    </w:rPr>
                    <w:t>;</w:t>
                  </w:r>
                  <w:r>
                    <w:rPr>
                      <w:rFonts w:ascii="Arial" w:hAnsi="Arial" w:cs="Arial"/>
                      <w:i/>
                      <w:iCs/>
                      <w:color w:val="000000"/>
                      <w:sz w:val="16"/>
                      <w:szCs w:val="16"/>
                    </w:rPr>
                    <w:t>25)</w:t>
                  </w:r>
                </w:p>
              </w:tc>
              <w:tc>
                <w:tcPr>
                  <w:tcW w:w="1200" w:type="dxa"/>
                  <w:gridSpan w:val="2"/>
                  <w:tcBorders>
                    <w:top w:val="nil"/>
                    <w:left w:val="nil"/>
                    <w:bottom w:val="single" w:sz="4" w:space="0" w:color="auto"/>
                    <w:right w:val="single" w:sz="4" w:space="0" w:color="auto"/>
                  </w:tcBorders>
                  <w:vAlign w:val="center"/>
                  <w:hideMark/>
                </w:tcPr>
                <w:p w14:paraId="0E21C82E"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nil"/>
                    <w:left w:val="nil"/>
                    <w:bottom w:val="nil"/>
                    <w:right w:val="single" w:sz="4" w:space="0" w:color="auto"/>
                  </w:tcBorders>
                  <w:vAlign w:val="center"/>
                  <w:hideMark/>
                </w:tcPr>
                <w:p w14:paraId="41095624"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5 (4</w:t>
                  </w:r>
                  <w:r w:rsidR="00AA6BC8">
                    <w:rPr>
                      <w:rFonts w:ascii="Arial" w:hAnsi="Arial" w:cs="Arial"/>
                      <w:i/>
                      <w:iCs/>
                      <w:color w:val="000000"/>
                      <w:sz w:val="16"/>
                      <w:szCs w:val="16"/>
                    </w:rPr>
                    <w:t>;</w:t>
                  </w:r>
                  <w:r>
                    <w:rPr>
                      <w:rFonts w:ascii="Arial" w:hAnsi="Arial" w:cs="Arial"/>
                      <w:i/>
                      <w:iCs/>
                      <w:color w:val="000000"/>
                      <w:sz w:val="16"/>
                      <w:szCs w:val="16"/>
                    </w:rPr>
                    <w:t>8)</w:t>
                  </w:r>
                </w:p>
              </w:tc>
            </w:tr>
            <w:tr w:rsidR="000D2465" w14:paraId="2607A561" w14:textId="77777777" w:rsidTr="000D2465">
              <w:trPr>
                <w:gridAfter w:val="1"/>
                <w:wAfter w:w="20" w:type="dxa"/>
                <w:trHeight w:val="42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4E29487"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Variable secundaria: mejora SD NRS  ≥4 en la semana 16</w:t>
                  </w:r>
                </w:p>
              </w:tc>
              <w:tc>
                <w:tcPr>
                  <w:tcW w:w="1400" w:type="dxa"/>
                  <w:tcBorders>
                    <w:top w:val="nil"/>
                    <w:left w:val="nil"/>
                    <w:bottom w:val="nil"/>
                    <w:right w:val="single" w:sz="8" w:space="0" w:color="auto"/>
                  </w:tcBorders>
                  <w:vAlign w:val="center"/>
                  <w:hideMark/>
                </w:tcPr>
                <w:p w14:paraId="4368C7F3"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25CB8501"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0BBA3508"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01913A31"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3B722BD0"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0D2465" w14:paraId="54485C3F" w14:textId="77777777" w:rsidTr="000D2465">
              <w:trPr>
                <w:gridAfter w:val="1"/>
                <w:wAfter w:w="20" w:type="dxa"/>
                <w:trHeight w:val="315"/>
              </w:trPr>
              <w:tc>
                <w:tcPr>
                  <w:tcW w:w="2400" w:type="dxa"/>
                  <w:vMerge/>
                  <w:tcBorders>
                    <w:top w:val="nil"/>
                    <w:left w:val="single" w:sz="8" w:space="0" w:color="auto"/>
                    <w:bottom w:val="single" w:sz="8" w:space="0" w:color="000000"/>
                    <w:right w:val="single" w:sz="8" w:space="0" w:color="auto"/>
                  </w:tcBorders>
                  <w:vAlign w:val="center"/>
                  <w:hideMark/>
                </w:tcPr>
                <w:p w14:paraId="0E603EE0" w14:textId="77777777" w:rsidR="000D2465" w:rsidRDefault="000D2465" w:rsidP="000D2465">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1D58D98A"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(316)</w:t>
                  </w:r>
                </w:p>
              </w:tc>
              <w:tc>
                <w:tcPr>
                  <w:tcW w:w="1200" w:type="dxa"/>
                  <w:gridSpan w:val="2"/>
                  <w:tcBorders>
                    <w:top w:val="nil"/>
                    <w:left w:val="nil"/>
                    <w:bottom w:val="single" w:sz="8" w:space="0" w:color="auto"/>
                    <w:right w:val="single" w:sz="8" w:space="0" w:color="auto"/>
                  </w:tcBorders>
                  <w:vAlign w:val="center"/>
                  <w:hideMark/>
                </w:tcPr>
                <w:p w14:paraId="749E4584"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(164)</w:t>
                  </w: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6DDD69B" w14:textId="77777777" w:rsidR="000D2465" w:rsidRDefault="000D2465" w:rsidP="000D2465">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377EE9AD" w14:textId="77777777" w:rsidR="000D2465" w:rsidRDefault="000D2465" w:rsidP="000D2465">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1AD764F2" w14:textId="77777777" w:rsidR="000D2465" w:rsidRDefault="000D2465" w:rsidP="000D2465">
                  <w:pPr>
                    <w:rPr>
                      <w:rFonts w:ascii="Arial" w:hAnsi="Arial" w:cs="Arial"/>
                      <w:b/>
                      <w:bCs/>
                      <w:i/>
                      <w:iCs/>
                      <w:color w:val="000000"/>
                      <w:sz w:val="16"/>
                      <w:szCs w:val="16"/>
                    </w:rPr>
                  </w:pPr>
                </w:p>
              </w:tc>
            </w:tr>
            <w:tr w:rsidR="000D2465" w14:paraId="0D9BDF7B" w14:textId="77777777" w:rsidTr="000D2465">
              <w:trPr>
                <w:gridAfter w:val="1"/>
                <w:wAfter w:w="20" w:type="dxa"/>
                <w:trHeight w:val="315"/>
              </w:trPr>
              <w:tc>
                <w:tcPr>
                  <w:tcW w:w="2400" w:type="dxa"/>
                  <w:tcBorders>
                    <w:top w:val="nil"/>
                    <w:left w:val="single" w:sz="4" w:space="0" w:color="auto"/>
                    <w:bottom w:val="single" w:sz="4" w:space="0" w:color="auto"/>
                    <w:right w:val="single" w:sz="4" w:space="0" w:color="auto"/>
                  </w:tcBorders>
                  <w:vAlign w:val="center"/>
                  <w:hideMark/>
                </w:tcPr>
                <w:p w14:paraId="7707CFE6"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4" w:space="0" w:color="auto"/>
                    <w:right w:val="single" w:sz="4" w:space="0" w:color="auto"/>
                  </w:tcBorders>
                  <w:vAlign w:val="center"/>
                  <w:hideMark/>
                </w:tcPr>
                <w:p w14:paraId="01BFA3CB"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135 (42,7%)</w:t>
                  </w:r>
                </w:p>
              </w:tc>
              <w:tc>
                <w:tcPr>
                  <w:tcW w:w="1200" w:type="dxa"/>
                  <w:gridSpan w:val="2"/>
                  <w:tcBorders>
                    <w:top w:val="nil"/>
                    <w:left w:val="nil"/>
                    <w:bottom w:val="single" w:sz="4" w:space="0" w:color="auto"/>
                    <w:right w:val="single" w:sz="4" w:space="0" w:color="auto"/>
                  </w:tcBorders>
                  <w:vAlign w:val="center"/>
                  <w:hideMark/>
                </w:tcPr>
                <w:p w14:paraId="2FFB5254"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34 (20,7%)</w:t>
                  </w:r>
                </w:p>
              </w:tc>
              <w:tc>
                <w:tcPr>
                  <w:tcW w:w="1200" w:type="dxa"/>
                  <w:gridSpan w:val="2"/>
                  <w:tcBorders>
                    <w:top w:val="single" w:sz="4" w:space="0" w:color="auto"/>
                    <w:left w:val="nil"/>
                    <w:bottom w:val="single" w:sz="4" w:space="0" w:color="auto"/>
                    <w:right w:val="single" w:sz="4" w:space="0" w:color="auto"/>
                  </w:tcBorders>
                  <w:vAlign w:val="center"/>
                  <w:hideMark/>
                </w:tcPr>
                <w:p w14:paraId="5792211B"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22 (14</w:t>
                  </w:r>
                  <w:r w:rsidR="00AA6BC8">
                    <w:rPr>
                      <w:rFonts w:ascii="Arial" w:hAnsi="Arial" w:cs="Arial"/>
                      <w:i/>
                      <w:iCs/>
                      <w:color w:val="000000"/>
                      <w:sz w:val="16"/>
                      <w:szCs w:val="16"/>
                    </w:rPr>
                    <w:t>;</w:t>
                  </w:r>
                  <w:r>
                    <w:rPr>
                      <w:rFonts w:ascii="Arial" w:hAnsi="Arial" w:cs="Arial"/>
                      <w:i/>
                      <w:iCs/>
                      <w:color w:val="000000"/>
                      <w:sz w:val="16"/>
                      <w:szCs w:val="16"/>
                    </w:rPr>
                    <w:t>30)</w:t>
                  </w:r>
                </w:p>
              </w:tc>
              <w:tc>
                <w:tcPr>
                  <w:tcW w:w="1200" w:type="dxa"/>
                  <w:gridSpan w:val="2"/>
                  <w:tcBorders>
                    <w:top w:val="single" w:sz="4" w:space="0" w:color="auto"/>
                    <w:left w:val="nil"/>
                    <w:bottom w:val="single" w:sz="4" w:space="0" w:color="auto"/>
                    <w:right w:val="single" w:sz="4" w:space="0" w:color="auto"/>
                  </w:tcBorders>
                  <w:vAlign w:val="center"/>
                  <w:hideMark/>
                </w:tcPr>
                <w:p w14:paraId="1C0CE952"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single" w:sz="4" w:space="0" w:color="auto"/>
                    <w:left w:val="nil"/>
                    <w:bottom w:val="single" w:sz="8" w:space="0" w:color="auto"/>
                    <w:right w:val="single" w:sz="8" w:space="0" w:color="auto"/>
                  </w:tcBorders>
                  <w:vAlign w:val="center"/>
                  <w:hideMark/>
                </w:tcPr>
                <w:p w14:paraId="365FA078"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5 (3</w:t>
                  </w:r>
                  <w:r w:rsidR="00AA6BC8">
                    <w:rPr>
                      <w:rFonts w:ascii="Arial" w:hAnsi="Arial" w:cs="Arial"/>
                      <w:i/>
                      <w:iCs/>
                      <w:color w:val="000000"/>
                      <w:sz w:val="16"/>
                      <w:szCs w:val="16"/>
                    </w:rPr>
                    <w:t>;</w:t>
                  </w:r>
                  <w:r>
                    <w:rPr>
                      <w:rFonts w:ascii="Arial" w:hAnsi="Arial" w:cs="Arial"/>
                      <w:i/>
                      <w:iCs/>
                      <w:color w:val="000000"/>
                      <w:sz w:val="16"/>
                      <w:szCs w:val="16"/>
                    </w:rPr>
                    <w:t>7)</w:t>
                  </w:r>
                </w:p>
              </w:tc>
            </w:tr>
            <w:tr w:rsidR="000D2465" w14:paraId="2E07A60B" w14:textId="77777777" w:rsidTr="000D2465">
              <w:trPr>
                <w:gridAfter w:val="1"/>
                <w:wAfter w:w="20" w:type="dxa"/>
                <w:trHeight w:val="420"/>
              </w:trPr>
              <w:tc>
                <w:tcPr>
                  <w:tcW w:w="24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FD93AE4"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Variable secundaria EASI 75 y PP NRS ≥4</w:t>
                  </w:r>
                </w:p>
              </w:tc>
              <w:tc>
                <w:tcPr>
                  <w:tcW w:w="1400" w:type="dxa"/>
                  <w:tcBorders>
                    <w:top w:val="nil"/>
                    <w:left w:val="nil"/>
                    <w:bottom w:val="nil"/>
                    <w:right w:val="single" w:sz="8" w:space="0" w:color="auto"/>
                  </w:tcBorders>
                  <w:vAlign w:val="center"/>
                  <w:hideMark/>
                </w:tcPr>
                <w:p w14:paraId="3BB50210"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2A1CF35C"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33B0D834"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22631D2E"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4F6342D4"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0D2465" w14:paraId="1AA30635" w14:textId="77777777" w:rsidTr="000D2465">
              <w:trPr>
                <w:gridAfter w:val="1"/>
                <w:wAfter w:w="20" w:type="dxa"/>
                <w:trHeight w:val="31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7679C477" w14:textId="77777777" w:rsidR="000D2465" w:rsidRDefault="000D2465" w:rsidP="000D2465">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38730C95"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(316)</w:t>
                  </w:r>
                </w:p>
              </w:tc>
              <w:tc>
                <w:tcPr>
                  <w:tcW w:w="1200" w:type="dxa"/>
                  <w:gridSpan w:val="2"/>
                  <w:tcBorders>
                    <w:top w:val="nil"/>
                    <w:left w:val="nil"/>
                    <w:bottom w:val="single" w:sz="8" w:space="0" w:color="auto"/>
                    <w:right w:val="single" w:sz="8" w:space="0" w:color="auto"/>
                  </w:tcBorders>
                  <w:vAlign w:val="center"/>
                  <w:hideMark/>
                </w:tcPr>
                <w:p w14:paraId="30B673A4"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(164)</w:t>
                  </w: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627F274E" w14:textId="77777777" w:rsidR="000D2465" w:rsidRDefault="000D2465" w:rsidP="000D2465">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4313B52D" w14:textId="77777777" w:rsidR="000D2465" w:rsidRDefault="000D2465" w:rsidP="000D2465">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661A5104" w14:textId="77777777" w:rsidR="000D2465" w:rsidRDefault="000D2465" w:rsidP="000D2465">
                  <w:pPr>
                    <w:rPr>
                      <w:rFonts w:ascii="Arial" w:hAnsi="Arial" w:cs="Arial"/>
                      <w:b/>
                      <w:bCs/>
                      <w:i/>
                      <w:iCs/>
                      <w:color w:val="000000"/>
                      <w:sz w:val="16"/>
                      <w:szCs w:val="16"/>
                    </w:rPr>
                  </w:pPr>
                </w:p>
              </w:tc>
            </w:tr>
            <w:tr w:rsidR="000D2465" w14:paraId="5A58273B" w14:textId="77777777" w:rsidTr="000D2465">
              <w:trPr>
                <w:gridAfter w:val="1"/>
                <w:wAfter w:w="20" w:type="dxa"/>
                <w:trHeight w:val="315"/>
              </w:trPr>
              <w:tc>
                <w:tcPr>
                  <w:tcW w:w="2400" w:type="dxa"/>
                  <w:tcBorders>
                    <w:top w:val="nil"/>
                    <w:left w:val="single" w:sz="4" w:space="0" w:color="auto"/>
                    <w:bottom w:val="single" w:sz="4" w:space="0" w:color="auto"/>
                    <w:right w:val="single" w:sz="4" w:space="0" w:color="auto"/>
                  </w:tcBorders>
                  <w:vAlign w:val="center"/>
                  <w:hideMark/>
                </w:tcPr>
                <w:p w14:paraId="7B31ED7A"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4" w:space="0" w:color="auto"/>
                    <w:right w:val="single" w:sz="4" w:space="0" w:color="auto"/>
                  </w:tcBorders>
                  <w:vAlign w:val="center"/>
                  <w:hideMark/>
                </w:tcPr>
                <w:p w14:paraId="45705370"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85 (26,9%)</w:t>
                  </w:r>
                </w:p>
              </w:tc>
              <w:tc>
                <w:tcPr>
                  <w:tcW w:w="1200" w:type="dxa"/>
                  <w:gridSpan w:val="2"/>
                  <w:tcBorders>
                    <w:top w:val="nil"/>
                    <w:left w:val="nil"/>
                    <w:bottom w:val="single" w:sz="4" w:space="0" w:color="auto"/>
                    <w:right w:val="single" w:sz="4" w:space="0" w:color="auto"/>
                  </w:tcBorders>
                  <w:vAlign w:val="center"/>
                  <w:hideMark/>
                </w:tcPr>
                <w:p w14:paraId="013DBBBE"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17 (10,4%)</w:t>
                  </w:r>
                </w:p>
              </w:tc>
              <w:tc>
                <w:tcPr>
                  <w:tcW w:w="1200" w:type="dxa"/>
                  <w:gridSpan w:val="2"/>
                  <w:tcBorders>
                    <w:top w:val="single" w:sz="4" w:space="0" w:color="auto"/>
                    <w:left w:val="nil"/>
                    <w:bottom w:val="single" w:sz="4" w:space="0" w:color="auto"/>
                    <w:right w:val="single" w:sz="4" w:space="0" w:color="auto"/>
                  </w:tcBorders>
                  <w:vAlign w:val="center"/>
                  <w:hideMark/>
                </w:tcPr>
                <w:p w14:paraId="38582983"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17 (10</w:t>
                  </w:r>
                  <w:r w:rsidR="00AA6BC8">
                    <w:rPr>
                      <w:rFonts w:ascii="Arial" w:hAnsi="Arial" w:cs="Arial"/>
                      <w:i/>
                      <w:iCs/>
                      <w:color w:val="000000"/>
                      <w:sz w:val="16"/>
                      <w:szCs w:val="16"/>
                    </w:rPr>
                    <w:t>;</w:t>
                  </w:r>
                  <w:r>
                    <w:rPr>
                      <w:rFonts w:ascii="Arial" w:hAnsi="Arial" w:cs="Arial"/>
                      <w:i/>
                      <w:iCs/>
                      <w:color w:val="000000"/>
                      <w:sz w:val="16"/>
                      <w:szCs w:val="16"/>
                    </w:rPr>
                    <w:t>23)</w:t>
                  </w:r>
                </w:p>
              </w:tc>
              <w:tc>
                <w:tcPr>
                  <w:tcW w:w="1200" w:type="dxa"/>
                  <w:gridSpan w:val="2"/>
                  <w:tcBorders>
                    <w:top w:val="single" w:sz="4" w:space="0" w:color="auto"/>
                    <w:left w:val="nil"/>
                    <w:bottom w:val="single" w:sz="4" w:space="0" w:color="auto"/>
                    <w:right w:val="single" w:sz="4" w:space="0" w:color="auto"/>
                  </w:tcBorders>
                  <w:vAlign w:val="center"/>
                  <w:hideMark/>
                </w:tcPr>
                <w:p w14:paraId="293D56FE"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&lt;0,0001</w:t>
                  </w:r>
                </w:p>
              </w:tc>
              <w:tc>
                <w:tcPr>
                  <w:tcW w:w="1200" w:type="dxa"/>
                  <w:gridSpan w:val="2"/>
                  <w:tcBorders>
                    <w:top w:val="single" w:sz="4" w:space="0" w:color="auto"/>
                    <w:left w:val="nil"/>
                    <w:bottom w:val="single" w:sz="8" w:space="0" w:color="auto"/>
                    <w:right w:val="single" w:sz="8" w:space="0" w:color="auto"/>
                  </w:tcBorders>
                  <w:vAlign w:val="center"/>
                  <w:hideMark/>
                </w:tcPr>
                <w:p w14:paraId="313F0965"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6 (4</w:t>
                  </w:r>
                  <w:r w:rsidR="00AA6BC8">
                    <w:rPr>
                      <w:rFonts w:ascii="Arial" w:hAnsi="Arial" w:cs="Arial"/>
                      <w:i/>
                      <w:iCs/>
                      <w:color w:val="000000"/>
                      <w:sz w:val="16"/>
                      <w:szCs w:val="16"/>
                    </w:rPr>
                    <w:t>;</w:t>
                  </w:r>
                  <w:r>
                    <w:rPr>
                      <w:rFonts w:ascii="Arial" w:hAnsi="Arial" w:cs="Arial"/>
                      <w:i/>
                      <w:iCs/>
                      <w:color w:val="000000"/>
                      <w:sz w:val="16"/>
                      <w:szCs w:val="16"/>
                    </w:rPr>
                    <w:t>10)</w:t>
                  </w:r>
                </w:p>
              </w:tc>
            </w:tr>
            <w:tr w:rsidR="000D2465" w14:paraId="156CB2CF" w14:textId="77777777" w:rsidTr="000D2465">
              <w:trPr>
                <w:gridAfter w:val="1"/>
                <w:wAfter w:w="20" w:type="dxa"/>
                <w:trHeight w:val="420"/>
              </w:trPr>
              <w:tc>
                <w:tcPr>
                  <w:tcW w:w="240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2E5DD7A"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Variable secundaria mejoría en IGA  y PP NRS ≥4</w:t>
                  </w:r>
                </w:p>
              </w:tc>
              <w:tc>
                <w:tcPr>
                  <w:tcW w:w="1400" w:type="dxa"/>
                  <w:tcBorders>
                    <w:top w:val="nil"/>
                    <w:left w:val="nil"/>
                    <w:bottom w:val="nil"/>
                    <w:right w:val="single" w:sz="8" w:space="0" w:color="auto"/>
                  </w:tcBorders>
                  <w:vAlign w:val="center"/>
                  <w:hideMark/>
                </w:tcPr>
                <w:p w14:paraId="476E3908"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Nemolizumab 30 mg Q4W</w:t>
                  </w:r>
                </w:p>
              </w:tc>
              <w:tc>
                <w:tcPr>
                  <w:tcW w:w="1200" w:type="dxa"/>
                  <w:gridSpan w:val="2"/>
                  <w:tcBorders>
                    <w:top w:val="nil"/>
                    <w:left w:val="nil"/>
                    <w:bottom w:val="nil"/>
                    <w:right w:val="single" w:sz="8" w:space="0" w:color="auto"/>
                  </w:tcBorders>
                  <w:vAlign w:val="center"/>
                  <w:hideMark/>
                </w:tcPr>
                <w:p w14:paraId="6A8ECC16"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 xml:space="preserve">Placebo </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03385338"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22DD3C0D"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200" w:type="dxa"/>
                  <w:gridSpan w:val="2"/>
                  <w:vMerge w:val="restart"/>
                  <w:tcBorders>
                    <w:top w:val="nil"/>
                    <w:left w:val="single" w:sz="8" w:space="0" w:color="auto"/>
                    <w:bottom w:val="single" w:sz="8" w:space="0" w:color="000000"/>
                    <w:right w:val="single" w:sz="8" w:space="0" w:color="auto"/>
                  </w:tcBorders>
                  <w:vAlign w:val="center"/>
                  <w:hideMark/>
                </w:tcPr>
                <w:p w14:paraId="1C5574C0"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NNT (IC 95%)</w:t>
                  </w:r>
                </w:p>
              </w:tc>
            </w:tr>
            <w:tr w:rsidR="000D2465" w14:paraId="790642C2" w14:textId="77777777" w:rsidTr="000D2465">
              <w:trPr>
                <w:gridAfter w:val="1"/>
                <w:wAfter w:w="20" w:type="dxa"/>
                <w:trHeight w:val="315"/>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06146680" w14:textId="77777777" w:rsidR="000D2465" w:rsidRDefault="000D2465" w:rsidP="000D2465">
                  <w:pPr>
                    <w:rPr>
                      <w:rFonts w:ascii="Arial" w:hAnsi="Arial" w:cs="Arial"/>
                      <w:b/>
                      <w:bCs/>
                      <w:i/>
                      <w:iCs/>
                      <w:color w:val="000000"/>
                      <w:sz w:val="16"/>
                      <w:szCs w:val="16"/>
                    </w:rPr>
                  </w:pPr>
                </w:p>
              </w:tc>
              <w:tc>
                <w:tcPr>
                  <w:tcW w:w="1400" w:type="dxa"/>
                  <w:tcBorders>
                    <w:top w:val="nil"/>
                    <w:left w:val="nil"/>
                    <w:bottom w:val="single" w:sz="8" w:space="0" w:color="auto"/>
                    <w:right w:val="single" w:sz="8" w:space="0" w:color="auto"/>
                  </w:tcBorders>
                  <w:vAlign w:val="center"/>
                  <w:hideMark/>
                </w:tcPr>
                <w:p w14:paraId="57ACF1EC"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(316)</w:t>
                  </w:r>
                </w:p>
              </w:tc>
              <w:tc>
                <w:tcPr>
                  <w:tcW w:w="1200" w:type="dxa"/>
                  <w:gridSpan w:val="2"/>
                  <w:tcBorders>
                    <w:top w:val="nil"/>
                    <w:left w:val="nil"/>
                    <w:bottom w:val="single" w:sz="8" w:space="0" w:color="auto"/>
                    <w:right w:val="single" w:sz="8" w:space="0" w:color="auto"/>
                  </w:tcBorders>
                  <w:vAlign w:val="center"/>
                  <w:hideMark/>
                </w:tcPr>
                <w:p w14:paraId="20C9D822" w14:textId="77777777" w:rsidR="000D2465" w:rsidRDefault="000D2465" w:rsidP="000D2465">
                  <w:pPr>
                    <w:jc w:val="center"/>
                    <w:rPr>
                      <w:rFonts w:ascii="Arial" w:hAnsi="Arial" w:cs="Arial"/>
                      <w:b/>
                      <w:bCs/>
                      <w:i/>
                      <w:iCs/>
                      <w:color w:val="000000"/>
                      <w:sz w:val="16"/>
                      <w:szCs w:val="16"/>
                    </w:rPr>
                  </w:pPr>
                  <w:r>
                    <w:rPr>
                      <w:rFonts w:ascii="Arial" w:hAnsi="Arial" w:cs="Arial"/>
                      <w:b/>
                      <w:bCs/>
                      <w:i/>
                      <w:iCs/>
                      <w:color w:val="000000"/>
                      <w:sz w:val="16"/>
                      <w:szCs w:val="16"/>
                    </w:rPr>
                    <w:t>N (164)</w:t>
                  </w: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7A754B51" w14:textId="77777777" w:rsidR="000D2465" w:rsidRDefault="000D2465" w:rsidP="000D2465">
                  <w:pPr>
                    <w:rPr>
                      <w:rFonts w:ascii="Arial" w:hAnsi="Arial" w:cs="Arial"/>
                      <w:b/>
                      <w:bCs/>
                      <w:i/>
                      <w:iCs/>
                      <w:color w:val="000000"/>
                      <w:sz w:val="16"/>
                      <w:szCs w:val="16"/>
                    </w:rPr>
                  </w:pPr>
                </w:p>
              </w:tc>
              <w:tc>
                <w:tcPr>
                  <w:tcW w:w="1200" w:type="dxa"/>
                  <w:gridSpan w:val="2"/>
                  <w:vMerge/>
                  <w:tcBorders>
                    <w:top w:val="single" w:sz="8" w:space="0" w:color="auto"/>
                    <w:left w:val="single" w:sz="8" w:space="0" w:color="auto"/>
                    <w:bottom w:val="single" w:sz="8" w:space="0" w:color="000000"/>
                    <w:right w:val="single" w:sz="8" w:space="0" w:color="auto"/>
                  </w:tcBorders>
                  <w:vAlign w:val="center"/>
                  <w:hideMark/>
                </w:tcPr>
                <w:p w14:paraId="00D760C2" w14:textId="77777777" w:rsidR="000D2465" w:rsidRDefault="000D2465" w:rsidP="000D2465">
                  <w:pPr>
                    <w:rPr>
                      <w:rFonts w:ascii="Arial" w:hAnsi="Arial" w:cs="Arial"/>
                      <w:b/>
                      <w:bCs/>
                      <w:i/>
                      <w:i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hideMark/>
                </w:tcPr>
                <w:p w14:paraId="61A7AF8B" w14:textId="77777777" w:rsidR="000D2465" w:rsidRDefault="000D2465" w:rsidP="000D2465">
                  <w:pPr>
                    <w:rPr>
                      <w:rFonts w:ascii="Arial" w:hAnsi="Arial" w:cs="Arial"/>
                      <w:b/>
                      <w:bCs/>
                      <w:i/>
                      <w:iCs/>
                      <w:color w:val="000000"/>
                      <w:sz w:val="16"/>
                      <w:szCs w:val="16"/>
                    </w:rPr>
                  </w:pPr>
                </w:p>
              </w:tc>
            </w:tr>
            <w:tr w:rsidR="000D2465" w14:paraId="4CF4F3CC" w14:textId="77777777" w:rsidTr="000D2465">
              <w:trPr>
                <w:gridAfter w:val="1"/>
                <w:wAfter w:w="20" w:type="dxa"/>
                <w:trHeight w:val="315"/>
              </w:trPr>
              <w:tc>
                <w:tcPr>
                  <w:tcW w:w="2400" w:type="dxa"/>
                  <w:tcBorders>
                    <w:top w:val="nil"/>
                    <w:left w:val="single" w:sz="4" w:space="0" w:color="auto"/>
                    <w:bottom w:val="single" w:sz="4" w:space="0" w:color="auto"/>
                    <w:right w:val="single" w:sz="4" w:space="0" w:color="auto"/>
                  </w:tcBorders>
                  <w:vAlign w:val="center"/>
                  <w:hideMark/>
                </w:tcPr>
                <w:p w14:paraId="003BFAED"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Semana 16</w:t>
                  </w:r>
                </w:p>
              </w:tc>
              <w:tc>
                <w:tcPr>
                  <w:tcW w:w="1400" w:type="dxa"/>
                  <w:tcBorders>
                    <w:top w:val="nil"/>
                    <w:left w:val="nil"/>
                    <w:bottom w:val="single" w:sz="4" w:space="0" w:color="auto"/>
                    <w:right w:val="single" w:sz="4" w:space="0" w:color="auto"/>
                  </w:tcBorders>
                  <w:vAlign w:val="center"/>
                  <w:hideMark/>
                </w:tcPr>
                <w:p w14:paraId="1815FFB0"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75 (23,7%)</w:t>
                  </w:r>
                </w:p>
              </w:tc>
              <w:tc>
                <w:tcPr>
                  <w:tcW w:w="1200" w:type="dxa"/>
                  <w:gridSpan w:val="2"/>
                  <w:tcBorders>
                    <w:top w:val="nil"/>
                    <w:left w:val="nil"/>
                    <w:bottom w:val="single" w:sz="4" w:space="0" w:color="auto"/>
                    <w:right w:val="single" w:sz="4" w:space="0" w:color="auto"/>
                  </w:tcBorders>
                  <w:vAlign w:val="center"/>
                  <w:hideMark/>
                </w:tcPr>
                <w:p w14:paraId="1EFEAF26"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17 (10,4%)</w:t>
                  </w:r>
                </w:p>
              </w:tc>
              <w:tc>
                <w:tcPr>
                  <w:tcW w:w="1200" w:type="dxa"/>
                  <w:gridSpan w:val="2"/>
                  <w:tcBorders>
                    <w:top w:val="single" w:sz="4" w:space="0" w:color="auto"/>
                    <w:left w:val="nil"/>
                    <w:bottom w:val="single" w:sz="4" w:space="0" w:color="auto"/>
                    <w:right w:val="single" w:sz="4" w:space="0" w:color="auto"/>
                  </w:tcBorders>
                  <w:vAlign w:val="center"/>
                  <w:hideMark/>
                </w:tcPr>
                <w:p w14:paraId="2B920D18"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13 (7</w:t>
                  </w:r>
                  <w:r w:rsidR="00AA6BC8">
                    <w:rPr>
                      <w:rFonts w:ascii="Arial" w:hAnsi="Arial" w:cs="Arial"/>
                      <w:i/>
                      <w:iCs/>
                      <w:color w:val="000000"/>
                      <w:sz w:val="16"/>
                      <w:szCs w:val="16"/>
                    </w:rPr>
                    <w:t>;</w:t>
                  </w:r>
                  <w:r>
                    <w:rPr>
                      <w:rFonts w:ascii="Arial" w:hAnsi="Arial" w:cs="Arial"/>
                      <w:i/>
                      <w:iCs/>
                      <w:color w:val="000000"/>
                      <w:sz w:val="16"/>
                      <w:szCs w:val="16"/>
                    </w:rPr>
                    <w:t>20)</w:t>
                  </w:r>
                </w:p>
              </w:tc>
              <w:tc>
                <w:tcPr>
                  <w:tcW w:w="1200" w:type="dxa"/>
                  <w:gridSpan w:val="2"/>
                  <w:tcBorders>
                    <w:top w:val="single" w:sz="4" w:space="0" w:color="auto"/>
                    <w:left w:val="nil"/>
                    <w:bottom w:val="single" w:sz="4" w:space="0" w:color="auto"/>
                    <w:right w:val="single" w:sz="4" w:space="0" w:color="auto"/>
                  </w:tcBorders>
                  <w:vAlign w:val="center"/>
                  <w:hideMark/>
                </w:tcPr>
                <w:p w14:paraId="1D0D17EE"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0,0004</w:t>
                  </w:r>
                </w:p>
              </w:tc>
              <w:tc>
                <w:tcPr>
                  <w:tcW w:w="1200" w:type="dxa"/>
                  <w:gridSpan w:val="2"/>
                  <w:tcBorders>
                    <w:top w:val="single" w:sz="4" w:space="0" w:color="auto"/>
                    <w:left w:val="nil"/>
                    <w:bottom w:val="single" w:sz="8" w:space="0" w:color="auto"/>
                    <w:right w:val="single" w:sz="8" w:space="0" w:color="auto"/>
                  </w:tcBorders>
                  <w:vAlign w:val="center"/>
                  <w:hideMark/>
                </w:tcPr>
                <w:p w14:paraId="1A5BC082" w14:textId="77777777" w:rsidR="000D2465" w:rsidRDefault="000D2465" w:rsidP="000D2465">
                  <w:pPr>
                    <w:jc w:val="center"/>
                    <w:rPr>
                      <w:rFonts w:ascii="Arial" w:hAnsi="Arial" w:cs="Arial"/>
                      <w:i/>
                      <w:iCs/>
                      <w:color w:val="000000"/>
                      <w:sz w:val="16"/>
                      <w:szCs w:val="16"/>
                    </w:rPr>
                  </w:pPr>
                  <w:r>
                    <w:rPr>
                      <w:rFonts w:ascii="Arial" w:hAnsi="Arial" w:cs="Arial"/>
                      <w:i/>
                      <w:iCs/>
                      <w:color w:val="000000"/>
                      <w:sz w:val="16"/>
                      <w:szCs w:val="16"/>
                    </w:rPr>
                    <w:t>7(5</w:t>
                  </w:r>
                  <w:r w:rsidR="00AA6BC8">
                    <w:rPr>
                      <w:rFonts w:ascii="Arial" w:hAnsi="Arial" w:cs="Arial"/>
                      <w:i/>
                      <w:iCs/>
                      <w:color w:val="000000"/>
                      <w:sz w:val="16"/>
                      <w:szCs w:val="16"/>
                    </w:rPr>
                    <w:t>;</w:t>
                  </w:r>
                  <w:r>
                    <w:rPr>
                      <w:rFonts w:ascii="Arial" w:hAnsi="Arial" w:cs="Arial"/>
                      <w:i/>
                      <w:iCs/>
                      <w:color w:val="000000"/>
                      <w:sz w:val="16"/>
                      <w:szCs w:val="16"/>
                    </w:rPr>
                    <w:t>15)</w:t>
                  </w:r>
                </w:p>
              </w:tc>
            </w:tr>
          </w:tbl>
          <w:p w14:paraId="6C39B844" w14:textId="77777777" w:rsidR="004C34BF" w:rsidRPr="001751E3" w:rsidRDefault="004C34BF">
            <w:pPr>
              <w:jc w:val="both"/>
              <w:rPr>
                <w:rFonts w:ascii="Arial" w:hAnsi="Arial" w:cs="Arial"/>
                <w:bCs/>
                <w:sz w:val="16"/>
                <w:lang w:val="fr-FR"/>
              </w:rPr>
            </w:pPr>
          </w:p>
        </w:tc>
      </w:tr>
      <w:tr w:rsidR="004C34BF" w:rsidRPr="006F6ABB" w14:paraId="484A5C6C" w14:textId="77777777">
        <w:trPr>
          <w:trHeight w:val="230"/>
        </w:trPr>
        <w:tc>
          <w:tcPr>
            <w:tcW w:w="8890" w:type="dxa"/>
            <w:shd w:val="clear" w:color="auto" w:fill="E6E6E6"/>
          </w:tcPr>
          <w:p w14:paraId="4013D2FB" w14:textId="77777777" w:rsidR="004C34BF" w:rsidRPr="006F6ABB" w:rsidRDefault="004C34BF">
            <w:pPr>
              <w:rPr>
                <w:rFonts w:ascii="Arial" w:hAnsi="Arial" w:cs="Arial"/>
                <w:sz w:val="16"/>
                <w:szCs w:val="16"/>
              </w:rPr>
            </w:pPr>
            <w:r w:rsidRPr="006F6ABB">
              <w:rPr>
                <w:rFonts w:ascii="Arial" w:hAnsi="Arial" w:cs="Arial"/>
                <w:sz w:val="16"/>
                <w:szCs w:val="16"/>
              </w:rPr>
              <w:t>-Calculadoras para variables binarias: RAR y NNT y sus IC 95 %.</w:t>
            </w:r>
            <w:r w:rsidRPr="006F6ABB">
              <w:rPr>
                <w:rFonts w:ascii="Arial" w:hAnsi="Arial" w:cs="Arial"/>
                <w:b/>
                <w:sz w:val="16"/>
                <w:szCs w:val="16"/>
              </w:rPr>
              <w:t>CASPe</w:t>
            </w:r>
            <w:r w:rsidRPr="006F6ABB">
              <w:rPr>
                <w:rFonts w:ascii="Arial" w:hAnsi="Arial" w:cs="Arial"/>
                <w:sz w:val="16"/>
                <w:szCs w:val="16"/>
              </w:rPr>
              <w:t>.</w:t>
            </w:r>
            <w:r w:rsidRPr="006F6ABB">
              <w:rPr>
                <w:rFonts w:ascii="Arial" w:hAnsi="Arial" w:cs="Arial"/>
                <w:b/>
                <w:bCs/>
                <w:sz w:val="16"/>
                <w:szCs w:val="16"/>
              </w:rPr>
              <w:t xml:space="preserve"> </w:t>
            </w:r>
            <w:r w:rsidRPr="006F6ABB">
              <w:rPr>
                <w:rFonts w:ascii="Arial" w:hAnsi="Arial" w:cs="Arial"/>
                <w:b/>
                <w:sz w:val="16"/>
                <w:szCs w:val="16"/>
                <w:highlight w:val="yellow"/>
                <w:u w:val="single"/>
              </w:rPr>
              <w:t>Pulse aquí</w:t>
            </w:r>
            <w:r w:rsidRPr="006F6ABB">
              <w:rPr>
                <w:rFonts w:ascii="Arial" w:hAnsi="Arial" w:cs="Arial"/>
                <w:b/>
                <w:sz w:val="16"/>
                <w:szCs w:val="16"/>
              </w:rPr>
              <w:t xml:space="preserve"> ;</w:t>
            </w:r>
            <w:r w:rsidRPr="006F6ABB">
              <w:rPr>
                <w:rFonts w:ascii="Arial" w:hAnsi="Arial" w:cs="Arial"/>
                <w:sz w:val="16"/>
                <w:szCs w:val="16"/>
              </w:rPr>
              <w:t xml:space="preserve"> </w:t>
            </w:r>
            <w:r w:rsidRPr="006F6ABB">
              <w:rPr>
                <w:rFonts w:ascii="Arial" w:hAnsi="Arial" w:cs="Arial"/>
                <w:b/>
                <w:sz w:val="16"/>
                <w:szCs w:val="16"/>
              </w:rPr>
              <w:t>SIGN</w:t>
            </w:r>
            <w:r w:rsidRPr="006F6ABB">
              <w:rPr>
                <w:rFonts w:ascii="Arial" w:hAnsi="Arial" w:cs="Arial"/>
                <w:sz w:val="16"/>
                <w:szCs w:val="16"/>
              </w:rPr>
              <w:t>:</w:t>
            </w:r>
            <w:r w:rsidRPr="006F6ABB">
              <w:rPr>
                <w:rFonts w:ascii="Arial" w:hAnsi="Arial" w:cs="Arial"/>
                <w:b/>
                <w:bCs/>
                <w:sz w:val="16"/>
                <w:szCs w:val="16"/>
              </w:rPr>
              <w:t xml:space="preserve"> </w:t>
            </w:r>
            <w:r w:rsidRPr="006F6ABB">
              <w:rPr>
                <w:rFonts w:ascii="Arial" w:hAnsi="Arial" w:cs="Arial"/>
                <w:b/>
                <w:sz w:val="16"/>
                <w:szCs w:val="16"/>
                <w:highlight w:val="yellow"/>
                <w:u w:val="single"/>
              </w:rPr>
              <w:t>Pulse aquí</w:t>
            </w:r>
            <w:r w:rsidRPr="006F6ABB">
              <w:rPr>
                <w:rFonts w:ascii="Arial" w:hAnsi="Arial" w:cs="Arial"/>
                <w:b/>
                <w:sz w:val="16"/>
                <w:szCs w:val="16"/>
                <w:highlight w:val="yellow"/>
              </w:rPr>
              <w:t>.</w:t>
            </w:r>
          </w:p>
          <w:p w14:paraId="5391B0B0" w14:textId="77777777" w:rsidR="004C34BF" w:rsidRPr="006F6ABB" w:rsidRDefault="004C34BF">
            <w:pPr>
              <w:rPr>
                <w:rFonts w:ascii="Arial" w:hAnsi="Arial" w:cs="Arial"/>
                <w:b/>
                <w:sz w:val="16"/>
                <w:szCs w:val="16"/>
                <w:u w:val="single"/>
              </w:rPr>
            </w:pPr>
            <w:r w:rsidRPr="006F6ABB">
              <w:rPr>
                <w:rFonts w:ascii="Arial" w:hAnsi="Arial" w:cs="Arial"/>
                <w:sz w:val="16"/>
                <w:szCs w:val="16"/>
              </w:rPr>
              <w:t xml:space="preserve">-Calculadora para variables continuas: </w:t>
            </w:r>
            <w:r w:rsidRPr="006F6ABB">
              <w:rPr>
                <w:rFonts w:ascii="Arial" w:hAnsi="Arial" w:cs="Arial"/>
                <w:b/>
                <w:sz w:val="16"/>
                <w:szCs w:val="16"/>
              </w:rPr>
              <w:t>R.Saracho</w:t>
            </w:r>
            <w:r w:rsidRPr="006F6ABB">
              <w:rPr>
                <w:rFonts w:ascii="Arial" w:hAnsi="Arial" w:cs="Arial"/>
                <w:sz w:val="16"/>
                <w:szCs w:val="16"/>
              </w:rPr>
              <w:t xml:space="preserve">. </w:t>
            </w:r>
            <w:r w:rsidRPr="006F6ABB">
              <w:rPr>
                <w:rFonts w:ascii="Arial" w:hAnsi="Arial" w:cs="Arial"/>
                <w:b/>
                <w:sz w:val="16"/>
                <w:szCs w:val="16"/>
                <w:highlight w:val="yellow"/>
                <w:u w:val="single"/>
              </w:rPr>
              <w:t>Pulse aquí</w:t>
            </w:r>
          </w:p>
          <w:p w14:paraId="1734310C" w14:textId="77777777" w:rsidR="004C34BF" w:rsidRPr="006F6ABB" w:rsidRDefault="004C34BF">
            <w:pPr>
              <w:rPr>
                <w:rFonts w:ascii="Arial" w:hAnsi="Arial" w:cs="Arial"/>
                <w:b/>
                <w:sz w:val="16"/>
                <w:szCs w:val="16"/>
                <w:u w:val="single"/>
              </w:rPr>
            </w:pPr>
            <w:r w:rsidRPr="006F6ABB">
              <w:rPr>
                <w:rFonts w:ascii="Arial" w:hAnsi="Arial" w:cs="Arial"/>
                <w:b/>
                <w:sz w:val="16"/>
                <w:szCs w:val="16"/>
                <w:u w:val="single"/>
              </w:rPr>
              <w:t>-</w:t>
            </w:r>
            <w:r w:rsidRPr="006F6ABB">
              <w:rPr>
                <w:rFonts w:ascii="Arial" w:hAnsi="Arial" w:cs="Arial"/>
                <w:b/>
                <w:sz w:val="16"/>
                <w:szCs w:val="16"/>
              </w:rPr>
              <w:t>Otras calculadoras/programas en página GENESIS:</w:t>
            </w:r>
            <w:r w:rsidRPr="006F6ABB">
              <w:rPr>
                <w:rFonts w:ascii="Arial" w:hAnsi="Arial" w:cs="Arial"/>
                <w:b/>
                <w:sz w:val="16"/>
                <w:szCs w:val="16"/>
                <w:u w:val="single"/>
              </w:rPr>
              <w:t xml:space="preserve"> </w:t>
            </w:r>
            <w:hyperlink r:id="rId13" w:history="1">
              <w:r w:rsidRPr="006F6ABB">
                <w:rPr>
                  <w:rStyle w:val="Hipervnculo"/>
                  <w:rFonts w:ascii="Arial" w:hAnsi="Arial" w:cs="Arial"/>
                  <w:sz w:val="16"/>
                  <w:szCs w:val="16"/>
                </w:rPr>
                <w:t>http://gruposdetrabajo.sefh.es/genesis/genesis/Enlaces/Calculadoras.htm</w:t>
              </w:r>
            </w:hyperlink>
          </w:p>
        </w:tc>
      </w:tr>
    </w:tbl>
    <w:p w14:paraId="67C86483" w14:textId="77777777" w:rsidR="00CE5E88" w:rsidRDefault="00CE5E88" w:rsidP="00BC3E8E">
      <w:pPr>
        <w:snapToGrid w:val="0"/>
        <w:jc w:val="both"/>
        <w:rPr>
          <w:rFonts w:ascii="Arial" w:hAnsi="Arial" w:cs="Arial"/>
          <w:bCs/>
          <w:color w:val="000080"/>
          <w:sz w:val="20"/>
          <w:szCs w:val="20"/>
        </w:rPr>
      </w:pPr>
    </w:p>
    <w:p w14:paraId="0DC4E829" w14:textId="77777777" w:rsidR="00E0729C" w:rsidRDefault="001E556C" w:rsidP="00BC3E8E">
      <w:pPr>
        <w:snapToGrid w:val="0"/>
        <w:jc w:val="both"/>
        <w:rPr>
          <w:rFonts w:ascii="Arial" w:hAnsi="Arial" w:cs="Arial"/>
          <w:bCs/>
          <w:sz w:val="20"/>
          <w:szCs w:val="20"/>
        </w:rPr>
      </w:pPr>
      <w:r w:rsidRPr="001E556C">
        <w:rPr>
          <w:rFonts w:ascii="Arial" w:hAnsi="Arial" w:cs="Arial"/>
          <w:bCs/>
          <w:sz w:val="20"/>
          <w:szCs w:val="20"/>
        </w:rPr>
        <w:t xml:space="preserve">En relación con el </w:t>
      </w:r>
      <w:r w:rsidRPr="003179AC">
        <w:rPr>
          <w:rFonts w:ascii="Arial" w:hAnsi="Arial" w:cs="Arial"/>
          <w:b/>
          <w:sz w:val="20"/>
          <w:szCs w:val="20"/>
        </w:rPr>
        <w:t>tratamiento sistémico previo</w:t>
      </w:r>
      <w:r w:rsidR="0085482A">
        <w:rPr>
          <w:rFonts w:ascii="Arial" w:hAnsi="Arial" w:cs="Arial"/>
          <w:bCs/>
          <w:sz w:val="20"/>
          <w:szCs w:val="20"/>
        </w:rPr>
        <w:t xml:space="preserve"> en ambos ensayos, </w:t>
      </w:r>
      <w:r>
        <w:rPr>
          <w:rFonts w:ascii="Arial" w:hAnsi="Arial" w:cs="Arial"/>
          <w:bCs/>
          <w:sz w:val="20"/>
          <w:szCs w:val="20"/>
        </w:rPr>
        <w:t xml:space="preserve">que se muestra en la tabla </w:t>
      </w:r>
      <w:r w:rsidR="003179AC">
        <w:rPr>
          <w:rFonts w:ascii="Arial" w:hAnsi="Arial" w:cs="Arial"/>
          <w:bCs/>
          <w:sz w:val="20"/>
          <w:szCs w:val="20"/>
        </w:rPr>
        <w:t>7</w:t>
      </w:r>
      <w:r w:rsidRPr="001E556C">
        <w:rPr>
          <w:rFonts w:ascii="Arial" w:hAnsi="Arial" w:cs="Arial"/>
          <w:bCs/>
          <w:sz w:val="20"/>
          <w:szCs w:val="20"/>
        </w:rPr>
        <w:t xml:space="preserve">, el 34,1% de los pacientes había recibido alguna terapia </w:t>
      </w:r>
      <w:r w:rsidR="0085482A">
        <w:rPr>
          <w:rFonts w:ascii="Arial" w:hAnsi="Arial" w:cs="Arial"/>
          <w:bCs/>
          <w:sz w:val="20"/>
          <w:szCs w:val="20"/>
        </w:rPr>
        <w:t xml:space="preserve">inmunosupresora o </w:t>
      </w:r>
      <w:r w:rsidRPr="001E556C">
        <w:rPr>
          <w:rFonts w:ascii="Arial" w:hAnsi="Arial" w:cs="Arial"/>
          <w:bCs/>
          <w:sz w:val="20"/>
          <w:szCs w:val="20"/>
        </w:rPr>
        <w:t>inmunomoduladora. Destaca que únicamente un 14% había sido tratado previamente con ciclosporina y un 6,3% con terapias biológicas</w:t>
      </w:r>
      <w:r w:rsidR="003179AC">
        <w:rPr>
          <w:rFonts w:ascii="Arial" w:hAnsi="Arial" w:cs="Arial"/>
          <w:bCs/>
          <w:sz w:val="20"/>
          <w:szCs w:val="20"/>
        </w:rPr>
        <w:t>, en concreto</w:t>
      </w:r>
      <w:r w:rsidRPr="001E556C">
        <w:rPr>
          <w:rFonts w:ascii="Arial" w:hAnsi="Arial" w:cs="Arial"/>
          <w:bCs/>
          <w:sz w:val="20"/>
          <w:szCs w:val="20"/>
        </w:rPr>
        <w:t xml:space="preserve"> un 5,7% había recibido dupilumab.</w:t>
      </w:r>
    </w:p>
    <w:p w14:paraId="560B15F4" w14:textId="77777777" w:rsidR="003179AC" w:rsidRDefault="003179AC" w:rsidP="00BC3E8E">
      <w:pPr>
        <w:snapToGrid w:val="0"/>
        <w:jc w:val="both"/>
        <w:rPr>
          <w:rFonts w:ascii="Arial" w:hAnsi="Arial" w:cs="Arial"/>
          <w:bCs/>
          <w:sz w:val="20"/>
          <w:szCs w:val="20"/>
        </w:rPr>
      </w:pPr>
    </w:p>
    <w:p w14:paraId="0256202A" w14:textId="77777777" w:rsidR="003179AC" w:rsidRPr="003179AC" w:rsidRDefault="00810283" w:rsidP="00BC3E8E">
      <w:pPr>
        <w:snapToGrid w:val="0"/>
        <w:jc w:val="both"/>
        <w:rPr>
          <w:rFonts w:ascii="Arial" w:hAnsi="Arial" w:cs="Arial"/>
          <w:b/>
          <w:sz w:val="18"/>
          <w:szCs w:val="18"/>
        </w:rPr>
      </w:pPr>
      <w:r>
        <w:rPr>
          <w:noProof/>
        </w:rPr>
        <w:drawing>
          <wp:anchor distT="0" distB="0" distL="114300" distR="114300" simplePos="0" relativeHeight="251646976" behindDoc="0" locked="0" layoutInCell="1" allowOverlap="1" wp14:anchorId="09A38496" wp14:editId="61221D19">
            <wp:simplePos x="0" y="0"/>
            <wp:positionH relativeFrom="column">
              <wp:posOffset>-3810</wp:posOffset>
            </wp:positionH>
            <wp:positionV relativeFrom="paragraph">
              <wp:posOffset>237490</wp:posOffset>
            </wp:positionV>
            <wp:extent cx="5591175" cy="2090420"/>
            <wp:effectExtent l="19050" t="0" r="9525" b="0"/>
            <wp:wrapTopAndBottom/>
            <wp:docPr id="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l="20068" t="36697" r="22127" b="24828"/>
                    <a:stretch>
                      <a:fillRect/>
                    </a:stretch>
                  </pic:blipFill>
                  <pic:spPr bwMode="auto">
                    <a:xfrm>
                      <a:off x="0" y="0"/>
                      <a:ext cx="5591175" cy="2090420"/>
                    </a:xfrm>
                    <a:prstGeom prst="rect">
                      <a:avLst/>
                    </a:prstGeom>
                    <a:noFill/>
                    <a:ln w="9525">
                      <a:noFill/>
                      <a:miter lim="800000"/>
                      <a:headEnd/>
                      <a:tailEnd/>
                    </a:ln>
                  </pic:spPr>
                </pic:pic>
              </a:graphicData>
            </a:graphic>
          </wp:anchor>
        </w:drawing>
      </w:r>
      <w:r w:rsidR="003179AC" w:rsidRPr="003179AC">
        <w:rPr>
          <w:rFonts w:ascii="Arial" w:hAnsi="Arial" w:cs="Arial"/>
          <w:b/>
          <w:sz w:val="18"/>
          <w:szCs w:val="18"/>
        </w:rPr>
        <w:t xml:space="preserve">Tabla 7. Pacientes con tratamiento sistémico previo al inicio de los ensayos ARCADIA-1 y 2 </w:t>
      </w:r>
      <w:r w:rsidR="00646A51" w:rsidRPr="003179AC">
        <w:rPr>
          <w:rFonts w:ascii="Arial" w:hAnsi="Arial" w:cs="Arial"/>
          <w:b/>
          <w:sz w:val="18"/>
          <w:szCs w:val="18"/>
        </w:rPr>
        <w:fldChar w:fldCharType="begin"/>
      </w:r>
      <w:r w:rsidR="003179AC" w:rsidRPr="003179AC">
        <w:rPr>
          <w:rFonts w:ascii="Arial" w:hAnsi="Arial" w:cs="Arial"/>
          <w:b/>
          <w:sz w:val="18"/>
          <w:szCs w:val="18"/>
        </w:rPr>
        <w:instrText xml:space="preserve"> ADDIN ZOTERO_ITEM CSL_CITATION {"citationID":"QZhR1nJZ","properties":{"formattedCitation":"(13)","plainCitation":"(13)","noteIndex":0},"citationItems":[{"id":22,"uris":["http://zotero.org/users/18702181/items/5JWGRDEH"],"itemData":{"id":22,"type":"webpage","language":"en","title":"Informe EPAR Nemluvio","URL":"https://www.ema.europa.eu/en/medicines/human/EPAR/nemluvio","author":[{"family":"European Medicines Agency (EMA)","given":""}],"accessed":{"date-parts":[["2025",11,5]]},"issued":{"date-parts":[["2024",12,13]]}}}],"schema":"https://github.com/citation-style-language/schema/raw/master/csl-citation.json"} </w:instrText>
      </w:r>
      <w:r w:rsidR="00646A51" w:rsidRPr="003179AC">
        <w:rPr>
          <w:rFonts w:ascii="Arial" w:hAnsi="Arial" w:cs="Arial"/>
          <w:b/>
          <w:sz w:val="18"/>
          <w:szCs w:val="18"/>
        </w:rPr>
        <w:fldChar w:fldCharType="separate"/>
      </w:r>
      <w:r w:rsidR="003179AC" w:rsidRPr="003179AC">
        <w:rPr>
          <w:rFonts w:ascii="Arial" w:hAnsi="Arial" w:cs="Arial"/>
          <w:b/>
          <w:sz w:val="18"/>
          <w:szCs w:val="22"/>
        </w:rPr>
        <w:t>(13)</w:t>
      </w:r>
      <w:r w:rsidR="00646A51" w:rsidRPr="003179AC">
        <w:rPr>
          <w:rFonts w:ascii="Arial" w:hAnsi="Arial" w:cs="Arial"/>
          <w:b/>
          <w:sz w:val="18"/>
          <w:szCs w:val="18"/>
        </w:rPr>
        <w:fldChar w:fldCharType="end"/>
      </w:r>
      <w:r w:rsidR="003179AC" w:rsidRPr="003179AC">
        <w:rPr>
          <w:rFonts w:ascii="Arial" w:hAnsi="Arial" w:cs="Arial"/>
          <w:b/>
          <w:sz w:val="18"/>
          <w:szCs w:val="18"/>
        </w:rPr>
        <w:t>.</w:t>
      </w:r>
    </w:p>
    <w:p w14:paraId="3D1C9BA9" w14:textId="77777777" w:rsidR="00E0729C" w:rsidRDefault="0085482A" w:rsidP="00BC3E8E">
      <w:pPr>
        <w:snapToGrid w:val="0"/>
        <w:jc w:val="both"/>
        <w:rPr>
          <w:rFonts w:ascii="Arial" w:hAnsi="Arial" w:cs="Arial"/>
          <w:bCs/>
          <w:sz w:val="20"/>
          <w:szCs w:val="20"/>
        </w:rPr>
      </w:pPr>
      <w:r>
        <w:rPr>
          <w:rFonts w:ascii="Arial" w:hAnsi="Arial" w:cs="Arial"/>
          <w:bCs/>
          <w:sz w:val="20"/>
          <w:szCs w:val="20"/>
        </w:rPr>
        <w:t xml:space="preserve"> </w:t>
      </w:r>
    </w:p>
    <w:p w14:paraId="0D8C8947" w14:textId="77777777" w:rsidR="0085482A" w:rsidRDefault="0085482A" w:rsidP="00BC3E8E">
      <w:pPr>
        <w:snapToGrid w:val="0"/>
        <w:jc w:val="both"/>
        <w:rPr>
          <w:rFonts w:ascii="Arial" w:hAnsi="Arial" w:cs="Arial"/>
          <w:bCs/>
          <w:sz w:val="20"/>
          <w:szCs w:val="20"/>
        </w:rPr>
      </w:pPr>
    </w:p>
    <w:p w14:paraId="637B1BF8" w14:textId="77777777" w:rsidR="0089567E" w:rsidRDefault="0089567E" w:rsidP="00BC3E8E">
      <w:pPr>
        <w:snapToGrid w:val="0"/>
        <w:jc w:val="both"/>
        <w:rPr>
          <w:rFonts w:ascii="Arial" w:hAnsi="Arial" w:cs="Arial"/>
          <w:bCs/>
          <w:sz w:val="20"/>
          <w:szCs w:val="20"/>
        </w:rPr>
      </w:pPr>
      <w:r w:rsidRPr="0089567E">
        <w:rPr>
          <w:rFonts w:ascii="Arial" w:hAnsi="Arial" w:cs="Arial"/>
          <w:bCs/>
          <w:sz w:val="20"/>
          <w:szCs w:val="20"/>
        </w:rPr>
        <w:t xml:space="preserve">Durante los estudios, los </w:t>
      </w:r>
      <w:r w:rsidRPr="0089567E">
        <w:rPr>
          <w:rFonts w:ascii="Arial" w:hAnsi="Arial" w:cs="Arial"/>
          <w:b/>
          <w:sz w:val="20"/>
          <w:szCs w:val="20"/>
        </w:rPr>
        <w:t>medicamentos prohibidos</w:t>
      </w:r>
      <w:r w:rsidRPr="0089567E">
        <w:rPr>
          <w:rFonts w:ascii="Arial" w:hAnsi="Arial" w:cs="Arial"/>
          <w:bCs/>
          <w:sz w:val="20"/>
          <w:szCs w:val="20"/>
        </w:rPr>
        <w:t xml:space="preserve"> incluían los</w:t>
      </w:r>
      <w:r w:rsidR="0075635A">
        <w:rPr>
          <w:rFonts w:ascii="Arial" w:hAnsi="Arial" w:cs="Arial"/>
          <w:bCs/>
          <w:sz w:val="20"/>
          <w:szCs w:val="20"/>
        </w:rPr>
        <w:t xml:space="preserve"> </w:t>
      </w:r>
      <w:r w:rsidRPr="0089567E">
        <w:rPr>
          <w:rFonts w:ascii="Arial" w:hAnsi="Arial" w:cs="Arial"/>
          <w:bCs/>
          <w:sz w:val="20"/>
          <w:szCs w:val="20"/>
        </w:rPr>
        <w:t>TCS</w:t>
      </w:r>
      <w:r w:rsidR="00E0729C">
        <w:rPr>
          <w:rFonts w:ascii="Arial" w:hAnsi="Arial" w:cs="Arial"/>
          <w:bCs/>
          <w:sz w:val="20"/>
          <w:szCs w:val="20"/>
        </w:rPr>
        <w:t xml:space="preserve"> alta potencia</w:t>
      </w:r>
      <w:r w:rsidRPr="0089567E">
        <w:rPr>
          <w:rFonts w:ascii="Arial" w:hAnsi="Arial" w:cs="Arial"/>
          <w:bCs/>
          <w:sz w:val="20"/>
          <w:szCs w:val="20"/>
        </w:rPr>
        <w:t xml:space="preserve">, junto con otros tratamientos sistémicos para la DA. El uso de </w:t>
      </w:r>
      <w:r w:rsidR="000171EE">
        <w:rPr>
          <w:rFonts w:ascii="Arial" w:hAnsi="Arial" w:cs="Arial"/>
          <w:bCs/>
          <w:sz w:val="20"/>
          <w:szCs w:val="20"/>
        </w:rPr>
        <w:t>CS</w:t>
      </w:r>
      <w:r w:rsidRPr="0089567E">
        <w:rPr>
          <w:rFonts w:ascii="Arial" w:hAnsi="Arial" w:cs="Arial"/>
          <w:bCs/>
          <w:sz w:val="20"/>
          <w:szCs w:val="20"/>
        </w:rPr>
        <w:t xml:space="preserve"> también estaba vetado, salvo si se empleaban como tratamiento de rescate para la DA. </w:t>
      </w:r>
    </w:p>
    <w:p w14:paraId="04ECD542" w14:textId="77777777" w:rsidR="00EF46B1" w:rsidRDefault="0089567E" w:rsidP="00BC3E8E">
      <w:pPr>
        <w:snapToGrid w:val="0"/>
        <w:jc w:val="both"/>
        <w:rPr>
          <w:rFonts w:ascii="Arial" w:hAnsi="Arial" w:cs="Arial"/>
          <w:bCs/>
          <w:sz w:val="20"/>
          <w:szCs w:val="20"/>
        </w:rPr>
      </w:pPr>
      <w:r w:rsidRPr="0089567E">
        <w:rPr>
          <w:rFonts w:ascii="Arial" w:hAnsi="Arial" w:cs="Arial"/>
          <w:bCs/>
          <w:sz w:val="20"/>
          <w:szCs w:val="20"/>
        </w:rPr>
        <w:t xml:space="preserve">Es importante destacar que cualquier participante que recibiera una </w:t>
      </w:r>
      <w:r w:rsidRPr="0089567E">
        <w:rPr>
          <w:rFonts w:ascii="Arial" w:hAnsi="Arial" w:cs="Arial"/>
          <w:b/>
          <w:sz w:val="20"/>
          <w:szCs w:val="20"/>
        </w:rPr>
        <w:t>terapia de rescate</w:t>
      </w:r>
      <w:r w:rsidRPr="0089567E">
        <w:rPr>
          <w:rFonts w:ascii="Arial" w:hAnsi="Arial" w:cs="Arial"/>
          <w:bCs/>
          <w:sz w:val="20"/>
          <w:szCs w:val="20"/>
        </w:rPr>
        <w:t xml:space="preserve">, ya fuera tópica o sistémica y dirigida a tratar la DA, era automáticamente considerado un fracaso terapéutico a lo largo de los estudios. Respecto al análisis de datos, los </w:t>
      </w:r>
      <w:r w:rsidRPr="0089567E">
        <w:rPr>
          <w:rFonts w:ascii="Arial" w:hAnsi="Arial" w:cs="Arial"/>
          <w:b/>
          <w:sz w:val="20"/>
          <w:szCs w:val="20"/>
        </w:rPr>
        <w:t>valores faltantes</w:t>
      </w:r>
      <w:r w:rsidRPr="0089567E">
        <w:rPr>
          <w:rFonts w:ascii="Arial" w:hAnsi="Arial" w:cs="Arial"/>
          <w:bCs/>
          <w:sz w:val="20"/>
          <w:szCs w:val="20"/>
        </w:rPr>
        <w:t xml:space="preserve"> en los análisis primarios y secundarios clave se imputaron como "no respondedores". </w:t>
      </w:r>
      <w:r>
        <w:rPr>
          <w:rFonts w:ascii="Arial" w:hAnsi="Arial" w:cs="Arial"/>
          <w:bCs/>
          <w:sz w:val="20"/>
          <w:szCs w:val="20"/>
        </w:rPr>
        <w:t xml:space="preserve"> </w:t>
      </w:r>
    </w:p>
    <w:p w14:paraId="0CBE087E" w14:textId="77777777" w:rsidR="00095C04" w:rsidRDefault="00EF46B1" w:rsidP="00BC3E8E">
      <w:pPr>
        <w:snapToGrid w:val="0"/>
        <w:jc w:val="both"/>
        <w:rPr>
          <w:rFonts w:ascii="Arial" w:hAnsi="Arial" w:cs="Arial"/>
          <w:bCs/>
          <w:sz w:val="20"/>
          <w:szCs w:val="20"/>
          <w:lang w:val="es-ES_tradnl"/>
        </w:rPr>
      </w:pPr>
      <w:r>
        <w:rPr>
          <w:rFonts w:ascii="Arial" w:hAnsi="Arial" w:cs="Arial"/>
          <w:bCs/>
          <w:sz w:val="20"/>
          <w:szCs w:val="20"/>
        </w:rPr>
        <w:t xml:space="preserve">En la tabla </w:t>
      </w:r>
      <w:r w:rsidR="003179AC">
        <w:rPr>
          <w:rFonts w:ascii="Arial" w:hAnsi="Arial" w:cs="Arial"/>
          <w:bCs/>
          <w:sz w:val="20"/>
          <w:szCs w:val="20"/>
        </w:rPr>
        <w:t>8</w:t>
      </w:r>
      <w:r w:rsidR="000171EE">
        <w:rPr>
          <w:rFonts w:ascii="Arial" w:hAnsi="Arial" w:cs="Arial"/>
          <w:bCs/>
          <w:sz w:val="20"/>
          <w:szCs w:val="20"/>
        </w:rPr>
        <w:t xml:space="preserve"> </w:t>
      </w:r>
      <w:r>
        <w:rPr>
          <w:rFonts w:ascii="Arial" w:hAnsi="Arial" w:cs="Arial"/>
          <w:bCs/>
          <w:sz w:val="20"/>
          <w:szCs w:val="20"/>
        </w:rPr>
        <w:t>se resume el uso de terapias de rescate, t</w:t>
      </w:r>
      <w:r w:rsidR="0089567E" w:rsidRPr="0089567E">
        <w:rPr>
          <w:rFonts w:ascii="Arial" w:hAnsi="Arial" w:cs="Arial"/>
          <w:bCs/>
          <w:sz w:val="20"/>
          <w:szCs w:val="20"/>
        </w:rPr>
        <w:t>al como se esperaba, la frecuencia de uso de medicación de rescate fue consistentemente mayor entre los sujetos asignados al tratamiento con placebo</w:t>
      </w:r>
      <w:r w:rsidR="003179AC">
        <w:rPr>
          <w:rFonts w:ascii="Arial" w:hAnsi="Arial" w:cs="Arial"/>
          <w:bCs/>
          <w:sz w:val="20"/>
          <w:szCs w:val="20"/>
        </w:rPr>
        <w:t>.</w:t>
      </w:r>
      <w:r w:rsidR="0089567E" w:rsidRPr="0089567E">
        <w:rPr>
          <w:rFonts w:ascii="Arial" w:hAnsi="Arial" w:cs="Arial"/>
          <w:bCs/>
          <w:sz w:val="20"/>
          <w:szCs w:val="20"/>
        </w:rPr>
        <w:t xml:space="preserve"> </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{"citationID":"KOyQR3GU","properties":{"formattedCitation":"(5,13)","plainCitation":"(5,13)","noteIndex":0},"citationItems":[{"id":31,"uris":["http://zotero.org/users/18702181/items/7H7KVXVG"],"itemData":{"id":31,"type":"article-journal","container-title":"The Lancet","DOI":"10.1016/S0140-6736(24)01203-0","ISSN":"0140-6736, 1474-547X","issue":"10451","journalAbbreviation":"The Lancet","language":"English","page":"445-460","PMID":"39067461","publisher":"Elsevier","source":"www.thelancet.com","title":"Nemolizumab with concomitant topical therapy in adolescents and adults with moderate-to-severe atopic dermatitis (ARCADIA 1 and ARCADIA 2): results from two replicate, double-blind, randomised controlled phase 3 trials","title-short":"Nemolizumab with concomitant topical therapy in adolescents and adults with moderate-to-severe atopic dermatitis (ARCADIA 1 and ARCADIA 2)","volume":"404","author":[{"family":"Silverberg","given":"Jonathan I."},{"family":"Wollenberg","given":"Andreas"},{"family":"Reich","given":"Adam"},{"family":"Thaçi","given":"Diamant"},{"family":"Legat","given":"Franz J."},{"family":"Papp","given":"Kim A."},{"family":"Gold","given":"Linda Stein"},{"family":"Bouaziz","given":"Jean-David"},{"family":"Pink","given":"Andrew E."},{"family":"Carrascosa","given":"José Manuel"},{"family":"Rewerska","given":"Barbara"},{"family":"Szepietowski","given":"Jacek C."},{"family":"Krasowska","given":"Dorota"},{"family":"Havlíčková","given":"Blanka"},{"family":"Kalowska","given":"Monika"},{"family":"Magnolo","given":"Nina"},{"family":"Pauser","given":"Sylvia"},{"family":"Nami","given":"Navid"},{"family":"Sauder","given":"Maxwell B."},{"family":"Jain","given":"Vipul"},{"family":"Padlewska","given":"Kamila"},{"family":"Cheong","given":"Soo Yeon"},{"family":"Morel","given":"Patricia Fleuranceau"},{"family":"Ulianov","given":"Liliana"},{"family":"Piketty","given":"Christophe"}],"issued":{"date-parts":[["2024",8,3]]}}},{"id":22,"uris":["http://zotero.org/users/18702181/items/5JWGRDEH"],"itemData":{"id":22,"type":"webpage","language":"en","title":"Informe EPAR Nemluvio","URL":"https://www.ema.europa.eu/en/medicines/human/EPAR/nemluvio","author":[{"family":"European Medicines Agency (EMA)","given":""}],"accessed":{"date-parts":[["2025",11,5]]},"issued":{"date-parts":[["2024",12,13]]}}}],"schema":"https://github.com/citation-style-language/schema/raw/master/csl-citation.json"} </w:instrText>
      </w:r>
      <w:r w:rsidR="00646A51">
        <w:rPr>
          <w:rFonts w:ascii="Arial" w:hAnsi="Arial" w:cs="Arial"/>
          <w:bCs/>
          <w:sz w:val="20"/>
          <w:szCs w:val="20"/>
        </w:rPr>
        <w:fldChar w:fldCharType="separate"/>
      </w:r>
      <w:r w:rsidR="003179AC" w:rsidRPr="003179AC">
        <w:rPr>
          <w:rFonts w:ascii="Arial" w:hAnsi="Arial" w:cs="Arial"/>
          <w:sz w:val="20"/>
        </w:rPr>
        <w:t>(5,13)</w:t>
      </w:r>
      <w:r w:rsidR="00646A51">
        <w:rPr>
          <w:rFonts w:ascii="Arial" w:hAnsi="Arial" w:cs="Arial"/>
          <w:bCs/>
          <w:sz w:val="20"/>
          <w:szCs w:val="20"/>
        </w:rPr>
        <w:fldChar w:fldCharType="end"/>
      </w:r>
      <w:r w:rsidR="00095C04" w:rsidRPr="00095C04">
        <w:rPr>
          <w:rFonts w:ascii="Arial" w:hAnsi="Arial" w:cs="Arial"/>
          <w:bCs/>
          <w:sz w:val="20"/>
          <w:szCs w:val="20"/>
          <w:lang w:val="es-ES_tradnl"/>
        </w:rPr>
        <w:t xml:space="preserve"> </w:t>
      </w:r>
    </w:p>
    <w:p w14:paraId="71587022" w14:textId="77777777" w:rsidR="003179AC" w:rsidRDefault="003179AC" w:rsidP="003179AC">
      <w:pPr>
        <w:snapToGrid w:val="0"/>
        <w:jc w:val="both"/>
        <w:rPr>
          <w:noProof/>
        </w:rPr>
      </w:pPr>
    </w:p>
    <w:p w14:paraId="68D2C88D" w14:textId="77777777" w:rsidR="003179AC" w:rsidRDefault="003179AC" w:rsidP="003179AC">
      <w:pPr>
        <w:snapToGrid w:val="0"/>
        <w:jc w:val="both"/>
        <w:rPr>
          <w:rFonts w:ascii="Arial" w:hAnsi="Arial" w:cs="Arial"/>
          <w:b/>
          <w:sz w:val="20"/>
          <w:szCs w:val="20"/>
        </w:rPr>
      </w:pPr>
    </w:p>
    <w:p w14:paraId="7964C154" w14:textId="77777777" w:rsidR="003179AC" w:rsidRDefault="003179AC" w:rsidP="003179AC">
      <w:pPr>
        <w:snapToGrid w:val="0"/>
        <w:jc w:val="both"/>
        <w:rPr>
          <w:rFonts w:ascii="Arial" w:hAnsi="Arial" w:cs="Arial"/>
          <w:b/>
          <w:sz w:val="20"/>
          <w:szCs w:val="20"/>
        </w:rPr>
      </w:pPr>
    </w:p>
    <w:p w14:paraId="2959BA3D" w14:textId="77777777" w:rsidR="003179AC" w:rsidRDefault="003179AC" w:rsidP="003179AC">
      <w:pPr>
        <w:snapToGrid w:val="0"/>
        <w:jc w:val="both"/>
        <w:rPr>
          <w:rFonts w:ascii="Arial" w:hAnsi="Arial" w:cs="Arial"/>
          <w:b/>
          <w:sz w:val="20"/>
          <w:szCs w:val="20"/>
        </w:rPr>
      </w:pPr>
    </w:p>
    <w:p w14:paraId="724A8069" w14:textId="77777777" w:rsidR="003179AC" w:rsidRDefault="003179AC" w:rsidP="003179AC">
      <w:pPr>
        <w:snapToGrid w:val="0"/>
        <w:jc w:val="both"/>
        <w:rPr>
          <w:rFonts w:ascii="Arial" w:hAnsi="Arial" w:cs="Arial"/>
          <w:b/>
          <w:sz w:val="20"/>
          <w:szCs w:val="20"/>
        </w:rPr>
      </w:pPr>
    </w:p>
    <w:p w14:paraId="2F2D3C93" w14:textId="77777777" w:rsidR="003179AC" w:rsidRDefault="003179AC" w:rsidP="003179AC">
      <w:pPr>
        <w:snapToGrid w:val="0"/>
        <w:jc w:val="both"/>
        <w:rPr>
          <w:rFonts w:ascii="Arial" w:hAnsi="Arial" w:cs="Arial"/>
          <w:b/>
          <w:sz w:val="20"/>
          <w:szCs w:val="20"/>
        </w:rPr>
      </w:pPr>
    </w:p>
    <w:p w14:paraId="757993C3" w14:textId="77777777" w:rsidR="003179AC" w:rsidRDefault="003179AC" w:rsidP="003179AC">
      <w:pPr>
        <w:snapToGrid w:val="0"/>
        <w:jc w:val="both"/>
        <w:rPr>
          <w:rFonts w:ascii="Arial" w:hAnsi="Arial" w:cs="Arial"/>
          <w:b/>
          <w:sz w:val="20"/>
          <w:szCs w:val="20"/>
        </w:rPr>
      </w:pPr>
    </w:p>
    <w:p w14:paraId="5426A12A" w14:textId="77777777" w:rsidR="003179AC" w:rsidRPr="003179AC" w:rsidRDefault="003179AC" w:rsidP="003179AC">
      <w:pPr>
        <w:snapToGrid w:val="0"/>
        <w:jc w:val="both"/>
        <w:rPr>
          <w:noProof/>
        </w:rPr>
      </w:pPr>
      <w:r w:rsidRPr="000171EE">
        <w:rPr>
          <w:rFonts w:ascii="Arial" w:hAnsi="Arial" w:cs="Arial"/>
          <w:b/>
          <w:sz w:val="20"/>
          <w:szCs w:val="20"/>
        </w:rPr>
        <w:t xml:space="preserve">Tabla </w:t>
      </w:r>
      <w:r>
        <w:rPr>
          <w:rFonts w:ascii="Arial" w:hAnsi="Arial" w:cs="Arial"/>
          <w:b/>
          <w:sz w:val="20"/>
          <w:szCs w:val="20"/>
        </w:rPr>
        <w:t>8.</w:t>
      </w:r>
      <w:r w:rsidRPr="000171EE">
        <w:rPr>
          <w:rFonts w:ascii="Arial" w:hAnsi="Arial" w:cs="Arial"/>
          <w:b/>
          <w:sz w:val="20"/>
          <w:szCs w:val="20"/>
        </w:rPr>
        <w:t xml:space="preserve"> Uso de terapia de rescate durante el periodo inicial de tratamiento</w:t>
      </w:r>
      <w:r w:rsidR="00AA6BC8">
        <w:rPr>
          <w:rFonts w:ascii="Arial" w:hAnsi="Arial" w:cs="Arial"/>
          <w:b/>
          <w:sz w:val="20"/>
          <w:szCs w:val="20"/>
        </w:rPr>
        <w:t>.</w:t>
      </w:r>
      <w:r>
        <w:rPr>
          <w:rFonts w:ascii="Arial" w:hAnsi="Arial" w:cs="Arial"/>
          <w:b/>
          <w:sz w:val="20"/>
          <w:szCs w:val="20"/>
        </w:rPr>
        <w:t xml:space="preserve"> </w:t>
      </w:r>
      <w:r w:rsidR="00646A51">
        <w:rPr>
          <w:rFonts w:ascii="Arial" w:hAnsi="Arial" w:cs="Arial"/>
          <w:b/>
          <w:sz w:val="20"/>
          <w:szCs w:val="20"/>
        </w:rPr>
        <w:fldChar w:fldCharType="begin"/>
      </w:r>
      <w:r w:rsidR="00511A83">
        <w:rPr>
          <w:rFonts w:ascii="Arial" w:hAnsi="Arial" w:cs="Arial"/>
          <w:b/>
          <w:sz w:val="20"/>
          <w:szCs w:val="20"/>
        </w:rPr>
        <w:instrText xml:space="preserve"> ADDIN ZOTERO_ITEM CSL_CITATION {"citationID":"SASgOQTg","properties":{"formattedCitation":"(5)","plainCitation":"(5)","noteIndex":0},"citationItems":[{"id":31,"uris":["http://zotero.org/users/18702181/items/7H7KVXVG"],"itemData":{"id":31,"type":"article-journal","container-title":"The Lancet","DOI":"10.1016/S0140-6736(24)01203-0","ISSN":"0140-6736, 1474-547X","issue":"10451","journalAbbreviation":"The Lancet","language":"English","page":"445-460","PMID":"39067461","publisher":"Elsevier","source":"www.thelancet.com","title":"Nemolizumab with concomitant topical therapy in adolescents and adults with moderate-to-severe atopic dermatitis (ARCADIA 1 and ARCADIA 2): results from two replicate, double-blind, randomised controlled phase 3 trials","title-short":"Nemolizumab with concomitant topical therapy in adolescents and adults with moderate-to-severe atopic dermatitis (ARCADIA 1 and ARCADIA 2)","volume":"404","author":[{"family":"Silverberg","given":"Jonathan I."},{"family":"Wollenberg","given":"Andreas"},{"family":"Reich","given":"Adam"},{"family":"Thaçi","given":"Diamant"},{"family":"Legat","given":"Franz J."},{"family":"Papp","given":"Kim A."},{"family":"Gold","given":"Linda Stein"},{"family":"Bouaziz","given":"Jean-David"},{"family":"Pink","given":"Andrew E."},{"family":"Carrascosa","given":"José Manuel"},{"family":"Rewerska","given":"Barbara"},{"family":"Szepietowski","given":"Jacek C."},{"family":"Krasowska","given":"Dorota"},{"family":"Havlíčková","given":"Blanka"},{"family":"Kalowska","given":"Monika"},{"family":"Magnolo","given":"Nina"},{"family":"Pauser","given":"Sylvia"},{"family":"Nami","given":"Navid"},{"family":"Sauder","given":"Maxwell B."},{"family":"Jain","given":"Vipul"},{"family":"Padlewska","given":"Kamila"},{"family":"Cheong","given":"Soo Yeon"},{"family":"Morel","given":"Patricia Fleuranceau"},{"family":"Ulianov","given":"Liliana"},{"family":"Piketty","given":"Christophe"}],"issued":{"date-parts":[["2024",8,3]]}}}],"schema":"https://github.com/citation-style-language/schema/raw/master/csl-citation.json"} </w:instrText>
      </w:r>
      <w:r w:rsidR="00646A51">
        <w:rPr>
          <w:rFonts w:ascii="Arial" w:hAnsi="Arial" w:cs="Arial"/>
          <w:b/>
          <w:sz w:val="20"/>
          <w:szCs w:val="20"/>
        </w:rPr>
        <w:fldChar w:fldCharType="separate"/>
      </w:r>
      <w:r w:rsidRPr="003179AC">
        <w:rPr>
          <w:rFonts w:ascii="Arial" w:hAnsi="Arial" w:cs="Arial"/>
          <w:sz w:val="20"/>
        </w:rPr>
        <w:t>(5)</w:t>
      </w:r>
      <w:r w:rsidR="00646A51">
        <w:rPr>
          <w:rFonts w:ascii="Arial" w:hAnsi="Arial" w:cs="Arial"/>
          <w:b/>
          <w:sz w:val="20"/>
          <w:szCs w:val="20"/>
        </w:rPr>
        <w:fldChar w:fldCharType="end"/>
      </w:r>
    </w:p>
    <w:p w14:paraId="6901B5E0" w14:textId="77777777" w:rsidR="00F91F86" w:rsidRDefault="00810283" w:rsidP="00BC3E8E">
      <w:pPr>
        <w:snapToGrid w:val="0"/>
        <w:jc w:val="both"/>
        <w:rPr>
          <w:rFonts w:ascii="Arial" w:hAnsi="Arial" w:cs="Arial"/>
          <w:bCs/>
          <w:sz w:val="20"/>
          <w:szCs w:val="20"/>
          <w:lang w:val="es-ES_tradnl"/>
        </w:rPr>
      </w:pPr>
      <w:r>
        <w:rPr>
          <w:noProof/>
        </w:rPr>
        <w:drawing>
          <wp:anchor distT="0" distB="0" distL="114300" distR="114300" simplePos="0" relativeHeight="251649024" behindDoc="0" locked="0" layoutInCell="1" allowOverlap="1" wp14:anchorId="74C3212B" wp14:editId="7CDC6DB2">
            <wp:simplePos x="0" y="0"/>
            <wp:positionH relativeFrom="column">
              <wp:posOffset>-6350</wp:posOffset>
            </wp:positionH>
            <wp:positionV relativeFrom="paragraph">
              <wp:posOffset>143510</wp:posOffset>
            </wp:positionV>
            <wp:extent cx="5208270" cy="3665855"/>
            <wp:effectExtent l="19050" t="0" r="0" b="0"/>
            <wp:wrapTopAndBottom/>
            <wp:docPr id="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srcRect l="25327" t="19878" r="26758" b="19572"/>
                    <a:stretch>
                      <a:fillRect/>
                    </a:stretch>
                  </pic:blipFill>
                  <pic:spPr bwMode="auto">
                    <a:xfrm>
                      <a:off x="0" y="0"/>
                      <a:ext cx="5208270" cy="3665855"/>
                    </a:xfrm>
                    <a:prstGeom prst="rect">
                      <a:avLst/>
                    </a:prstGeom>
                    <a:noFill/>
                    <a:ln w="9525">
                      <a:noFill/>
                      <a:miter lim="800000"/>
                      <a:headEnd/>
                      <a:tailEnd/>
                    </a:ln>
                  </pic:spPr>
                </pic:pic>
              </a:graphicData>
            </a:graphic>
          </wp:anchor>
        </w:drawing>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0"/>
      </w:tblGrid>
      <w:tr w:rsidR="002F64ED" w:rsidRPr="006F6ABB" w14:paraId="5726A39F" w14:textId="77777777">
        <w:tc>
          <w:tcPr>
            <w:tcW w:w="8890" w:type="dxa"/>
            <w:shd w:val="clear" w:color="auto" w:fill="CCFFCC"/>
          </w:tcPr>
          <w:p w14:paraId="01AB489E" w14:textId="77777777" w:rsidR="002F64ED" w:rsidRDefault="002F64ED">
            <w:pPr>
              <w:rPr>
                <w:rFonts w:ascii="Arial" w:hAnsi="Arial" w:cs="Arial"/>
                <w:b/>
                <w:bCs/>
                <w:sz w:val="20"/>
                <w:szCs w:val="20"/>
              </w:rPr>
            </w:pPr>
            <w:r w:rsidRPr="003179AC">
              <w:rPr>
                <w:rFonts w:ascii="Arial" w:hAnsi="Arial" w:cs="Arial"/>
                <w:b/>
                <w:iCs/>
                <w:sz w:val="20"/>
                <w:szCs w:val="20"/>
                <w:lang w:val="es-ES_tradnl"/>
              </w:rPr>
              <w:t xml:space="preserve">Tabla </w:t>
            </w:r>
            <w:r w:rsidR="00F7588A">
              <w:rPr>
                <w:rFonts w:ascii="Arial" w:hAnsi="Arial" w:cs="Arial"/>
                <w:b/>
                <w:iCs/>
                <w:sz w:val="20"/>
                <w:szCs w:val="20"/>
                <w:lang w:val="es-ES_tradnl"/>
              </w:rPr>
              <w:t>9</w:t>
            </w:r>
            <w:r w:rsidRPr="003179AC">
              <w:rPr>
                <w:rFonts w:ascii="Arial" w:hAnsi="Arial" w:cs="Arial"/>
                <w:b/>
                <w:iCs/>
                <w:sz w:val="20"/>
                <w:szCs w:val="20"/>
                <w:lang w:val="es-ES_tradnl"/>
              </w:rPr>
              <w:t>.</w:t>
            </w:r>
            <w:r w:rsidRPr="006F6ABB">
              <w:rPr>
                <w:rFonts w:ascii="Arial" w:hAnsi="Arial" w:cs="Arial"/>
                <w:b/>
                <w:i/>
                <w:sz w:val="20"/>
                <w:szCs w:val="20"/>
                <w:lang w:val="es-ES_tradnl"/>
              </w:rPr>
              <w:t xml:space="preserve">  </w:t>
            </w:r>
            <w:r>
              <w:rPr>
                <w:rFonts w:ascii="Arial" w:hAnsi="Arial" w:cs="Arial"/>
                <w:b/>
                <w:bCs/>
                <w:sz w:val="20"/>
                <w:szCs w:val="20"/>
              </w:rPr>
              <w:t>Resultados de eficacia agrupados de la fase de mantenimiento de ARCADIA 1 y 2</w:t>
            </w:r>
          </w:p>
          <w:p w14:paraId="230D7AA4" w14:textId="77777777" w:rsidR="002F64ED" w:rsidRPr="006F6ABB" w:rsidRDefault="002F64ED">
            <w:pPr>
              <w:rPr>
                <w:rFonts w:ascii="Arial" w:hAnsi="Arial" w:cs="Arial"/>
                <w:b/>
                <w:i/>
                <w:sz w:val="16"/>
                <w:lang w:val="es-ES_tradnl"/>
              </w:rPr>
            </w:pPr>
            <w:r w:rsidRPr="006F6ABB">
              <w:rPr>
                <w:rFonts w:ascii="Arial" w:hAnsi="Arial" w:cs="Arial"/>
                <w:b/>
                <w:i/>
                <w:sz w:val="16"/>
                <w:lang w:val="es-ES_tradnl"/>
              </w:rPr>
              <w:t>Referencia:</w:t>
            </w:r>
            <w:r>
              <w:rPr>
                <w:rFonts w:ascii="Arial" w:hAnsi="Arial" w:cs="Arial"/>
                <w:b/>
                <w:i/>
                <w:sz w:val="16"/>
                <w:lang w:val="es-ES_tradnl"/>
              </w:rPr>
              <w:t xml:space="preserve"> </w:t>
            </w:r>
            <w:r w:rsidRPr="002F64ED">
              <w:rPr>
                <w:rFonts w:ascii="Arial" w:hAnsi="Arial" w:cs="Arial"/>
                <w:b/>
                <w:i/>
                <w:sz w:val="16"/>
                <w:lang w:val="es-ES_tradnl"/>
              </w:rPr>
              <w:t xml:space="preserve">European Medicines Agency (EMA). Informe EPAR Nemluvio 2024 </w:t>
            </w:r>
          </w:p>
        </w:tc>
      </w:tr>
      <w:tr w:rsidR="002F64ED" w:rsidRPr="006F6ABB" w14:paraId="189EF1C7" w14:textId="77777777">
        <w:trPr>
          <w:trHeight w:val="2427"/>
        </w:trPr>
        <w:tc>
          <w:tcPr>
            <w:tcW w:w="8890" w:type="dxa"/>
          </w:tcPr>
          <w:p w14:paraId="005FE488" w14:textId="77777777" w:rsidR="003179AC" w:rsidRDefault="003179AC">
            <w:pPr>
              <w:jc w:val="both"/>
              <w:rPr>
                <w:rFonts w:ascii="Arial" w:hAnsi="Arial" w:cs="Arial"/>
                <w:b/>
                <w:bCs/>
                <w:sz w:val="16"/>
              </w:rPr>
            </w:pPr>
          </w:p>
          <w:p w14:paraId="79CED9BE" w14:textId="77777777" w:rsidR="002F64ED" w:rsidRDefault="002F64ED">
            <w:pPr>
              <w:jc w:val="both"/>
              <w:rPr>
                <w:rFonts w:ascii="Arial" w:hAnsi="Arial" w:cs="Arial"/>
                <w:sz w:val="16"/>
              </w:rPr>
            </w:pPr>
            <w:r w:rsidRPr="00E36385">
              <w:rPr>
                <w:rFonts w:ascii="Arial" w:hAnsi="Arial" w:cs="Arial"/>
                <w:b/>
                <w:bCs/>
                <w:sz w:val="16"/>
              </w:rPr>
              <w:t>-Nº de pacientes:</w:t>
            </w:r>
            <w:r>
              <w:rPr>
                <w:rFonts w:ascii="Arial" w:hAnsi="Arial" w:cs="Arial"/>
                <w:sz w:val="16"/>
              </w:rPr>
              <w:t xml:space="preserve"> 507</w:t>
            </w:r>
          </w:p>
          <w:p w14:paraId="0F8451E7" w14:textId="77777777" w:rsidR="002F64ED" w:rsidRPr="006F6ABB" w:rsidRDefault="002F64ED">
            <w:pPr>
              <w:jc w:val="both"/>
              <w:rPr>
                <w:rFonts w:ascii="Arial" w:hAnsi="Arial" w:cs="Arial"/>
                <w:sz w:val="16"/>
              </w:rPr>
            </w:pPr>
          </w:p>
          <w:p w14:paraId="6246C0CA" w14:textId="77777777" w:rsidR="002F64ED" w:rsidRDefault="002F64ED" w:rsidP="0085482A">
            <w:pPr>
              <w:ind w:left="708" w:hanging="708"/>
              <w:jc w:val="both"/>
              <w:rPr>
                <w:rFonts w:ascii="Arial" w:hAnsi="Arial" w:cs="Arial"/>
                <w:sz w:val="16"/>
              </w:rPr>
            </w:pPr>
            <w:r w:rsidRPr="00E36385">
              <w:rPr>
                <w:rFonts w:ascii="Arial" w:hAnsi="Arial" w:cs="Arial"/>
                <w:b/>
                <w:bCs/>
                <w:sz w:val="16"/>
              </w:rPr>
              <w:t>-</w:t>
            </w:r>
            <w:r w:rsidR="0085482A" w:rsidRPr="00E36385">
              <w:rPr>
                <w:rFonts w:ascii="Arial" w:hAnsi="Arial" w:cs="Arial"/>
                <w:b/>
                <w:bCs/>
                <w:sz w:val="16"/>
              </w:rPr>
              <w:t>Diseño:</w:t>
            </w:r>
            <w:r w:rsidR="0085482A">
              <w:rPr>
                <w:rFonts w:ascii="Arial" w:hAnsi="Arial" w:cs="Arial"/>
                <w:sz w:val="16"/>
              </w:rPr>
              <w:t xml:space="preserve"> En</w:t>
            </w:r>
            <w:r>
              <w:rPr>
                <w:rFonts w:ascii="Arial" w:hAnsi="Arial" w:cs="Arial"/>
                <w:sz w:val="16"/>
              </w:rPr>
              <w:t xml:space="preserve"> la fase de mantenimiento de re-aleatoriza a los pacientes respondedores </w:t>
            </w:r>
            <w:r w:rsidR="0085482A" w:rsidRPr="0085482A">
              <w:rPr>
                <w:rFonts w:ascii="Arial" w:hAnsi="Arial" w:cs="Arial"/>
                <w:sz w:val="16"/>
              </w:rPr>
              <w:t>(IGA de 0/1 o EASI-75 en la semana 16)</w:t>
            </w:r>
            <w:r w:rsidR="0085482A">
              <w:rPr>
                <w:rFonts w:ascii="Arial" w:hAnsi="Arial" w:cs="Arial"/>
                <w:sz w:val="16"/>
              </w:rPr>
              <w:t xml:space="preserve"> (1:1:1)</w:t>
            </w:r>
          </w:p>
          <w:p w14:paraId="4F5EF639" w14:textId="77777777" w:rsidR="002F64ED" w:rsidRPr="0031446F" w:rsidRDefault="002F64ED">
            <w:pPr>
              <w:jc w:val="both"/>
              <w:rPr>
                <w:rFonts w:ascii="Arial" w:hAnsi="Arial" w:cs="Arial"/>
                <w:sz w:val="16"/>
              </w:rPr>
            </w:pPr>
          </w:p>
          <w:p w14:paraId="0918D7AE" w14:textId="77777777" w:rsidR="002F64ED" w:rsidRDefault="002F64ED">
            <w:pPr>
              <w:jc w:val="both"/>
              <w:rPr>
                <w:rFonts w:ascii="Arial" w:hAnsi="Arial" w:cs="Arial"/>
                <w:sz w:val="16"/>
              </w:rPr>
            </w:pPr>
            <w:r w:rsidRPr="006F6ABB">
              <w:rPr>
                <w:rFonts w:ascii="Arial" w:hAnsi="Arial" w:cs="Arial"/>
                <w:sz w:val="16"/>
              </w:rPr>
              <w:t>-</w:t>
            </w:r>
            <w:r w:rsidRPr="00E36385">
              <w:rPr>
                <w:rFonts w:ascii="Arial" w:hAnsi="Arial" w:cs="Arial"/>
                <w:b/>
                <w:bCs/>
                <w:sz w:val="16"/>
              </w:rPr>
              <w:t>Tratamiento grupo activo y tratamiento grupo control:</w:t>
            </w:r>
            <w:r w:rsidRPr="006F6ABB">
              <w:rPr>
                <w:rFonts w:ascii="Arial" w:hAnsi="Arial" w:cs="Arial"/>
                <w:sz w:val="16"/>
              </w:rPr>
              <w:t xml:space="preserve">  </w:t>
            </w:r>
            <w:r w:rsidR="0001363A">
              <w:rPr>
                <w:rFonts w:ascii="Arial" w:hAnsi="Arial" w:cs="Arial"/>
                <w:sz w:val="16"/>
              </w:rPr>
              <w:t>Considerando los datos agrupados de ambos ensayos, en</w:t>
            </w:r>
            <w:r>
              <w:rPr>
                <w:rFonts w:ascii="Arial" w:hAnsi="Arial" w:cs="Arial"/>
                <w:sz w:val="16"/>
              </w:rPr>
              <w:t xml:space="preserve"> la fase de mantenimiento (hasta semana 48), los pacientes respondedores, se re-aleatorizaron a nemolizumab 30 mg Q4W (n=</w:t>
            </w:r>
            <w:r w:rsidR="0085482A">
              <w:rPr>
                <w:rFonts w:ascii="Arial" w:hAnsi="Arial" w:cs="Arial"/>
                <w:sz w:val="16"/>
              </w:rPr>
              <w:t>169</w:t>
            </w:r>
            <w:r>
              <w:rPr>
                <w:rFonts w:ascii="Arial" w:hAnsi="Arial" w:cs="Arial"/>
                <w:sz w:val="16"/>
              </w:rPr>
              <w:t>), nemolizumab Q8W (n=</w:t>
            </w:r>
            <w:r w:rsidR="0085482A">
              <w:rPr>
                <w:rFonts w:ascii="Arial" w:hAnsi="Arial" w:cs="Arial"/>
                <w:sz w:val="16"/>
              </w:rPr>
              <w:t>169</w:t>
            </w:r>
            <w:r>
              <w:rPr>
                <w:rFonts w:ascii="Arial" w:hAnsi="Arial" w:cs="Arial"/>
                <w:sz w:val="16"/>
              </w:rPr>
              <w:t>) o placebo Q4W (n=</w:t>
            </w:r>
            <w:r w:rsidR="0085482A">
              <w:rPr>
                <w:rFonts w:ascii="Arial" w:hAnsi="Arial" w:cs="Arial"/>
                <w:sz w:val="16"/>
              </w:rPr>
              <w:t>169</w:t>
            </w:r>
            <w:r>
              <w:rPr>
                <w:rFonts w:ascii="Arial" w:hAnsi="Arial" w:cs="Arial"/>
                <w:sz w:val="16"/>
              </w:rPr>
              <w:t>) y los pacientes que iniciaron con placebo se mantuvieron con placebo. En ambos brazos, e</w:t>
            </w:r>
            <w:r w:rsidRPr="005673D0">
              <w:rPr>
                <w:rFonts w:ascii="Arial" w:hAnsi="Arial" w:cs="Arial"/>
                <w:sz w:val="16"/>
              </w:rPr>
              <w:t>ste tratamiento se administró junto con una terapia tópica</w:t>
            </w:r>
            <w:r w:rsidRPr="005673D0">
              <w:rPr>
                <w:rFonts w:ascii="Arial" w:hAnsi="Arial" w:cs="Arial"/>
                <w:b/>
                <w:bCs/>
                <w:sz w:val="16"/>
              </w:rPr>
              <w:t xml:space="preserve"> </w:t>
            </w:r>
            <w:r w:rsidRPr="005673D0">
              <w:rPr>
                <w:rFonts w:ascii="Arial" w:hAnsi="Arial" w:cs="Arial"/>
                <w:sz w:val="16"/>
              </w:rPr>
              <w:t>(TCS con o sin TCI)</w:t>
            </w:r>
            <w:r>
              <w:rPr>
                <w:rFonts w:ascii="Arial" w:hAnsi="Arial" w:cs="Arial"/>
                <w:sz w:val="16"/>
              </w:rPr>
              <w:t xml:space="preserve">. </w:t>
            </w:r>
          </w:p>
          <w:p w14:paraId="1916E210" w14:textId="77777777" w:rsidR="002F64ED" w:rsidRPr="006F6ABB" w:rsidRDefault="002F64ED">
            <w:pPr>
              <w:jc w:val="both"/>
              <w:rPr>
                <w:rFonts w:ascii="Arial" w:hAnsi="Arial" w:cs="Arial"/>
                <w:sz w:val="16"/>
              </w:rPr>
            </w:pPr>
          </w:p>
          <w:p w14:paraId="1DEB4DF7" w14:textId="77777777" w:rsidR="002F64ED" w:rsidRDefault="002F64ED">
            <w:pPr>
              <w:jc w:val="both"/>
              <w:rPr>
                <w:rFonts w:ascii="Arial" w:hAnsi="Arial" w:cs="Arial"/>
                <w:sz w:val="16"/>
              </w:rPr>
            </w:pPr>
            <w:r w:rsidRPr="00B536FB">
              <w:rPr>
                <w:rFonts w:ascii="Arial" w:hAnsi="Arial" w:cs="Arial"/>
                <w:b/>
                <w:bCs/>
                <w:sz w:val="16"/>
              </w:rPr>
              <w:t>-Pérdidas:</w:t>
            </w:r>
            <w:r>
              <w:rPr>
                <w:rFonts w:ascii="Arial" w:hAnsi="Arial" w:cs="Arial"/>
                <w:sz w:val="16"/>
              </w:rPr>
              <w:t xml:space="preserve"> Pacientes respondedores a nemolizumab que no continuaron tratamiento hasta la semana 48 con: nemolizumab 30 mg Q4W (n=27), nemolizumab Q8W (n=22), placebo (n=</w:t>
            </w:r>
            <w:r w:rsidR="0001363A">
              <w:rPr>
                <w:rFonts w:ascii="Arial" w:hAnsi="Arial" w:cs="Arial"/>
                <w:sz w:val="16"/>
              </w:rPr>
              <w:t>3</w:t>
            </w:r>
            <w:r>
              <w:rPr>
                <w:rFonts w:ascii="Arial" w:hAnsi="Arial" w:cs="Arial"/>
                <w:sz w:val="16"/>
              </w:rPr>
              <w:t xml:space="preserve">4), pacientes respondedores con placebo que no continuaron hasta la semana 48 (n=28). </w:t>
            </w:r>
          </w:p>
          <w:p w14:paraId="671AC183" w14:textId="77777777" w:rsidR="002F64ED" w:rsidRPr="006F6ABB" w:rsidRDefault="002F64ED">
            <w:pPr>
              <w:jc w:val="both"/>
              <w:rPr>
                <w:rFonts w:ascii="Arial" w:hAnsi="Arial" w:cs="Arial"/>
                <w:sz w:val="16"/>
              </w:rPr>
            </w:pPr>
          </w:p>
          <w:p w14:paraId="087EB50E" w14:textId="77777777" w:rsidR="002F64ED" w:rsidRDefault="002F64ED" w:rsidP="002F64ED">
            <w:pPr>
              <w:jc w:val="both"/>
              <w:rPr>
                <w:rFonts w:ascii="Arial" w:hAnsi="Arial" w:cs="Arial"/>
                <w:sz w:val="16"/>
              </w:rPr>
            </w:pPr>
            <w:r w:rsidRPr="00415AF5">
              <w:rPr>
                <w:rFonts w:ascii="Arial" w:hAnsi="Arial" w:cs="Arial"/>
                <w:b/>
                <w:bCs/>
                <w:sz w:val="16"/>
              </w:rPr>
              <w:t>-Tipo de análisis:</w:t>
            </w:r>
            <w:r>
              <w:t xml:space="preserve"> </w:t>
            </w:r>
            <w:r>
              <w:rPr>
                <w:rFonts w:ascii="Arial" w:hAnsi="Arial" w:cs="Arial"/>
                <w:sz w:val="16"/>
              </w:rPr>
              <w:t>Se analizaron las varia</w:t>
            </w:r>
            <w:r w:rsidR="0085482A">
              <w:rPr>
                <w:rFonts w:ascii="Arial" w:hAnsi="Arial" w:cs="Arial"/>
                <w:sz w:val="16"/>
              </w:rPr>
              <w:t>b</w:t>
            </w:r>
            <w:r>
              <w:rPr>
                <w:rFonts w:ascii="Arial" w:hAnsi="Arial" w:cs="Arial"/>
                <w:sz w:val="16"/>
              </w:rPr>
              <w:t>les primarias igual que en el estudio de inducción.</w:t>
            </w:r>
          </w:p>
          <w:p w14:paraId="7FF4943A" w14:textId="77777777" w:rsidR="0042493D" w:rsidRDefault="0042493D" w:rsidP="002F64ED">
            <w:pPr>
              <w:jc w:val="both"/>
              <w:rPr>
                <w:rFonts w:ascii="Arial" w:hAnsi="Arial" w:cs="Arial"/>
                <w:sz w:val="16"/>
              </w:rPr>
            </w:pPr>
          </w:p>
          <w:tbl>
            <w:tblPr>
              <w:tblW w:w="8800" w:type="dxa"/>
              <w:tblCellMar>
                <w:left w:w="70" w:type="dxa"/>
                <w:right w:w="70" w:type="dxa"/>
              </w:tblCellMar>
              <w:tblLook w:val="04A0" w:firstRow="1" w:lastRow="0" w:firstColumn="1" w:lastColumn="0" w:noHBand="0" w:noVBand="1"/>
            </w:tblPr>
            <w:tblGrid>
              <w:gridCol w:w="2400"/>
              <w:gridCol w:w="1420"/>
              <w:gridCol w:w="1200"/>
              <w:gridCol w:w="1200"/>
              <w:gridCol w:w="1380"/>
              <w:gridCol w:w="1200"/>
            </w:tblGrid>
            <w:tr w:rsidR="0042493D" w14:paraId="1E45D348" w14:textId="77777777" w:rsidTr="0042493D">
              <w:trPr>
                <w:trHeight w:val="315"/>
              </w:trPr>
              <w:tc>
                <w:tcPr>
                  <w:tcW w:w="8800" w:type="dxa"/>
                  <w:gridSpan w:val="6"/>
                  <w:tcBorders>
                    <w:top w:val="single" w:sz="8" w:space="0" w:color="auto"/>
                    <w:left w:val="single" w:sz="8" w:space="0" w:color="auto"/>
                    <w:bottom w:val="single" w:sz="8" w:space="0" w:color="auto"/>
                    <w:right w:val="nil"/>
                  </w:tcBorders>
                  <w:shd w:val="clear" w:color="000000" w:fill="CCFFCC"/>
                  <w:vAlign w:val="center"/>
                  <w:hideMark/>
                </w:tcPr>
                <w:p w14:paraId="64E77379"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Resultados  MANTENIMIENTO AGRUPADOS ARCADIA 1 y 2 (Pacientes respondedores)</w:t>
                  </w:r>
                </w:p>
              </w:tc>
            </w:tr>
            <w:tr w:rsidR="0042493D" w14:paraId="76E26E89" w14:textId="77777777" w:rsidTr="0042493D">
              <w:trPr>
                <w:trHeight w:val="630"/>
              </w:trPr>
              <w:tc>
                <w:tcPr>
                  <w:tcW w:w="24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7C74154"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Covariables principales, semana 48</w:t>
                  </w:r>
                </w:p>
              </w:tc>
              <w:tc>
                <w:tcPr>
                  <w:tcW w:w="1420" w:type="dxa"/>
                  <w:tcBorders>
                    <w:top w:val="nil"/>
                    <w:left w:val="nil"/>
                    <w:bottom w:val="nil"/>
                    <w:right w:val="single" w:sz="8" w:space="0" w:color="auto"/>
                  </w:tcBorders>
                  <w:vAlign w:val="center"/>
                  <w:hideMark/>
                </w:tcPr>
                <w:p w14:paraId="32221AFE"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Nemolizumab 30 mg Q4W a Q4W</w:t>
                  </w:r>
                </w:p>
              </w:tc>
              <w:tc>
                <w:tcPr>
                  <w:tcW w:w="1200" w:type="dxa"/>
                  <w:tcBorders>
                    <w:top w:val="nil"/>
                    <w:left w:val="nil"/>
                    <w:bottom w:val="nil"/>
                    <w:right w:val="single" w:sz="8" w:space="0" w:color="auto"/>
                  </w:tcBorders>
                  <w:vAlign w:val="center"/>
                  <w:hideMark/>
                </w:tcPr>
                <w:p w14:paraId="61725644"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Nemolizumab 30 mg Q4W a Q8W</w:t>
                  </w:r>
                </w:p>
              </w:tc>
              <w:tc>
                <w:tcPr>
                  <w:tcW w:w="1200" w:type="dxa"/>
                  <w:tcBorders>
                    <w:top w:val="nil"/>
                    <w:left w:val="nil"/>
                    <w:bottom w:val="nil"/>
                    <w:right w:val="single" w:sz="8" w:space="0" w:color="auto"/>
                  </w:tcBorders>
                  <w:vAlign w:val="center"/>
                  <w:hideMark/>
                </w:tcPr>
                <w:p w14:paraId="7A64604B"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Nemolizumab Q4W a placebo</w:t>
                  </w:r>
                </w:p>
              </w:tc>
              <w:tc>
                <w:tcPr>
                  <w:tcW w:w="1380" w:type="dxa"/>
                  <w:vMerge w:val="restart"/>
                  <w:tcBorders>
                    <w:top w:val="nil"/>
                    <w:left w:val="single" w:sz="8" w:space="0" w:color="auto"/>
                    <w:bottom w:val="single" w:sz="8" w:space="0" w:color="000000"/>
                    <w:right w:val="single" w:sz="8" w:space="0" w:color="auto"/>
                  </w:tcBorders>
                  <w:vAlign w:val="center"/>
                  <w:hideMark/>
                </w:tcPr>
                <w:p w14:paraId="77CF052B"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Diferencia de respuesta (IC 95%)</w:t>
                  </w:r>
                </w:p>
              </w:tc>
              <w:tc>
                <w:tcPr>
                  <w:tcW w:w="1200" w:type="dxa"/>
                  <w:vMerge w:val="restart"/>
                  <w:tcBorders>
                    <w:top w:val="nil"/>
                    <w:left w:val="single" w:sz="8" w:space="0" w:color="auto"/>
                    <w:bottom w:val="single" w:sz="8" w:space="0" w:color="000000"/>
                    <w:right w:val="single" w:sz="8" w:space="0" w:color="auto"/>
                  </w:tcBorders>
                  <w:vAlign w:val="center"/>
                  <w:hideMark/>
                </w:tcPr>
                <w:p w14:paraId="5C06406D"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p</w:t>
                  </w:r>
                </w:p>
              </w:tc>
            </w:tr>
            <w:tr w:rsidR="0042493D" w14:paraId="64CB8BF4" w14:textId="77777777" w:rsidTr="0042493D">
              <w:trPr>
                <w:trHeight w:val="315"/>
              </w:trPr>
              <w:tc>
                <w:tcPr>
                  <w:tcW w:w="2400" w:type="dxa"/>
                  <w:vMerge/>
                  <w:tcBorders>
                    <w:top w:val="nil"/>
                    <w:left w:val="single" w:sz="8" w:space="0" w:color="auto"/>
                    <w:bottom w:val="single" w:sz="8" w:space="0" w:color="000000"/>
                    <w:right w:val="single" w:sz="8" w:space="0" w:color="auto"/>
                  </w:tcBorders>
                  <w:vAlign w:val="center"/>
                  <w:hideMark/>
                </w:tcPr>
                <w:p w14:paraId="67B76EE9" w14:textId="77777777" w:rsidR="0042493D" w:rsidRDefault="0042493D" w:rsidP="0042493D">
                  <w:pPr>
                    <w:rPr>
                      <w:rFonts w:ascii="Arial" w:hAnsi="Arial" w:cs="Arial"/>
                      <w:b/>
                      <w:bCs/>
                      <w:i/>
                      <w:iCs/>
                      <w:color w:val="000000"/>
                      <w:sz w:val="16"/>
                      <w:szCs w:val="16"/>
                    </w:rPr>
                  </w:pPr>
                </w:p>
              </w:tc>
              <w:tc>
                <w:tcPr>
                  <w:tcW w:w="1420" w:type="dxa"/>
                  <w:tcBorders>
                    <w:top w:val="nil"/>
                    <w:left w:val="nil"/>
                    <w:bottom w:val="single" w:sz="8" w:space="0" w:color="auto"/>
                    <w:right w:val="single" w:sz="8" w:space="0" w:color="auto"/>
                  </w:tcBorders>
                  <w:vAlign w:val="center"/>
                  <w:hideMark/>
                </w:tcPr>
                <w:p w14:paraId="0326C547"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N (169)</w:t>
                  </w:r>
                </w:p>
              </w:tc>
              <w:tc>
                <w:tcPr>
                  <w:tcW w:w="1200" w:type="dxa"/>
                  <w:tcBorders>
                    <w:top w:val="nil"/>
                    <w:left w:val="nil"/>
                    <w:bottom w:val="single" w:sz="8" w:space="0" w:color="auto"/>
                    <w:right w:val="single" w:sz="8" w:space="0" w:color="auto"/>
                  </w:tcBorders>
                  <w:vAlign w:val="center"/>
                  <w:hideMark/>
                </w:tcPr>
                <w:p w14:paraId="016AE61A"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N (169)</w:t>
                  </w:r>
                </w:p>
              </w:tc>
              <w:tc>
                <w:tcPr>
                  <w:tcW w:w="1200" w:type="dxa"/>
                  <w:tcBorders>
                    <w:top w:val="nil"/>
                    <w:left w:val="nil"/>
                    <w:bottom w:val="single" w:sz="8" w:space="0" w:color="auto"/>
                    <w:right w:val="single" w:sz="8" w:space="0" w:color="auto"/>
                  </w:tcBorders>
                  <w:vAlign w:val="center"/>
                  <w:hideMark/>
                </w:tcPr>
                <w:p w14:paraId="7D0A147D" w14:textId="77777777" w:rsidR="0042493D" w:rsidRDefault="0042493D" w:rsidP="0042493D">
                  <w:pPr>
                    <w:jc w:val="center"/>
                    <w:rPr>
                      <w:rFonts w:ascii="Arial" w:hAnsi="Arial" w:cs="Arial"/>
                      <w:b/>
                      <w:bCs/>
                      <w:i/>
                      <w:iCs/>
                      <w:color w:val="000000"/>
                      <w:sz w:val="16"/>
                      <w:szCs w:val="16"/>
                    </w:rPr>
                  </w:pPr>
                  <w:r>
                    <w:rPr>
                      <w:rFonts w:ascii="Arial" w:hAnsi="Arial" w:cs="Arial"/>
                      <w:b/>
                      <w:bCs/>
                      <w:i/>
                      <w:iCs/>
                      <w:color w:val="000000"/>
                      <w:sz w:val="16"/>
                      <w:szCs w:val="16"/>
                    </w:rPr>
                    <w:t>N (169)</w:t>
                  </w:r>
                </w:p>
              </w:tc>
              <w:tc>
                <w:tcPr>
                  <w:tcW w:w="1380" w:type="dxa"/>
                  <w:vMerge/>
                  <w:tcBorders>
                    <w:top w:val="nil"/>
                    <w:left w:val="single" w:sz="8" w:space="0" w:color="auto"/>
                    <w:bottom w:val="single" w:sz="8" w:space="0" w:color="000000"/>
                    <w:right w:val="single" w:sz="8" w:space="0" w:color="auto"/>
                  </w:tcBorders>
                  <w:vAlign w:val="center"/>
                  <w:hideMark/>
                </w:tcPr>
                <w:p w14:paraId="06C0F439" w14:textId="77777777" w:rsidR="0042493D" w:rsidRDefault="0042493D" w:rsidP="0042493D">
                  <w:pPr>
                    <w:rPr>
                      <w:rFonts w:ascii="Arial" w:hAnsi="Arial" w:cs="Arial"/>
                      <w:b/>
                      <w:bCs/>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365D5E5" w14:textId="77777777" w:rsidR="0042493D" w:rsidRDefault="0042493D" w:rsidP="0042493D">
                  <w:pPr>
                    <w:rPr>
                      <w:rFonts w:ascii="Arial" w:hAnsi="Arial" w:cs="Arial"/>
                      <w:b/>
                      <w:bCs/>
                      <w:i/>
                      <w:iCs/>
                      <w:color w:val="000000"/>
                      <w:sz w:val="16"/>
                      <w:szCs w:val="16"/>
                    </w:rPr>
                  </w:pPr>
                </w:p>
              </w:tc>
            </w:tr>
            <w:tr w:rsidR="0042493D" w14:paraId="7315C557" w14:textId="77777777" w:rsidTr="0042493D">
              <w:trPr>
                <w:trHeight w:val="900"/>
              </w:trPr>
              <w:tc>
                <w:tcPr>
                  <w:tcW w:w="2400" w:type="dxa"/>
                  <w:tcBorders>
                    <w:top w:val="nil"/>
                    <w:left w:val="single" w:sz="8" w:space="0" w:color="auto"/>
                    <w:bottom w:val="nil"/>
                    <w:right w:val="single" w:sz="8" w:space="0" w:color="auto"/>
                  </w:tcBorders>
                  <w:vAlign w:val="center"/>
                  <w:hideMark/>
                </w:tcPr>
                <w:p w14:paraId="6FC500B4" w14:textId="77777777" w:rsidR="0042493D" w:rsidRDefault="0042493D" w:rsidP="0042493D">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20" w:type="dxa"/>
                  <w:vMerge w:val="restart"/>
                  <w:tcBorders>
                    <w:top w:val="nil"/>
                    <w:left w:val="single" w:sz="8" w:space="0" w:color="auto"/>
                    <w:bottom w:val="nil"/>
                    <w:right w:val="single" w:sz="8" w:space="0" w:color="auto"/>
                  </w:tcBorders>
                  <w:vAlign w:val="center"/>
                  <w:hideMark/>
                </w:tcPr>
                <w:p w14:paraId="73B8FD43"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104 (61,5%)</w:t>
                  </w:r>
                </w:p>
              </w:tc>
              <w:tc>
                <w:tcPr>
                  <w:tcW w:w="1200" w:type="dxa"/>
                  <w:vMerge w:val="restart"/>
                  <w:tcBorders>
                    <w:top w:val="nil"/>
                    <w:left w:val="single" w:sz="8" w:space="0" w:color="auto"/>
                    <w:bottom w:val="nil"/>
                    <w:right w:val="single" w:sz="8" w:space="0" w:color="auto"/>
                  </w:tcBorders>
                  <w:vAlign w:val="center"/>
                  <w:hideMark/>
                </w:tcPr>
                <w:p w14:paraId="1AD8E78E"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102 (60,4%)</w:t>
                  </w:r>
                </w:p>
              </w:tc>
              <w:tc>
                <w:tcPr>
                  <w:tcW w:w="1200" w:type="dxa"/>
                  <w:vMerge w:val="restart"/>
                  <w:tcBorders>
                    <w:top w:val="nil"/>
                    <w:left w:val="single" w:sz="8" w:space="0" w:color="auto"/>
                    <w:bottom w:val="nil"/>
                    <w:right w:val="single" w:sz="8" w:space="0" w:color="auto"/>
                  </w:tcBorders>
                  <w:vAlign w:val="center"/>
                  <w:hideMark/>
                </w:tcPr>
                <w:p w14:paraId="0E3801F0"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84 (49,7%)</w:t>
                  </w:r>
                </w:p>
              </w:tc>
              <w:tc>
                <w:tcPr>
                  <w:tcW w:w="1380" w:type="dxa"/>
                  <w:tcBorders>
                    <w:top w:val="nil"/>
                    <w:left w:val="nil"/>
                    <w:bottom w:val="single" w:sz="4" w:space="0" w:color="auto"/>
                    <w:right w:val="single" w:sz="4" w:space="0" w:color="auto"/>
                  </w:tcBorders>
                  <w:vAlign w:val="center"/>
                  <w:hideMark/>
                </w:tcPr>
                <w:p w14:paraId="15AF1561"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Nemolizumab 30 mg Q4W vs placebo: 11,8 (1,3-22,3)</w:t>
                  </w:r>
                </w:p>
              </w:tc>
              <w:tc>
                <w:tcPr>
                  <w:tcW w:w="1200" w:type="dxa"/>
                  <w:tcBorders>
                    <w:top w:val="nil"/>
                    <w:left w:val="nil"/>
                    <w:bottom w:val="single" w:sz="4" w:space="0" w:color="auto"/>
                    <w:right w:val="single" w:sz="4" w:space="0" w:color="auto"/>
                  </w:tcBorders>
                  <w:vAlign w:val="center"/>
                  <w:hideMark/>
                </w:tcPr>
                <w:p w14:paraId="78D3DEC3"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0,029</w:t>
                  </w:r>
                </w:p>
              </w:tc>
            </w:tr>
            <w:tr w:rsidR="0042493D" w14:paraId="09757098" w14:textId="77777777" w:rsidTr="0042493D">
              <w:trPr>
                <w:trHeight w:val="915"/>
              </w:trPr>
              <w:tc>
                <w:tcPr>
                  <w:tcW w:w="2400" w:type="dxa"/>
                  <w:tcBorders>
                    <w:top w:val="nil"/>
                    <w:left w:val="single" w:sz="8" w:space="0" w:color="auto"/>
                    <w:bottom w:val="nil"/>
                    <w:right w:val="single" w:sz="8" w:space="0" w:color="auto"/>
                  </w:tcBorders>
                  <w:vAlign w:val="center"/>
                  <w:hideMark/>
                </w:tcPr>
                <w:p w14:paraId="25408707"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IGA 0/1 y ≥2 puntos de reducción (semana 48)</w:t>
                  </w:r>
                </w:p>
              </w:tc>
              <w:tc>
                <w:tcPr>
                  <w:tcW w:w="1420" w:type="dxa"/>
                  <w:vMerge/>
                  <w:tcBorders>
                    <w:top w:val="nil"/>
                    <w:left w:val="single" w:sz="8" w:space="0" w:color="auto"/>
                    <w:bottom w:val="nil"/>
                    <w:right w:val="single" w:sz="8" w:space="0" w:color="auto"/>
                  </w:tcBorders>
                  <w:vAlign w:val="center"/>
                  <w:hideMark/>
                </w:tcPr>
                <w:p w14:paraId="3788EB17" w14:textId="77777777" w:rsidR="0042493D" w:rsidRDefault="0042493D" w:rsidP="0042493D">
                  <w:pPr>
                    <w:rPr>
                      <w:rFonts w:ascii="Arial" w:hAnsi="Arial" w:cs="Arial"/>
                      <w:i/>
                      <w:iCs/>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1AAF9924" w14:textId="77777777" w:rsidR="0042493D" w:rsidRDefault="0042493D" w:rsidP="0042493D">
                  <w:pPr>
                    <w:rPr>
                      <w:rFonts w:ascii="Arial" w:hAnsi="Arial" w:cs="Arial"/>
                      <w:i/>
                      <w:iCs/>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5D92AE01" w14:textId="77777777" w:rsidR="0042493D" w:rsidRDefault="0042493D" w:rsidP="0042493D">
                  <w:pPr>
                    <w:rPr>
                      <w:rFonts w:ascii="Arial" w:hAnsi="Arial" w:cs="Arial"/>
                      <w:i/>
                      <w:iCs/>
                      <w:color w:val="000000"/>
                      <w:sz w:val="16"/>
                      <w:szCs w:val="16"/>
                    </w:rPr>
                  </w:pPr>
                </w:p>
              </w:tc>
              <w:tc>
                <w:tcPr>
                  <w:tcW w:w="1380" w:type="dxa"/>
                  <w:tcBorders>
                    <w:top w:val="nil"/>
                    <w:left w:val="nil"/>
                    <w:bottom w:val="single" w:sz="8" w:space="0" w:color="auto"/>
                    <w:right w:val="single" w:sz="4" w:space="0" w:color="auto"/>
                  </w:tcBorders>
                  <w:vAlign w:val="center"/>
                  <w:hideMark/>
                </w:tcPr>
                <w:p w14:paraId="5F2A317B"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 xml:space="preserve">Nemolizumab 30 mg Q8W vs placebo: 10,7 (0,3-21)  </w:t>
                  </w:r>
                </w:p>
              </w:tc>
              <w:tc>
                <w:tcPr>
                  <w:tcW w:w="1200" w:type="dxa"/>
                  <w:tcBorders>
                    <w:top w:val="nil"/>
                    <w:left w:val="nil"/>
                    <w:bottom w:val="single" w:sz="8" w:space="0" w:color="auto"/>
                    <w:right w:val="single" w:sz="4" w:space="0" w:color="auto"/>
                  </w:tcBorders>
                  <w:vAlign w:val="center"/>
                  <w:hideMark/>
                </w:tcPr>
                <w:p w14:paraId="70B922B5"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0,0465</w:t>
                  </w:r>
                </w:p>
              </w:tc>
            </w:tr>
            <w:tr w:rsidR="0042493D" w14:paraId="78C5D95D" w14:textId="77777777" w:rsidTr="0042493D">
              <w:trPr>
                <w:trHeight w:val="900"/>
              </w:trPr>
              <w:tc>
                <w:tcPr>
                  <w:tcW w:w="2400" w:type="dxa"/>
                  <w:tcBorders>
                    <w:top w:val="single" w:sz="8" w:space="0" w:color="auto"/>
                    <w:left w:val="single" w:sz="8" w:space="0" w:color="auto"/>
                    <w:bottom w:val="nil"/>
                    <w:right w:val="single" w:sz="8" w:space="0" w:color="auto"/>
                  </w:tcBorders>
                  <w:vAlign w:val="center"/>
                  <w:hideMark/>
                </w:tcPr>
                <w:p w14:paraId="796D2DFD" w14:textId="77777777" w:rsidR="0042493D" w:rsidRDefault="0042493D" w:rsidP="0042493D">
                  <w:pPr>
                    <w:jc w:val="center"/>
                    <w:rPr>
                      <w:rFonts w:ascii="Arial" w:hAnsi="Arial" w:cs="Arial"/>
                      <w:b/>
                      <w:bCs/>
                      <w:i/>
                      <w:iCs/>
                      <w:color w:val="000000"/>
                      <w:sz w:val="16"/>
                      <w:szCs w:val="16"/>
                      <w:u w:val="single"/>
                    </w:rPr>
                  </w:pPr>
                  <w:r>
                    <w:rPr>
                      <w:rFonts w:ascii="Arial" w:hAnsi="Arial" w:cs="Arial"/>
                      <w:b/>
                      <w:bCs/>
                      <w:i/>
                      <w:iCs/>
                      <w:color w:val="000000"/>
                      <w:sz w:val="16"/>
                      <w:szCs w:val="16"/>
                      <w:u w:val="single"/>
                    </w:rPr>
                    <w:t>Covariable principal</w:t>
                  </w:r>
                </w:p>
              </w:tc>
              <w:tc>
                <w:tcPr>
                  <w:tcW w:w="1420" w:type="dxa"/>
                  <w:vMerge w:val="restart"/>
                  <w:tcBorders>
                    <w:top w:val="single" w:sz="8" w:space="0" w:color="auto"/>
                    <w:left w:val="single" w:sz="8" w:space="0" w:color="auto"/>
                    <w:bottom w:val="single" w:sz="8" w:space="0" w:color="000000"/>
                    <w:right w:val="single" w:sz="8" w:space="0" w:color="auto"/>
                  </w:tcBorders>
                  <w:vAlign w:val="center"/>
                  <w:hideMark/>
                </w:tcPr>
                <w:p w14:paraId="6C8A3AA5"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129 (76,3%)</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0DF8AFF9"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128 (75,7%)</w:t>
                  </w:r>
                </w:p>
              </w:tc>
              <w:tc>
                <w:tcPr>
                  <w:tcW w:w="1200" w:type="dxa"/>
                  <w:vMerge w:val="restart"/>
                  <w:tcBorders>
                    <w:top w:val="single" w:sz="8" w:space="0" w:color="auto"/>
                    <w:left w:val="single" w:sz="8" w:space="0" w:color="auto"/>
                    <w:bottom w:val="single" w:sz="8" w:space="0" w:color="000000"/>
                    <w:right w:val="single" w:sz="8" w:space="0" w:color="auto"/>
                  </w:tcBorders>
                  <w:vAlign w:val="center"/>
                  <w:hideMark/>
                </w:tcPr>
                <w:p w14:paraId="1883A9D1"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108 (63,9%)</w:t>
                  </w:r>
                </w:p>
              </w:tc>
              <w:tc>
                <w:tcPr>
                  <w:tcW w:w="1380" w:type="dxa"/>
                  <w:tcBorders>
                    <w:top w:val="nil"/>
                    <w:left w:val="nil"/>
                    <w:bottom w:val="single" w:sz="4" w:space="0" w:color="auto"/>
                    <w:right w:val="single" w:sz="4" w:space="0" w:color="auto"/>
                  </w:tcBorders>
                  <w:vAlign w:val="center"/>
                  <w:hideMark/>
                </w:tcPr>
                <w:p w14:paraId="0E167FE9"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Nemolizumab 30 mg Q4W vs placebo: 12,4 (2,7-22)</w:t>
                  </w:r>
                </w:p>
              </w:tc>
              <w:tc>
                <w:tcPr>
                  <w:tcW w:w="1200" w:type="dxa"/>
                  <w:tcBorders>
                    <w:top w:val="nil"/>
                    <w:left w:val="nil"/>
                    <w:bottom w:val="single" w:sz="4" w:space="0" w:color="auto"/>
                    <w:right w:val="single" w:sz="8" w:space="0" w:color="auto"/>
                  </w:tcBorders>
                  <w:vAlign w:val="center"/>
                  <w:hideMark/>
                </w:tcPr>
                <w:p w14:paraId="1035BDFA"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0,0129</w:t>
                  </w:r>
                </w:p>
              </w:tc>
            </w:tr>
            <w:tr w:rsidR="0042493D" w14:paraId="2C2D0C9B" w14:textId="77777777" w:rsidTr="0042493D">
              <w:trPr>
                <w:trHeight w:val="915"/>
              </w:trPr>
              <w:tc>
                <w:tcPr>
                  <w:tcW w:w="2400" w:type="dxa"/>
                  <w:tcBorders>
                    <w:top w:val="nil"/>
                    <w:left w:val="single" w:sz="8" w:space="0" w:color="auto"/>
                    <w:bottom w:val="single" w:sz="8" w:space="0" w:color="auto"/>
                    <w:right w:val="single" w:sz="8" w:space="0" w:color="auto"/>
                  </w:tcBorders>
                  <w:vAlign w:val="center"/>
                  <w:hideMark/>
                </w:tcPr>
                <w:p w14:paraId="5930B1CE"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EASI 75 (semana 48)</w:t>
                  </w: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3C2210C4" w14:textId="77777777" w:rsidR="0042493D" w:rsidRDefault="0042493D" w:rsidP="0042493D">
                  <w:pPr>
                    <w:rPr>
                      <w:rFonts w:ascii="Arial" w:hAnsi="Arial" w:cs="Arial"/>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1E9FC62" w14:textId="77777777" w:rsidR="0042493D" w:rsidRDefault="0042493D" w:rsidP="0042493D">
                  <w:pPr>
                    <w:rPr>
                      <w:rFonts w:ascii="Arial" w:hAnsi="Arial" w:cs="Arial"/>
                      <w:i/>
                      <w:i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883F287" w14:textId="77777777" w:rsidR="0042493D" w:rsidRDefault="0042493D" w:rsidP="0042493D">
                  <w:pPr>
                    <w:rPr>
                      <w:rFonts w:ascii="Arial" w:hAnsi="Arial" w:cs="Arial"/>
                      <w:i/>
                      <w:iCs/>
                      <w:color w:val="000000"/>
                      <w:sz w:val="16"/>
                      <w:szCs w:val="16"/>
                    </w:rPr>
                  </w:pPr>
                </w:p>
              </w:tc>
              <w:tc>
                <w:tcPr>
                  <w:tcW w:w="1380" w:type="dxa"/>
                  <w:tcBorders>
                    <w:top w:val="nil"/>
                    <w:left w:val="nil"/>
                    <w:bottom w:val="single" w:sz="8" w:space="0" w:color="auto"/>
                    <w:right w:val="single" w:sz="4" w:space="0" w:color="auto"/>
                  </w:tcBorders>
                  <w:vAlign w:val="center"/>
                  <w:hideMark/>
                </w:tcPr>
                <w:p w14:paraId="48FBDDFE"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Nemolizumab 30 mg Q8W vs Q4W: 11,8 (2,1-21,5)</w:t>
                  </w:r>
                </w:p>
              </w:tc>
              <w:tc>
                <w:tcPr>
                  <w:tcW w:w="1200" w:type="dxa"/>
                  <w:tcBorders>
                    <w:top w:val="nil"/>
                    <w:left w:val="nil"/>
                    <w:bottom w:val="single" w:sz="8" w:space="0" w:color="auto"/>
                    <w:right w:val="single" w:sz="8" w:space="0" w:color="auto"/>
                  </w:tcBorders>
                  <w:vAlign w:val="center"/>
                  <w:hideMark/>
                </w:tcPr>
                <w:p w14:paraId="0180258C" w14:textId="77777777" w:rsidR="0042493D" w:rsidRDefault="0042493D" w:rsidP="0042493D">
                  <w:pPr>
                    <w:jc w:val="center"/>
                    <w:rPr>
                      <w:rFonts w:ascii="Arial" w:hAnsi="Arial" w:cs="Arial"/>
                      <w:i/>
                      <w:iCs/>
                      <w:color w:val="000000"/>
                      <w:sz w:val="16"/>
                      <w:szCs w:val="16"/>
                    </w:rPr>
                  </w:pPr>
                  <w:r>
                    <w:rPr>
                      <w:rFonts w:ascii="Arial" w:hAnsi="Arial" w:cs="Arial"/>
                      <w:i/>
                      <w:iCs/>
                      <w:color w:val="000000"/>
                      <w:sz w:val="16"/>
                      <w:szCs w:val="16"/>
                    </w:rPr>
                    <w:t>0,0179</w:t>
                  </w:r>
                </w:p>
              </w:tc>
            </w:tr>
          </w:tbl>
          <w:p w14:paraId="5749583F" w14:textId="77777777" w:rsidR="002F64ED" w:rsidRDefault="002F64ED">
            <w:pPr>
              <w:jc w:val="both"/>
              <w:rPr>
                <w:rFonts w:ascii="Arial" w:hAnsi="Arial" w:cs="Arial"/>
                <w:bCs/>
                <w:sz w:val="16"/>
                <w:lang w:val="fr-FR"/>
              </w:rPr>
            </w:pPr>
          </w:p>
          <w:p w14:paraId="33CB483C" w14:textId="77777777" w:rsidR="002F64ED" w:rsidRPr="001751E3" w:rsidRDefault="002F64ED">
            <w:pPr>
              <w:jc w:val="both"/>
              <w:rPr>
                <w:rFonts w:ascii="Arial" w:hAnsi="Arial" w:cs="Arial"/>
                <w:bCs/>
                <w:sz w:val="16"/>
                <w:lang w:val="fr-FR"/>
              </w:rPr>
            </w:pPr>
          </w:p>
        </w:tc>
      </w:tr>
      <w:tr w:rsidR="002F64ED" w:rsidRPr="006F6ABB" w14:paraId="76A1F481" w14:textId="77777777">
        <w:trPr>
          <w:trHeight w:val="230"/>
        </w:trPr>
        <w:tc>
          <w:tcPr>
            <w:tcW w:w="8890" w:type="dxa"/>
            <w:shd w:val="clear" w:color="auto" w:fill="E6E6E6"/>
          </w:tcPr>
          <w:p w14:paraId="24AE19D0" w14:textId="77777777" w:rsidR="002F64ED" w:rsidRPr="006F6ABB" w:rsidRDefault="002F64ED">
            <w:pPr>
              <w:rPr>
                <w:rFonts w:ascii="Arial" w:hAnsi="Arial" w:cs="Arial"/>
                <w:sz w:val="16"/>
                <w:szCs w:val="16"/>
              </w:rPr>
            </w:pPr>
            <w:r w:rsidRPr="006F6ABB">
              <w:rPr>
                <w:rFonts w:ascii="Arial" w:hAnsi="Arial" w:cs="Arial"/>
                <w:sz w:val="16"/>
                <w:szCs w:val="16"/>
              </w:rPr>
              <w:t>-Calculadoras para variables binarias: RAR y NNT y sus IC 95 %.</w:t>
            </w:r>
            <w:r w:rsidRPr="006F6ABB">
              <w:rPr>
                <w:rFonts w:ascii="Arial" w:hAnsi="Arial" w:cs="Arial"/>
                <w:b/>
                <w:sz w:val="16"/>
                <w:szCs w:val="16"/>
              </w:rPr>
              <w:t>CASPe</w:t>
            </w:r>
            <w:r w:rsidRPr="006F6ABB">
              <w:rPr>
                <w:rFonts w:ascii="Arial" w:hAnsi="Arial" w:cs="Arial"/>
                <w:sz w:val="16"/>
                <w:szCs w:val="16"/>
              </w:rPr>
              <w:t>.</w:t>
            </w:r>
            <w:r w:rsidRPr="006F6ABB">
              <w:rPr>
                <w:rFonts w:ascii="Arial" w:hAnsi="Arial" w:cs="Arial"/>
                <w:b/>
                <w:bCs/>
                <w:sz w:val="16"/>
                <w:szCs w:val="16"/>
              </w:rPr>
              <w:t xml:space="preserve"> </w:t>
            </w:r>
            <w:r w:rsidRPr="006F6ABB">
              <w:rPr>
                <w:rFonts w:ascii="Arial" w:hAnsi="Arial" w:cs="Arial"/>
                <w:b/>
                <w:sz w:val="16"/>
                <w:szCs w:val="16"/>
                <w:highlight w:val="yellow"/>
                <w:u w:val="single"/>
              </w:rPr>
              <w:t>Pulse aquí</w:t>
            </w:r>
            <w:r w:rsidRPr="006F6ABB">
              <w:rPr>
                <w:rFonts w:ascii="Arial" w:hAnsi="Arial" w:cs="Arial"/>
                <w:b/>
                <w:sz w:val="16"/>
                <w:szCs w:val="16"/>
              </w:rPr>
              <w:t xml:space="preserve"> ;</w:t>
            </w:r>
            <w:r w:rsidRPr="006F6ABB">
              <w:rPr>
                <w:rFonts w:ascii="Arial" w:hAnsi="Arial" w:cs="Arial"/>
                <w:sz w:val="16"/>
                <w:szCs w:val="16"/>
              </w:rPr>
              <w:t xml:space="preserve"> </w:t>
            </w:r>
            <w:r w:rsidRPr="006F6ABB">
              <w:rPr>
                <w:rFonts w:ascii="Arial" w:hAnsi="Arial" w:cs="Arial"/>
                <w:b/>
                <w:sz w:val="16"/>
                <w:szCs w:val="16"/>
              </w:rPr>
              <w:t>SIGN</w:t>
            </w:r>
            <w:r w:rsidRPr="006F6ABB">
              <w:rPr>
                <w:rFonts w:ascii="Arial" w:hAnsi="Arial" w:cs="Arial"/>
                <w:sz w:val="16"/>
                <w:szCs w:val="16"/>
              </w:rPr>
              <w:t>:</w:t>
            </w:r>
            <w:r w:rsidRPr="006F6ABB">
              <w:rPr>
                <w:rFonts w:ascii="Arial" w:hAnsi="Arial" w:cs="Arial"/>
                <w:b/>
                <w:bCs/>
                <w:sz w:val="16"/>
                <w:szCs w:val="16"/>
              </w:rPr>
              <w:t xml:space="preserve"> </w:t>
            </w:r>
            <w:r w:rsidRPr="006F6ABB">
              <w:rPr>
                <w:rFonts w:ascii="Arial" w:hAnsi="Arial" w:cs="Arial"/>
                <w:b/>
                <w:sz w:val="16"/>
                <w:szCs w:val="16"/>
                <w:highlight w:val="yellow"/>
                <w:u w:val="single"/>
              </w:rPr>
              <w:t>Pulse aquí</w:t>
            </w:r>
            <w:r w:rsidRPr="006F6ABB">
              <w:rPr>
                <w:rFonts w:ascii="Arial" w:hAnsi="Arial" w:cs="Arial"/>
                <w:b/>
                <w:sz w:val="16"/>
                <w:szCs w:val="16"/>
                <w:highlight w:val="yellow"/>
              </w:rPr>
              <w:t>.</w:t>
            </w:r>
          </w:p>
          <w:p w14:paraId="46211515" w14:textId="77777777" w:rsidR="002F64ED" w:rsidRPr="006F6ABB" w:rsidRDefault="002F64ED">
            <w:pPr>
              <w:rPr>
                <w:rFonts w:ascii="Arial" w:hAnsi="Arial" w:cs="Arial"/>
                <w:b/>
                <w:sz w:val="16"/>
                <w:szCs w:val="16"/>
                <w:u w:val="single"/>
              </w:rPr>
            </w:pPr>
            <w:r w:rsidRPr="006F6ABB">
              <w:rPr>
                <w:rFonts w:ascii="Arial" w:hAnsi="Arial" w:cs="Arial"/>
                <w:sz w:val="16"/>
                <w:szCs w:val="16"/>
              </w:rPr>
              <w:t xml:space="preserve">-Calculadora para variables continuas: </w:t>
            </w:r>
            <w:r w:rsidRPr="006F6ABB">
              <w:rPr>
                <w:rFonts w:ascii="Arial" w:hAnsi="Arial" w:cs="Arial"/>
                <w:b/>
                <w:sz w:val="16"/>
                <w:szCs w:val="16"/>
              </w:rPr>
              <w:t>R.Saracho</w:t>
            </w:r>
            <w:r w:rsidRPr="006F6ABB">
              <w:rPr>
                <w:rFonts w:ascii="Arial" w:hAnsi="Arial" w:cs="Arial"/>
                <w:sz w:val="16"/>
                <w:szCs w:val="16"/>
              </w:rPr>
              <w:t xml:space="preserve">. </w:t>
            </w:r>
            <w:r w:rsidRPr="006F6ABB">
              <w:rPr>
                <w:rFonts w:ascii="Arial" w:hAnsi="Arial" w:cs="Arial"/>
                <w:b/>
                <w:sz w:val="16"/>
                <w:szCs w:val="16"/>
                <w:highlight w:val="yellow"/>
                <w:u w:val="single"/>
              </w:rPr>
              <w:t>Pulse aquí</w:t>
            </w:r>
          </w:p>
          <w:p w14:paraId="7E329C45" w14:textId="77777777" w:rsidR="002F64ED" w:rsidRPr="006F6ABB" w:rsidRDefault="002F64ED">
            <w:pPr>
              <w:rPr>
                <w:rFonts w:ascii="Arial" w:hAnsi="Arial" w:cs="Arial"/>
                <w:b/>
                <w:sz w:val="16"/>
                <w:szCs w:val="16"/>
                <w:u w:val="single"/>
              </w:rPr>
            </w:pPr>
            <w:r w:rsidRPr="006F6ABB">
              <w:rPr>
                <w:rFonts w:ascii="Arial" w:hAnsi="Arial" w:cs="Arial"/>
                <w:b/>
                <w:sz w:val="16"/>
                <w:szCs w:val="16"/>
                <w:u w:val="single"/>
              </w:rPr>
              <w:t>-</w:t>
            </w:r>
            <w:r w:rsidRPr="006F6ABB">
              <w:rPr>
                <w:rFonts w:ascii="Arial" w:hAnsi="Arial" w:cs="Arial"/>
                <w:b/>
                <w:sz w:val="16"/>
                <w:szCs w:val="16"/>
              </w:rPr>
              <w:t>Otras calculadoras/programas en página GENESIS:</w:t>
            </w:r>
            <w:r w:rsidRPr="006F6ABB">
              <w:rPr>
                <w:rFonts w:ascii="Arial" w:hAnsi="Arial" w:cs="Arial"/>
                <w:b/>
                <w:sz w:val="16"/>
                <w:szCs w:val="16"/>
                <w:u w:val="single"/>
              </w:rPr>
              <w:t xml:space="preserve"> </w:t>
            </w:r>
            <w:hyperlink r:id="rId16" w:history="1">
              <w:r w:rsidRPr="006F6ABB">
                <w:rPr>
                  <w:rStyle w:val="Hipervnculo"/>
                  <w:rFonts w:ascii="Arial" w:hAnsi="Arial" w:cs="Arial"/>
                  <w:sz w:val="16"/>
                  <w:szCs w:val="16"/>
                </w:rPr>
                <w:t>http://gruposdetrabajo.sefh.es/genesis/genesis/Enlaces/Calculadoras.htm</w:t>
              </w:r>
            </w:hyperlink>
          </w:p>
        </w:tc>
      </w:tr>
    </w:tbl>
    <w:p w14:paraId="3E2DF95E" w14:textId="04666D3D" w:rsidR="004E35F2" w:rsidRDefault="004E35F2" w:rsidP="00BC3E8E">
      <w:pPr>
        <w:snapToGrid w:val="0"/>
        <w:jc w:val="both"/>
        <w:rPr>
          <w:rFonts w:ascii="Arial" w:hAnsi="Arial" w:cs="Arial"/>
          <w:bCs/>
          <w:sz w:val="20"/>
          <w:szCs w:val="20"/>
        </w:rPr>
      </w:pPr>
    </w:p>
    <w:p w14:paraId="624CCC4D" w14:textId="5146AFF1" w:rsidR="00E6745B" w:rsidRDefault="00E6745B" w:rsidP="00E6745B">
      <w:pPr>
        <w:snapToGrid w:val="0"/>
        <w:jc w:val="both"/>
        <w:rPr>
          <w:rFonts w:ascii="Arial" w:hAnsi="Arial" w:cs="Arial"/>
          <w:bCs/>
          <w:sz w:val="20"/>
          <w:szCs w:val="20"/>
        </w:rPr>
      </w:pPr>
      <w:r>
        <w:rPr>
          <w:noProof/>
        </w:rPr>
        <w:drawing>
          <wp:anchor distT="0" distB="0" distL="114300" distR="114300" simplePos="0" relativeHeight="251655168" behindDoc="0" locked="0" layoutInCell="1" allowOverlap="1" wp14:anchorId="10023BC4" wp14:editId="0F602089">
            <wp:simplePos x="0" y="0"/>
            <wp:positionH relativeFrom="column">
              <wp:posOffset>-251460</wp:posOffset>
            </wp:positionH>
            <wp:positionV relativeFrom="paragraph">
              <wp:posOffset>884555</wp:posOffset>
            </wp:positionV>
            <wp:extent cx="6311265" cy="6143625"/>
            <wp:effectExtent l="0" t="0" r="0" b="0"/>
            <wp:wrapTopAndBottom/>
            <wp:docPr id="701260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60216" name=""/>
                    <pic:cNvPicPr/>
                  </pic:nvPicPr>
                  <pic:blipFill rotWithShape="1">
                    <a:blip r:embed="rId17">
                      <a:extLst>
                        <a:ext uri="{28A0092B-C50C-407E-A947-70E740481C1C}">
                          <a14:useLocalDpi xmlns:a14="http://schemas.microsoft.com/office/drawing/2010/main" val="0"/>
                        </a:ext>
                      </a:extLst>
                    </a:blip>
                    <a:srcRect b="1316"/>
                    <a:stretch>
                      <a:fillRect/>
                    </a:stretch>
                  </pic:blipFill>
                  <pic:spPr bwMode="auto">
                    <a:xfrm>
                      <a:off x="0" y="0"/>
                      <a:ext cx="6311265" cy="614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3742">
        <w:rPr>
          <w:rFonts w:ascii="Arial" w:hAnsi="Arial" w:cs="Arial"/>
          <w:bCs/>
          <w:sz w:val="20"/>
          <w:szCs w:val="20"/>
        </w:rPr>
        <w:t xml:space="preserve">Los </w:t>
      </w:r>
      <w:r w:rsidRPr="00850809">
        <w:rPr>
          <w:rFonts w:ascii="Arial" w:hAnsi="Arial" w:cs="Arial"/>
          <w:b/>
          <w:sz w:val="20"/>
          <w:szCs w:val="20"/>
        </w:rPr>
        <w:t>subgrupos</w:t>
      </w:r>
      <w:r w:rsidRPr="00583742">
        <w:rPr>
          <w:rFonts w:ascii="Arial" w:hAnsi="Arial" w:cs="Arial"/>
          <w:bCs/>
          <w:sz w:val="20"/>
          <w:szCs w:val="20"/>
        </w:rPr>
        <w:t xml:space="preserve"> </w:t>
      </w:r>
      <w:r>
        <w:rPr>
          <w:rFonts w:ascii="Arial" w:hAnsi="Arial" w:cs="Arial"/>
          <w:bCs/>
          <w:sz w:val="20"/>
          <w:szCs w:val="20"/>
        </w:rPr>
        <w:t xml:space="preserve">estaban </w:t>
      </w:r>
      <w:r w:rsidRPr="00583742">
        <w:rPr>
          <w:rFonts w:ascii="Arial" w:hAnsi="Arial" w:cs="Arial"/>
          <w:b/>
          <w:sz w:val="20"/>
          <w:szCs w:val="20"/>
        </w:rPr>
        <w:t>previamente preespecificados</w:t>
      </w:r>
      <w:r>
        <w:rPr>
          <w:rFonts w:ascii="Arial" w:hAnsi="Arial" w:cs="Arial"/>
          <w:bCs/>
          <w:sz w:val="20"/>
          <w:szCs w:val="20"/>
        </w:rPr>
        <w:t xml:space="preserve"> en el protocolo del estudio e </w:t>
      </w:r>
      <w:r w:rsidRPr="00583742">
        <w:rPr>
          <w:rFonts w:ascii="Arial" w:hAnsi="Arial" w:cs="Arial"/>
          <w:bCs/>
          <w:sz w:val="20"/>
          <w:szCs w:val="20"/>
        </w:rPr>
        <w:t xml:space="preserve">incluyeron: región geográfica (Europa, Norteamérica, Asia-Pacífico), grupos de edad (12-17, 18-65 y &gt;65 años), sexo, raza, puntuación basal de IGA (3 o 4), puntuación basal de PP-NRS (≥7 o &lt;7), uso previo de tratamientos sistémicos, biológicos, inmunosupresores o inmunomoduladores para </w:t>
      </w:r>
      <w:r>
        <w:rPr>
          <w:rFonts w:ascii="Arial" w:hAnsi="Arial" w:cs="Arial"/>
          <w:bCs/>
          <w:sz w:val="20"/>
          <w:szCs w:val="20"/>
        </w:rPr>
        <w:t>DA</w:t>
      </w:r>
      <w:r w:rsidRPr="00583742">
        <w:rPr>
          <w:rFonts w:ascii="Arial" w:hAnsi="Arial" w:cs="Arial"/>
          <w:bCs/>
          <w:sz w:val="20"/>
          <w:szCs w:val="20"/>
        </w:rPr>
        <w:t>, y antecedentes de uso de dupilumab, ciclosporina o país de procedencia.</w:t>
      </w:r>
      <w:r>
        <w:rPr>
          <w:rFonts w:ascii="Arial" w:hAnsi="Arial" w:cs="Arial"/>
          <w:bCs/>
          <w:sz w:val="20"/>
          <w:szCs w:val="20"/>
        </w:rPr>
        <w:t xml:space="preserve"> Los resultados se reflejan en las figuras 1-4.</w:t>
      </w:r>
    </w:p>
    <w:p w14:paraId="504085B1" w14:textId="1A18FCB9" w:rsidR="00412973" w:rsidRDefault="00412973" w:rsidP="00850809">
      <w:pPr>
        <w:snapToGrid w:val="0"/>
        <w:jc w:val="both"/>
        <w:rPr>
          <w:rFonts w:ascii="Arial" w:hAnsi="Arial" w:cs="Arial"/>
          <w:bCs/>
          <w:sz w:val="20"/>
          <w:szCs w:val="20"/>
        </w:rPr>
      </w:pPr>
    </w:p>
    <w:p w14:paraId="3317459E" w14:textId="39A802B3" w:rsidR="00412973" w:rsidRPr="00E6745B" w:rsidRDefault="00E6745B" w:rsidP="00850809">
      <w:pPr>
        <w:snapToGrid w:val="0"/>
        <w:jc w:val="both"/>
        <w:rPr>
          <w:rFonts w:ascii="Arial" w:hAnsi="Arial" w:cs="Arial"/>
          <w:b/>
          <w:sz w:val="20"/>
          <w:szCs w:val="20"/>
        </w:rPr>
      </w:pPr>
      <w:r w:rsidRPr="00E6745B">
        <w:rPr>
          <w:b/>
          <w:noProof/>
        </w:rPr>
        <w:drawing>
          <wp:anchor distT="0" distB="0" distL="114300" distR="114300" simplePos="0" relativeHeight="251661312" behindDoc="0" locked="0" layoutInCell="1" allowOverlap="1" wp14:anchorId="57727ACB" wp14:editId="3EBC82A2">
            <wp:simplePos x="0" y="0"/>
            <wp:positionH relativeFrom="column">
              <wp:posOffset>129540</wp:posOffset>
            </wp:positionH>
            <wp:positionV relativeFrom="paragraph">
              <wp:posOffset>4248785</wp:posOffset>
            </wp:positionV>
            <wp:extent cx="5191125" cy="3457575"/>
            <wp:effectExtent l="0" t="0" r="0" b="0"/>
            <wp:wrapSquare wrapText="bothSides"/>
            <wp:docPr id="1971719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19745" name=""/>
                    <pic:cNvPicPr/>
                  </pic:nvPicPr>
                  <pic:blipFill>
                    <a:blip r:embed="rId18">
                      <a:extLst>
                        <a:ext uri="{28A0092B-C50C-407E-A947-70E740481C1C}">
                          <a14:useLocalDpi xmlns:a14="http://schemas.microsoft.com/office/drawing/2010/main" val="0"/>
                        </a:ext>
                      </a:extLst>
                    </a:blip>
                    <a:stretch>
                      <a:fillRect/>
                    </a:stretch>
                  </pic:blipFill>
                  <pic:spPr>
                    <a:xfrm>
                      <a:off x="0" y="0"/>
                      <a:ext cx="5191125" cy="3457575"/>
                    </a:xfrm>
                    <a:prstGeom prst="rect">
                      <a:avLst/>
                    </a:prstGeom>
                  </pic:spPr>
                </pic:pic>
              </a:graphicData>
            </a:graphic>
          </wp:anchor>
        </w:drawing>
      </w:r>
      <w:r w:rsidR="00412973" w:rsidRPr="00E6745B">
        <w:rPr>
          <w:rFonts w:ascii="Arial" w:hAnsi="Arial" w:cs="Arial"/>
          <w:b/>
          <w:sz w:val="20"/>
          <w:szCs w:val="20"/>
        </w:rPr>
        <w:t xml:space="preserve">Figura </w:t>
      </w:r>
      <w:r w:rsidR="00C43B24" w:rsidRPr="00E6745B">
        <w:rPr>
          <w:rFonts w:ascii="Arial" w:hAnsi="Arial" w:cs="Arial"/>
          <w:b/>
          <w:sz w:val="20"/>
          <w:szCs w:val="20"/>
        </w:rPr>
        <w:t>1</w:t>
      </w:r>
      <w:r w:rsidR="00412973" w:rsidRPr="00E6745B">
        <w:rPr>
          <w:rFonts w:ascii="Arial" w:hAnsi="Arial" w:cs="Arial"/>
          <w:b/>
          <w:sz w:val="20"/>
          <w:szCs w:val="20"/>
        </w:rPr>
        <w:t xml:space="preserve">. ARCADIA 1. Análisis por subgrupos de la proporción de sujetos con éxito en la IGA en la semana 16. Población ITT del periodo inicial. </w:t>
      </w:r>
    </w:p>
    <w:p w14:paraId="295ED08D" w14:textId="6DF9931C" w:rsidR="00412973" w:rsidRPr="00E6745B" w:rsidRDefault="00E6745B" w:rsidP="00850809">
      <w:pPr>
        <w:snapToGrid w:val="0"/>
        <w:jc w:val="both"/>
        <w:rPr>
          <w:rFonts w:ascii="Arial" w:hAnsi="Arial" w:cs="Arial"/>
          <w:b/>
          <w:sz w:val="20"/>
          <w:szCs w:val="20"/>
        </w:rPr>
      </w:pPr>
      <w:r>
        <w:rPr>
          <w:noProof/>
        </w:rPr>
        <w:drawing>
          <wp:anchor distT="0" distB="0" distL="114300" distR="114300" simplePos="0" relativeHeight="251658240" behindDoc="0" locked="0" layoutInCell="1" allowOverlap="1" wp14:anchorId="57D42782" wp14:editId="09665617">
            <wp:simplePos x="0" y="0"/>
            <wp:positionH relativeFrom="column">
              <wp:posOffset>-3810</wp:posOffset>
            </wp:positionH>
            <wp:positionV relativeFrom="paragraph">
              <wp:posOffset>133985</wp:posOffset>
            </wp:positionV>
            <wp:extent cx="5210175" cy="3867150"/>
            <wp:effectExtent l="0" t="0" r="0" b="0"/>
            <wp:wrapTopAndBottom/>
            <wp:docPr id="105612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2050" name=""/>
                    <pic:cNvPicPr/>
                  </pic:nvPicPr>
                  <pic:blipFill>
                    <a:blip r:embed="rId19">
                      <a:extLst>
                        <a:ext uri="{28A0092B-C50C-407E-A947-70E740481C1C}">
                          <a14:useLocalDpi xmlns:a14="http://schemas.microsoft.com/office/drawing/2010/main" val="0"/>
                        </a:ext>
                      </a:extLst>
                    </a:blip>
                    <a:stretch>
                      <a:fillRect/>
                    </a:stretch>
                  </pic:blipFill>
                  <pic:spPr>
                    <a:xfrm>
                      <a:off x="0" y="0"/>
                      <a:ext cx="5210175" cy="3867150"/>
                    </a:xfrm>
                    <a:prstGeom prst="rect">
                      <a:avLst/>
                    </a:prstGeom>
                  </pic:spPr>
                </pic:pic>
              </a:graphicData>
            </a:graphic>
            <wp14:sizeRelH relativeFrom="page">
              <wp14:pctWidth>0</wp14:pctWidth>
            </wp14:sizeRelH>
            <wp14:sizeRelV relativeFrom="page">
              <wp14:pctHeight>0</wp14:pctHeight>
            </wp14:sizeRelV>
          </wp:anchor>
        </w:drawing>
      </w:r>
    </w:p>
    <w:p w14:paraId="21525E6A" w14:textId="1BE7EE59" w:rsidR="00C43B24" w:rsidRPr="00E6745B" w:rsidRDefault="00C43B24" w:rsidP="00C43B24">
      <w:pPr>
        <w:snapToGrid w:val="0"/>
        <w:jc w:val="both"/>
        <w:rPr>
          <w:rFonts w:ascii="Arial" w:hAnsi="Arial" w:cs="Arial"/>
          <w:b/>
          <w:sz w:val="20"/>
          <w:szCs w:val="20"/>
        </w:rPr>
      </w:pPr>
      <w:r w:rsidRPr="00E6745B">
        <w:rPr>
          <w:rFonts w:ascii="Arial" w:hAnsi="Arial" w:cs="Arial"/>
          <w:b/>
          <w:sz w:val="20"/>
          <w:szCs w:val="20"/>
        </w:rPr>
        <w:t xml:space="preserve">Figura 2. ARCADIA 1. Análisis por subgrupos de la proporción de sujetos con éxito en la EASI75 en la semana 16. Población ITT del periodo inicial. </w:t>
      </w:r>
    </w:p>
    <w:p w14:paraId="28524889" w14:textId="19E8EA8F" w:rsidR="00412973" w:rsidRDefault="00412973" w:rsidP="00850809">
      <w:pPr>
        <w:snapToGrid w:val="0"/>
        <w:jc w:val="both"/>
        <w:rPr>
          <w:rFonts w:ascii="Arial" w:hAnsi="Arial" w:cs="Arial"/>
          <w:bCs/>
          <w:sz w:val="20"/>
          <w:szCs w:val="20"/>
        </w:rPr>
      </w:pPr>
    </w:p>
    <w:p w14:paraId="6E447CDF" w14:textId="09C3DAA8" w:rsidR="00C43B24" w:rsidRDefault="00C43B24" w:rsidP="00850809">
      <w:pPr>
        <w:snapToGrid w:val="0"/>
        <w:jc w:val="both"/>
        <w:rPr>
          <w:rFonts w:ascii="Arial" w:hAnsi="Arial" w:cs="Arial"/>
          <w:bCs/>
          <w:sz w:val="20"/>
          <w:szCs w:val="20"/>
        </w:rPr>
      </w:pPr>
    </w:p>
    <w:p w14:paraId="07E63472" w14:textId="1D9A1499" w:rsidR="00412973" w:rsidRDefault="00412973" w:rsidP="00850809">
      <w:pPr>
        <w:snapToGrid w:val="0"/>
        <w:jc w:val="both"/>
        <w:rPr>
          <w:rFonts w:ascii="Arial" w:hAnsi="Arial" w:cs="Arial"/>
          <w:bCs/>
          <w:sz w:val="20"/>
          <w:szCs w:val="20"/>
        </w:rPr>
      </w:pPr>
    </w:p>
    <w:p w14:paraId="55BF2DE5" w14:textId="0DE575EC" w:rsidR="00412973" w:rsidRDefault="00E6745B" w:rsidP="00850809">
      <w:pPr>
        <w:snapToGrid w:val="0"/>
        <w:jc w:val="both"/>
        <w:rPr>
          <w:rFonts w:ascii="Arial" w:hAnsi="Arial" w:cs="Arial"/>
          <w:bCs/>
          <w:sz w:val="20"/>
          <w:szCs w:val="20"/>
        </w:rPr>
      </w:pPr>
      <w:r>
        <w:rPr>
          <w:noProof/>
        </w:rPr>
        <w:drawing>
          <wp:anchor distT="0" distB="0" distL="114300" distR="114300" simplePos="0" relativeHeight="251669504" behindDoc="0" locked="0" layoutInCell="1" allowOverlap="1" wp14:anchorId="51ECAF47" wp14:editId="28B4FE57">
            <wp:simplePos x="0" y="0"/>
            <wp:positionH relativeFrom="column">
              <wp:posOffset>-3810</wp:posOffset>
            </wp:positionH>
            <wp:positionV relativeFrom="paragraph">
              <wp:posOffset>2315210</wp:posOffset>
            </wp:positionV>
            <wp:extent cx="5549265" cy="5168265"/>
            <wp:effectExtent l="0" t="0" r="0" b="0"/>
            <wp:wrapTopAndBottom/>
            <wp:docPr id="1862677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77351" name=""/>
                    <pic:cNvPicPr/>
                  </pic:nvPicPr>
                  <pic:blipFill>
                    <a:blip r:embed="rId20">
                      <a:extLst>
                        <a:ext uri="{28A0092B-C50C-407E-A947-70E740481C1C}">
                          <a14:useLocalDpi xmlns:a14="http://schemas.microsoft.com/office/drawing/2010/main" val="0"/>
                        </a:ext>
                      </a:extLst>
                    </a:blip>
                    <a:stretch>
                      <a:fillRect/>
                    </a:stretch>
                  </pic:blipFill>
                  <pic:spPr>
                    <a:xfrm>
                      <a:off x="0" y="0"/>
                      <a:ext cx="5549265" cy="5168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2CCF5C9" wp14:editId="5D871EE2">
            <wp:simplePos x="0" y="0"/>
            <wp:positionH relativeFrom="column">
              <wp:posOffset>110490</wp:posOffset>
            </wp:positionH>
            <wp:positionV relativeFrom="paragraph">
              <wp:posOffset>143510</wp:posOffset>
            </wp:positionV>
            <wp:extent cx="5495925" cy="1943100"/>
            <wp:effectExtent l="0" t="0" r="0" b="0"/>
            <wp:wrapTopAndBottom/>
            <wp:docPr id="1095092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92445" name=""/>
                    <pic:cNvPicPr/>
                  </pic:nvPicPr>
                  <pic:blipFill>
                    <a:blip r:embed="rId21">
                      <a:extLst>
                        <a:ext uri="{28A0092B-C50C-407E-A947-70E740481C1C}">
                          <a14:useLocalDpi xmlns:a14="http://schemas.microsoft.com/office/drawing/2010/main" val="0"/>
                        </a:ext>
                      </a:extLst>
                    </a:blip>
                    <a:stretch>
                      <a:fillRect/>
                    </a:stretch>
                  </pic:blipFill>
                  <pic:spPr>
                    <a:xfrm>
                      <a:off x="0" y="0"/>
                      <a:ext cx="5495925" cy="1943100"/>
                    </a:xfrm>
                    <a:prstGeom prst="rect">
                      <a:avLst/>
                    </a:prstGeom>
                  </pic:spPr>
                </pic:pic>
              </a:graphicData>
            </a:graphic>
            <wp14:sizeRelH relativeFrom="page">
              <wp14:pctWidth>0</wp14:pctWidth>
            </wp14:sizeRelH>
            <wp14:sizeRelV relativeFrom="page">
              <wp14:pctHeight>0</wp14:pctHeight>
            </wp14:sizeRelV>
          </wp:anchor>
        </w:drawing>
      </w:r>
    </w:p>
    <w:p w14:paraId="06EE6CAF" w14:textId="1C2534DE" w:rsidR="00412973" w:rsidRDefault="00412973" w:rsidP="00850809">
      <w:pPr>
        <w:snapToGrid w:val="0"/>
        <w:jc w:val="both"/>
        <w:rPr>
          <w:rFonts w:ascii="Arial" w:hAnsi="Arial" w:cs="Arial"/>
          <w:bCs/>
          <w:sz w:val="20"/>
          <w:szCs w:val="20"/>
        </w:rPr>
      </w:pPr>
    </w:p>
    <w:p w14:paraId="4AEAE269" w14:textId="285A2274" w:rsidR="00412973" w:rsidRDefault="00412973" w:rsidP="00850809">
      <w:pPr>
        <w:snapToGrid w:val="0"/>
        <w:jc w:val="both"/>
        <w:rPr>
          <w:rFonts w:ascii="Arial" w:hAnsi="Arial" w:cs="Arial"/>
          <w:bCs/>
          <w:sz w:val="20"/>
          <w:szCs w:val="20"/>
        </w:rPr>
      </w:pPr>
    </w:p>
    <w:p w14:paraId="51DA0736" w14:textId="55D50D4D" w:rsidR="00C43B24" w:rsidRPr="00E6745B" w:rsidRDefault="00C43B24" w:rsidP="00C43B24">
      <w:pPr>
        <w:snapToGrid w:val="0"/>
        <w:jc w:val="both"/>
        <w:rPr>
          <w:rFonts w:ascii="Arial" w:hAnsi="Arial" w:cs="Arial"/>
          <w:b/>
          <w:sz w:val="20"/>
          <w:szCs w:val="20"/>
        </w:rPr>
      </w:pPr>
      <w:r w:rsidRPr="00E6745B">
        <w:rPr>
          <w:rFonts w:ascii="Arial" w:hAnsi="Arial" w:cs="Arial"/>
          <w:b/>
          <w:sz w:val="20"/>
          <w:szCs w:val="20"/>
        </w:rPr>
        <w:t xml:space="preserve">Figura </w:t>
      </w:r>
      <w:r w:rsidR="00E6745B" w:rsidRPr="00E6745B">
        <w:rPr>
          <w:rFonts w:ascii="Arial" w:hAnsi="Arial" w:cs="Arial"/>
          <w:b/>
          <w:sz w:val="20"/>
          <w:szCs w:val="20"/>
        </w:rPr>
        <w:t>3</w:t>
      </w:r>
      <w:r w:rsidRPr="00E6745B">
        <w:rPr>
          <w:rFonts w:ascii="Arial" w:hAnsi="Arial" w:cs="Arial"/>
          <w:b/>
          <w:sz w:val="20"/>
          <w:szCs w:val="20"/>
        </w:rPr>
        <w:t xml:space="preserve">. ARCADIA 2. Análisis por subgrupos de la proporción de sujetos con éxito en la IGA en la semana 16. Población ITT del periodo inicial. </w:t>
      </w:r>
    </w:p>
    <w:p w14:paraId="5E98B1BF" w14:textId="64525C7C" w:rsidR="00C43B24" w:rsidRDefault="00C43B24" w:rsidP="00850809">
      <w:pPr>
        <w:snapToGrid w:val="0"/>
        <w:jc w:val="both"/>
        <w:rPr>
          <w:rFonts w:ascii="Arial" w:hAnsi="Arial" w:cs="Arial"/>
          <w:bCs/>
          <w:sz w:val="20"/>
          <w:szCs w:val="20"/>
        </w:rPr>
      </w:pPr>
    </w:p>
    <w:p w14:paraId="352D1CE2" w14:textId="77777777" w:rsidR="00C43B24" w:rsidRDefault="00C43B24" w:rsidP="00850809">
      <w:pPr>
        <w:snapToGrid w:val="0"/>
        <w:jc w:val="both"/>
        <w:rPr>
          <w:rFonts w:ascii="Arial" w:hAnsi="Arial" w:cs="Arial"/>
          <w:bCs/>
          <w:sz w:val="20"/>
          <w:szCs w:val="20"/>
        </w:rPr>
      </w:pPr>
    </w:p>
    <w:p w14:paraId="5BE90C0A" w14:textId="4BFEDF1A" w:rsidR="00C43B24" w:rsidRDefault="00C43B24" w:rsidP="00850809">
      <w:pPr>
        <w:snapToGrid w:val="0"/>
        <w:jc w:val="both"/>
        <w:rPr>
          <w:rFonts w:ascii="Arial" w:hAnsi="Arial" w:cs="Arial"/>
          <w:bCs/>
          <w:sz w:val="20"/>
          <w:szCs w:val="20"/>
        </w:rPr>
      </w:pPr>
    </w:p>
    <w:p w14:paraId="411BDE2F" w14:textId="360C38A2" w:rsidR="00C43B24" w:rsidRDefault="00C43B24" w:rsidP="00850809">
      <w:pPr>
        <w:snapToGrid w:val="0"/>
        <w:jc w:val="both"/>
        <w:rPr>
          <w:rFonts w:ascii="Arial" w:hAnsi="Arial" w:cs="Arial"/>
          <w:bCs/>
          <w:sz w:val="20"/>
          <w:szCs w:val="20"/>
        </w:rPr>
      </w:pPr>
    </w:p>
    <w:p w14:paraId="19BF00EB" w14:textId="77777777" w:rsidR="00C43B24" w:rsidRDefault="00C43B24" w:rsidP="00850809">
      <w:pPr>
        <w:snapToGrid w:val="0"/>
        <w:jc w:val="both"/>
        <w:rPr>
          <w:rFonts w:ascii="Arial" w:hAnsi="Arial" w:cs="Arial"/>
          <w:bCs/>
          <w:sz w:val="20"/>
          <w:szCs w:val="20"/>
        </w:rPr>
      </w:pPr>
    </w:p>
    <w:p w14:paraId="5578B3C6" w14:textId="77777777" w:rsidR="00C43B24" w:rsidRDefault="00C43B24" w:rsidP="00850809">
      <w:pPr>
        <w:snapToGrid w:val="0"/>
        <w:jc w:val="both"/>
        <w:rPr>
          <w:rFonts w:ascii="Arial" w:hAnsi="Arial" w:cs="Arial"/>
          <w:bCs/>
          <w:sz w:val="20"/>
          <w:szCs w:val="20"/>
        </w:rPr>
      </w:pPr>
    </w:p>
    <w:p w14:paraId="1109536D" w14:textId="13A4E397" w:rsidR="00C43B24" w:rsidRDefault="00C43B24" w:rsidP="00850809">
      <w:pPr>
        <w:snapToGrid w:val="0"/>
        <w:jc w:val="both"/>
        <w:rPr>
          <w:rFonts w:ascii="Arial" w:hAnsi="Arial" w:cs="Arial"/>
          <w:bCs/>
          <w:sz w:val="20"/>
          <w:szCs w:val="20"/>
        </w:rPr>
      </w:pPr>
      <w:r>
        <w:rPr>
          <w:noProof/>
        </w:rPr>
        <w:drawing>
          <wp:inline distT="0" distB="0" distL="0" distR="0" wp14:anchorId="37BBE1CF" wp14:editId="1CE47678">
            <wp:extent cx="5549265" cy="5261610"/>
            <wp:effectExtent l="0" t="0" r="0" b="0"/>
            <wp:docPr id="1809551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51733" name=""/>
                    <pic:cNvPicPr/>
                  </pic:nvPicPr>
                  <pic:blipFill>
                    <a:blip r:embed="rId22"/>
                    <a:stretch>
                      <a:fillRect/>
                    </a:stretch>
                  </pic:blipFill>
                  <pic:spPr>
                    <a:xfrm>
                      <a:off x="0" y="0"/>
                      <a:ext cx="5549265" cy="5261610"/>
                    </a:xfrm>
                    <a:prstGeom prst="rect">
                      <a:avLst/>
                    </a:prstGeom>
                  </pic:spPr>
                </pic:pic>
              </a:graphicData>
            </a:graphic>
          </wp:inline>
        </w:drawing>
      </w:r>
    </w:p>
    <w:p w14:paraId="00B16865" w14:textId="4D8908DF" w:rsidR="00C43B24" w:rsidRDefault="00C43B24" w:rsidP="00850809">
      <w:pPr>
        <w:snapToGrid w:val="0"/>
        <w:jc w:val="both"/>
        <w:rPr>
          <w:rFonts w:ascii="Arial" w:hAnsi="Arial" w:cs="Arial"/>
          <w:bCs/>
          <w:sz w:val="20"/>
          <w:szCs w:val="20"/>
        </w:rPr>
      </w:pPr>
      <w:r>
        <w:rPr>
          <w:noProof/>
        </w:rPr>
        <w:drawing>
          <wp:inline distT="0" distB="0" distL="0" distR="0" wp14:anchorId="1D2624FD" wp14:editId="5B65B4D5">
            <wp:extent cx="5429250" cy="1838325"/>
            <wp:effectExtent l="0" t="0" r="0" b="9525"/>
            <wp:docPr id="1105429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29926" name=""/>
                    <pic:cNvPicPr/>
                  </pic:nvPicPr>
                  <pic:blipFill>
                    <a:blip r:embed="rId23"/>
                    <a:stretch>
                      <a:fillRect/>
                    </a:stretch>
                  </pic:blipFill>
                  <pic:spPr>
                    <a:xfrm>
                      <a:off x="0" y="0"/>
                      <a:ext cx="5429250" cy="1838325"/>
                    </a:xfrm>
                    <a:prstGeom prst="rect">
                      <a:avLst/>
                    </a:prstGeom>
                  </pic:spPr>
                </pic:pic>
              </a:graphicData>
            </a:graphic>
          </wp:inline>
        </w:drawing>
      </w:r>
    </w:p>
    <w:p w14:paraId="76C6F553" w14:textId="77777777" w:rsidR="00C43B24" w:rsidRDefault="00C43B24" w:rsidP="00850809">
      <w:pPr>
        <w:snapToGrid w:val="0"/>
        <w:jc w:val="both"/>
        <w:rPr>
          <w:rFonts w:ascii="Arial" w:hAnsi="Arial" w:cs="Arial"/>
          <w:bCs/>
          <w:sz w:val="20"/>
          <w:szCs w:val="20"/>
        </w:rPr>
      </w:pPr>
    </w:p>
    <w:p w14:paraId="2A5A3E72" w14:textId="77777777" w:rsidR="00C43B24" w:rsidRDefault="00C43B24" w:rsidP="00850809">
      <w:pPr>
        <w:snapToGrid w:val="0"/>
        <w:jc w:val="both"/>
        <w:rPr>
          <w:rFonts w:ascii="Arial" w:hAnsi="Arial" w:cs="Arial"/>
          <w:bCs/>
          <w:sz w:val="20"/>
          <w:szCs w:val="20"/>
        </w:rPr>
      </w:pPr>
    </w:p>
    <w:p w14:paraId="0625D843" w14:textId="77777777" w:rsidR="00E6745B" w:rsidRPr="00E6745B" w:rsidRDefault="00E6745B" w:rsidP="00E6745B">
      <w:pPr>
        <w:snapToGrid w:val="0"/>
        <w:jc w:val="both"/>
        <w:rPr>
          <w:rFonts w:ascii="Arial" w:hAnsi="Arial" w:cs="Arial"/>
          <w:b/>
          <w:sz w:val="20"/>
          <w:szCs w:val="20"/>
        </w:rPr>
      </w:pPr>
      <w:r w:rsidRPr="00E6745B">
        <w:rPr>
          <w:rFonts w:ascii="Arial" w:hAnsi="Arial" w:cs="Arial"/>
          <w:b/>
          <w:sz w:val="20"/>
          <w:szCs w:val="20"/>
        </w:rPr>
        <w:t xml:space="preserve">Figura 4. ARCADIA 2. Análisis por subgrupos de la proporción de sujetos con éxito en la EASI75 en la semana 16. Población ITT del periodo inicial. </w:t>
      </w:r>
    </w:p>
    <w:p w14:paraId="057C198B" w14:textId="77777777" w:rsidR="00C43B24" w:rsidRDefault="00C43B24" w:rsidP="00850809">
      <w:pPr>
        <w:snapToGrid w:val="0"/>
        <w:jc w:val="both"/>
        <w:rPr>
          <w:rFonts w:ascii="Arial" w:hAnsi="Arial" w:cs="Arial"/>
          <w:bCs/>
          <w:sz w:val="20"/>
          <w:szCs w:val="20"/>
        </w:rPr>
      </w:pPr>
    </w:p>
    <w:p w14:paraId="7A9A2FA7" w14:textId="77777777" w:rsidR="00850809" w:rsidRDefault="00850809" w:rsidP="00BC3E8E">
      <w:pPr>
        <w:snapToGrid w:val="0"/>
        <w:jc w:val="both"/>
        <w:rPr>
          <w:rFonts w:ascii="Arial" w:hAnsi="Arial" w:cs="Arial"/>
          <w:bCs/>
          <w:sz w:val="20"/>
          <w:szCs w:val="20"/>
        </w:rPr>
      </w:pPr>
    </w:p>
    <w:p w14:paraId="08230BA3" w14:textId="77777777" w:rsidR="009D4E99" w:rsidRDefault="004E35F2" w:rsidP="00BC3E8E">
      <w:pPr>
        <w:snapToGrid w:val="0"/>
        <w:jc w:val="both"/>
        <w:rPr>
          <w:rFonts w:ascii="Arial" w:hAnsi="Arial" w:cs="Arial"/>
          <w:bCs/>
          <w:sz w:val="20"/>
          <w:szCs w:val="20"/>
        </w:rPr>
      </w:pPr>
      <w:r w:rsidRPr="004E35F2">
        <w:rPr>
          <w:rFonts w:ascii="Arial" w:hAnsi="Arial" w:cs="Arial"/>
          <w:bCs/>
          <w:sz w:val="20"/>
          <w:szCs w:val="20"/>
        </w:rPr>
        <w:t xml:space="preserve">El </w:t>
      </w:r>
      <w:r w:rsidRPr="004E35F2">
        <w:rPr>
          <w:rFonts w:ascii="Arial" w:hAnsi="Arial" w:cs="Arial"/>
          <w:b/>
          <w:sz w:val="20"/>
          <w:szCs w:val="20"/>
        </w:rPr>
        <w:t>análisis de subgrupos</w:t>
      </w:r>
      <w:r w:rsidRPr="004E35F2">
        <w:rPr>
          <w:rFonts w:ascii="Arial" w:hAnsi="Arial" w:cs="Arial"/>
          <w:bCs/>
          <w:sz w:val="20"/>
          <w:szCs w:val="20"/>
        </w:rPr>
        <w:t xml:space="preserve"> </w:t>
      </w:r>
      <w:r w:rsidR="00DA2901">
        <w:rPr>
          <w:rFonts w:ascii="Arial" w:hAnsi="Arial" w:cs="Arial"/>
          <w:bCs/>
          <w:sz w:val="20"/>
          <w:szCs w:val="20"/>
        </w:rPr>
        <w:t>muestra resultados c</w:t>
      </w:r>
      <w:r w:rsidRPr="004E35F2">
        <w:rPr>
          <w:rFonts w:ascii="Arial" w:hAnsi="Arial" w:cs="Arial"/>
          <w:bCs/>
          <w:sz w:val="20"/>
          <w:szCs w:val="20"/>
        </w:rPr>
        <w:t xml:space="preserve">oherentes con el efecto global observado en el estudio, sin indicios de interacción significativa entre las variables analizadas y la respuesta al tratamiento. </w:t>
      </w:r>
    </w:p>
    <w:p w14:paraId="43822A55" w14:textId="77777777" w:rsidR="0042493D" w:rsidRDefault="0042493D" w:rsidP="00BC3E8E">
      <w:pPr>
        <w:snapToGrid w:val="0"/>
        <w:jc w:val="both"/>
        <w:rPr>
          <w:rFonts w:ascii="Arial" w:hAnsi="Arial" w:cs="Arial"/>
          <w:bCs/>
          <w:sz w:val="20"/>
          <w:szCs w:val="20"/>
        </w:rPr>
      </w:pPr>
    </w:p>
    <w:p w14:paraId="739EC89B" w14:textId="77777777" w:rsidR="0042493D" w:rsidRPr="0042493D" w:rsidRDefault="0042493D" w:rsidP="0042493D">
      <w:pPr>
        <w:snapToGrid w:val="0"/>
        <w:jc w:val="both"/>
        <w:rPr>
          <w:rFonts w:ascii="Arial" w:hAnsi="Arial" w:cs="Arial"/>
          <w:bCs/>
          <w:sz w:val="20"/>
          <w:szCs w:val="20"/>
        </w:rPr>
      </w:pPr>
      <w:r w:rsidRPr="0042493D">
        <w:rPr>
          <w:rFonts w:ascii="Arial" w:hAnsi="Arial" w:cs="Arial"/>
          <w:bCs/>
          <w:sz w:val="20"/>
          <w:szCs w:val="20"/>
        </w:rPr>
        <w:t xml:space="preserve">Se solicitó por la EMA un análisis </w:t>
      </w:r>
      <w:r w:rsidR="003F026E" w:rsidRPr="007868E3">
        <w:rPr>
          <w:rFonts w:ascii="Arial" w:hAnsi="Arial" w:cs="Arial"/>
          <w:bCs/>
          <w:i/>
          <w:sz w:val="20"/>
          <w:szCs w:val="20"/>
        </w:rPr>
        <w:t>post hoc</w:t>
      </w:r>
      <w:r w:rsidRPr="0042493D">
        <w:rPr>
          <w:rFonts w:ascii="Arial" w:hAnsi="Arial" w:cs="Arial"/>
          <w:bCs/>
          <w:sz w:val="20"/>
          <w:szCs w:val="20"/>
        </w:rPr>
        <w:t xml:space="preserve"> por subgrupos según el peso corporal (BW) (&lt;90 </w:t>
      </w:r>
      <w:r w:rsidR="00435F7E">
        <w:rPr>
          <w:rFonts w:ascii="Arial" w:hAnsi="Arial" w:cs="Arial"/>
          <w:bCs/>
          <w:sz w:val="20"/>
          <w:szCs w:val="20"/>
        </w:rPr>
        <w:t>K</w:t>
      </w:r>
      <w:r w:rsidRPr="0042493D">
        <w:rPr>
          <w:rFonts w:ascii="Arial" w:hAnsi="Arial" w:cs="Arial"/>
          <w:bCs/>
          <w:sz w:val="20"/>
          <w:szCs w:val="20"/>
        </w:rPr>
        <w:t xml:space="preserve">g y ≥90 </w:t>
      </w:r>
      <w:r w:rsidR="00435F7E">
        <w:rPr>
          <w:rFonts w:ascii="Arial" w:hAnsi="Arial" w:cs="Arial"/>
          <w:bCs/>
          <w:sz w:val="20"/>
          <w:szCs w:val="20"/>
        </w:rPr>
        <w:t>K</w:t>
      </w:r>
      <w:r w:rsidRPr="0042493D">
        <w:rPr>
          <w:rFonts w:ascii="Arial" w:hAnsi="Arial" w:cs="Arial"/>
          <w:bCs/>
          <w:sz w:val="20"/>
          <w:szCs w:val="20"/>
        </w:rPr>
        <w:t>g) en la población ITT, como consecuencia de que, en la indicación de prurigo nodular, se habían observado diferencias en la eficacia entre subgrupos de peso, lo que llevó a incluir dos posologías distintas en la ficha técnica para dicha indicación.</w:t>
      </w:r>
    </w:p>
    <w:p w14:paraId="2D82D852" w14:textId="77777777" w:rsidR="00435F7E" w:rsidRDefault="00435F7E" w:rsidP="0042493D">
      <w:pPr>
        <w:snapToGrid w:val="0"/>
        <w:jc w:val="both"/>
        <w:rPr>
          <w:rFonts w:ascii="Arial" w:hAnsi="Arial" w:cs="Arial"/>
          <w:bCs/>
          <w:sz w:val="20"/>
          <w:szCs w:val="20"/>
        </w:rPr>
      </w:pPr>
    </w:p>
    <w:p w14:paraId="0FB19EEE" w14:textId="77777777" w:rsidR="0042493D" w:rsidRDefault="0042493D" w:rsidP="0042493D">
      <w:pPr>
        <w:snapToGrid w:val="0"/>
        <w:jc w:val="both"/>
        <w:rPr>
          <w:rFonts w:ascii="Arial" w:hAnsi="Arial" w:cs="Arial"/>
          <w:bCs/>
          <w:sz w:val="20"/>
          <w:szCs w:val="20"/>
        </w:rPr>
      </w:pPr>
      <w:r w:rsidRPr="0042493D">
        <w:rPr>
          <w:rFonts w:ascii="Arial" w:hAnsi="Arial" w:cs="Arial"/>
          <w:bCs/>
          <w:sz w:val="20"/>
          <w:szCs w:val="20"/>
        </w:rPr>
        <w:t>En el caso de l</w:t>
      </w:r>
      <w:r w:rsidR="00BD5ED6">
        <w:rPr>
          <w:rFonts w:ascii="Arial" w:hAnsi="Arial" w:cs="Arial"/>
          <w:bCs/>
          <w:sz w:val="20"/>
          <w:szCs w:val="20"/>
        </w:rPr>
        <w:t>a DA</w:t>
      </w:r>
      <w:r w:rsidRPr="0042493D">
        <w:rPr>
          <w:rFonts w:ascii="Arial" w:hAnsi="Arial" w:cs="Arial"/>
          <w:bCs/>
          <w:sz w:val="20"/>
          <w:szCs w:val="20"/>
        </w:rPr>
        <w:t>, este análisis no mostró diferencias clínicamente relevantes en eficacia global entre los subgrupos de peso, por lo que no se consideró necesario ajustar la dosis en función del peso corporal en esta indicación.</w:t>
      </w:r>
      <w:r w:rsidR="00850809">
        <w:rPr>
          <w:rFonts w:ascii="Arial" w:hAnsi="Arial" w:cs="Arial"/>
          <w:bCs/>
          <w:sz w:val="20"/>
          <w:szCs w:val="20"/>
        </w:rPr>
        <w:t xml:space="preserve"> Este análisis de subgrupos no se ha encontrado en la evidencia </w:t>
      </w:r>
      <w:r w:rsidR="0001363A">
        <w:rPr>
          <w:rFonts w:ascii="Arial" w:hAnsi="Arial" w:cs="Arial"/>
          <w:bCs/>
          <w:sz w:val="20"/>
          <w:szCs w:val="20"/>
        </w:rPr>
        <w:t xml:space="preserve">disponible </w:t>
      </w:r>
      <w:r w:rsidR="00850809">
        <w:rPr>
          <w:rFonts w:ascii="Arial" w:hAnsi="Arial" w:cs="Arial"/>
          <w:bCs/>
          <w:sz w:val="20"/>
          <w:szCs w:val="20"/>
        </w:rPr>
        <w:t>pública</w:t>
      </w:r>
      <w:r w:rsidR="0001363A">
        <w:rPr>
          <w:rFonts w:ascii="Arial" w:hAnsi="Arial" w:cs="Arial"/>
          <w:bCs/>
          <w:sz w:val="20"/>
          <w:szCs w:val="20"/>
        </w:rPr>
        <w:t>mente</w:t>
      </w:r>
      <w:r w:rsidR="00850809">
        <w:rPr>
          <w:rFonts w:ascii="Arial" w:hAnsi="Arial" w:cs="Arial"/>
          <w:bCs/>
          <w:sz w:val="20"/>
          <w:szCs w:val="20"/>
        </w:rPr>
        <w:t xml:space="preserve"> y por tanto solo consta la información recogida en el EPAR.</w:t>
      </w:r>
    </w:p>
    <w:p w14:paraId="2C2ABB79" w14:textId="77777777" w:rsidR="0001363A" w:rsidRDefault="0001363A" w:rsidP="0001363A">
      <w:pPr>
        <w:snapToGrid w:val="0"/>
        <w:jc w:val="both"/>
        <w:rPr>
          <w:rFonts w:ascii="Arial" w:hAnsi="Arial" w:cs="Arial"/>
          <w:bCs/>
          <w:sz w:val="20"/>
          <w:szCs w:val="20"/>
        </w:rPr>
      </w:pPr>
    </w:p>
    <w:p w14:paraId="7E66CE78" w14:textId="77777777" w:rsidR="004E35F2" w:rsidRDefault="00850809" w:rsidP="00BC3E8E">
      <w:pPr>
        <w:snapToGrid w:val="0"/>
        <w:jc w:val="both"/>
        <w:rPr>
          <w:rFonts w:ascii="Arial" w:hAnsi="Arial" w:cs="Arial"/>
          <w:bCs/>
          <w:sz w:val="20"/>
          <w:szCs w:val="20"/>
        </w:rPr>
      </w:pPr>
      <w:r w:rsidRPr="00270C65">
        <w:rPr>
          <w:rFonts w:ascii="Arial" w:hAnsi="Arial" w:cs="Arial"/>
          <w:b/>
          <w:sz w:val="20"/>
          <w:szCs w:val="20"/>
        </w:rPr>
        <w:t>CONCLUSIONES EFICACIA</w:t>
      </w:r>
    </w:p>
    <w:p w14:paraId="490BD6AB" w14:textId="77777777" w:rsidR="00850809" w:rsidRDefault="00850809" w:rsidP="00BC3E8E">
      <w:pPr>
        <w:snapToGrid w:val="0"/>
        <w:jc w:val="both"/>
        <w:rPr>
          <w:rFonts w:ascii="Arial" w:hAnsi="Arial" w:cs="Arial"/>
          <w:bCs/>
          <w:sz w:val="20"/>
          <w:szCs w:val="20"/>
        </w:rPr>
      </w:pPr>
    </w:p>
    <w:p w14:paraId="6637285F" w14:textId="77777777" w:rsidR="00270C65" w:rsidRPr="00270C65" w:rsidRDefault="00435F7E" w:rsidP="00270C65">
      <w:pPr>
        <w:snapToGrid w:val="0"/>
        <w:jc w:val="both"/>
        <w:rPr>
          <w:rFonts w:ascii="Arial" w:hAnsi="Arial" w:cs="Arial"/>
          <w:bCs/>
          <w:sz w:val="20"/>
          <w:szCs w:val="20"/>
        </w:rPr>
      </w:pPr>
      <w:r>
        <w:rPr>
          <w:rFonts w:ascii="Arial" w:hAnsi="Arial" w:cs="Arial"/>
          <w:bCs/>
          <w:sz w:val="20"/>
          <w:szCs w:val="20"/>
        </w:rPr>
        <w:t>Las dos</w:t>
      </w:r>
      <w:r w:rsidR="00270C65" w:rsidRPr="00270C65">
        <w:rPr>
          <w:rFonts w:ascii="Arial" w:hAnsi="Arial" w:cs="Arial"/>
          <w:b/>
          <w:sz w:val="20"/>
          <w:szCs w:val="20"/>
        </w:rPr>
        <w:t xml:space="preserve"> </w:t>
      </w:r>
      <w:r>
        <w:rPr>
          <w:rFonts w:ascii="Arial" w:hAnsi="Arial" w:cs="Arial"/>
          <w:b/>
          <w:sz w:val="20"/>
          <w:szCs w:val="20"/>
        </w:rPr>
        <w:t xml:space="preserve">variables </w:t>
      </w:r>
      <w:r w:rsidR="00270C65" w:rsidRPr="00270C65">
        <w:rPr>
          <w:rFonts w:ascii="Arial" w:hAnsi="Arial" w:cs="Arial"/>
          <w:b/>
          <w:sz w:val="20"/>
          <w:szCs w:val="20"/>
        </w:rPr>
        <w:t>co-primari</w:t>
      </w:r>
      <w:r>
        <w:rPr>
          <w:rFonts w:ascii="Arial" w:hAnsi="Arial" w:cs="Arial"/>
          <w:b/>
          <w:sz w:val="20"/>
          <w:szCs w:val="20"/>
        </w:rPr>
        <w:t>a</w:t>
      </w:r>
      <w:r w:rsidR="00270C65" w:rsidRPr="00270C65">
        <w:rPr>
          <w:rFonts w:ascii="Arial" w:hAnsi="Arial" w:cs="Arial"/>
          <w:b/>
          <w:sz w:val="20"/>
          <w:szCs w:val="20"/>
        </w:rPr>
        <w:t>s</w:t>
      </w:r>
      <w:r w:rsidR="00270C65" w:rsidRPr="00270C65">
        <w:rPr>
          <w:rFonts w:ascii="Arial" w:hAnsi="Arial" w:cs="Arial"/>
          <w:bCs/>
          <w:sz w:val="20"/>
          <w:szCs w:val="20"/>
        </w:rPr>
        <w:t xml:space="preserve"> de eficacia se cumplieron a la semana 16 en ambos ensayos pivotales.</w:t>
      </w:r>
    </w:p>
    <w:p w14:paraId="6D14C4F0" w14:textId="77777777" w:rsidR="00270C65" w:rsidRPr="00270C65" w:rsidRDefault="00270C65" w:rsidP="00270C65">
      <w:pPr>
        <w:snapToGrid w:val="0"/>
        <w:jc w:val="both"/>
        <w:rPr>
          <w:rFonts w:ascii="Arial" w:hAnsi="Arial" w:cs="Arial"/>
          <w:bCs/>
          <w:sz w:val="20"/>
          <w:szCs w:val="20"/>
        </w:rPr>
      </w:pPr>
    </w:p>
    <w:p w14:paraId="50D411C3" w14:textId="77777777" w:rsidR="00270C65" w:rsidRPr="00270C65" w:rsidRDefault="00270C65" w:rsidP="00270C65">
      <w:pPr>
        <w:snapToGrid w:val="0"/>
        <w:jc w:val="both"/>
        <w:rPr>
          <w:rFonts w:ascii="Arial" w:hAnsi="Arial" w:cs="Arial"/>
          <w:bCs/>
          <w:sz w:val="20"/>
          <w:szCs w:val="20"/>
        </w:rPr>
      </w:pPr>
      <w:r w:rsidRPr="00270C65">
        <w:rPr>
          <w:rFonts w:ascii="Arial" w:hAnsi="Arial" w:cs="Arial"/>
          <w:bCs/>
          <w:sz w:val="20"/>
          <w:szCs w:val="20"/>
        </w:rPr>
        <w:t xml:space="preserve">En el estudio </w:t>
      </w:r>
      <w:r w:rsidRPr="00270C65">
        <w:rPr>
          <w:rFonts w:ascii="Arial" w:hAnsi="Arial" w:cs="Arial"/>
          <w:bCs/>
          <w:sz w:val="20"/>
          <w:szCs w:val="20"/>
          <w:u w:val="single"/>
        </w:rPr>
        <w:t>ARCADIA 1,</w:t>
      </w:r>
      <w:r w:rsidRPr="00270C65">
        <w:rPr>
          <w:rFonts w:ascii="Arial" w:hAnsi="Arial" w:cs="Arial"/>
          <w:bCs/>
          <w:sz w:val="20"/>
          <w:szCs w:val="20"/>
        </w:rPr>
        <w:t xml:space="preserve"> nemolizumab fue superior a placebo respecto al </w:t>
      </w:r>
      <w:r w:rsidRPr="00270C65">
        <w:rPr>
          <w:rFonts w:ascii="Arial" w:hAnsi="Arial" w:cs="Arial"/>
          <w:b/>
          <w:sz w:val="20"/>
          <w:szCs w:val="20"/>
        </w:rPr>
        <w:t>éxito en IGA</w:t>
      </w:r>
      <w:r w:rsidRPr="00270C65">
        <w:rPr>
          <w:rFonts w:ascii="Arial" w:hAnsi="Arial" w:cs="Arial"/>
          <w:bCs/>
          <w:sz w:val="20"/>
          <w:szCs w:val="20"/>
        </w:rPr>
        <w:t xml:space="preserve">: 35,6 % frente a 24,6 %, con una diferencia entre </w:t>
      </w:r>
      <w:r w:rsidR="00E04BCE">
        <w:rPr>
          <w:rFonts w:ascii="Arial" w:hAnsi="Arial" w:cs="Arial"/>
          <w:bCs/>
          <w:sz w:val="20"/>
          <w:szCs w:val="20"/>
        </w:rPr>
        <w:t>nemolizumab</w:t>
      </w:r>
      <w:r w:rsidRPr="00270C65">
        <w:rPr>
          <w:rFonts w:ascii="Arial" w:hAnsi="Arial" w:cs="Arial"/>
          <w:bCs/>
          <w:sz w:val="20"/>
          <w:szCs w:val="20"/>
        </w:rPr>
        <w:t xml:space="preserve"> y placebo de 11,0 (IC 95 %: 5,0 a 17) en la población global, y 14,0 (IC 95 %: </w:t>
      </w:r>
      <w:r w:rsidR="0001363A">
        <w:rPr>
          <w:rFonts w:ascii="Arial" w:hAnsi="Arial" w:cs="Arial"/>
          <w:bCs/>
          <w:sz w:val="20"/>
          <w:szCs w:val="20"/>
        </w:rPr>
        <w:t>7</w:t>
      </w:r>
      <w:r w:rsidRPr="00270C65">
        <w:rPr>
          <w:rFonts w:ascii="Arial" w:hAnsi="Arial" w:cs="Arial"/>
          <w:bCs/>
          <w:sz w:val="20"/>
          <w:szCs w:val="20"/>
        </w:rPr>
        <w:t xml:space="preserve"> a 21) en la población con prurito severo.</w:t>
      </w:r>
    </w:p>
    <w:p w14:paraId="72BA594D" w14:textId="77777777" w:rsidR="00435F7E" w:rsidRDefault="00435F7E" w:rsidP="00270C65">
      <w:pPr>
        <w:snapToGrid w:val="0"/>
        <w:jc w:val="both"/>
        <w:rPr>
          <w:rFonts w:ascii="Arial" w:hAnsi="Arial" w:cs="Arial"/>
          <w:bCs/>
          <w:sz w:val="20"/>
          <w:szCs w:val="20"/>
        </w:rPr>
      </w:pPr>
    </w:p>
    <w:p w14:paraId="7200DBA7" w14:textId="77777777" w:rsidR="00270C65" w:rsidRPr="00270C65" w:rsidRDefault="00270C65" w:rsidP="00270C65">
      <w:pPr>
        <w:snapToGrid w:val="0"/>
        <w:jc w:val="both"/>
        <w:rPr>
          <w:rFonts w:ascii="Arial" w:hAnsi="Arial" w:cs="Arial"/>
          <w:bCs/>
          <w:sz w:val="20"/>
          <w:szCs w:val="20"/>
        </w:rPr>
      </w:pPr>
      <w:r w:rsidRPr="00270C65">
        <w:rPr>
          <w:rFonts w:ascii="Arial" w:hAnsi="Arial" w:cs="Arial"/>
          <w:bCs/>
          <w:sz w:val="20"/>
          <w:szCs w:val="20"/>
        </w:rPr>
        <w:t xml:space="preserve">Los resultados correspondientes en </w:t>
      </w:r>
      <w:r w:rsidRPr="00270C65">
        <w:rPr>
          <w:rFonts w:ascii="Arial" w:hAnsi="Arial" w:cs="Arial"/>
          <w:bCs/>
          <w:sz w:val="20"/>
          <w:szCs w:val="20"/>
          <w:u w:val="single"/>
        </w:rPr>
        <w:t>ARCADIA 2</w:t>
      </w:r>
      <w:r w:rsidRPr="00270C65">
        <w:rPr>
          <w:rFonts w:ascii="Arial" w:hAnsi="Arial" w:cs="Arial"/>
          <w:bCs/>
          <w:sz w:val="20"/>
          <w:szCs w:val="20"/>
        </w:rPr>
        <w:t xml:space="preserve"> fueron 37,7 % frente a 26,0 %, con una diferencia </w:t>
      </w:r>
      <w:r w:rsidR="0001363A">
        <w:rPr>
          <w:rFonts w:ascii="Arial" w:hAnsi="Arial" w:cs="Arial"/>
          <w:bCs/>
          <w:sz w:val="20"/>
          <w:szCs w:val="20"/>
        </w:rPr>
        <w:t>nemolizumab-</w:t>
      </w:r>
      <w:r w:rsidRPr="00270C65">
        <w:rPr>
          <w:rFonts w:ascii="Arial" w:hAnsi="Arial" w:cs="Arial"/>
          <w:bCs/>
          <w:sz w:val="20"/>
          <w:szCs w:val="20"/>
        </w:rPr>
        <w:t>placebo de 1</w:t>
      </w:r>
      <w:r w:rsidR="00E04BCE">
        <w:rPr>
          <w:rFonts w:ascii="Arial" w:hAnsi="Arial" w:cs="Arial"/>
          <w:bCs/>
          <w:sz w:val="20"/>
          <w:szCs w:val="20"/>
        </w:rPr>
        <w:t>2</w:t>
      </w:r>
      <w:r w:rsidRPr="00270C65">
        <w:rPr>
          <w:rFonts w:ascii="Arial" w:hAnsi="Arial" w:cs="Arial"/>
          <w:bCs/>
          <w:sz w:val="20"/>
          <w:szCs w:val="20"/>
        </w:rPr>
        <w:t xml:space="preserve"> (IC 95 %: 5 a 1</w:t>
      </w:r>
      <w:r w:rsidR="00E04BCE">
        <w:rPr>
          <w:rFonts w:ascii="Arial" w:hAnsi="Arial" w:cs="Arial"/>
          <w:bCs/>
          <w:sz w:val="20"/>
          <w:szCs w:val="20"/>
        </w:rPr>
        <w:t>9</w:t>
      </w:r>
      <w:r w:rsidRPr="00270C65">
        <w:rPr>
          <w:rFonts w:ascii="Arial" w:hAnsi="Arial" w:cs="Arial"/>
          <w:bCs/>
          <w:sz w:val="20"/>
          <w:szCs w:val="20"/>
        </w:rPr>
        <w:t>) en la población global, y 1</w:t>
      </w:r>
      <w:r w:rsidR="00E04BCE">
        <w:rPr>
          <w:rFonts w:ascii="Arial" w:hAnsi="Arial" w:cs="Arial"/>
          <w:bCs/>
          <w:sz w:val="20"/>
          <w:szCs w:val="20"/>
        </w:rPr>
        <w:t>5</w:t>
      </w:r>
      <w:r w:rsidRPr="00270C65">
        <w:rPr>
          <w:rFonts w:ascii="Arial" w:hAnsi="Arial" w:cs="Arial"/>
          <w:bCs/>
          <w:sz w:val="20"/>
          <w:szCs w:val="20"/>
        </w:rPr>
        <w:t xml:space="preserve"> (IC 95 %: 6 a 23) en la población con prurito severo.</w:t>
      </w:r>
    </w:p>
    <w:p w14:paraId="25F7791A" w14:textId="77777777" w:rsidR="00270C65" w:rsidRPr="00270C65" w:rsidRDefault="00270C65" w:rsidP="00270C65">
      <w:pPr>
        <w:snapToGrid w:val="0"/>
        <w:jc w:val="both"/>
        <w:rPr>
          <w:rFonts w:ascii="Arial" w:hAnsi="Arial" w:cs="Arial"/>
          <w:bCs/>
          <w:sz w:val="20"/>
          <w:szCs w:val="20"/>
        </w:rPr>
      </w:pPr>
    </w:p>
    <w:p w14:paraId="21ED8F6C" w14:textId="77777777" w:rsidR="00270C65" w:rsidRPr="00270C65" w:rsidRDefault="00270C65" w:rsidP="00270C65">
      <w:pPr>
        <w:snapToGrid w:val="0"/>
        <w:jc w:val="both"/>
        <w:rPr>
          <w:rFonts w:ascii="Arial" w:hAnsi="Arial" w:cs="Arial"/>
          <w:bCs/>
          <w:sz w:val="20"/>
          <w:szCs w:val="20"/>
        </w:rPr>
      </w:pPr>
      <w:r w:rsidRPr="00270C65">
        <w:rPr>
          <w:rFonts w:ascii="Arial" w:hAnsi="Arial" w:cs="Arial"/>
          <w:bCs/>
          <w:sz w:val="20"/>
          <w:szCs w:val="20"/>
        </w:rPr>
        <w:t xml:space="preserve">En </w:t>
      </w:r>
      <w:r w:rsidRPr="00270C65">
        <w:rPr>
          <w:rFonts w:ascii="Arial" w:hAnsi="Arial" w:cs="Arial"/>
          <w:bCs/>
          <w:sz w:val="20"/>
          <w:szCs w:val="20"/>
          <w:u w:val="single"/>
        </w:rPr>
        <w:t>ARCADIA 1</w:t>
      </w:r>
      <w:r w:rsidRPr="00270C65">
        <w:rPr>
          <w:rFonts w:ascii="Arial" w:hAnsi="Arial" w:cs="Arial"/>
          <w:bCs/>
          <w:sz w:val="20"/>
          <w:szCs w:val="20"/>
        </w:rPr>
        <w:t xml:space="preserve">, los resultados con el </w:t>
      </w:r>
      <w:r w:rsidRPr="00872C35">
        <w:rPr>
          <w:rFonts w:ascii="Arial" w:hAnsi="Arial" w:cs="Arial"/>
          <w:b/>
          <w:sz w:val="20"/>
          <w:szCs w:val="20"/>
        </w:rPr>
        <w:t>EASI</w:t>
      </w:r>
      <w:r w:rsidRPr="00872C35">
        <w:rPr>
          <w:rFonts w:ascii="Cambria Math" w:hAnsi="Cambria Math" w:cs="Cambria Math"/>
          <w:b/>
          <w:sz w:val="20"/>
          <w:szCs w:val="20"/>
        </w:rPr>
        <w:t>‑</w:t>
      </w:r>
      <w:r w:rsidRPr="00872C35">
        <w:rPr>
          <w:rFonts w:ascii="Arial" w:hAnsi="Arial" w:cs="Arial"/>
          <w:b/>
          <w:sz w:val="20"/>
          <w:szCs w:val="20"/>
        </w:rPr>
        <w:t>75</w:t>
      </w:r>
      <w:r w:rsidRPr="00270C65">
        <w:rPr>
          <w:rFonts w:ascii="Arial" w:hAnsi="Arial" w:cs="Arial"/>
          <w:bCs/>
          <w:sz w:val="20"/>
          <w:szCs w:val="20"/>
        </w:rPr>
        <w:t xml:space="preserve"> fueron 43,5 % para nemolizumab frente a 29,0 % para placebo, lo que dio una diferencia </w:t>
      </w:r>
      <w:r w:rsidR="00E04BCE">
        <w:rPr>
          <w:rFonts w:ascii="Arial" w:hAnsi="Arial" w:cs="Arial"/>
          <w:bCs/>
          <w:sz w:val="20"/>
          <w:szCs w:val="20"/>
        </w:rPr>
        <w:t>nemolizumab</w:t>
      </w:r>
      <w:r w:rsidRPr="00270C65">
        <w:rPr>
          <w:rFonts w:ascii="Arial" w:hAnsi="Arial" w:cs="Arial"/>
          <w:bCs/>
          <w:sz w:val="20"/>
          <w:szCs w:val="20"/>
        </w:rPr>
        <w:t xml:space="preserve"> – placebo de 1</w:t>
      </w:r>
      <w:r w:rsidR="00E04BCE">
        <w:rPr>
          <w:rFonts w:ascii="Arial" w:hAnsi="Arial" w:cs="Arial"/>
          <w:bCs/>
          <w:sz w:val="20"/>
          <w:szCs w:val="20"/>
        </w:rPr>
        <w:t>5</w:t>
      </w:r>
      <w:r w:rsidRPr="00270C65">
        <w:rPr>
          <w:rFonts w:ascii="Arial" w:hAnsi="Arial" w:cs="Arial"/>
          <w:bCs/>
          <w:sz w:val="20"/>
          <w:szCs w:val="20"/>
        </w:rPr>
        <w:t xml:space="preserve"> (IC 95 %: 8 a 2</w:t>
      </w:r>
      <w:r w:rsidR="00E04BCE">
        <w:rPr>
          <w:rFonts w:ascii="Arial" w:hAnsi="Arial" w:cs="Arial"/>
          <w:bCs/>
          <w:sz w:val="20"/>
          <w:szCs w:val="20"/>
        </w:rPr>
        <w:t>1</w:t>
      </w:r>
      <w:r w:rsidRPr="00270C65">
        <w:rPr>
          <w:rFonts w:ascii="Arial" w:hAnsi="Arial" w:cs="Arial"/>
          <w:bCs/>
          <w:sz w:val="20"/>
          <w:szCs w:val="20"/>
        </w:rPr>
        <w:t>) en la población global, y 1</w:t>
      </w:r>
      <w:r w:rsidR="00E04BCE">
        <w:rPr>
          <w:rFonts w:ascii="Arial" w:hAnsi="Arial" w:cs="Arial"/>
          <w:bCs/>
          <w:sz w:val="20"/>
          <w:szCs w:val="20"/>
        </w:rPr>
        <w:t>8</w:t>
      </w:r>
      <w:r w:rsidRPr="00270C65">
        <w:rPr>
          <w:rFonts w:ascii="Arial" w:hAnsi="Arial" w:cs="Arial"/>
          <w:bCs/>
          <w:sz w:val="20"/>
          <w:szCs w:val="20"/>
        </w:rPr>
        <w:t xml:space="preserve"> (IC 95 %: 10 a 25) en la población con prurito severo.</w:t>
      </w:r>
    </w:p>
    <w:p w14:paraId="31A3E5D2" w14:textId="77777777" w:rsidR="00435F7E" w:rsidRDefault="00435F7E" w:rsidP="00270C65">
      <w:pPr>
        <w:snapToGrid w:val="0"/>
        <w:jc w:val="both"/>
        <w:rPr>
          <w:rFonts w:ascii="Arial" w:hAnsi="Arial" w:cs="Arial"/>
          <w:bCs/>
          <w:sz w:val="20"/>
          <w:szCs w:val="20"/>
        </w:rPr>
      </w:pPr>
    </w:p>
    <w:p w14:paraId="77B47CFB" w14:textId="77777777" w:rsidR="00270C65" w:rsidRPr="00270C65" w:rsidRDefault="00270C65" w:rsidP="00270C65">
      <w:pPr>
        <w:snapToGrid w:val="0"/>
        <w:jc w:val="both"/>
        <w:rPr>
          <w:rFonts w:ascii="Arial" w:hAnsi="Arial" w:cs="Arial"/>
          <w:bCs/>
          <w:sz w:val="20"/>
          <w:szCs w:val="20"/>
        </w:rPr>
      </w:pPr>
      <w:r w:rsidRPr="00270C65">
        <w:rPr>
          <w:rFonts w:ascii="Arial" w:hAnsi="Arial" w:cs="Arial"/>
          <w:bCs/>
          <w:sz w:val="20"/>
          <w:szCs w:val="20"/>
        </w:rPr>
        <w:t xml:space="preserve">Los resultados correspondientes en </w:t>
      </w:r>
      <w:r w:rsidRPr="00270C65">
        <w:rPr>
          <w:rFonts w:ascii="Arial" w:hAnsi="Arial" w:cs="Arial"/>
          <w:bCs/>
          <w:sz w:val="20"/>
          <w:szCs w:val="20"/>
          <w:u w:val="single"/>
        </w:rPr>
        <w:t>ARCADIA 2</w:t>
      </w:r>
      <w:r w:rsidRPr="00270C65">
        <w:rPr>
          <w:rFonts w:ascii="Arial" w:hAnsi="Arial" w:cs="Arial"/>
          <w:bCs/>
          <w:sz w:val="20"/>
          <w:szCs w:val="20"/>
        </w:rPr>
        <w:t xml:space="preserve"> fueron 42,1 % frente a 30,2 %, con una diferencia </w:t>
      </w:r>
      <w:r w:rsidR="00E04BCE">
        <w:rPr>
          <w:rFonts w:ascii="Arial" w:hAnsi="Arial" w:cs="Arial"/>
          <w:bCs/>
          <w:sz w:val="20"/>
          <w:szCs w:val="20"/>
        </w:rPr>
        <w:t>nemolizumab</w:t>
      </w:r>
      <w:r w:rsidRPr="00270C65">
        <w:rPr>
          <w:rFonts w:ascii="Arial" w:hAnsi="Arial" w:cs="Arial"/>
          <w:bCs/>
          <w:sz w:val="20"/>
          <w:szCs w:val="20"/>
        </w:rPr>
        <w:t xml:space="preserve"> – placebo de 12,0 (IC 95 %: 5 a 1</w:t>
      </w:r>
      <w:r w:rsidR="00E04BCE">
        <w:rPr>
          <w:rFonts w:ascii="Arial" w:hAnsi="Arial" w:cs="Arial"/>
          <w:bCs/>
          <w:sz w:val="20"/>
          <w:szCs w:val="20"/>
        </w:rPr>
        <w:t>9</w:t>
      </w:r>
      <w:r w:rsidRPr="00270C65">
        <w:rPr>
          <w:rFonts w:ascii="Arial" w:hAnsi="Arial" w:cs="Arial"/>
          <w:bCs/>
          <w:sz w:val="20"/>
          <w:szCs w:val="20"/>
        </w:rPr>
        <w:t xml:space="preserve">) en la población global, y 16 (IC 95 %: </w:t>
      </w:r>
      <w:r w:rsidR="00E04BCE">
        <w:rPr>
          <w:rFonts w:ascii="Arial" w:hAnsi="Arial" w:cs="Arial"/>
          <w:bCs/>
          <w:sz w:val="20"/>
          <w:szCs w:val="20"/>
        </w:rPr>
        <w:t>8</w:t>
      </w:r>
      <w:r w:rsidRPr="00270C65">
        <w:rPr>
          <w:rFonts w:ascii="Arial" w:hAnsi="Arial" w:cs="Arial"/>
          <w:bCs/>
          <w:sz w:val="20"/>
          <w:szCs w:val="20"/>
        </w:rPr>
        <w:t xml:space="preserve"> a 2</w:t>
      </w:r>
      <w:r w:rsidR="00E04BCE">
        <w:rPr>
          <w:rFonts w:ascii="Arial" w:hAnsi="Arial" w:cs="Arial"/>
          <w:bCs/>
          <w:sz w:val="20"/>
          <w:szCs w:val="20"/>
        </w:rPr>
        <w:t>5</w:t>
      </w:r>
      <w:r w:rsidRPr="00270C65">
        <w:rPr>
          <w:rFonts w:ascii="Arial" w:hAnsi="Arial" w:cs="Arial"/>
          <w:bCs/>
          <w:sz w:val="20"/>
          <w:szCs w:val="20"/>
        </w:rPr>
        <w:t>) en la población con prurito severo.</w:t>
      </w:r>
    </w:p>
    <w:p w14:paraId="622BA543" w14:textId="77777777" w:rsidR="00270C65" w:rsidRPr="00270C65" w:rsidRDefault="00270C65" w:rsidP="00270C65">
      <w:pPr>
        <w:snapToGrid w:val="0"/>
        <w:jc w:val="both"/>
        <w:rPr>
          <w:rFonts w:ascii="Arial" w:hAnsi="Arial" w:cs="Arial"/>
          <w:bCs/>
          <w:sz w:val="20"/>
          <w:szCs w:val="20"/>
        </w:rPr>
      </w:pPr>
    </w:p>
    <w:p w14:paraId="3F6FF3C0" w14:textId="77777777" w:rsidR="00270C65" w:rsidRPr="00270C65" w:rsidRDefault="00270C65" w:rsidP="00270C65">
      <w:pPr>
        <w:snapToGrid w:val="0"/>
        <w:jc w:val="both"/>
        <w:rPr>
          <w:rFonts w:ascii="Arial" w:hAnsi="Arial" w:cs="Arial"/>
          <w:bCs/>
          <w:sz w:val="20"/>
          <w:szCs w:val="20"/>
        </w:rPr>
      </w:pPr>
      <w:r w:rsidRPr="00270C65">
        <w:rPr>
          <w:rFonts w:ascii="Arial" w:hAnsi="Arial" w:cs="Arial"/>
          <w:bCs/>
          <w:sz w:val="20"/>
          <w:szCs w:val="20"/>
        </w:rPr>
        <w:t>El inicio de la eficacia clínica (IGA y EASI) se observó a partir de la semana 4 y se mantuvo durante toda la duración del estudio de 16 semanas.</w:t>
      </w:r>
    </w:p>
    <w:p w14:paraId="44E6E29E" w14:textId="77777777" w:rsidR="00270C65" w:rsidRPr="00270C65" w:rsidRDefault="00270C65" w:rsidP="00270C65">
      <w:pPr>
        <w:snapToGrid w:val="0"/>
        <w:jc w:val="both"/>
        <w:rPr>
          <w:rFonts w:ascii="Arial" w:hAnsi="Arial" w:cs="Arial"/>
          <w:bCs/>
          <w:sz w:val="20"/>
          <w:szCs w:val="20"/>
        </w:rPr>
      </w:pPr>
    </w:p>
    <w:p w14:paraId="6890A761" w14:textId="77777777" w:rsidR="00270C65" w:rsidRPr="00270C65" w:rsidRDefault="00270C65" w:rsidP="00270C65">
      <w:pPr>
        <w:snapToGrid w:val="0"/>
        <w:jc w:val="both"/>
        <w:rPr>
          <w:rFonts w:ascii="Arial" w:hAnsi="Arial" w:cs="Arial"/>
          <w:bCs/>
          <w:sz w:val="20"/>
          <w:szCs w:val="20"/>
        </w:rPr>
      </w:pPr>
      <w:r w:rsidRPr="00270C65">
        <w:rPr>
          <w:rFonts w:ascii="Arial" w:hAnsi="Arial" w:cs="Arial"/>
          <w:bCs/>
          <w:sz w:val="20"/>
          <w:szCs w:val="20"/>
        </w:rPr>
        <w:t>Respecto a l</w:t>
      </w:r>
      <w:r w:rsidR="00435F7E">
        <w:rPr>
          <w:rFonts w:ascii="Arial" w:hAnsi="Arial" w:cs="Arial"/>
          <w:bCs/>
          <w:sz w:val="20"/>
          <w:szCs w:val="20"/>
        </w:rPr>
        <w:t>as</w:t>
      </w:r>
      <w:r w:rsidRPr="00270C65">
        <w:rPr>
          <w:rFonts w:ascii="Arial" w:hAnsi="Arial" w:cs="Arial"/>
          <w:bCs/>
          <w:sz w:val="20"/>
          <w:szCs w:val="20"/>
        </w:rPr>
        <w:t xml:space="preserve"> </w:t>
      </w:r>
      <w:r w:rsidR="00435F7E">
        <w:rPr>
          <w:rFonts w:ascii="Arial" w:hAnsi="Arial" w:cs="Arial"/>
          <w:b/>
          <w:sz w:val="20"/>
          <w:szCs w:val="20"/>
        </w:rPr>
        <w:t>variables</w:t>
      </w:r>
      <w:r w:rsidRPr="00270C65">
        <w:rPr>
          <w:rFonts w:ascii="Arial" w:hAnsi="Arial" w:cs="Arial"/>
          <w:b/>
          <w:sz w:val="20"/>
          <w:szCs w:val="20"/>
        </w:rPr>
        <w:t xml:space="preserve"> secundari</w:t>
      </w:r>
      <w:r w:rsidR="00435F7E">
        <w:rPr>
          <w:rFonts w:ascii="Arial" w:hAnsi="Arial" w:cs="Arial"/>
          <w:b/>
          <w:sz w:val="20"/>
          <w:szCs w:val="20"/>
        </w:rPr>
        <w:t>a</w:t>
      </w:r>
      <w:r w:rsidRPr="00270C65">
        <w:rPr>
          <w:rFonts w:ascii="Arial" w:hAnsi="Arial" w:cs="Arial"/>
          <w:b/>
          <w:sz w:val="20"/>
          <w:szCs w:val="20"/>
        </w:rPr>
        <w:t>s</w:t>
      </w:r>
      <w:r w:rsidRPr="00270C65">
        <w:rPr>
          <w:rFonts w:ascii="Arial" w:hAnsi="Arial" w:cs="Arial"/>
          <w:bCs/>
          <w:sz w:val="20"/>
          <w:szCs w:val="20"/>
        </w:rPr>
        <w:t xml:space="preserve">, en ARCADIA 1, la proporción de sujetos con una mejora ≥ 4 puntos en PP-NRS a la semana 16 fue 42,7 % en el grupo de nemolizumab y 17,8 % en el grupo placebo (p &lt; 0,0001). </w:t>
      </w:r>
      <w:r w:rsidRPr="00CE1E67">
        <w:rPr>
          <w:rFonts w:ascii="Arial" w:hAnsi="Arial" w:cs="Arial"/>
          <w:bCs/>
          <w:sz w:val="20"/>
          <w:szCs w:val="20"/>
        </w:rPr>
        <w:t xml:space="preserve">La diferencia </w:t>
      </w:r>
      <w:r w:rsidR="00BB4D6A">
        <w:rPr>
          <w:rFonts w:ascii="Arial" w:hAnsi="Arial" w:cs="Arial"/>
          <w:bCs/>
          <w:sz w:val="20"/>
          <w:szCs w:val="20"/>
        </w:rPr>
        <w:t xml:space="preserve">entre </w:t>
      </w:r>
      <w:r w:rsidR="0030703A" w:rsidRPr="00CE1E67">
        <w:rPr>
          <w:rFonts w:ascii="Arial" w:hAnsi="Arial" w:cs="Arial"/>
          <w:bCs/>
          <w:sz w:val="20"/>
          <w:szCs w:val="20"/>
        </w:rPr>
        <w:t>nemolizumab</w:t>
      </w:r>
      <w:r w:rsidRPr="00CE1E67">
        <w:rPr>
          <w:rFonts w:ascii="Arial" w:hAnsi="Arial" w:cs="Arial"/>
          <w:bCs/>
          <w:sz w:val="20"/>
          <w:szCs w:val="20"/>
        </w:rPr>
        <w:t xml:space="preserve"> – placebo fue 25</w:t>
      </w:r>
      <w:r w:rsidR="00435F7E">
        <w:rPr>
          <w:rFonts w:ascii="Arial" w:hAnsi="Arial" w:cs="Arial"/>
          <w:bCs/>
          <w:sz w:val="20"/>
          <w:szCs w:val="20"/>
        </w:rPr>
        <w:t>%</w:t>
      </w:r>
      <w:r w:rsidRPr="00CE1E67">
        <w:rPr>
          <w:rFonts w:ascii="Arial" w:hAnsi="Arial" w:cs="Arial"/>
          <w:bCs/>
          <w:sz w:val="20"/>
          <w:szCs w:val="20"/>
        </w:rPr>
        <w:t xml:space="preserve"> (IC 95 %: 19 a 3</w:t>
      </w:r>
      <w:r w:rsidR="00BB4D6A">
        <w:rPr>
          <w:rFonts w:ascii="Arial" w:hAnsi="Arial" w:cs="Arial"/>
          <w:bCs/>
          <w:sz w:val="20"/>
          <w:szCs w:val="20"/>
        </w:rPr>
        <w:t>1</w:t>
      </w:r>
      <w:r w:rsidR="00435F7E">
        <w:rPr>
          <w:rFonts w:ascii="Arial" w:hAnsi="Arial" w:cs="Arial"/>
          <w:bCs/>
          <w:sz w:val="20"/>
          <w:szCs w:val="20"/>
        </w:rPr>
        <w:t>%</w:t>
      </w:r>
      <w:r w:rsidRPr="00CE1E67">
        <w:rPr>
          <w:rFonts w:ascii="Arial" w:hAnsi="Arial" w:cs="Arial"/>
          <w:bCs/>
          <w:sz w:val="20"/>
          <w:szCs w:val="20"/>
        </w:rPr>
        <w:t>) en la población global.</w:t>
      </w:r>
    </w:p>
    <w:p w14:paraId="1072283B" w14:textId="77777777" w:rsidR="00270C65" w:rsidRDefault="00270C65" w:rsidP="00270C65">
      <w:pPr>
        <w:snapToGrid w:val="0"/>
        <w:jc w:val="both"/>
        <w:rPr>
          <w:rFonts w:ascii="Arial" w:hAnsi="Arial" w:cs="Arial"/>
          <w:bCs/>
          <w:sz w:val="20"/>
          <w:szCs w:val="20"/>
        </w:rPr>
      </w:pPr>
      <w:r w:rsidRPr="00270C65">
        <w:rPr>
          <w:rFonts w:ascii="Arial" w:hAnsi="Arial" w:cs="Arial"/>
          <w:bCs/>
          <w:sz w:val="20"/>
          <w:szCs w:val="20"/>
        </w:rPr>
        <w:t xml:space="preserve">Los resultados correspondientes en ARCADIA 2 fueron 41,0 % en el grupo de nemolizumab y 18,1 % en el grupo placebo (p &lt; 0,0001), con una diferencia </w:t>
      </w:r>
      <w:r w:rsidR="0030703A">
        <w:rPr>
          <w:rFonts w:ascii="Arial" w:hAnsi="Arial" w:cs="Arial"/>
          <w:bCs/>
          <w:sz w:val="20"/>
          <w:szCs w:val="20"/>
        </w:rPr>
        <w:t>nemolizumab</w:t>
      </w:r>
      <w:r w:rsidRPr="00270C65">
        <w:rPr>
          <w:rFonts w:ascii="Arial" w:hAnsi="Arial" w:cs="Arial"/>
          <w:bCs/>
          <w:sz w:val="20"/>
          <w:szCs w:val="20"/>
        </w:rPr>
        <w:t xml:space="preserve"> – placebo de 2</w:t>
      </w:r>
      <w:r w:rsidR="00BB4D6A">
        <w:rPr>
          <w:rFonts w:ascii="Arial" w:hAnsi="Arial" w:cs="Arial"/>
          <w:bCs/>
          <w:sz w:val="20"/>
          <w:szCs w:val="20"/>
        </w:rPr>
        <w:t>3</w:t>
      </w:r>
      <w:r w:rsidR="00435F7E">
        <w:rPr>
          <w:rFonts w:ascii="Arial" w:hAnsi="Arial" w:cs="Arial"/>
          <w:bCs/>
          <w:sz w:val="20"/>
          <w:szCs w:val="20"/>
        </w:rPr>
        <w:t>%</w:t>
      </w:r>
      <w:r w:rsidRPr="00270C65">
        <w:rPr>
          <w:rFonts w:ascii="Arial" w:hAnsi="Arial" w:cs="Arial"/>
          <w:bCs/>
          <w:sz w:val="20"/>
          <w:szCs w:val="20"/>
        </w:rPr>
        <w:t xml:space="preserve"> (IC 95 %: 1</w:t>
      </w:r>
      <w:r w:rsidR="00BB4D6A">
        <w:rPr>
          <w:rFonts w:ascii="Arial" w:hAnsi="Arial" w:cs="Arial"/>
          <w:bCs/>
          <w:sz w:val="20"/>
          <w:szCs w:val="20"/>
        </w:rPr>
        <w:t>7</w:t>
      </w:r>
      <w:r w:rsidRPr="00270C65">
        <w:rPr>
          <w:rFonts w:ascii="Arial" w:hAnsi="Arial" w:cs="Arial"/>
          <w:bCs/>
          <w:sz w:val="20"/>
          <w:szCs w:val="20"/>
        </w:rPr>
        <w:t xml:space="preserve"> a 29</w:t>
      </w:r>
      <w:r w:rsidR="00435F7E">
        <w:rPr>
          <w:rFonts w:ascii="Arial" w:hAnsi="Arial" w:cs="Arial"/>
          <w:bCs/>
          <w:sz w:val="20"/>
          <w:szCs w:val="20"/>
        </w:rPr>
        <w:t>%</w:t>
      </w:r>
      <w:r w:rsidRPr="00270C65">
        <w:rPr>
          <w:rFonts w:ascii="Arial" w:hAnsi="Arial" w:cs="Arial"/>
          <w:bCs/>
          <w:sz w:val="20"/>
          <w:szCs w:val="20"/>
        </w:rPr>
        <w:t>) en la población global.</w:t>
      </w:r>
    </w:p>
    <w:p w14:paraId="067E19CE" w14:textId="77777777" w:rsidR="0030703A" w:rsidRDefault="0030703A" w:rsidP="00270C65">
      <w:pPr>
        <w:snapToGrid w:val="0"/>
        <w:jc w:val="both"/>
        <w:rPr>
          <w:rFonts w:ascii="Arial" w:hAnsi="Arial" w:cs="Arial"/>
          <w:bCs/>
          <w:sz w:val="20"/>
          <w:szCs w:val="20"/>
        </w:rPr>
      </w:pPr>
    </w:p>
    <w:p w14:paraId="2EB0BA6B" w14:textId="77777777" w:rsidR="0030703A" w:rsidRDefault="0030703A" w:rsidP="00270C65">
      <w:pPr>
        <w:snapToGrid w:val="0"/>
        <w:jc w:val="both"/>
        <w:rPr>
          <w:noProof/>
        </w:rPr>
      </w:pPr>
    </w:p>
    <w:p w14:paraId="4CEC78C1" w14:textId="77777777" w:rsidR="0042493D" w:rsidRDefault="00810283" w:rsidP="00270C65">
      <w:pPr>
        <w:snapToGrid w:val="0"/>
        <w:jc w:val="both"/>
        <w:rPr>
          <w:noProof/>
        </w:rPr>
      </w:pPr>
      <w:r>
        <w:rPr>
          <w:noProof/>
        </w:rPr>
        <w:drawing>
          <wp:anchor distT="0" distB="0" distL="114300" distR="114300" simplePos="0" relativeHeight="251645952" behindDoc="0" locked="0" layoutInCell="1" allowOverlap="1" wp14:anchorId="2F694844" wp14:editId="75062341">
            <wp:simplePos x="0" y="0"/>
            <wp:positionH relativeFrom="column">
              <wp:posOffset>-403860</wp:posOffset>
            </wp:positionH>
            <wp:positionV relativeFrom="paragraph">
              <wp:posOffset>-7620</wp:posOffset>
            </wp:positionV>
            <wp:extent cx="6124575" cy="2352675"/>
            <wp:effectExtent l="19050" t="0" r="9525" b="0"/>
            <wp:wrapTopAndBottom/>
            <wp:docPr id="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srcRect l="13722" t="35474" r="12865" b="14374"/>
                    <a:stretch>
                      <a:fillRect/>
                    </a:stretch>
                  </pic:blipFill>
                  <pic:spPr bwMode="auto">
                    <a:xfrm>
                      <a:off x="0" y="0"/>
                      <a:ext cx="6124575" cy="2352675"/>
                    </a:xfrm>
                    <a:prstGeom prst="rect">
                      <a:avLst/>
                    </a:prstGeom>
                    <a:noFill/>
                    <a:ln w="9525">
                      <a:noFill/>
                      <a:miter lim="800000"/>
                      <a:headEnd/>
                      <a:tailEnd/>
                    </a:ln>
                  </pic:spPr>
                </pic:pic>
              </a:graphicData>
            </a:graphic>
          </wp:anchor>
        </w:drawing>
      </w:r>
    </w:p>
    <w:p w14:paraId="26E174CF" w14:textId="04311F9B" w:rsidR="0030703A" w:rsidRPr="0030703A" w:rsidRDefault="0030703A" w:rsidP="00270C65">
      <w:pPr>
        <w:snapToGrid w:val="0"/>
        <w:jc w:val="both"/>
        <w:rPr>
          <w:rFonts w:ascii="Arial" w:hAnsi="Arial" w:cs="Arial"/>
          <w:b/>
          <w:sz w:val="20"/>
          <w:szCs w:val="20"/>
        </w:rPr>
      </w:pPr>
      <w:r w:rsidRPr="0030703A">
        <w:rPr>
          <w:rFonts w:ascii="Arial" w:hAnsi="Arial" w:cs="Arial"/>
          <w:b/>
          <w:sz w:val="20"/>
          <w:szCs w:val="20"/>
        </w:rPr>
        <w:t>Figura</w:t>
      </w:r>
      <w:r w:rsidR="003179AC">
        <w:rPr>
          <w:rFonts w:ascii="Arial" w:hAnsi="Arial" w:cs="Arial"/>
          <w:b/>
          <w:sz w:val="20"/>
          <w:szCs w:val="20"/>
        </w:rPr>
        <w:t xml:space="preserve"> </w:t>
      </w:r>
      <w:r w:rsidR="00E6745B">
        <w:rPr>
          <w:rFonts w:ascii="Arial" w:hAnsi="Arial" w:cs="Arial"/>
          <w:b/>
          <w:sz w:val="20"/>
          <w:szCs w:val="20"/>
        </w:rPr>
        <w:t>5</w:t>
      </w:r>
      <w:r w:rsidRPr="0030703A">
        <w:rPr>
          <w:rFonts w:ascii="Arial" w:hAnsi="Arial" w:cs="Arial"/>
          <w:b/>
          <w:sz w:val="20"/>
          <w:szCs w:val="20"/>
        </w:rPr>
        <w:t>. Proporción de pacientes con una mejora media semanal en la escala PP-NRS ≥4 (método de imputación múltiple, población ITT)</w:t>
      </w:r>
      <w:r>
        <w:rPr>
          <w:rFonts w:ascii="Arial" w:hAnsi="Arial" w:cs="Arial"/>
          <w:b/>
          <w:sz w:val="20"/>
          <w:szCs w:val="20"/>
        </w:rPr>
        <w:t>.</w:t>
      </w:r>
    </w:p>
    <w:p w14:paraId="324AE3DF" w14:textId="77777777" w:rsidR="0030703A" w:rsidRDefault="0030703A" w:rsidP="00270C65">
      <w:pPr>
        <w:snapToGrid w:val="0"/>
        <w:jc w:val="both"/>
        <w:rPr>
          <w:rFonts w:ascii="Arial" w:hAnsi="Arial" w:cs="Arial"/>
          <w:bCs/>
          <w:sz w:val="20"/>
          <w:szCs w:val="20"/>
        </w:rPr>
      </w:pPr>
    </w:p>
    <w:p w14:paraId="7E149E1A" w14:textId="77777777" w:rsidR="0042493D" w:rsidRPr="0042493D" w:rsidRDefault="0042493D" w:rsidP="0042493D">
      <w:pPr>
        <w:snapToGrid w:val="0"/>
        <w:jc w:val="both"/>
        <w:rPr>
          <w:rFonts w:ascii="Arial" w:hAnsi="Arial" w:cs="Arial"/>
          <w:b/>
          <w:sz w:val="20"/>
          <w:szCs w:val="20"/>
        </w:rPr>
      </w:pPr>
      <w:r w:rsidRPr="0042493D">
        <w:rPr>
          <w:rFonts w:ascii="Arial" w:hAnsi="Arial" w:cs="Arial"/>
          <w:b/>
          <w:sz w:val="20"/>
          <w:szCs w:val="20"/>
        </w:rPr>
        <w:t>Estudio de mantenimiento:</w:t>
      </w:r>
      <w:r>
        <w:rPr>
          <w:rFonts w:ascii="Arial" w:hAnsi="Arial" w:cs="Arial"/>
          <w:b/>
          <w:sz w:val="20"/>
          <w:szCs w:val="20"/>
        </w:rPr>
        <w:t xml:space="preserve"> </w:t>
      </w:r>
      <w:r w:rsidRPr="0042493D">
        <w:rPr>
          <w:rFonts w:ascii="Arial" w:hAnsi="Arial" w:cs="Arial"/>
          <w:bCs/>
          <w:sz w:val="20"/>
          <w:szCs w:val="20"/>
        </w:rPr>
        <w:t>Entre los sujetos que alcanzaron éxito en el IGA en la semana 16, los grupos que continuaron con nemolizumab cada 4 semanas (Q4W→Q4W) y aquellos que pasaron a nemolizumab cada 8 semanas (Q4W→Q8W) mostraron un mantenimiento de la respuesta similar en todos los puntos temporales evaluados hasta la semana 48, y superior en comparación con el grupo que pasó de nemolizumab Q4W a placebo (Q4W→placebo) en la semana 48.</w:t>
      </w:r>
    </w:p>
    <w:p w14:paraId="78023F35" w14:textId="77777777" w:rsidR="0042493D" w:rsidRPr="0042493D" w:rsidRDefault="0042493D" w:rsidP="0042493D">
      <w:pPr>
        <w:snapToGrid w:val="0"/>
        <w:jc w:val="both"/>
        <w:rPr>
          <w:rFonts w:ascii="Arial" w:hAnsi="Arial" w:cs="Arial"/>
          <w:bCs/>
          <w:sz w:val="20"/>
          <w:szCs w:val="20"/>
        </w:rPr>
      </w:pPr>
    </w:p>
    <w:p w14:paraId="093FC686" w14:textId="77777777" w:rsidR="0042493D" w:rsidRPr="0042493D" w:rsidRDefault="0042493D" w:rsidP="0042493D">
      <w:pPr>
        <w:snapToGrid w:val="0"/>
        <w:jc w:val="both"/>
        <w:rPr>
          <w:rFonts w:ascii="Arial" w:hAnsi="Arial" w:cs="Arial"/>
          <w:bCs/>
          <w:sz w:val="20"/>
          <w:szCs w:val="20"/>
        </w:rPr>
      </w:pPr>
      <w:r w:rsidRPr="0042493D">
        <w:rPr>
          <w:rFonts w:ascii="Arial" w:hAnsi="Arial" w:cs="Arial"/>
          <w:bCs/>
          <w:sz w:val="20"/>
          <w:szCs w:val="20"/>
        </w:rPr>
        <w:t>De manera similar, entre los sujetos que alcanzaron una respuesta EASI-75 en la semana 16, la proporción que mantuvo dicha respuesta fue similar entre los regímenes Q4W→Q4W y Q4W→Q8W, y superior en comparación con el grupo Q4W→placebo en la semana 48.</w:t>
      </w:r>
    </w:p>
    <w:p w14:paraId="6EAFB64E" w14:textId="77777777" w:rsidR="0001363A" w:rsidRDefault="0001363A" w:rsidP="0042493D">
      <w:pPr>
        <w:snapToGrid w:val="0"/>
        <w:jc w:val="both"/>
        <w:rPr>
          <w:rFonts w:ascii="Arial" w:hAnsi="Arial" w:cs="Arial"/>
          <w:bCs/>
          <w:sz w:val="20"/>
          <w:szCs w:val="20"/>
        </w:rPr>
      </w:pPr>
    </w:p>
    <w:p w14:paraId="65F1ADF1" w14:textId="77777777" w:rsidR="0001363A" w:rsidRDefault="0001363A" w:rsidP="0001363A">
      <w:pPr>
        <w:snapToGrid w:val="0"/>
        <w:jc w:val="both"/>
        <w:rPr>
          <w:rFonts w:ascii="Arial" w:hAnsi="Arial" w:cs="Arial"/>
          <w:bCs/>
          <w:sz w:val="20"/>
          <w:szCs w:val="20"/>
        </w:rPr>
      </w:pPr>
      <w:r>
        <w:rPr>
          <w:rFonts w:ascii="Arial" w:hAnsi="Arial" w:cs="Arial"/>
          <w:bCs/>
          <w:sz w:val="20"/>
          <w:szCs w:val="20"/>
        </w:rPr>
        <w:t xml:space="preserve">Además de los ensayos ARCADIA 1 y 2, se realizó un </w:t>
      </w:r>
      <w:r w:rsidRPr="0001363A">
        <w:rPr>
          <w:rFonts w:ascii="Arial" w:hAnsi="Arial" w:cs="Arial"/>
          <w:b/>
          <w:sz w:val="20"/>
          <w:szCs w:val="20"/>
        </w:rPr>
        <w:t xml:space="preserve">ensayo fase 3 en </w:t>
      </w:r>
      <w:r w:rsidR="00435F7E">
        <w:rPr>
          <w:rFonts w:ascii="Arial" w:hAnsi="Arial" w:cs="Arial"/>
          <w:b/>
          <w:sz w:val="20"/>
          <w:szCs w:val="20"/>
        </w:rPr>
        <w:t>J</w:t>
      </w:r>
      <w:r w:rsidRPr="0001363A">
        <w:rPr>
          <w:rFonts w:ascii="Arial" w:hAnsi="Arial" w:cs="Arial"/>
          <w:b/>
          <w:sz w:val="20"/>
          <w:szCs w:val="20"/>
        </w:rPr>
        <w:t>apón</w:t>
      </w:r>
      <w:r>
        <w:rPr>
          <w:rFonts w:ascii="Arial" w:hAnsi="Arial" w:cs="Arial"/>
          <w:bCs/>
          <w:sz w:val="20"/>
          <w:szCs w:val="20"/>
        </w:rPr>
        <w:t xml:space="preserve"> que es considerado en el EPAR como un estudio </w:t>
      </w:r>
      <w:r w:rsidRPr="0001363A">
        <w:rPr>
          <w:rFonts w:ascii="Arial" w:hAnsi="Arial" w:cs="Arial"/>
          <w:bCs/>
          <w:sz w:val="20"/>
          <w:szCs w:val="20"/>
        </w:rPr>
        <w:t>de soporte</w:t>
      </w:r>
      <w:r w:rsidR="00646A51">
        <w:rPr>
          <w:rFonts w:ascii="Arial" w:hAnsi="Arial" w:cs="Arial"/>
          <w:b/>
          <w:sz w:val="20"/>
          <w:szCs w:val="20"/>
        </w:rPr>
        <w:fldChar w:fldCharType="begin"/>
      </w:r>
      <w:r w:rsidR="00511A83">
        <w:rPr>
          <w:rFonts w:ascii="Arial" w:hAnsi="Arial" w:cs="Arial"/>
          <w:b/>
          <w:sz w:val="20"/>
          <w:szCs w:val="20"/>
        </w:rPr>
        <w:instrText xml:space="preserve"> ADDIN ZOTERO_ITEM CSL_CITATION {"citationID":"kMDTd8QQ","properties":{"formattedCitation":"(15)","plainCitation":"(15)","noteIndex":0},"citationItems":[{"id":33,"uris":["http://zotero.org/users/18702181/items/GT2FA9Q2"],"itemData":{"id":33,"type":"article-journal","abstract":"BACKGROUND: Nemolizumab is a subcutaneously administered humanized monoclonal antibody against interleukin-31 receptor A, which is involved in pruritus and inflammation in atopic dermatitis. In phase 2 studies, nemolizumab lessened the severity of atopic dermatitis.\nMETHODS: In a 16-week, double-blind, phase 3 trial, we randomly assigned Japanese patients with atopic dermatitis and moderate-to-severe pruritus and an inadequate response to topical agents in a 2:1 ratio to receive subcutaneous nemolizumab (60 mg) or placebo every 4 weeks until week 16, with concomitant topical agents. The primary end point was the mean percent change in the visual-analogue scale (VAS) score for pruritus (range, 0 to 100, with higher scores indicating worse pruritus) from baseline to week 16. Secondary end points included the time course of change in the VAS score for pruritus up to week 4, the change in the Eczema Area and Severity Index (EASI) score (range, 0 to 72, with higher scores indicating greater severity), a score of 4 or less on the Dermatology Life Quality Index (DLQI; range, 0 to 30, with higher scores indicating a greater effect on daily life), a score of 7 or less on the Insomnia Severity Index (ISI; range, 0 to 28, with higher scores indicating greater severity), and safety.\nRESULTS: A total of 143 patients were randomly assigned to receive nemolizumab and 72 to receive placebo. The median VAS score for pruritus at baseline was 75. At week 16, the mean percent change in the VAS score was -42.8% in the nemolizumab group and -21.4% in the placebo group (difference, -21.5 percentage points; 95% confidence interval, -30.2 to -12.7; P&lt;0.001). The mean percent change in the EASI score was -45.9% with nemolizumab and -33.2% with placebo. The percentage of patients with a DLQI score of 4 or less was 40% in the nemolizumab group and 22% in the placebo group; the percentage of patients with an ISI score of 7 or less was 55% and 21%, respectively. The incidence of injection-related reactions was 8% with nemolizumab and 3% with placebo.\nCONCLUSIONS: In this 16-week trial, the use of subcutaneous nemolizumab in addition to topical agents for atopic dermatitis resulted in a greater reduction in pruritus than placebo plus topical agents. The incidence of injection-site reactions was greater with nemolizumab than with placebo. Longer and larger trials are necessary to determine whether nemolizumab has a durable effect and is safe for atopic dermatitis. (Funded by Maruho; JapicCTI number, 173740.).","container-title":"The New England Journal of Medicine","DOI":"10.1056/NEJMoa1917006","ISSN":"1533-4406","issue":"2","journalAbbreviation":"N Engl J Med","language":"eng","page":"141-150","PMID":"32640132","source":"PubMed","title":"Trial of Nemolizumab and Topical Agents for Atopic Dermatitis with Pruritus","volume":"383","author":[{"family":"Kabashima","given":"Kenji"},{"family":"Matsumura","given":"Takayo"},{"family":"Komazaki","given":"Hiroshi"},{"family":"Kawashima","given":"Makoto"},{"literal":"Nemolizumab-JP01 Study Group"}],"issued":{"date-parts":[["2020",7,9]]}}}],"schema":"https://github.com/citation-style-language/schema/raw/master/csl-citation.json"} </w:instrText>
      </w:r>
      <w:r w:rsidR="00646A51">
        <w:rPr>
          <w:rFonts w:ascii="Arial" w:hAnsi="Arial" w:cs="Arial"/>
          <w:b/>
          <w:sz w:val="20"/>
          <w:szCs w:val="20"/>
        </w:rPr>
        <w:fldChar w:fldCharType="separate"/>
      </w:r>
      <w:r w:rsidR="00AB2E8A" w:rsidRPr="00AB2E8A">
        <w:rPr>
          <w:rFonts w:ascii="Arial" w:hAnsi="Arial" w:cs="Arial"/>
          <w:sz w:val="20"/>
        </w:rPr>
        <w:t>(15)</w:t>
      </w:r>
      <w:r w:rsidR="00646A51">
        <w:rPr>
          <w:rFonts w:ascii="Arial" w:hAnsi="Arial" w:cs="Arial"/>
          <w:b/>
          <w:sz w:val="20"/>
          <w:szCs w:val="20"/>
        </w:rPr>
        <w:fldChar w:fldCharType="end"/>
      </w:r>
      <w:r w:rsidR="00435F7E">
        <w:rPr>
          <w:rFonts w:ascii="Arial" w:hAnsi="Arial" w:cs="Arial"/>
          <w:b/>
          <w:sz w:val="20"/>
          <w:szCs w:val="20"/>
        </w:rPr>
        <w:t>.</w:t>
      </w:r>
      <w:r>
        <w:rPr>
          <w:rFonts w:ascii="Arial" w:hAnsi="Arial" w:cs="Arial"/>
          <w:bCs/>
          <w:sz w:val="20"/>
          <w:szCs w:val="20"/>
        </w:rPr>
        <w:t xml:space="preserve"> Fue</w:t>
      </w:r>
      <w:r w:rsidRPr="008C5E90">
        <w:rPr>
          <w:rFonts w:ascii="Arial" w:hAnsi="Arial" w:cs="Arial"/>
          <w:bCs/>
          <w:sz w:val="20"/>
          <w:szCs w:val="20"/>
        </w:rPr>
        <w:t xml:space="preserve"> un ensayo clínico de fase 3, doble ciego, aleatorizado, de 16 semanas, diseñado para evaluar el nemolizumab </w:t>
      </w:r>
      <w:r>
        <w:rPr>
          <w:rFonts w:ascii="Arial" w:hAnsi="Arial" w:cs="Arial"/>
          <w:bCs/>
          <w:sz w:val="20"/>
          <w:szCs w:val="20"/>
        </w:rPr>
        <w:t xml:space="preserve">frente a placebo </w:t>
      </w:r>
      <w:r w:rsidRPr="008C5E90">
        <w:rPr>
          <w:rFonts w:ascii="Arial" w:hAnsi="Arial" w:cs="Arial"/>
          <w:bCs/>
          <w:sz w:val="20"/>
          <w:szCs w:val="20"/>
        </w:rPr>
        <w:t xml:space="preserve">en pacientes japoneses con </w:t>
      </w:r>
      <w:r>
        <w:rPr>
          <w:rFonts w:ascii="Arial" w:hAnsi="Arial" w:cs="Arial"/>
          <w:bCs/>
          <w:sz w:val="20"/>
          <w:szCs w:val="20"/>
        </w:rPr>
        <w:t xml:space="preserve">DA </w:t>
      </w:r>
      <w:r w:rsidRPr="008C5E90">
        <w:rPr>
          <w:rFonts w:ascii="Arial" w:hAnsi="Arial" w:cs="Arial"/>
          <w:bCs/>
          <w:sz w:val="20"/>
          <w:szCs w:val="20"/>
        </w:rPr>
        <w:t xml:space="preserve">y prurito moderado a grave con respuesta inadecuada a los agentes tópicos. Los pacientes fueron asignados aleatoriamente en una proporción 2:1 a recibir nemolizumab </w:t>
      </w:r>
      <w:r w:rsidR="00E71C86">
        <w:rPr>
          <w:rFonts w:ascii="Arial" w:hAnsi="Arial" w:cs="Arial"/>
          <w:bCs/>
          <w:sz w:val="20"/>
          <w:szCs w:val="20"/>
        </w:rPr>
        <w:t>SC</w:t>
      </w:r>
      <w:r w:rsidRPr="008C5E90">
        <w:rPr>
          <w:rFonts w:ascii="Arial" w:hAnsi="Arial" w:cs="Arial"/>
          <w:bCs/>
          <w:sz w:val="20"/>
          <w:szCs w:val="20"/>
        </w:rPr>
        <w:t xml:space="preserve"> (60 mg) o placebo</w:t>
      </w:r>
      <w:r w:rsidR="00E71C86">
        <w:rPr>
          <w:rFonts w:ascii="Arial" w:hAnsi="Arial" w:cs="Arial"/>
          <w:bCs/>
          <w:sz w:val="20"/>
          <w:szCs w:val="20"/>
        </w:rPr>
        <w:t xml:space="preserve"> Q4W</w:t>
      </w:r>
      <w:r w:rsidRPr="008C5E90">
        <w:rPr>
          <w:rFonts w:ascii="Arial" w:hAnsi="Arial" w:cs="Arial"/>
          <w:bCs/>
          <w:sz w:val="20"/>
          <w:szCs w:val="20"/>
        </w:rPr>
        <w:t>, junto con agentes tópicos concomitantes. El objetivo primario fue el cambio porcentual medio en la puntuación de la Escala Visual Analógica (VAS) para el prurito desde el inicio hasta la semana 1</w:t>
      </w:r>
      <w:r>
        <w:rPr>
          <w:rFonts w:ascii="Arial" w:hAnsi="Arial" w:cs="Arial"/>
          <w:bCs/>
          <w:sz w:val="20"/>
          <w:szCs w:val="20"/>
        </w:rPr>
        <w:t>6</w:t>
      </w:r>
      <w:r w:rsidRPr="008C5E90">
        <w:rPr>
          <w:rFonts w:ascii="Arial" w:hAnsi="Arial" w:cs="Arial"/>
          <w:bCs/>
          <w:sz w:val="20"/>
          <w:szCs w:val="20"/>
        </w:rPr>
        <w:t>. Los objetivos secundarios incluyeron la evolución temporal de la puntuación VAS de prurito, el cambio en la puntuación del Índice de Área y Gravedad del Eczema (EASI), y el porcentaje de pacientes que alcanzaron umbrales preespecificados en el Índice de Calidad de Vida en Dermatología (DLQI) y el Índice de Gravedad del Insomnio (ISI). En cuanto al objetivo primario, el cambio porcentual medio en la puntuación VAS de prurito fue significativamente superior en el grupo de nemolizumab (-42.8%</w:t>
      </w:r>
      <w:r>
        <w:rPr>
          <w:rFonts w:ascii="Arial" w:hAnsi="Arial" w:cs="Arial"/>
          <w:bCs/>
          <w:sz w:val="20"/>
          <w:szCs w:val="20"/>
        </w:rPr>
        <w:t>)</w:t>
      </w:r>
      <w:r w:rsidRPr="008C5E90">
        <w:rPr>
          <w:rFonts w:ascii="Arial" w:hAnsi="Arial" w:cs="Arial"/>
          <w:bCs/>
          <w:sz w:val="20"/>
          <w:szCs w:val="20"/>
        </w:rPr>
        <w:t xml:space="preserve"> en comparación con el grupo de placebo </w:t>
      </w:r>
      <w:r>
        <w:rPr>
          <w:rFonts w:ascii="Arial" w:hAnsi="Arial" w:cs="Arial"/>
          <w:bCs/>
          <w:sz w:val="20"/>
          <w:szCs w:val="20"/>
        </w:rPr>
        <w:t>(-</w:t>
      </w:r>
      <w:r w:rsidRPr="008C5E90">
        <w:rPr>
          <w:rFonts w:ascii="Arial" w:hAnsi="Arial" w:cs="Arial"/>
          <w:bCs/>
          <w:sz w:val="20"/>
          <w:szCs w:val="20"/>
        </w:rPr>
        <w:t>21.4</w:t>
      </w:r>
      <w:r>
        <w:rPr>
          <w:rFonts w:ascii="Arial" w:hAnsi="Arial" w:cs="Arial"/>
          <w:bCs/>
          <w:sz w:val="20"/>
          <w:szCs w:val="20"/>
        </w:rPr>
        <w:t>%</w:t>
      </w:r>
      <w:r w:rsidRPr="008C5E90">
        <w:rPr>
          <w:rFonts w:ascii="Arial" w:hAnsi="Arial" w:cs="Arial"/>
          <w:bCs/>
          <w:sz w:val="20"/>
          <w:szCs w:val="20"/>
        </w:rPr>
        <w:t>, con una diferencia de 21</w:t>
      </w:r>
      <w:r w:rsidR="00435F7E">
        <w:rPr>
          <w:rFonts w:ascii="Arial" w:hAnsi="Arial" w:cs="Arial"/>
          <w:bCs/>
          <w:sz w:val="20"/>
          <w:szCs w:val="20"/>
        </w:rPr>
        <w:t>,</w:t>
      </w:r>
      <w:r w:rsidRPr="008C5E90">
        <w:rPr>
          <w:rFonts w:ascii="Arial" w:hAnsi="Arial" w:cs="Arial"/>
          <w:bCs/>
          <w:sz w:val="20"/>
          <w:szCs w:val="20"/>
        </w:rPr>
        <w:t>5</w:t>
      </w:r>
      <w:r>
        <w:rPr>
          <w:rFonts w:ascii="Arial" w:hAnsi="Arial" w:cs="Arial"/>
          <w:bCs/>
          <w:sz w:val="20"/>
          <w:szCs w:val="20"/>
        </w:rPr>
        <w:t>% (IC95:-30 a -12.7; p&lt;0.001</w:t>
      </w:r>
      <w:r w:rsidRPr="008C5E90">
        <w:rPr>
          <w:rFonts w:ascii="Arial" w:hAnsi="Arial" w:cs="Arial"/>
          <w:bCs/>
          <w:sz w:val="20"/>
          <w:szCs w:val="20"/>
        </w:rPr>
        <w:t>)</w:t>
      </w:r>
      <w:r>
        <w:rPr>
          <w:rFonts w:ascii="Arial" w:hAnsi="Arial" w:cs="Arial"/>
          <w:bCs/>
          <w:sz w:val="20"/>
          <w:szCs w:val="20"/>
        </w:rPr>
        <w:t>.</w:t>
      </w:r>
    </w:p>
    <w:p w14:paraId="03AAEE11" w14:textId="77777777" w:rsidR="0001363A" w:rsidRDefault="0001363A" w:rsidP="0042493D">
      <w:pPr>
        <w:snapToGrid w:val="0"/>
        <w:jc w:val="both"/>
        <w:rPr>
          <w:rFonts w:ascii="Arial" w:hAnsi="Arial" w:cs="Arial"/>
          <w:bCs/>
          <w:sz w:val="20"/>
          <w:szCs w:val="20"/>
        </w:rPr>
      </w:pPr>
    </w:p>
    <w:p w14:paraId="4F7BAAC9" w14:textId="77777777" w:rsidR="00AA6BC8" w:rsidRDefault="00AA6BC8" w:rsidP="0042493D">
      <w:pPr>
        <w:snapToGrid w:val="0"/>
        <w:jc w:val="both"/>
        <w:rPr>
          <w:rFonts w:ascii="Arial" w:hAnsi="Arial" w:cs="Arial"/>
          <w:bCs/>
          <w:sz w:val="20"/>
          <w:szCs w:val="20"/>
        </w:rPr>
      </w:pPr>
    </w:p>
    <w:p w14:paraId="5653CC17" w14:textId="77777777" w:rsidR="004E35F2" w:rsidRPr="00095C04" w:rsidRDefault="004E35F2" w:rsidP="00BC3E8E">
      <w:pPr>
        <w:snapToGrid w:val="0"/>
        <w:jc w:val="both"/>
        <w:rPr>
          <w:rFonts w:ascii="Arial" w:hAnsi="Arial" w:cs="Arial"/>
          <w:bCs/>
          <w:sz w:val="20"/>
          <w:szCs w:val="20"/>
          <w:lang w:val="es-ES_tradnl"/>
        </w:rPr>
      </w:pPr>
    </w:p>
    <w:p w14:paraId="67C97DD9"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56" w:name="_Toc344399636"/>
      <w:bookmarkStart w:id="57" w:name="_Toc348931363"/>
      <w:bookmarkStart w:id="58" w:name="_Toc216191086"/>
      <w:r w:rsidRPr="00E3472F">
        <w:rPr>
          <w:rFonts w:cs="Arial"/>
          <w:sz w:val="20"/>
        </w:rPr>
        <w:t>5.2.b Evaluación de la validez y de la utilidad práctica de los resultados</w:t>
      </w:r>
      <w:bookmarkEnd w:id="56"/>
      <w:bookmarkEnd w:id="57"/>
      <w:bookmarkEnd w:id="58"/>
      <w:r w:rsidRPr="00E3472F">
        <w:rPr>
          <w:rFonts w:cs="Arial"/>
          <w:sz w:val="20"/>
        </w:rPr>
        <w:t xml:space="preserve"> </w:t>
      </w:r>
    </w:p>
    <w:p w14:paraId="37EDD276" w14:textId="77777777" w:rsidR="00BC3E8E" w:rsidRDefault="00BC3E8E" w:rsidP="00BC3E8E">
      <w:pPr>
        <w:jc w:val="both"/>
        <w:rPr>
          <w:rFonts w:ascii="Arial" w:hAnsi="Arial" w:cs="Arial"/>
          <w:bCs/>
          <w:color w:val="000080"/>
          <w:sz w:val="20"/>
          <w:szCs w:val="20"/>
        </w:rPr>
      </w:pPr>
    </w:p>
    <w:p w14:paraId="39AFD089" w14:textId="77777777" w:rsidR="00BC3E8E" w:rsidRPr="006F6ABB" w:rsidRDefault="00BC3E8E" w:rsidP="00BC3E8E">
      <w:pPr>
        <w:jc w:val="both"/>
        <w:rPr>
          <w:rFonts w:ascii="Arial" w:hAnsi="Arial" w:cs="Arial"/>
          <w:bCs/>
          <w:color w:val="000080"/>
          <w:sz w:val="20"/>
          <w:szCs w:val="20"/>
          <w:lang w:val="es-ES_tradnl"/>
        </w:rPr>
      </w:pPr>
    </w:p>
    <w:p w14:paraId="28DFDF2E" w14:textId="77777777" w:rsidR="00BC3E8E" w:rsidRPr="00EE2E78"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rPr>
      </w:pPr>
      <w:bookmarkStart w:id="59" w:name="_Toc344399637"/>
      <w:bookmarkStart w:id="60" w:name="_Toc348931364"/>
      <w:bookmarkStart w:id="61" w:name="_Toc216191087"/>
      <w:r w:rsidRPr="00EE2E78">
        <w:rPr>
          <w:bCs/>
          <w:color w:val="333300"/>
          <w:sz w:val="20"/>
        </w:rPr>
        <w:t>A. Validez interna. Limitaciones de diseño y/o comentarios:</w:t>
      </w:r>
      <w:bookmarkEnd w:id="59"/>
      <w:bookmarkEnd w:id="60"/>
      <w:bookmarkEnd w:id="61"/>
    </w:p>
    <w:p w14:paraId="2F819F29" w14:textId="77777777" w:rsidR="00BC3E8E" w:rsidRPr="002E4525" w:rsidRDefault="00BC3E8E" w:rsidP="00BC3E8E">
      <w:pPr>
        <w:autoSpaceDE w:val="0"/>
        <w:autoSpaceDN w:val="0"/>
        <w:adjustRightInd w:val="0"/>
        <w:rPr>
          <w:rFonts w:ascii="Arial" w:hAnsi="Arial" w:cs="Arial"/>
          <w:bCs/>
          <w:sz w:val="20"/>
          <w:szCs w:val="20"/>
        </w:rPr>
      </w:pPr>
    </w:p>
    <w:p w14:paraId="1AC3AB42" w14:textId="77777777" w:rsidR="00180202" w:rsidRDefault="00797BD5" w:rsidP="002E4525">
      <w:pPr>
        <w:jc w:val="both"/>
        <w:rPr>
          <w:rFonts w:ascii="Arial" w:hAnsi="Arial" w:cs="Arial"/>
          <w:sz w:val="20"/>
          <w:szCs w:val="20"/>
        </w:rPr>
      </w:pPr>
      <w:r w:rsidRPr="002E4525">
        <w:rPr>
          <w:rFonts w:ascii="Arial" w:hAnsi="Arial" w:cs="Arial"/>
          <w:bCs/>
          <w:sz w:val="20"/>
          <w:szCs w:val="20"/>
        </w:rPr>
        <w:t>Se realiz</w:t>
      </w:r>
      <w:r w:rsidR="00BB4D6A">
        <w:rPr>
          <w:rFonts w:ascii="Arial" w:hAnsi="Arial" w:cs="Arial"/>
          <w:bCs/>
          <w:sz w:val="20"/>
          <w:szCs w:val="20"/>
        </w:rPr>
        <w:t xml:space="preserve">aron </w:t>
      </w:r>
      <w:r w:rsidR="003179AC">
        <w:rPr>
          <w:rFonts w:ascii="Arial" w:hAnsi="Arial" w:cs="Arial"/>
          <w:bCs/>
          <w:sz w:val="20"/>
          <w:szCs w:val="20"/>
        </w:rPr>
        <w:t>dos</w:t>
      </w:r>
      <w:r w:rsidR="003179AC" w:rsidRPr="002E4525">
        <w:rPr>
          <w:rFonts w:ascii="Arial" w:hAnsi="Arial" w:cs="Arial"/>
          <w:bCs/>
          <w:sz w:val="20"/>
          <w:szCs w:val="20"/>
        </w:rPr>
        <w:t xml:space="preserve"> estudios</w:t>
      </w:r>
      <w:r w:rsidRPr="002E4525">
        <w:rPr>
          <w:rFonts w:ascii="Arial" w:hAnsi="Arial" w:cs="Arial"/>
          <w:bCs/>
          <w:sz w:val="20"/>
          <w:szCs w:val="20"/>
        </w:rPr>
        <w:t xml:space="preserve"> fase 3, </w:t>
      </w:r>
      <w:r w:rsidR="00991C46" w:rsidRPr="002E4525">
        <w:rPr>
          <w:rFonts w:ascii="Arial" w:hAnsi="Arial" w:cs="Arial"/>
          <w:bCs/>
          <w:sz w:val="20"/>
          <w:szCs w:val="20"/>
        </w:rPr>
        <w:t xml:space="preserve">con una </w:t>
      </w:r>
      <w:r w:rsidR="00991C46" w:rsidRPr="00F71AA5">
        <w:rPr>
          <w:rFonts w:ascii="Arial" w:hAnsi="Arial" w:cs="Arial"/>
          <w:b/>
          <w:sz w:val="20"/>
          <w:szCs w:val="20"/>
        </w:rPr>
        <w:t>aleatorización estratificada</w:t>
      </w:r>
      <w:r w:rsidR="00991C46" w:rsidRPr="002E4525">
        <w:rPr>
          <w:rFonts w:ascii="Arial" w:hAnsi="Arial" w:cs="Arial"/>
          <w:bCs/>
          <w:sz w:val="20"/>
          <w:szCs w:val="20"/>
        </w:rPr>
        <w:t xml:space="preserve"> según criterios de gravedad</w:t>
      </w:r>
      <w:r w:rsidR="002E4525" w:rsidRPr="002E4525">
        <w:rPr>
          <w:rFonts w:ascii="Arial" w:hAnsi="Arial" w:cs="Arial"/>
          <w:bCs/>
          <w:sz w:val="20"/>
          <w:szCs w:val="20"/>
        </w:rPr>
        <w:t xml:space="preserve"> de la enfermedad basal (puntuación IGA de 3 [moderada] o 4 [grave]) y por la gravedad del prurito (puntuación PP-NRS 7 [prurito grave] o &lt;7 [prurito moderado]), con una proporción 2:1 en el brazo de nemolizumab frente a placebo</w:t>
      </w:r>
      <w:r w:rsidR="00180202">
        <w:rPr>
          <w:rFonts w:ascii="Arial" w:hAnsi="Arial" w:cs="Arial"/>
          <w:bCs/>
          <w:sz w:val="20"/>
          <w:szCs w:val="20"/>
        </w:rPr>
        <w:t>.</w:t>
      </w:r>
      <w:r w:rsidR="00F71AA5" w:rsidRPr="00F71AA5">
        <w:rPr>
          <w:rFonts w:ascii="Arial" w:hAnsi="Arial" w:cs="Arial"/>
          <w:sz w:val="20"/>
          <w:szCs w:val="20"/>
        </w:rPr>
        <w:t xml:space="preserve"> </w:t>
      </w:r>
      <w:r w:rsidR="00F71AA5">
        <w:rPr>
          <w:rFonts w:ascii="Arial" w:hAnsi="Arial" w:cs="Arial"/>
          <w:sz w:val="20"/>
          <w:szCs w:val="20"/>
        </w:rPr>
        <w:t xml:space="preserve">Esta aleatorización se llevó a cabo a través de sistema automatizado </w:t>
      </w:r>
      <w:r w:rsidR="005F44C8">
        <w:rPr>
          <w:rFonts w:ascii="Arial" w:hAnsi="Arial" w:cs="Arial"/>
          <w:sz w:val="20"/>
          <w:szCs w:val="20"/>
        </w:rPr>
        <w:t xml:space="preserve">mediante tecnología interactiva de respuesta </w:t>
      </w:r>
      <w:r w:rsidR="00F71AA5">
        <w:rPr>
          <w:rFonts w:ascii="Arial" w:hAnsi="Arial" w:cs="Arial"/>
          <w:sz w:val="20"/>
          <w:szCs w:val="20"/>
        </w:rPr>
        <w:t>con lo que se evita el sesgo de selección</w:t>
      </w:r>
      <w:r w:rsidR="005F44C8">
        <w:rPr>
          <w:rFonts w:ascii="Arial" w:hAnsi="Arial" w:cs="Arial"/>
          <w:sz w:val="20"/>
          <w:szCs w:val="20"/>
        </w:rPr>
        <w:t>.</w:t>
      </w:r>
    </w:p>
    <w:p w14:paraId="5F8DC1C4" w14:textId="77777777" w:rsidR="00BB55B2" w:rsidRDefault="00BB55B2" w:rsidP="00BB55B2">
      <w:pPr>
        <w:jc w:val="both"/>
        <w:rPr>
          <w:rFonts w:ascii="Arial" w:hAnsi="Arial" w:cs="Arial"/>
          <w:bCs/>
          <w:sz w:val="20"/>
          <w:szCs w:val="20"/>
        </w:rPr>
      </w:pPr>
    </w:p>
    <w:p w14:paraId="5C4F5E48" w14:textId="77777777" w:rsidR="00BB55B2" w:rsidRDefault="00BB55B2" w:rsidP="00BB55B2">
      <w:pPr>
        <w:jc w:val="both"/>
        <w:rPr>
          <w:rFonts w:ascii="Arial" w:hAnsi="Arial" w:cs="Arial"/>
          <w:bCs/>
          <w:sz w:val="20"/>
          <w:szCs w:val="20"/>
        </w:rPr>
      </w:pPr>
      <w:r w:rsidRPr="00BB55B2">
        <w:rPr>
          <w:rFonts w:ascii="Arial" w:hAnsi="Arial" w:cs="Arial"/>
          <w:bCs/>
          <w:sz w:val="20"/>
          <w:szCs w:val="20"/>
        </w:rPr>
        <w:t>Los criterios de valoración de eficacia primarios, secundarios clave y otros secu</w:t>
      </w:r>
      <w:r>
        <w:rPr>
          <w:rFonts w:ascii="Arial" w:hAnsi="Arial" w:cs="Arial"/>
          <w:bCs/>
          <w:sz w:val="20"/>
          <w:szCs w:val="20"/>
        </w:rPr>
        <w:t xml:space="preserve">ndarios se evaluaron </w:t>
      </w:r>
      <w:r w:rsidRPr="00BB55B2">
        <w:rPr>
          <w:rFonts w:ascii="Arial" w:hAnsi="Arial" w:cs="Arial"/>
          <w:bCs/>
          <w:sz w:val="20"/>
          <w:szCs w:val="20"/>
        </w:rPr>
        <w:t>en dos poblaciones:</w:t>
      </w:r>
      <w:r>
        <w:rPr>
          <w:rFonts w:ascii="Arial" w:hAnsi="Arial" w:cs="Arial"/>
          <w:bCs/>
          <w:sz w:val="20"/>
          <w:szCs w:val="20"/>
        </w:rPr>
        <w:t xml:space="preserve"> </w:t>
      </w:r>
      <w:r w:rsidRPr="00BB55B2">
        <w:rPr>
          <w:rFonts w:ascii="Arial" w:hAnsi="Arial" w:cs="Arial"/>
          <w:bCs/>
          <w:sz w:val="20"/>
          <w:szCs w:val="20"/>
        </w:rPr>
        <w:t xml:space="preserve">la población completa por </w:t>
      </w:r>
      <w:r w:rsidRPr="00BB55B2">
        <w:rPr>
          <w:rFonts w:ascii="Arial" w:hAnsi="Arial" w:cs="Arial"/>
          <w:b/>
          <w:sz w:val="20"/>
          <w:szCs w:val="20"/>
        </w:rPr>
        <w:t>ITT</w:t>
      </w:r>
      <w:r w:rsidRPr="00BB55B2">
        <w:rPr>
          <w:rFonts w:ascii="Arial" w:hAnsi="Arial" w:cs="Arial"/>
          <w:bCs/>
          <w:sz w:val="20"/>
          <w:szCs w:val="20"/>
        </w:rPr>
        <w:t xml:space="preserve"> y</w:t>
      </w:r>
      <w:r>
        <w:rPr>
          <w:rFonts w:ascii="Arial" w:hAnsi="Arial" w:cs="Arial"/>
          <w:bCs/>
          <w:sz w:val="20"/>
          <w:szCs w:val="20"/>
        </w:rPr>
        <w:t xml:space="preserve"> </w:t>
      </w:r>
      <w:r w:rsidRPr="00BB55B2">
        <w:rPr>
          <w:rFonts w:ascii="Arial" w:hAnsi="Arial" w:cs="Arial"/>
          <w:bCs/>
          <w:sz w:val="20"/>
          <w:szCs w:val="20"/>
        </w:rPr>
        <w:t xml:space="preserve">una </w:t>
      </w:r>
      <w:r w:rsidRPr="00BB55B2">
        <w:rPr>
          <w:rFonts w:ascii="Arial" w:hAnsi="Arial" w:cs="Arial"/>
          <w:b/>
          <w:sz w:val="20"/>
          <w:szCs w:val="20"/>
        </w:rPr>
        <w:t>subpoblación</w:t>
      </w:r>
      <w:r w:rsidRPr="00BB55B2">
        <w:rPr>
          <w:rFonts w:ascii="Arial" w:hAnsi="Arial" w:cs="Arial"/>
          <w:bCs/>
          <w:sz w:val="20"/>
          <w:szCs w:val="20"/>
        </w:rPr>
        <w:t xml:space="preserve"> de sujetos dentro de la población </w:t>
      </w:r>
      <w:r w:rsidRPr="00BB55B2">
        <w:rPr>
          <w:rFonts w:ascii="Arial" w:hAnsi="Arial" w:cs="Arial"/>
          <w:b/>
          <w:sz w:val="20"/>
          <w:szCs w:val="20"/>
        </w:rPr>
        <w:t>ITT</w:t>
      </w:r>
      <w:r w:rsidRPr="00BB55B2">
        <w:rPr>
          <w:rFonts w:ascii="Arial" w:hAnsi="Arial" w:cs="Arial"/>
          <w:bCs/>
          <w:sz w:val="20"/>
          <w:szCs w:val="20"/>
        </w:rPr>
        <w:t xml:space="preserve"> con una puntuación basal de </w:t>
      </w:r>
      <w:r w:rsidRPr="00BB55B2">
        <w:rPr>
          <w:rFonts w:ascii="Arial" w:hAnsi="Arial" w:cs="Arial"/>
          <w:b/>
          <w:sz w:val="20"/>
          <w:szCs w:val="20"/>
        </w:rPr>
        <w:t>PP NRS ≥ 7.</w:t>
      </w:r>
      <w:r>
        <w:rPr>
          <w:rFonts w:ascii="Arial" w:hAnsi="Arial" w:cs="Arial"/>
          <w:bCs/>
          <w:sz w:val="20"/>
          <w:szCs w:val="20"/>
        </w:rPr>
        <w:t xml:space="preserve"> </w:t>
      </w:r>
      <w:r w:rsidRPr="00BB55B2">
        <w:rPr>
          <w:rFonts w:ascii="Arial" w:hAnsi="Arial" w:cs="Arial"/>
          <w:bCs/>
          <w:sz w:val="20"/>
          <w:szCs w:val="20"/>
        </w:rPr>
        <w:t xml:space="preserve">Los análisis de eficacia de los criterios de valoración primarios y secundarios clave también </w:t>
      </w:r>
      <w:r>
        <w:rPr>
          <w:rFonts w:ascii="Arial" w:hAnsi="Arial" w:cs="Arial"/>
          <w:bCs/>
          <w:sz w:val="20"/>
          <w:szCs w:val="20"/>
        </w:rPr>
        <w:t xml:space="preserve">se realizaron </w:t>
      </w:r>
      <w:r w:rsidRPr="00BB55B2">
        <w:rPr>
          <w:rFonts w:ascii="Arial" w:hAnsi="Arial" w:cs="Arial"/>
          <w:bCs/>
          <w:sz w:val="20"/>
          <w:szCs w:val="20"/>
        </w:rPr>
        <w:t xml:space="preserve">basándose en las poblaciones </w:t>
      </w:r>
      <w:r w:rsidR="003F026E" w:rsidRPr="007868E3">
        <w:rPr>
          <w:rFonts w:ascii="Arial" w:hAnsi="Arial" w:cs="Arial"/>
          <w:b/>
          <w:i/>
          <w:sz w:val="20"/>
          <w:szCs w:val="20"/>
        </w:rPr>
        <w:t>per protocol</w:t>
      </w:r>
      <w:r w:rsidRPr="00BB55B2">
        <w:rPr>
          <w:rFonts w:ascii="Arial" w:hAnsi="Arial" w:cs="Arial"/>
          <w:b/>
          <w:sz w:val="20"/>
          <w:szCs w:val="20"/>
        </w:rPr>
        <w:t xml:space="preserve"> (PP),</w:t>
      </w:r>
      <w:r w:rsidRPr="00BB55B2">
        <w:rPr>
          <w:rFonts w:ascii="Arial" w:hAnsi="Arial" w:cs="Arial"/>
          <w:bCs/>
          <w:sz w:val="20"/>
          <w:szCs w:val="20"/>
        </w:rPr>
        <w:t xml:space="preserve"> y estos análisis se considerar</w:t>
      </w:r>
      <w:r>
        <w:rPr>
          <w:rFonts w:ascii="Arial" w:hAnsi="Arial" w:cs="Arial"/>
          <w:bCs/>
          <w:sz w:val="20"/>
          <w:szCs w:val="20"/>
        </w:rPr>
        <w:t>on</w:t>
      </w:r>
      <w:r w:rsidRPr="00BB55B2">
        <w:rPr>
          <w:rFonts w:ascii="Arial" w:hAnsi="Arial" w:cs="Arial"/>
          <w:bCs/>
          <w:sz w:val="20"/>
          <w:szCs w:val="20"/>
        </w:rPr>
        <w:t xml:space="preserve"> como análisis de apoyo.</w:t>
      </w:r>
    </w:p>
    <w:p w14:paraId="6BE0E771" w14:textId="77777777" w:rsidR="00BB55B2" w:rsidRDefault="00BB55B2" w:rsidP="00BB55B2">
      <w:pPr>
        <w:jc w:val="both"/>
        <w:rPr>
          <w:rFonts w:ascii="Arial" w:hAnsi="Arial" w:cs="Arial"/>
          <w:bCs/>
          <w:sz w:val="20"/>
          <w:szCs w:val="20"/>
        </w:rPr>
      </w:pPr>
      <w:r>
        <w:rPr>
          <w:rFonts w:ascii="Arial" w:hAnsi="Arial" w:cs="Arial"/>
          <w:bCs/>
          <w:sz w:val="20"/>
          <w:szCs w:val="20"/>
        </w:rPr>
        <w:t xml:space="preserve">Las </w:t>
      </w:r>
      <w:r w:rsidRPr="00DE67A2">
        <w:rPr>
          <w:rFonts w:ascii="Arial" w:hAnsi="Arial" w:cs="Arial"/>
          <w:b/>
          <w:sz w:val="20"/>
          <w:szCs w:val="20"/>
        </w:rPr>
        <w:t>pérdidas</w:t>
      </w:r>
      <w:r>
        <w:rPr>
          <w:rFonts w:ascii="Arial" w:hAnsi="Arial" w:cs="Arial"/>
          <w:bCs/>
          <w:sz w:val="20"/>
          <w:szCs w:val="20"/>
        </w:rPr>
        <w:t xml:space="preserve"> estuvieron balanceadas, en ambos grupos; en ARCADIA 1 (60 nemolizumab vs 25 placebo) y en ARCADIA 2 (52 nemolizumab vs 24 placebo).</w:t>
      </w:r>
    </w:p>
    <w:p w14:paraId="2E1BBA7C" w14:textId="77777777" w:rsidR="00BB55B2" w:rsidRDefault="00BB55B2" w:rsidP="002E4525">
      <w:pPr>
        <w:jc w:val="both"/>
        <w:rPr>
          <w:rFonts w:ascii="Arial" w:hAnsi="Arial" w:cs="Arial"/>
          <w:sz w:val="20"/>
          <w:szCs w:val="20"/>
        </w:rPr>
      </w:pPr>
    </w:p>
    <w:p w14:paraId="78CDF831" w14:textId="77777777" w:rsidR="00530604" w:rsidRDefault="005F44C8" w:rsidP="00530604">
      <w:pPr>
        <w:jc w:val="both"/>
        <w:rPr>
          <w:rFonts w:ascii="Arial" w:hAnsi="Arial" w:cs="Arial"/>
          <w:bCs/>
          <w:sz w:val="20"/>
          <w:szCs w:val="20"/>
        </w:rPr>
      </w:pPr>
      <w:r w:rsidRPr="005F44C8">
        <w:rPr>
          <w:rFonts w:ascii="Arial" w:hAnsi="Arial" w:cs="Arial"/>
          <w:bCs/>
          <w:sz w:val="20"/>
          <w:szCs w:val="20"/>
        </w:rPr>
        <w:t xml:space="preserve">Ambos estudios fueron </w:t>
      </w:r>
      <w:r w:rsidRPr="005F44C8">
        <w:rPr>
          <w:rFonts w:ascii="Arial" w:hAnsi="Arial" w:cs="Arial"/>
          <w:b/>
          <w:sz w:val="20"/>
          <w:szCs w:val="20"/>
        </w:rPr>
        <w:t>estudios clínicos doble ciego</w:t>
      </w:r>
      <w:r w:rsidRPr="005F44C8">
        <w:rPr>
          <w:rFonts w:ascii="Arial" w:hAnsi="Arial" w:cs="Arial"/>
          <w:bCs/>
          <w:sz w:val="20"/>
          <w:szCs w:val="20"/>
        </w:rPr>
        <w:t xml:space="preserve"> en los que las asignaciones de tratamiento se ocultaron a los pacientes, a los miembros del equipo del estudio del patrocinador y a los miembros del personal del centro del estudio, incluidos los responsables de la preparación de las jeringas de doble cámara y un solo uso</w:t>
      </w:r>
      <w:r w:rsidR="00530604">
        <w:rPr>
          <w:rFonts w:ascii="Arial" w:hAnsi="Arial" w:cs="Arial"/>
          <w:bCs/>
          <w:sz w:val="20"/>
          <w:szCs w:val="20"/>
        </w:rPr>
        <w:t xml:space="preserve">. </w:t>
      </w:r>
      <w:r w:rsidRPr="005F44C8">
        <w:rPr>
          <w:rFonts w:ascii="Arial" w:hAnsi="Arial" w:cs="Arial"/>
          <w:bCs/>
          <w:sz w:val="20"/>
          <w:szCs w:val="20"/>
        </w:rPr>
        <w:t xml:space="preserve"> </w:t>
      </w:r>
      <w:r w:rsidR="00530604">
        <w:rPr>
          <w:rFonts w:ascii="Arial" w:hAnsi="Arial" w:cs="Arial"/>
          <w:bCs/>
          <w:sz w:val="20"/>
          <w:szCs w:val="20"/>
        </w:rPr>
        <w:t>Además, e</w:t>
      </w:r>
      <w:r w:rsidR="00530604" w:rsidRPr="00530604">
        <w:rPr>
          <w:rFonts w:ascii="Arial" w:hAnsi="Arial" w:cs="Arial"/>
          <w:bCs/>
          <w:sz w:val="20"/>
          <w:szCs w:val="20"/>
        </w:rPr>
        <w:t xml:space="preserve">l nemolizumab y su placebo tenían apariencia y envase idénticos. </w:t>
      </w:r>
    </w:p>
    <w:p w14:paraId="10B76524" w14:textId="77777777" w:rsidR="0090215A" w:rsidRDefault="0090215A" w:rsidP="00530604">
      <w:pPr>
        <w:jc w:val="both"/>
        <w:rPr>
          <w:rFonts w:ascii="Arial" w:hAnsi="Arial" w:cs="Arial"/>
          <w:bCs/>
          <w:sz w:val="20"/>
          <w:szCs w:val="20"/>
        </w:rPr>
      </w:pPr>
    </w:p>
    <w:p w14:paraId="66AFDAEF" w14:textId="77777777" w:rsidR="00BC3E8E" w:rsidRDefault="0090215A" w:rsidP="00D9452F">
      <w:pPr>
        <w:jc w:val="both"/>
        <w:rPr>
          <w:rFonts w:ascii="Arial" w:hAnsi="Arial" w:cs="Arial"/>
          <w:bCs/>
          <w:sz w:val="20"/>
          <w:szCs w:val="20"/>
        </w:rPr>
      </w:pPr>
      <w:r w:rsidRPr="0090215A">
        <w:rPr>
          <w:rFonts w:ascii="Arial" w:hAnsi="Arial" w:cs="Arial"/>
          <w:bCs/>
          <w:sz w:val="20"/>
          <w:szCs w:val="20"/>
        </w:rPr>
        <w:t xml:space="preserve">En ambos ensayos, las </w:t>
      </w:r>
      <w:r w:rsidRPr="0090215A">
        <w:rPr>
          <w:rFonts w:ascii="Arial" w:hAnsi="Arial" w:cs="Arial"/>
          <w:b/>
          <w:sz w:val="20"/>
          <w:szCs w:val="20"/>
        </w:rPr>
        <w:t>características demográficas</w:t>
      </w:r>
      <w:r w:rsidRPr="0090215A">
        <w:rPr>
          <w:rFonts w:ascii="Arial" w:hAnsi="Arial" w:cs="Arial"/>
          <w:bCs/>
          <w:sz w:val="20"/>
          <w:szCs w:val="20"/>
        </w:rPr>
        <w:t xml:space="preserve"> estuvieron bien </w:t>
      </w:r>
      <w:r w:rsidRPr="0090215A">
        <w:rPr>
          <w:rFonts w:ascii="Arial" w:hAnsi="Arial" w:cs="Arial"/>
          <w:b/>
          <w:sz w:val="20"/>
          <w:szCs w:val="20"/>
        </w:rPr>
        <w:t>equilibradas</w:t>
      </w:r>
      <w:r w:rsidRPr="0090215A">
        <w:rPr>
          <w:rFonts w:ascii="Arial" w:hAnsi="Arial" w:cs="Arial"/>
          <w:bCs/>
          <w:sz w:val="20"/>
          <w:szCs w:val="20"/>
        </w:rPr>
        <w:t xml:space="preserve"> entre los grupos de nemolizumab y placebo durante el periodo de tratamiento inicial. El 51% de los participantes eran hombres, la edad media fue de 34 años y 266 de los 1.728 participantes eran adolescentes. La mayoría de los sujetos (80%) eran de raza blanca</w:t>
      </w:r>
      <w:r w:rsidR="00BB55B2">
        <w:rPr>
          <w:rFonts w:ascii="Arial" w:hAnsi="Arial" w:cs="Arial"/>
          <w:bCs/>
          <w:sz w:val="20"/>
          <w:szCs w:val="20"/>
        </w:rPr>
        <w:t>.</w:t>
      </w:r>
      <w:r w:rsidRPr="0090215A">
        <w:rPr>
          <w:rFonts w:ascii="Arial" w:hAnsi="Arial" w:cs="Arial"/>
          <w:bCs/>
          <w:sz w:val="20"/>
          <w:szCs w:val="20"/>
        </w:rPr>
        <w:t xml:space="preserve"> La población representaba casos de </w:t>
      </w:r>
      <w:r w:rsidR="00BD5ED6">
        <w:rPr>
          <w:rFonts w:ascii="Arial" w:hAnsi="Arial" w:cs="Arial"/>
          <w:bCs/>
          <w:sz w:val="20"/>
          <w:szCs w:val="20"/>
        </w:rPr>
        <w:t xml:space="preserve">DA </w:t>
      </w:r>
      <w:r w:rsidRPr="0090215A">
        <w:rPr>
          <w:rFonts w:ascii="Arial" w:hAnsi="Arial" w:cs="Arial"/>
          <w:bCs/>
          <w:sz w:val="20"/>
          <w:szCs w:val="20"/>
        </w:rPr>
        <w:t xml:space="preserve">moderada a grave, según las puntuaciones basales de IGA (el 70,1% tenía una puntuación de 3 y el 29,9% una puntuación de 4) y de EASI (media basal de 27,51). Los sujetos informaron de un prurito moderado a intenso, con una media semanal del PP NRS basal de 7. En conjunto, sobre el total de pacientes de ambos ensayos, el 63,3% de los participantes había recibido </w:t>
      </w:r>
      <w:r w:rsidRPr="009106A1">
        <w:rPr>
          <w:rFonts w:ascii="Arial" w:hAnsi="Arial" w:cs="Arial"/>
          <w:b/>
          <w:sz w:val="20"/>
          <w:szCs w:val="20"/>
        </w:rPr>
        <w:t>previamente</w:t>
      </w:r>
      <w:r w:rsidRPr="0090215A">
        <w:rPr>
          <w:rFonts w:ascii="Arial" w:hAnsi="Arial" w:cs="Arial"/>
          <w:bCs/>
          <w:sz w:val="20"/>
          <w:szCs w:val="20"/>
        </w:rPr>
        <w:t xml:space="preserve"> algún </w:t>
      </w:r>
      <w:r w:rsidRPr="009106A1">
        <w:rPr>
          <w:rFonts w:ascii="Arial" w:hAnsi="Arial" w:cs="Arial"/>
          <w:b/>
          <w:sz w:val="20"/>
          <w:szCs w:val="20"/>
        </w:rPr>
        <w:t>tratamiento sistémico</w:t>
      </w:r>
      <w:r w:rsidRPr="0090215A">
        <w:rPr>
          <w:rFonts w:ascii="Arial" w:hAnsi="Arial" w:cs="Arial"/>
          <w:bCs/>
          <w:sz w:val="20"/>
          <w:szCs w:val="20"/>
        </w:rPr>
        <w:t xml:space="preserve"> para la </w:t>
      </w:r>
      <w:r w:rsidR="00BD5ED6">
        <w:rPr>
          <w:rFonts w:ascii="Arial" w:hAnsi="Arial" w:cs="Arial"/>
          <w:bCs/>
          <w:sz w:val="20"/>
          <w:szCs w:val="20"/>
        </w:rPr>
        <w:t>DA</w:t>
      </w:r>
      <w:r w:rsidRPr="0090215A">
        <w:rPr>
          <w:rFonts w:ascii="Arial" w:hAnsi="Arial" w:cs="Arial"/>
          <w:bCs/>
          <w:sz w:val="20"/>
          <w:szCs w:val="20"/>
        </w:rPr>
        <w:t>, el 6,3% había recibido alguna terapia biológica, un 5,7% había recibido terapia con dupilumab, 14% con ciclosporina y 34% con inmunosupresores.</w:t>
      </w:r>
    </w:p>
    <w:p w14:paraId="036F0042" w14:textId="77777777" w:rsidR="00D9452F" w:rsidRDefault="00D9452F" w:rsidP="00D9452F">
      <w:pPr>
        <w:pStyle w:val="Textoindependiente3"/>
        <w:jc w:val="both"/>
        <w:rPr>
          <w:color w:val="000080"/>
          <w:sz w:val="20"/>
        </w:rPr>
      </w:pPr>
    </w:p>
    <w:p w14:paraId="54699A00" w14:textId="77777777" w:rsidR="00D9452F" w:rsidRPr="00D9452F" w:rsidRDefault="00D9452F" w:rsidP="00D9452F">
      <w:pPr>
        <w:jc w:val="both"/>
        <w:rPr>
          <w:rFonts w:ascii="Arial" w:hAnsi="Arial" w:cs="Arial"/>
          <w:bCs/>
          <w:sz w:val="20"/>
          <w:szCs w:val="20"/>
        </w:rPr>
      </w:pPr>
    </w:p>
    <w:p w14:paraId="7245CA6A" w14:textId="77777777" w:rsidR="00797BD5" w:rsidRPr="006F6ABB" w:rsidRDefault="00797BD5" w:rsidP="00797BD5">
      <w:pPr>
        <w:rPr>
          <w:rFonts w:ascii="Arial" w:hAnsi="Arial" w:cs="Arial"/>
          <w:color w:val="FF0000"/>
          <w:sz w:val="20"/>
          <w:szCs w:val="20"/>
        </w:rPr>
      </w:pPr>
    </w:p>
    <w:p w14:paraId="7A732B3B" w14:textId="77777777" w:rsidR="00BC3E8E" w:rsidRPr="00EE2E78"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rPr>
      </w:pPr>
      <w:bookmarkStart w:id="62" w:name="_Toc344399638"/>
      <w:bookmarkStart w:id="63" w:name="_Toc348931365"/>
      <w:bookmarkStart w:id="64" w:name="_Toc216191088"/>
      <w:r w:rsidRPr="00EE2E78">
        <w:rPr>
          <w:bCs/>
          <w:color w:val="333300"/>
          <w:sz w:val="20"/>
        </w:rPr>
        <w:t>B. Aplicabilidad del ensayo a la práctica del hospital</w:t>
      </w:r>
      <w:bookmarkEnd w:id="62"/>
      <w:bookmarkEnd w:id="63"/>
      <w:bookmarkEnd w:id="64"/>
    </w:p>
    <w:p w14:paraId="2F4E77D6" w14:textId="77777777" w:rsidR="00BC3E8E" w:rsidRDefault="00BC3E8E" w:rsidP="00BC3E8E">
      <w:pPr>
        <w:pStyle w:val="Textoindependiente3"/>
        <w:jc w:val="both"/>
        <w:rPr>
          <w:color w:val="000080"/>
          <w:sz w:val="20"/>
          <w:lang w:val="es-ES_tradnl"/>
        </w:rPr>
      </w:pPr>
    </w:p>
    <w:p w14:paraId="70581AE4" w14:textId="77777777" w:rsidR="001D4ED8" w:rsidRDefault="00BB4D6A" w:rsidP="001D4ED8">
      <w:pPr>
        <w:jc w:val="both"/>
        <w:rPr>
          <w:rFonts w:ascii="Arial" w:hAnsi="Arial" w:cs="Arial"/>
          <w:bCs/>
          <w:sz w:val="20"/>
          <w:szCs w:val="20"/>
        </w:rPr>
      </w:pPr>
      <w:r w:rsidRPr="00BB4D6A">
        <w:rPr>
          <w:rFonts w:ascii="Arial" w:hAnsi="Arial" w:cs="Arial"/>
          <w:bCs/>
          <w:sz w:val="20"/>
          <w:szCs w:val="20"/>
        </w:rPr>
        <w:t xml:space="preserve">Ambos ensayos utilizaron placebo como comparador; sin embargo, dado que su inicio data de 2019 y que dupilumab ya estaba autorizado desde 2017, habría sido más </w:t>
      </w:r>
      <w:r>
        <w:rPr>
          <w:rFonts w:ascii="Arial" w:hAnsi="Arial" w:cs="Arial"/>
          <w:bCs/>
          <w:sz w:val="20"/>
          <w:szCs w:val="20"/>
        </w:rPr>
        <w:t>adecuado</w:t>
      </w:r>
      <w:r w:rsidRPr="00BB4D6A">
        <w:rPr>
          <w:rFonts w:ascii="Arial" w:hAnsi="Arial" w:cs="Arial"/>
          <w:bCs/>
          <w:sz w:val="20"/>
          <w:szCs w:val="20"/>
        </w:rPr>
        <w:t xml:space="preserve"> incluir una comparación directa frente al fármaco de referencia. Además, desde un punto de vista ético, resulta cuestionable mantener a pacientes con una enfermedad grave que afecta significativamente a su calidad de vida en tratamiento con placebo durante 16 semanas.</w:t>
      </w:r>
      <w:r w:rsidR="00435F7E">
        <w:rPr>
          <w:rFonts w:ascii="Arial" w:hAnsi="Arial" w:cs="Arial"/>
          <w:bCs/>
          <w:sz w:val="20"/>
          <w:szCs w:val="20"/>
        </w:rPr>
        <w:t xml:space="preserve"> Por tanto, </w:t>
      </w:r>
      <w:r w:rsidR="00435F7E" w:rsidRPr="00435F7E">
        <w:rPr>
          <w:rFonts w:ascii="Arial" w:hAnsi="Arial" w:cs="Arial"/>
          <w:b/>
          <w:bCs/>
          <w:sz w:val="20"/>
          <w:szCs w:val="20"/>
        </w:rPr>
        <w:t>el control con placebo se considera científica y éticamente inadecuado</w:t>
      </w:r>
      <w:r w:rsidR="00435F7E">
        <w:rPr>
          <w:rFonts w:ascii="Arial" w:hAnsi="Arial" w:cs="Arial"/>
          <w:bCs/>
          <w:sz w:val="20"/>
          <w:szCs w:val="20"/>
        </w:rPr>
        <w:t>.</w:t>
      </w:r>
      <w:r w:rsidR="0086482F">
        <w:rPr>
          <w:rFonts w:ascii="Arial" w:hAnsi="Arial" w:cs="Arial"/>
          <w:bCs/>
          <w:sz w:val="20"/>
          <w:szCs w:val="20"/>
        </w:rPr>
        <w:t xml:space="preserve"> </w:t>
      </w:r>
    </w:p>
    <w:p w14:paraId="7F0C87F9" w14:textId="77777777" w:rsidR="00D9452F" w:rsidRDefault="00D9452F" w:rsidP="001D4ED8">
      <w:pPr>
        <w:jc w:val="both"/>
        <w:rPr>
          <w:rFonts w:ascii="Arial" w:hAnsi="Arial" w:cs="Arial"/>
          <w:bCs/>
          <w:sz w:val="20"/>
          <w:szCs w:val="20"/>
        </w:rPr>
      </w:pPr>
    </w:p>
    <w:p w14:paraId="1EC95212" w14:textId="77777777" w:rsidR="00D9452F" w:rsidRDefault="00D9452F" w:rsidP="001D4ED8">
      <w:pPr>
        <w:jc w:val="both"/>
        <w:rPr>
          <w:rFonts w:ascii="Arial" w:hAnsi="Arial" w:cs="Arial"/>
          <w:bCs/>
          <w:sz w:val="20"/>
          <w:szCs w:val="20"/>
        </w:rPr>
      </w:pPr>
      <w:r w:rsidRPr="00D9452F">
        <w:rPr>
          <w:rFonts w:ascii="Arial" w:hAnsi="Arial" w:cs="Arial"/>
          <w:bCs/>
          <w:sz w:val="20"/>
          <w:szCs w:val="20"/>
        </w:rPr>
        <w:t xml:space="preserve">Otra posible limitación del estudio radica en las </w:t>
      </w:r>
      <w:r w:rsidRPr="006E4B26">
        <w:rPr>
          <w:rFonts w:ascii="Arial" w:hAnsi="Arial" w:cs="Arial"/>
          <w:b/>
          <w:sz w:val="20"/>
          <w:szCs w:val="20"/>
        </w:rPr>
        <w:t>variables de medida empleadas</w:t>
      </w:r>
      <w:r w:rsidRPr="00D9452F">
        <w:rPr>
          <w:rFonts w:ascii="Arial" w:hAnsi="Arial" w:cs="Arial"/>
          <w:bCs/>
          <w:sz w:val="20"/>
          <w:szCs w:val="20"/>
        </w:rPr>
        <w:t>, dado que las escalas utilizadas no siempre forman parte de la práctica clínica habitual. Esto implicaría la necesidad de realizar una evaluación detallada de cada paciente en la práctica real, con el fin de garantizar que el uso del fármaco se ajuste lo máximo posible a las condiciones del estudio.</w:t>
      </w:r>
    </w:p>
    <w:p w14:paraId="2C5E44B2" w14:textId="77777777" w:rsidR="001D4ED8" w:rsidRDefault="001D4ED8" w:rsidP="001D4ED8">
      <w:pPr>
        <w:jc w:val="both"/>
        <w:rPr>
          <w:rFonts w:ascii="Arial" w:hAnsi="Arial" w:cs="Arial"/>
          <w:bCs/>
          <w:sz w:val="20"/>
          <w:szCs w:val="20"/>
        </w:rPr>
      </w:pPr>
    </w:p>
    <w:p w14:paraId="377E376F" w14:textId="77777777" w:rsidR="00BB55B2" w:rsidRDefault="00D9452F" w:rsidP="00D9452F">
      <w:pPr>
        <w:pStyle w:val="Textoindependiente32"/>
        <w:jc w:val="both"/>
        <w:rPr>
          <w:sz w:val="20"/>
          <w:szCs w:val="20"/>
        </w:rPr>
      </w:pPr>
      <w:r w:rsidRPr="00D9452F">
        <w:rPr>
          <w:sz w:val="20"/>
          <w:szCs w:val="20"/>
        </w:rPr>
        <w:t xml:space="preserve">En cuanto a la </w:t>
      </w:r>
      <w:r w:rsidRPr="006E4B26">
        <w:rPr>
          <w:b/>
          <w:bCs/>
          <w:sz w:val="20"/>
          <w:szCs w:val="20"/>
        </w:rPr>
        <w:t>selección de pacientes</w:t>
      </w:r>
      <w:r w:rsidRPr="00D9452F">
        <w:rPr>
          <w:sz w:val="20"/>
          <w:szCs w:val="20"/>
        </w:rPr>
        <w:t xml:space="preserve">, los </w:t>
      </w:r>
      <w:r w:rsidRPr="00AA733F">
        <w:rPr>
          <w:sz w:val="20"/>
          <w:szCs w:val="20"/>
        </w:rPr>
        <w:t>incluidos en los ensayos se adecuan también al escenario para el que se está evaluando el fármaco</w:t>
      </w:r>
      <w:r>
        <w:rPr>
          <w:sz w:val="20"/>
          <w:szCs w:val="20"/>
        </w:rPr>
        <w:t xml:space="preserve"> </w:t>
      </w:r>
      <w:r w:rsidR="00BD5ED6">
        <w:rPr>
          <w:sz w:val="20"/>
          <w:szCs w:val="20"/>
        </w:rPr>
        <w:t>DA</w:t>
      </w:r>
      <w:r>
        <w:rPr>
          <w:sz w:val="20"/>
          <w:szCs w:val="20"/>
        </w:rPr>
        <w:t xml:space="preserve"> moderada-severa, incluyendo los pacientes con una mayor </w:t>
      </w:r>
      <w:r w:rsidR="006E4B26">
        <w:rPr>
          <w:sz w:val="20"/>
          <w:szCs w:val="20"/>
        </w:rPr>
        <w:t>incidencia,</w:t>
      </w:r>
      <w:r>
        <w:rPr>
          <w:sz w:val="20"/>
          <w:szCs w:val="20"/>
        </w:rPr>
        <w:t xml:space="preserve"> pero limitándose a mayores de 12 años no siendo aplicable en otras poblaciones pediátricas</w:t>
      </w:r>
      <w:r w:rsidRPr="00AA733F">
        <w:rPr>
          <w:sz w:val="20"/>
          <w:szCs w:val="20"/>
        </w:rPr>
        <w:t xml:space="preserve">. </w:t>
      </w:r>
      <w:r>
        <w:rPr>
          <w:sz w:val="20"/>
          <w:szCs w:val="20"/>
        </w:rPr>
        <w:t>Además, l</w:t>
      </w:r>
      <w:r w:rsidR="00BB55B2" w:rsidRPr="00D9452F">
        <w:rPr>
          <w:sz w:val="20"/>
          <w:szCs w:val="20"/>
        </w:rPr>
        <w:t>a mayoría de pacientes (80%) eran de raza blanca, lo que puede suponer que el resto de razas no estén adecuadamente representadas en el estudio.</w:t>
      </w:r>
      <w:r w:rsidR="000650C8">
        <w:rPr>
          <w:sz w:val="20"/>
          <w:szCs w:val="20"/>
        </w:rPr>
        <w:t xml:space="preserve"> Además, la exclusión de pacientes con asma grave no controlada limita la generalización a este subgrupo, considerado relevante por ser el asma una comorbilidad frecuente. </w:t>
      </w:r>
    </w:p>
    <w:p w14:paraId="00215DD7" w14:textId="77777777" w:rsidR="006E4B26" w:rsidRDefault="006E4B26" w:rsidP="00D9452F">
      <w:pPr>
        <w:pStyle w:val="Textoindependiente32"/>
        <w:jc w:val="both"/>
        <w:rPr>
          <w:sz w:val="20"/>
          <w:szCs w:val="20"/>
        </w:rPr>
      </w:pPr>
    </w:p>
    <w:p w14:paraId="1B19C3A5" w14:textId="77777777" w:rsidR="006E4B26" w:rsidRDefault="006E4B26" w:rsidP="00D9452F">
      <w:pPr>
        <w:pStyle w:val="Textoindependiente32"/>
        <w:jc w:val="both"/>
        <w:rPr>
          <w:sz w:val="20"/>
          <w:szCs w:val="20"/>
        </w:rPr>
      </w:pPr>
      <w:r>
        <w:rPr>
          <w:sz w:val="20"/>
          <w:szCs w:val="20"/>
        </w:rPr>
        <w:t xml:space="preserve">En cuanto al </w:t>
      </w:r>
      <w:r w:rsidRPr="006E4B26">
        <w:rPr>
          <w:b/>
          <w:bCs/>
          <w:sz w:val="20"/>
          <w:szCs w:val="20"/>
        </w:rPr>
        <w:t>tiempo de seguimiento</w:t>
      </w:r>
      <w:r>
        <w:rPr>
          <w:sz w:val="20"/>
          <w:szCs w:val="20"/>
        </w:rPr>
        <w:t xml:space="preserve">, es necesario conocer los resultados del estudio a largo plazo en </w:t>
      </w:r>
      <w:r w:rsidR="0086482F">
        <w:rPr>
          <w:sz w:val="20"/>
          <w:szCs w:val="20"/>
        </w:rPr>
        <w:t xml:space="preserve">curso, pero el estudio de mantenimiento hasta las 48 semanas nos permite tener una idea razonable sobre la eficacia y seguridad del fármaco. </w:t>
      </w:r>
    </w:p>
    <w:p w14:paraId="46734FCF" w14:textId="77777777" w:rsidR="006E4B26" w:rsidRDefault="006E4B26" w:rsidP="00D9452F">
      <w:pPr>
        <w:pStyle w:val="Textoindependiente32"/>
        <w:jc w:val="both"/>
        <w:rPr>
          <w:sz w:val="20"/>
          <w:szCs w:val="20"/>
        </w:rPr>
      </w:pPr>
    </w:p>
    <w:p w14:paraId="50C98945" w14:textId="77777777" w:rsidR="006E4B26" w:rsidRDefault="0086482F" w:rsidP="00D9452F">
      <w:pPr>
        <w:pStyle w:val="Textoindependiente32"/>
        <w:jc w:val="both"/>
        <w:rPr>
          <w:sz w:val="20"/>
          <w:szCs w:val="20"/>
        </w:rPr>
      </w:pPr>
      <w:r w:rsidRPr="0086482F">
        <w:rPr>
          <w:sz w:val="20"/>
          <w:szCs w:val="20"/>
        </w:rPr>
        <w:t xml:space="preserve">La dosis empleada en el ensayo fue seleccionada a partir de los resultados de los estudios de fase 2. En este ensayo de fase 3 se confirma que la pauta de mantenimiento </w:t>
      </w:r>
      <w:r w:rsidR="004D1E1A">
        <w:rPr>
          <w:sz w:val="20"/>
          <w:szCs w:val="20"/>
        </w:rPr>
        <w:t xml:space="preserve">Q8W </w:t>
      </w:r>
      <w:r w:rsidRPr="0086482F">
        <w:rPr>
          <w:sz w:val="20"/>
          <w:szCs w:val="20"/>
        </w:rPr>
        <w:t xml:space="preserve">ofrece una eficacia muy similar a la administración </w:t>
      </w:r>
      <w:r w:rsidR="004D1E1A">
        <w:rPr>
          <w:sz w:val="20"/>
          <w:szCs w:val="20"/>
        </w:rPr>
        <w:t>Q4W</w:t>
      </w:r>
      <w:r w:rsidRPr="0086482F">
        <w:rPr>
          <w:sz w:val="20"/>
          <w:szCs w:val="20"/>
        </w:rPr>
        <w:t>. Por ello, optar por la dosis más baja se considera una ventaja relevante</w:t>
      </w:r>
      <w:r>
        <w:rPr>
          <w:sz w:val="20"/>
          <w:szCs w:val="20"/>
        </w:rPr>
        <w:t>.</w:t>
      </w:r>
      <w:r w:rsidR="006E4B26">
        <w:rPr>
          <w:sz w:val="20"/>
          <w:szCs w:val="20"/>
        </w:rPr>
        <w:t xml:space="preserve"> </w:t>
      </w:r>
    </w:p>
    <w:p w14:paraId="5EA40A6F" w14:textId="77777777" w:rsidR="003836F3" w:rsidRDefault="003836F3" w:rsidP="00D9452F">
      <w:pPr>
        <w:pStyle w:val="Textoindependiente32"/>
        <w:jc w:val="both"/>
        <w:rPr>
          <w:sz w:val="20"/>
          <w:szCs w:val="20"/>
        </w:rPr>
      </w:pPr>
    </w:p>
    <w:p w14:paraId="56313384" w14:textId="77777777" w:rsidR="003836F3" w:rsidRPr="00D9452F" w:rsidRDefault="003836F3" w:rsidP="00D9452F">
      <w:pPr>
        <w:pStyle w:val="Textoindependiente32"/>
        <w:jc w:val="both"/>
        <w:rPr>
          <w:sz w:val="20"/>
          <w:szCs w:val="20"/>
        </w:rPr>
      </w:pPr>
      <w:r w:rsidRPr="003836F3">
        <w:rPr>
          <w:sz w:val="20"/>
          <w:szCs w:val="20"/>
        </w:rPr>
        <w:t xml:space="preserve">El </w:t>
      </w:r>
      <w:r w:rsidRPr="003836F3">
        <w:rPr>
          <w:b/>
          <w:bCs/>
          <w:sz w:val="20"/>
          <w:szCs w:val="20"/>
        </w:rPr>
        <w:t>tratamiento tópico de base</w:t>
      </w:r>
      <w:r w:rsidRPr="003836F3">
        <w:rPr>
          <w:sz w:val="20"/>
          <w:szCs w:val="20"/>
        </w:rPr>
        <w:t xml:space="preserve"> con TCS±TCI se incluyó para alinearse con la práctica actual de utilizar agentes tópicos junto con el tratamiento sistémico en los casos más graves</w:t>
      </w:r>
      <w:r>
        <w:rPr>
          <w:sz w:val="20"/>
          <w:szCs w:val="20"/>
        </w:rPr>
        <w:t>.</w:t>
      </w:r>
    </w:p>
    <w:p w14:paraId="38923E13" w14:textId="77777777" w:rsidR="00BB55B2" w:rsidRDefault="00BB55B2" w:rsidP="00BC3E8E">
      <w:pPr>
        <w:pStyle w:val="Textoindependiente3"/>
        <w:jc w:val="both"/>
        <w:rPr>
          <w:color w:val="000080"/>
          <w:sz w:val="20"/>
        </w:rPr>
      </w:pPr>
    </w:p>
    <w:p w14:paraId="5D6420B0" w14:textId="77777777" w:rsidR="00BC3E8E" w:rsidRPr="006F6ABB" w:rsidRDefault="00BC3E8E" w:rsidP="00BC3E8E">
      <w:pPr>
        <w:jc w:val="both"/>
        <w:rPr>
          <w:rFonts w:ascii="Arial" w:hAnsi="Arial" w:cs="Arial"/>
          <w:sz w:val="20"/>
          <w:szCs w:val="20"/>
        </w:rPr>
      </w:pPr>
    </w:p>
    <w:p w14:paraId="6546EC35" w14:textId="77777777" w:rsidR="00BC3E8E" w:rsidRPr="00BE3C83"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rPr>
      </w:pPr>
      <w:bookmarkStart w:id="65" w:name="_Toc344399639"/>
      <w:bookmarkStart w:id="66" w:name="_Toc348931366"/>
      <w:bookmarkStart w:id="67" w:name="_Toc216191089"/>
      <w:r w:rsidRPr="00BE3C83">
        <w:rPr>
          <w:bCs/>
          <w:color w:val="333300"/>
          <w:sz w:val="20"/>
        </w:rPr>
        <w:t>C. Relevancia clínica de los resultados</w:t>
      </w:r>
      <w:bookmarkEnd w:id="65"/>
      <w:bookmarkEnd w:id="66"/>
      <w:bookmarkEnd w:id="67"/>
    </w:p>
    <w:p w14:paraId="6CE09926" w14:textId="77777777" w:rsidR="00BC3E8E" w:rsidRPr="006F6ABB" w:rsidRDefault="00BC3E8E" w:rsidP="00BC3E8E">
      <w:pPr>
        <w:pStyle w:val="Textoindependiente3"/>
        <w:rPr>
          <w:color w:val="333300"/>
          <w:sz w:val="20"/>
        </w:rPr>
      </w:pPr>
    </w:p>
    <w:p w14:paraId="7F603638" w14:textId="77777777" w:rsidR="00BC3E8E" w:rsidRPr="00BE3C83"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color w:val="333300"/>
          <w:sz w:val="20"/>
        </w:rPr>
      </w:pPr>
      <w:bookmarkStart w:id="68" w:name="_Toc344399640"/>
      <w:bookmarkStart w:id="69" w:name="_Toc348931367"/>
      <w:bookmarkStart w:id="70" w:name="_Toc216191090"/>
      <w:r w:rsidRPr="00BE3C83">
        <w:rPr>
          <w:color w:val="333300"/>
          <w:sz w:val="20"/>
        </w:rPr>
        <w:t xml:space="preserve">C.1 Valorar si la </w:t>
      </w:r>
      <w:r w:rsidRPr="00BE3C83">
        <w:rPr>
          <w:color w:val="333300"/>
          <w:sz w:val="20"/>
          <w:u w:val="single"/>
        </w:rPr>
        <w:t>magnitud del efecto</w:t>
      </w:r>
      <w:r w:rsidRPr="00BE3C83">
        <w:rPr>
          <w:color w:val="333300"/>
          <w:sz w:val="20"/>
        </w:rPr>
        <w:t xml:space="preserve"> del tratamiento es de relevancia clínica.</w:t>
      </w:r>
      <w:bookmarkEnd w:id="68"/>
      <w:bookmarkEnd w:id="69"/>
      <w:bookmarkEnd w:id="70"/>
      <w:r w:rsidRPr="00BE3C83">
        <w:rPr>
          <w:color w:val="333300"/>
          <w:sz w:val="20"/>
        </w:rPr>
        <w:t xml:space="preserve"> </w:t>
      </w:r>
    </w:p>
    <w:p w14:paraId="290D0672" w14:textId="77777777" w:rsidR="00BC3E8E" w:rsidRDefault="00BC3E8E" w:rsidP="00BC3E8E">
      <w:pPr>
        <w:pStyle w:val="Textoindependiente3"/>
        <w:ind w:left="708"/>
        <w:jc w:val="both"/>
        <w:rPr>
          <w:color w:val="000080"/>
          <w:sz w:val="20"/>
          <w:lang w:val="es-ES_tradnl"/>
        </w:rPr>
      </w:pPr>
    </w:p>
    <w:p w14:paraId="73BCFFE1" w14:textId="77777777" w:rsidR="008B2181" w:rsidRPr="007868E3" w:rsidRDefault="003F026E" w:rsidP="008B2181">
      <w:pPr>
        <w:pStyle w:val="Textoindependiente3"/>
        <w:jc w:val="both"/>
        <w:rPr>
          <w:rFonts w:ascii="Arial" w:hAnsi="Arial" w:cs="Arial"/>
          <w:bCs/>
          <w:sz w:val="20"/>
        </w:rPr>
      </w:pPr>
      <w:r w:rsidRPr="007868E3">
        <w:rPr>
          <w:rFonts w:ascii="Arial" w:hAnsi="Arial" w:cs="Arial"/>
          <w:bCs/>
          <w:sz w:val="20"/>
        </w:rPr>
        <w:t xml:space="preserve">Las variables coprimarias de los ensayos ARCADIA 1 y ARCADIA 2 incluyeron el éxito en la </w:t>
      </w:r>
      <w:r w:rsidRPr="007868E3">
        <w:rPr>
          <w:rFonts w:ascii="Arial" w:hAnsi="Arial" w:cs="Arial"/>
          <w:b/>
          <w:bCs/>
          <w:sz w:val="20"/>
        </w:rPr>
        <w:t>Evaluación Global del Investigador (IGA 0 o 1)</w:t>
      </w:r>
      <w:r w:rsidRPr="007868E3">
        <w:rPr>
          <w:rFonts w:ascii="Arial" w:hAnsi="Arial" w:cs="Arial"/>
          <w:bCs/>
          <w:sz w:val="20"/>
        </w:rPr>
        <w:t xml:space="preserve"> y una </w:t>
      </w:r>
      <w:r w:rsidRPr="007868E3">
        <w:rPr>
          <w:rFonts w:ascii="Arial" w:hAnsi="Arial" w:cs="Arial"/>
          <w:b/>
          <w:bCs/>
          <w:sz w:val="20"/>
        </w:rPr>
        <w:t>mejora del EASI del 75% (EASI-75)</w:t>
      </w:r>
      <w:r w:rsidRPr="007868E3">
        <w:rPr>
          <w:rFonts w:ascii="Arial" w:hAnsi="Arial" w:cs="Arial"/>
          <w:bCs/>
          <w:sz w:val="20"/>
        </w:rPr>
        <w:t xml:space="preserve"> a la semana 16. Estas escalas de medida de la severidad de la enfermedad suelen incluir un componente de subjetividad por parte del evaluador. Sin embargo, como se detalla en los ensayos, el diseño doble ciego y controlado con placebo de ambos estudios está destinado a evitar este posible sesgo, afectando a ambos brazos (tratamiento y control) por igual. Además, se incluyó como objetivo secundario clave la </w:t>
      </w:r>
      <w:r w:rsidRPr="007868E3">
        <w:rPr>
          <w:rFonts w:ascii="Arial" w:hAnsi="Arial" w:cs="Arial"/>
          <w:b/>
          <w:bCs/>
          <w:sz w:val="20"/>
        </w:rPr>
        <w:t>mejora de ≥4 puntos en la Escala de Valoración Numérica del Prurito Máximo (PP-NRS)</w:t>
      </w:r>
      <w:r w:rsidRPr="007868E3">
        <w:rPr>
          <w:rFonts w:ascii="Arial" w:hAnsi="Arial" w:cs="Arial"/>
          <w:bCs/>
          <w:sz w:val="20"/>
        </w:rPr>
        <w:t xml:space="preserve"> a la semana 16, una medida de resultado directamente reportada por el paciente (PRO), que posee una relevancia clínica intrínseca al abordar el síntoma principal de la enfermedad.</w:t>
      </w:r>
    </w:p>
    <w:p w14:paraId="34B14AFB" w14:textId="77777777" w:rsidR="008B2181" w:rsidRPr="007868E3" w:rsidRDefault="008B2181" w:rsidP="008B2181">
      <w:pPr>
        <w:pStyle w:val="Textoindependiente3"/>
        <w:jc w:val="both"/>
        <w:rPr>
          <w:rFonts w:ascii="Arial" w:hAnsi="Arial" w:cs="Arial"/>
          <w:bCs/>
          <w:color w:val="0000FF"/>
          <w:sz w:val="20"/>
          <w:u w:val="single"/>
        </w:rPr>
      </w:pPr>
    </w:p>
    <w:p w14:paraId="10965CEC" w14:textId="77777777" w:rsidR="008B2181" w:rsidRPr="007868E3" w:rsidRDefault="003F026E" w:rsidP="008B2181">
      <w:pPr>
        <w:pStyle w:val="Textoindependiente3"/>
        <w:jc w:val="both"/>
        <w:rPr>
          <w:rFonts w:ascii="Arial" w:hAnsi="Arial" w:cs="Arial"/>
          <w:bCs/>
          <w:sz w:val="20"/>
        </w:rPr>
      </w:pPr>
      <w:r w:rsidRPr="007868E3">
        <w:rPr>
          <w:rFonts w:ascii="Arial" w:hAnsi="Arial" w:cs="Arial"/>
          <w:bCs/>
          <w:sz w:val="20"/>
        </w:rPr>
        <w:t xml:space="preserve">La estimación del tamaño muestral en los estudios ARCADIA 1 y ARCADIA 2 se fundamentó en los resultados de eficacia observados en el </w:t>
      </w:r>
      <w:r w:rsidRPr="007868E3">
        <w:rPr>
          <w:rFonts w:ascii="Arial" w:hAnsi="Arial" w:cs="Arial"/>
          <w:b/>
          <w:bCs/>
          <w:sz w:val="20"/>
        </w:rPr>
        <w:t>Estudio de Fase 2b (CIM331-1202)</w:t>
      </w:r>
      <w:r w:rsidRPr="007868E3">
        <w:rPr>
          <w:rFonts w:ascii="Arial" w:hAnsi="Arial" w:cs="Arial"/>
          <w:bCs/>
          <w:sz w:val="20"/>
        </w:rPr>
        <w:t xml:space="preserve">, que definió la dosis de 30 mg. Este ensayo previo permitió establecer las </w:t>
      </w:r>
      <w:r w:rsidRPr="007868E3">
        <w:rPr>
          <w:rFonts w:ascii="Arial" w:hAnsi="Arial" w:cs="Arial"/>
          <w:b/>
          <w:bCs/>
          <w:sz w:val="20"/>
        </w:rPr>
        <w:t>diferencias mínimas esperadas</w:t>
      </w:r>
      <w:r w:rsidRPr="007868E3">
        <w:rPr>
          <w:rFonts w:ascii="Arial" w:hAnsi="Arial" w:cs="Arial"/>
          <w:bCs/>
          <w:sz w:val="20"/>
        </w:rPr>
        <w:t xml:space="preserve"> en la proporción de respondedores (nemolizumab </w:t>
      </w:r>
      <w:r w:rsidRPr="007868E3">
        <w:rPr>
          <w:rFonts w:ascii="Arial" w:hAnsi="Arial" w:cs="Arial"/>
          <w:bCs/>
          <w:i/>
          <w:iCs/>
          <w:sz w:val="20"/>
        </w:rPr>
        <w:t>vs.</w:t>
      </w:r>
      <w:r w:rsidRPr="007868E3">
        <w:rPr>
          <w:rFonts w:ascii="Arial" w:hAnsi="Arial" w:cs="Arial"/>
          <w:bCs/>
          <w:sz w:val="20"/>
        </w:rPr>
        <w:t xml:space="preserve"> placebo) que se consideraron como el </w:t>
      </w:r>
      <w:r w:rsidRPr="007868E3">
        <w:rPr>
          <w:rFonts w:ascii="Arial" w:hAnsi="Arial" w:cs="Arial"/>
          <w:b/>
          <w:bCs/>
          <w:sz w:val="20"/>
        </w:rPr>
        <w:t>umbral de relevancia clínica</w:t>
      </w:r>
      <w:r w:rsidRPr="007868E3">
        <w:rPr>
          <w:rFonts w:ascii="Arial" w:hAnsi="Arial" w:cs="Arial"/>
          <w:bCs/>
          <w:sz w:val="20"/>
        </w:rPr>
        <w:t xml:space="preserve"> para el cálculo de potencia: Asumiéndose una diferencia del </w:t>
      </w:r>
      <w:r w:rsidRPr="007868E3">
        <w:rPr>
          <w:rFonts w:ascii="Arial" w:hAnsi="Arial" w:cs="Arial"/>
          <w:b/>
          <w:bCs/>
          <w:sz w:val="20"/>
        </w:rPr>
        <w:t>18% para el éxito en IGA (0 o 1)</w:t>
      </w:r>
      <w:r w:rsidRPr="007868E3">
        <w:rPr>
          <w:rFonts w:ascii="Arial" w:hAnsi="Arial" w:cs="Arial"/>
          <w:bCs/>
          <w:sz w:val="20"/>
        </w:rPr>
        <w:t xml:space="preserve"> y una diferencia del </w:t>
      </w:r>
      <w:r w:rsidRPr="007868E3">
        <w:rPr>
          <w:rFonts w:ascii="Arial" w:hAnsi="Arial" w:cs="Arial"/>
          <w:b/>
          <w:bCs/>
          <w:sz w:val="20"/>
        </w:rPr>
        <w:t>30% para la respuesta EASI-75</w:t>
      </w:r>
      <w:r w:rsidRPr="007868E3">
        <w:rPr>
          <w:rFonts w:ascii="Arial" w:hAnsi="Arial" w:cs="Arial"/>
          <w:bCs/>
          <w:sz w:val="20"/>
        </w:rPr>
        <w:t>.</w:t>
      </w:r>
    </w:p>
    <w:p w14:paraId="73778620" w14:textId="77777777" w:rsidR="00CA5C50" w:rsidRPr="007868E3" w:rsidRDefault="00CA5C50" w:rsidP="008B2181">
      <w:pPr>
        <w:pStyle w:val="Textoindependiente3"/>
        <w:jc w:val="both"/>
        <w:rPr>
          <w:rFonts w:ascii="Arial" w:hAnsi="Arial" w:cs="Arial"/>
          <w:bCs/>
          <w:sz w:val="20"/>
        </w:rPr>
      </w:pPr>
    </w:p>
    <w:p w14:paraId="4B6162E6" w14:textId="77777777" w:rsidR="008B2181" w:rsidRPr="007868E3" w:rsidRDefault="003F026E" w:rsidP="008B2181">
      <w:pPr>
        <w:pStyle w:val="Textoindependiente3"/>
        <w:jc w:val="both"/>
        <w:rPr>
          <w:rFonts w:ascii="Arial" w:hAnsi="Arial" w:cs="Arial"/>
          <w:bCs/>
          <w:sz w:val="20"/>
        </w:rPr>
      </w:pPr>
      <w:r w:rsidRPr="007868E3">
        <w:rPr>
          <w:rFonts w:ascii="Arial" w:hAnsi="Arial" w:cs="Arial"/>
          <w:bCs/>
          <w:sz w:val="20"/>
        </w:rPr>
        <w:t>Aunque los resultados finales de los ensayos ARCADIA fueron estadísticamente significativos en todos los objetivos primarios y secundarios clave, la diferencia absoluta ajustada frente a placebo a la semana 16 se situó consistentemente por debajo de las diferencias asumidas para el cálculo muestral:</w:t>
      </w:r>
    </w:p>
    <w:p w14:paraId="721BF355" w14:textId="77777777" w:rsidR="008B2181" w:rsidRPr="007868E3" w:rsidRDefault="003F026E">
      <w:pPr>
        <w:pStyle w:val="Textoindependiente3"/>
        <w:numPr>
          <w:ilvl w:val="0"/>
          <w:numId w:val="12"/>
        </w:numPr>
        <w:jc w:val="both"/>
        <w:rPr>
          <w:rFonts w:ascii="Arial" w:hAnsi="Arial" w:cs="Arial"/>
          <w:sz w:val="20"/>
        </w:rPr>
      </w:pPr>
      <w:r w:rsidRPr="007868E3">
        <w:rPr>
          <w:rFonts w:ascii="Arial" w:hAnsi="Arial" w:cs="Arial"/>
          <w:sz w:val="20"/>
        </w:rPr>
        <w:t>IGA Success (0 o 1) a la semana 16: La diferencia ajustada fue del 11,5% en ARCADIA 1 y del 11,7% en ARCADIA 2, lo que no alcanzó el umbral mínimo del 18% asumido.</w:t>
      </w:r>
    </w:p>
    <w:p w14:paraId="355305A8" w14:textId="77777777" w:rsidR="008B2181" w:rsidRPr="007868E3" w:rsidRDefault="003F026E">
      <w:pPr>
        <w:pStyle w:val="Textoindependiente3"/>
        <w:numPr>
          <w:ilvl w:val="0"/>
          <w:numId w:val="12"/>
        </w:numPr>
        <w:jc w:val="both"/>
        <w:rPr>
          <w:rFonts w:ascii="Arial" w:hAnsi="Arial" w:cs="Arial"/>
          <w:sz w:val="20"/>
        </w:rPr>
      </w:pPr>
      <w:r w:rsidRPr="007868E3">
        <w:rPr>
          <w:rFonts w:ascii="Arial" w:hAnsi="Arial" w:cs="Arial"/>
          <w:sz w:val="20"/>
        </w:rPr>
        <w:t>EASI-75 a la semana 16: Las diferencias ajustadas fueron del 14,5% en ARCADIA 1 y del 11,9% en ARCADIA 2, muy por debajo del 30% asumido.</w:t>
      </w:r>
    </w:p>
    <w:p w14:paraId="4D0CC896" w14:textId="77777777" w:rsidR="00CA5C50" w:rsidRPr="007868E3" w:rsidRDefault="00CA5C50" w:rsidP="008B2181">
      <w:pPr>
        <w:pStyle w:val="Textoindependiente3"/>
        <w:jc w:val="both"/>
        <w:rPr>
          <w:rFonts w:ascii="Arial" w:hAnsi="Arial" w:cs="Arial"/>
          <w:bCs/>
          <w:sz w:val="20"/>
        </w:rPr>
      </w:pPr>
    </w:p>
    <w:p w14:paraId="7E77F210" w14:textId="77777777" w:rsidR="008B2181" w:rsidRPr="007868E3" w:rsidRDefault="003F026E" w:rsidP="008B2181">
      <w:pPr>
        <w:pStyle w:val="Textoindependiente3"/>
        <w:jc w:val="both"/>
        <w:rPr>
          <w:rFonts w:ascii="Arial" w:hAnsi="Arial" w:cs="Arial"/>
          <w:bCs/>
          <w:sz w:val="20"/>
        </w:rPr>
      </w:pPr>
      <w:r w:rsidRPr="007868E3">
        <w:rPr>
          <w:rFonts w:ascii="Arial" w:hAnsi="Arial" w:cs="Arial"/>
          <w:bCs/>
          <w:sz w:val="20"/>
        </w:rPr>
        <w:t xml:space="preserve">Con respecto a los objetivos de aclaramiento cutáneo (IGA y EASI), el </w:t>
      </w:r>
      <w:r w:rsidRPr="007868E3">
        <w:rPr>
          <w:rFonts w:ascii="Arial" w:hAnsi="Arial" w:cs="Arial"/>
          <w:b/>
          <w:bCs/>
          <w:sz w:val="20"/>
        </w:rPr>
        <w:t>beneficio en eficacia frente a placebo puede considerarsmodesto</w:t>
      </w:r>
      <w:r w:rsidRPr="007868E3">
        <w:rPr>
          <w:rFonts w:ascii="Arial" w:hAnsi="Arial" w:cs="Arial"/>
          <w:bCs/>
          <w:sz w:val="20"/>
        </w:rPr>
        <w:t xml:space="preserve"> si se compara con el umbral predefinido de relevancia clínica utilizado para la planificación estadística.</w:t>
      </w:r>
    </w:p>
    <w:p w14:paraId="5A8E4C44" w14:textId="77777777" w:rsidR="00E236B4" w:rsidRPr="007868E3" w:rsidRDefault="00E236B4" w:rsidP="008B2181">
      <w:pPr>
        <w:pStyle w:val="Textoindependiente3"/>
        <w:jc w:val="both"/>
        <w:rPr>
          <w:rFonts w:ascii="Arial" w:hAnsi="Arial" w:cs="Arial"/>
          <w:bCs/>
          <w:sz w:val="20"/>
        </w:rPr>
      </w:pPr>
    </w:p>
    <w:p w14:paraId="2010C1AB" w14:textId="77777777" w:rsidR="00E236B4" w:rsidRPr="007868E3" w:rsidRDefault="003F026E" w:rsidP="008B2181">
      <w:pPr>
        <w:pStyle w:val="Textoindependiente3"/>
        <w:jc w:val="both"/>
        <w:rPr>
          <w:rFonts w:ascii="Arial" w:hAnsi="Arial" w:cs="Arial"/>
          <w:bCs/>
          <w:sz w:val="20"/>
        </w:rPr>
      </w:pPr>
      <w:r w:rsidRPr="007868E3">
        <w:rPr>
          <w:rFonts w:ascii="Arial" w:hAnsi="Arial" w:cs="Arial"/>
          <w:bCs/>
          <w:sz w:val="20"/>
        </w:rPr>
        <w:t xml:space="preserve">La relevancia clínica de nemolizumab es difícil de establecer debido a la falta de comparaciones directas en su desarrollo clínico, ya que los ensayos pivotales solo lo comparan frente a placebo. Aunque esto confirma su eficacia, no resulta el comparador más adecuado considerando el amplio arsenal terapéutico actual en DA, con diversas alternativas biológicas y moléculas dirigidas a distintas vías inflamatorias. En ausencia de estudios frente a tratamientos activos (o comparaciones indirectas metodológicamente sólidas), </w:t>
      </w:r>
      <w:r w:rsidRPr="007868E3">
        <w:rPr>
          <w:rFonts w:ascii="Arial" w:hAnsi="Arial" w:cs="Arial"/>
          <w:b/>
          <w:bCs/>
          <w:sz w:val="20"/>
        </w:rPr>
        <w:t xml:space="preserve">no se considera que nemolizumab presente un </w:t>
      </w:r>
      <w:r w:rsidRPr="007868E3">
        <w:rPr>
          <w:rFonts w:ascii="Arial" w:hAnsi="Arial" w:cs="Arial"/>
          <w:b/>
          <w:bCs/>
          <w:i/>
          <w:sz w:val="20"/>
        </w:rPr>
        <w:t>beneficio clínico adicional relevante</w:t>
      </w:r>
      <w:r w:rsidRPr="007868E3">
        <w:rPr>
          <w:rFonts w:ascii="Arial" w:hAnsi="Arial" w:cs="Arial"/>
          <w:b/>
          <w:bCs/>
          <w:sz w:val="20"/>
        </w:rPr>
        <w:t xml:space="preserve"> frente a la terapia estándar.</w:t>
      </w:r>
      <w:r w:rsidRPr="007868E3">
        <w:rPr>
          <w:rFonts w:ascii="Arial" w:hAnsi="Arial" w:cs="Arial"/>
          <w:bCs/>
          <w:sz w:val="20"/>
        </w:rPr>
        <w:t xml:space="preserve"> No es posible definir con precisión su posible ventaja clínica, seguridad o coste-efectividad respecto a las opciones ya disponibles. </w:t>
      </w:r>
    </w:p>
    <w:p w14:paraId="3DE2855A" w14:textId="77777777" w:rsidR="00BC3E8E" w:rsidRPr="006F6ABB" w:rsidRDefault="00BC3E8E" w:rsidP="00BC3E8E">
      <w:pPr>
        <w:rPr>
          <w:rFonts w:ascii="Arial" w:hAnsi="Arial" w:cs="Arial"/>
          <w:b/>
          <w:color w:val="000080"/>
          <w:sz w:val="20"/>
          <w:szCs w:val="20"/>
        </w:rPr>
      </w:pPr>
    </w:p>
    <w:p w14:paraId="3622AB6E" w14:textId="77777777" w:rsidR="00BC3E8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bCs/>
          <w:sz w:val="20"/>
        </w:rPr>
      </w:pPr>
      <w:bookmarkStart w:id="71" w:name="_Toc344399641"/>
      <w:bookmarkStart w:id="72" w:name="_Toc348931368"/>
      <w:bookmarkStart w:id="73" w:name="_Toc216191091"/>
      <w:r w:rsidRPr="00F978E8">
        <w:rPr>
          <w:bCs/>
          <w:sz w:val="20"/>
        </w:rPr>
        <w:t>C.2 La evidencia de equivalencia terapéutica.</w:t>
      </w:r>
      <w:bookmarkEnd w:id="71"/>
      <w:bookmarkEnd w:id="72"/>
      <w:bookmarkEnd w:id="73"/>
      <w:r w:rsidRPr="00F978E8">
        <w:rPr>
          <w:bCs/>
          <w:sz w:val="20"/>
        </w:rPr>
        <w:t xml:space="preserve"> </w:t>
      </w:r>
    </w:p>
    <w:p w14:paraId="6B177DB7" w14:textId="77777777" w:rsidR="00DF629F" w:rsidRDefault="00DF629F" w:rsidP="007919E4">
      <w:pPr>
        <w:jc w:val="both"/>
        <w:rPr>
          <w:rFonts w:ascii="Arial" w:hAnsi="Arial" w:cs="Arial"/>
          <w:bCs/>
          <w:sz w:val="20"/>
          <w:szCs w:val="20"/>
        </w:rPr>
      </w:pPr>
    </w:p>
    <w:p w14:paraId="7F3EBEC0" w14:textId="77777777" w:rsidR="00570BA0" w:rsidRDefault="000E2F26" w:rsidP="009505B0">
      <w:pPr>
        <w:jc w:val="both"/>
        <w:rPr>
          <w:rFonts w:ascii="Arial" w:hAnsi="Arial" w:cs="Arial"/>
          <w:bCs/>
          <w:sz w:val="20"/>
          <w:szCs w:val="20"/>
        </w:rPr>
      </w:pPr>
      <w:r>
        <w:rPr>
          <w:rFonts w:ascii="Arial" w:hAnsi="Arial" w:cs="Arial"/>
          <w:bCs/>
          <w:sz w:val="20"/>
          <w:szCs w:val="20"/>
        </w:rPr>
        <w:t>De acuerdo con</w:t>
      </w:r>
      <w:r w:rsidR="00570BA0">
        <w:rPr>
          <w:rFonts w:ascii="Arial" w:hAnsi="Arial" w:cs="Arial"/>
          <w:bCs/>
          <w:sz w:val="20"/>
          <w:szCs w:val="20"/>
        </w:rPr>
        <w:t xml:space="preserve"> la búsqueda bibliográfica realizada en el momento de redacción del informe, no hay evidencia disponible actualmente que permita establecer la equivalencia terapéutica de nemolizumab con el resto de alternativas. </w:t>
      </w:r>
    </w:p>
    <w:p w14:paraId="2528D3E6" w14:textId="77777777" w:rsidR="00570BA0" w:rsidRDefault="00570BA0" w:rsidP="009505B0">
      <w:pPr>
        <w:jc w:val="both"/>
        <w:rPr>
          <w:rFonts w:ascii="Arial" w:hAnsi="Arial" w:cs="Arial"/>
          <w:bCs/>
          <w:sz w:val="20"/>
          <w:szCs w:val="20"/>
        </w:rPr>
      </w:pPr>
    </w:p>
    <w:p w14:paraId="2A55D3AE" w14:textId="77777777" w:rsidR="00570BA0" w:rsidRDefault="00604893" w:rsidP="009505B0">
      <w:pPr>
        <w:jc w:val="both"/>
        <w:rPr>
          <w:rFonts w:ascii="Arial" w:hAnsi="Arial" w:cs="Arial"/>
          <w:bCs/>
          <w:sz w:val="20"/>
          <w:szCs w:val="20"/>
        </w:rPr>
      </w:pPr>
      <w:r w:rsidRPr="00604893">
        <w:rPr>
          <w:rFonts w:ascii="Arial" w:hAnsi="Arial" w:cs="Arial"/>
          <w:bCs/>
          <w:sz w:val="20"/>
          <w:szCs w:val="20"/>
        </w:rPr>
        <w:t xml:space="preserve">Para </w:t>
      </w:r>
      <w:r w:rsidR="00570BA0">
        <w:rPr>
          <w:rFonts w:ascii="Arial" w:hAnsi="Arial" w:cs="Arial"/>
          <w:bCs/>
          <w:sz w:val="20"/>
          <w:szCs w:val="20"/>
        </w:rPr>
        <w:t xml:space="preserve">comparar nemolizumab con el resto de alternativas, y debido a que no hay disponible una comparación </w:t>
      </w:r>
      <w:r w:rsidR="00642851">
        <w:rPr>
          <w:rFonts w:ascii="Arial" w:hAnsi="Arial" w:cs="Arial"/>
          <w:bCs/>
          <w:sz w:val="20"/>
          <w:szCs w:val="20"/>
        </w:rPr>
        <w:t>directa</w:t>
      </w:r>
      <w:r w:rsidR="00570BA0">
        <w:rPr>
          <w:rFonts w:ascii="Arial" w:hAnsi="Arial" w:cs="Arial"/>
          <w:bCs/>
          <w:sz w:val="20"/>
          <w:szCs w:val="20"/>
        </w:rPr>
        <w:t xml:space="preserve"> con el tratamiento de referencia, se </w:t>
      </w:r>
      <w:r w:rsidR="00642851">
        <w:rPr>
          <w:rFonts w:ascii="Arial" w:hAnsi="Arial" w:cs="Arial"/>
          <w:bCs/>
          <w:sz w:val="20"/>
          <w:szCs w:val="20"/>
        </w:rPr>
        <w:t>recurrió a comparaciones indirectas de</w:t>
      </w:r>
      <w:r w:rsidR="00570BA0">
        <w:rPr>
          <w:rFonts w:ascii="Arial" w:hAnsi="Arial" w:cs="Arial"/>
          <w:bCs/>
          <w:sz w:val="20"/>
          <w:szCs w:val="20"/>
        </w:rPr>
        <w:t xml:space="preserve"> todos los fármacos con respecto a dupilumab para establecer el posicionamiento.</w:t>
      </w:r>
    </w:p>
    <w:p w14:paraId="39A68BBC" w14:textId="77777777" w:rsidR="00570BA0" w:rsidRDefault="00570BA0" w:rsidP="009505B0">
      <w:pPr>
        <w:jc w:val="both"/>
        <w:rPr>
          <w:rFonts w:ascii="Arial" w:hAnsi="Arial" w:cs="Arial"/>
          <w:bCs/>
          <w:sz w:val="20"/>
          <w:szCs w:val="20"/>
        </w:rPr>
      </w:pPr>
    </w:p>
    <w:p w14:paraId="454B76C0" w14:textId="77777777" w:rsidR="00642851" w:rsidRDefault="00570BA0" w:rsidP="009505B0">
      <w:pPr>
        <w:jc w:val="both"/>
        <w:rPr>
          <w:rFonts w:ascii="Arial" w:hAnsi="Arial" w:cs="Arial"/>
          <w:bCs/>
          <w:sz w:val="20"/>
          <w:szCs w:val="20"/>
        </w:rPr>
      </w:pPr>
      <w:r>
        <w:rPr>
          <w:rFonts w:ascii="Arial" w:hAnsi="Arial" w:cs="Arial"/>
          <w:bCs/>
          <w:sz w:val="20"/>
          <w:szCs w:val="20"/>
        </w:rPr>
        <w:t>En el caso de abrocitinib se utilizaron los resultados del ensayo JADE COMPARE</w:t>
      </w:r>
      <w:r w:rsidR="007F4DF6">
        <w:rPr>
          <w:rFonts w:ascii="Arial" w:hAnsi="Arial" w:cs="Arial"/>
          <w:bCs/>
          <w:sz w:val="20"/>
          <w:szCs w:val="20"/>
        </w:rPr>
        <w:t xml:space="preserve"> </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{"citationID":"3HFFGLFs","properties":{"formattedCitation":"(16)","plainCitation":"(16)","noteIndex":0},"citationItems":[{"id":62,"uris":["http://zotero.org/users/18702181/items/FZSCDYKW"],"itemData":{"id":62,"type":"article-journal","abstract":"BACKGROUND: Phase 3 trials have assessed efficacy of abrocitinib versus placebo in moderate-to-severe atopic dermatitis, a common immunoinflammatory skin disease. This study assessed the efficacy and safety of abrocitinib versus dupilumab.\nMETHODS: This randomised, double-blind, double-dummy, active-controlled, parallel-treatment, phase 3 trial enrolled adults with moderate-to-severe atopic dermatitis who requir=ed systemic therapy or had inadequate response to topical medications. Participants were enrolled from 151 sites, located in Australia, Bulgaria, Canada, Chile, Finland, Germany, Hungary, Italy, Latvia, Poland, Slovakia, South Korea, Spain, Taiwan, and the USA. These participants were then randomly assigned (1:1) with block randomisation to receive oral abrocitinib (200 mg per day) or subcutaneous dupilumab (300 mg every 2 weeks) for 26 weeks. Participants were required to apply topical corticosteroids (medium or low potency), topical calcineurin inhibitors, or a topical phosphodiesterase 4 inhibitor to active lesion areas. Primary endpoints were response based on achieving a 4 point or higher improvement in Peak Pruritus Numerical Rating Scale (PP-NRS4) at week 2 and a 90% or better improvement in Eczema Area and Severity Index (EASI-90) at week 4. Family-wise type 1 error was controlled via a sequential multiple-testing procedure (two sided, α=0·05). Randomly assigned participants who received at least one dose of study intervention were included in the efficacy and safety analysis sets. This trial was completed on July 13, 2021 (NCT04345367).\nFINDINGS: Between June 11, 2020, and Dec 16, 2020, 940 patients were screened and 727 were enrolled (362 in the abrocitinib group and 365 in the dupilumab group). Compared with dupilumab, a larger proportion of patients treated with abrocitinib reached the primary outcomes, PP-NRS4 at week 2 (172 [48%] of 357, 95% CI 43·0-53·4 vs 93 [26%] of 364, 21·1-30·0; difference 22·6%, 15·8-29·5; p&lt;0·0001), and EASI-90 at week 4 (101 [29%] of 354, 23·8-33·2 vs 53 [15%] of 364, 10·9-18·2; difference 14·1%, 8·2-20·0; p&lt;0·0001). Treatment-emergent adverse events were reported by 268 (74%) of 362 patients treated with abrocitinib and by 239 (65%) of 365 patients treated with dupilumab. Two non-treatment-related deaths occurred in the abrocitinib group.\nINTERPRETATION: Abrocitinib 200 mg per day was more efficacious than dupilumab in adults with moderate-to-severe atopic dermatitis on background topical therapy in inducing early reductions of itch and atopic dermatitis disease signs. Both treatments were well tolerated over 26 weeks.\nFUNDING: Pfizer.","container-title":"Lancet (London, England)","DOI":"10.1016/S0140-6736(22)01199-0","ISSN":"1474-547X","issue":"10348","journalAbbreviation":"Lancet","language":"eng","page":"273-282","PMID":"35871814","source":"PubMed","title":"Efficacy and safety of abrocitinib versus dupilumab in adults with moderate-to-severe atopic dermatitis: a randomised, double-blind, multicentre phase 3 trial","title-short":"Efficacy and safety of abrocitinib versus dupilumab in adults with moderate-to-severe atopic dermatitis","volume":"400","author":[{"family":"Reich","given":"Kristian"},{"family":"Thyssen","given":"Jacob P."},{"family":"Blauvelt","given":"Andrew"},{"family":"Eyerich","given":"Kilian"},{"family":"Soong","given":"Weily"},{"family":"Rice","given":"Zakiya P."},{"family":"Hong","given":"H. Chih-Ho"},{"family":"Katoh","given":"Norito"},{"family":"Valenzuela","given":"Fernando"},{"family":"DiBonaventura","given":"Marco"},{"family":"Bratt","given":"Tamara A."},{"family":"Zhang","given":"Fan"},{"family":"Clibborn","given":"Claire"},{"family":"Rojo","given":"Ricardo"},{"family":"Valdez","given":"Hernan"},{"family":"Kerkmann","given":"Urs"}],"issued":{"date-parts":[["2022",7,23]]}}}],"schema":"https://github.com/citation-style-language/schema/raw/master/csl-citation.json"} </w:instrText>
      </w:r>
      <w:r w:rsidR="00646A51">
        <w:rPr>
          <w:rFonts w:ascii="Arial" w:hAnsi="Arial" w:cs="Arial"/>
          <w:bCs/>
          <w:sz w:val="20"/>
          <w:szCs w:val="20"/>
        </w:rPr>
        <w:fldChar w:fldCharType="separate"/>
      </w:r>
      <w:r w:rsidR="00AB2E8A" w:rsidRPr="00AB2E8A">
        <w:rPr>
          <w:rFonts w:ascii="Arial" w:hAnsi="Arial" w:cs="Arial"/>
          <w:sz w:val="20"/>
        </w:rPr>
        <w:t>(16)</w:t>
      </w:r>
      <w:r w:rsidR="00646A51">
        <w:rPr>
          <w:rFonts w:ascii="Arial" w:hAnsi="Arial" w:cs="Arial"/>
          <w:bCs/>
          <w:sz w:val="20"/>
          <w:szCs w:val="20"/>
        </w:rPr>
        <w:fldChar w:fldCharType="end"/>
      </w:r>
      <w:r>
        <w:rPr>
          <w:rFonts w:ascii="Arial" w:hAnsi="Arial" w:cs="Arial"/>
          <w:bCs/>
          <w:sz w:val="20"/>
          <w:szCs w:val="20"/>
        </w:rPr>
        <w:t xml:space="preserve"> en el que se realizó una comparación directa con dupilumab, considerando que las características del ensayo permitían la comparación con el resto.</w:t>
      </w:r>
    </w:p>
    <w:p w14:paraId="7B177A37" w14:textId="77777777" w:rsidR="00570BA0" w:rsidRDefault="00570BA0" w:rsidP="009505B0">
      <w:pPr>
        <w:jc w:val="both"/>
        <w:rPr>
          <w:rFonts w:ascii="Arial" w:hAnsi="Arial" w:cs="Arial"/>
          <w:bCs/>
          <w:sz w:val="20"/>
          <w:szCs w:val="20"/>
        </w:rPr>
      </w:pPr>
      <w:r>
        <w:rPr>
          <w:rFonts w:ascii="Arial" w:hAnsi="Arial" w:cs="Arial"/>
          <w:bCs/>
          <w:sz w:val="20"/>
          <w:szCs w:val="20"/>
        </w:rPr>
        <w:t xml:space="preserve"> </w:t>
      </w:r>
    </w:p>
    <w:p w14:paraId="4EB88159" w14:textId="77777777" w:rsidR="00570BA0" w:rsidRDefault="00570BA0" w:rsidP="009505B0">
      <w:pPr>
        <w:jc w:val="both"/>
        <w:rPr>
          <w:rFonts w:ascii="Arial" w:hAnsi="Arial" w:cs="Arial"/>
          <w:bCs/>
          <w:sz w:val="20"/>
          <w:szCs w:val="20"/>
        </w:rPr>
      </w:pPr>
      <w:r>
        <w:rPr>
          <w:rFonts w:ascii="Arial" w:hAnsi="Arial" w:cs="Arial"/>
          <w:bCs/>
          <w:sz w:val="20"/>
          <w:szCs w:val="20"/>
        </w:rPr>
        <w:t>Por el contrario, en el caso de upadacitinib, no pudieron utilizarse las comparaciones directas de los ensayos Heads Up</w:t>
      </w:r>
      <w:r w:rsidR="007F4DF6">
        <w:rPr>
          <w:rFonts w:ascii="Arial" w:hAnsi="Arial" w:cs="Arial"/>
          <w:bCs/>
          <w:sz w:val="20"/>
          <w:szCs w:val="20"/>
        </w:rPr>
        <w:t xml:space="preserve"> </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{"citationID":"JimUn3bD","properties":{"formattedCitation":"(17)","plainCitation":"(17)","noteIndex":0},"citationItems":[{"id":133,"uris":["http://zotero.org/users/18702181/items/PK9MHK36"],"itemData":{"id":133,"type":"article-journal","abstract":"This randomized clinical trial assesses the safety and efficacy of upadacitinib vs dupilumab in adults with moderate-to-severe atopic dermatitis.","container-title":"JAMA Dermatology","DOI":"10.1001/jamadermatol.2021.3023","ISSN":"2168-6068","issue":"9","journalAbbreviation":"JAMA Dermatol","page":"1047-1055","PMID":"34347860","PMCID":"PMC8340015","source":"PubMed Central","title":"Efficacy and Safety of Upadacitinib vs Dupilumab in Adults With Moderate-to-Severe Atopic Dermatitis","volume":"157","author":[{"family":"Blauvelt","given":"Andrew"},{"family":"Teixeira","given":"Henrique D."},{"family":"Simpson","given":"Eric L."},{"family":"Costanzo","given":"Antonio"},{"family":"De Bruin-Weller","given":"Marjolein"},{"family":"Barbarot","given":"Sebastien"},{"family":"Prajapati","given":"Vimal H."},{"family":"Lio","given":"Peter"},{"family":"Hu","given":"Xiaofei"},{"family":"Wu","given":"Tianshuang"},{"family":"Liu","given":"John"},{"family":"Ladizinski","given":"Barry"},{"family":"Chu","given":"Alvina D."},{"family":"Eyerich","given":"Kilian"}],"issued":{"date-parts":[["2021",9]]}}}],"schema":"https://github.com/citation-style-language/schema/raw/master/csl-citation.json"} </w:instrText>
      </w:r>
      <w:r w:rsidR="00646A51">
        <w:rPr>
          <w:rFonts w:ascii="Arial" w:hAnsi="Arial" w:cs="Arial"/>
          <w:bCs/>
          <w:sz w:val="20"/>
          <w:szCs w:val="20"/>
        </w:rPr>
        <w:fldChar w:fldCharType="separate"/>
      </w:r>
      <w:r w:rsidR="00AB2E8A" w:rsidRPr="00AB2E8A">
        <w:rPr>
          <w:rFonts w:ascii="Arial" w:hAnsi="Arial" w:cs="Arial"/>
          <w:sz w:val="20"/>
        </w:rPr>
        <w:t>(17)</w:t>
      </w:r>
      <w:r w:rsidR="00646A51">
        <w:rPr>
          <w:rFonts w:ascii="Arial" w:hAnsi="Arial" w:cs="Arial"/>
          <w:bCs/>
          <w:sz w:val="20"/>
          <w:szCs w:val="20"/>
        </w:rPr>
        <w:fldChar w:fldCharType="end"/>
      </w:r>
      <w:r>
        <w:rPr>
          <w:rFonts w:ascii="Arial" w:hAnsi="Arial" w:cs="Arial"/>
          <w:bCs/>
          <w:sz w:val="20"/>
          <w:szCs w:val="20"/>
        </w:rPr>
        <w:t xml:space="preserve"> y Level Up</w:t>
      </w:r>
      <w:r w:rsidR="007F4DF6">
        <w:rPr>
          <w:rFonts w:ascii="Arial" w:hAnsi="Arial" w:cs="Arial"/>
          <w:bCs/>
          <w:sz w:val="20"/>
          <w:szCs w:val="20"/>
        </w:rPr>
        <w:t xml:space="preserve"> </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{"citationID":"D6zErD5a","properties":{"formattedCitation":"(18)","plainCitation":"(18)","noteIndex":0},"citationItems":[{"id":136,"uris":["http://zotero.org/users/18702181/items/BPN7U9QK"],"itemData":{"id":136,"type":"article-journal","abstract":"BACKGROUND: Atopic dermatitis (AD) is a chronic skin disease characterized by intense itch and eczematous skin lesions. Some patients with AD continue to experience flares and substantial clinical burden, despite ongoing systemic treatment.\nOBJECTIVES: To assess the efficacy and safety of once-daily upadacitinib (UPA), initiated at 15 mg and dose-escalated to 30 mg based on clinical response, compared with dupilumab (DUPI) as per its label, and present the week 16 primary analysis results.\nMETHODS: Level Up is a phase IIIb/IV global randomized open-label efficacy assessor-blinded study evaluating UPA vs. DUPI in adolescents and adults with moderate-to-severe AD who had an inadequate response to systemic therapy or when use was inadvisable. Patients were randomized to UPA or DUPI for 16 weeks of treatment (period 1). Patients on UPA were started on 15 mg and dose-escalated to 30 mg if they did not achieve an Eczema Area and Severity Index reduction of at least 50% (EASI 50) or a ≥ 4-point Worst Pruritus Numerical Rating Scale (WP-NRS) improvement on or after week 4, or an EASI reduction of at least 75% (EASI 75) on or after week 8. The primary endpoint was simultaneous achievement of an EASI reduction of at least 90% (EASI 90) and WP-NRS 0/1 at week 16. Ranked secondary endpoints included skin and itch responses at varying response levels and timepoints. Safety measures were assessed throughout the study.\nRESULTS: Superior efficacy in achieving simultaneous EASI 90 and WP-NRS 0/1 response at week 16 was demonstrated with UPA vs. DUPI (19.9% vs 8.9%, respectively; P &lt; 0.001). UPA showed superiority over DUPI for all ranked secondary endpoints, with post hoc analyses exhibiting higher itch response rates as early as day 2. No new safety signals were identified in this period.\nCONCLUSIONS: Treatment of moderate-to-severe AD with UPA, initiated at 15 mg and dose-escalated based on clinical response, demonstrated superiority over DUPI per its label for the primary endpoint of simultaneous achievement of near-complete skin clearance (EASI 90) and little-to-no itch (WP-NRS 0/1) at week 16, with all ranked secondary endpoints demonstrating superiority at varying skin and itch response levels and timepoints. No new safety signals were identified vs. the previously reported safety profiles of UPA and DUPI.","container-title":"The British Journal of Dermatology","DOI":"10.1093/bjd/ljae404","ISSN":"1365-2133","issue":"1","journalAbbreviation":"Br J Dermatol","language":"eng","page":"36-45","PMID":"39438067","source":"PubMed","title":"Efficacy and safety of upadacitinib versus dupilumab in adults and adolescents with moderate-to-severe atopic dermatitis: week 16 results of an open-label randomized efficacy assessor-blinded head-to-head phase IIIb/IV study (Level Up)","title-short":"Efficacy and safety of upadacitinib versus dupilumab in adults and adolescents with moderate-to-severe atopic dermatitis","volume":"192","author":[{"family":"Silverberg","given":"Jonathan I."},{"family":"Bunick","given":"Christopher G."},{"family":"Hong","given":"H. Chih-Ho"},{"family":"Mendes-Bastos","given":"Pedro"},{"family":"Stein Gold","given":"Linda"},{"family":"Costanzo","given":"Antonio"},{"family":"Ibrahim","given":"Nadia"},{"family":"Sancho","given":"Cristina"},{"family":"Wu","given":"Xiaoqiang"},{"family":"Han","given":"Yu"},{"family":"Levy","given":"Gweneth"},{"family":"Altman","given":"Kathy"},{"family":"Calimlim","given":"Brian"},{"family":"Eyerich","given":"Kilian"}],"issued":{"date-parts":[["2024",12,23]]}}}],"schema":"https://github.com/citation-style-language/schema/raw/master/csl-citation.json"} </w:instrText>
      </w:r>
      <w:r w:rsidR="00646A51">
        <w:rPr>
          <w:rFonts w:ascii="Arial" w:hAnsi="Arial" w:cs="Arial"/>
          <w:bCs/>
          <w:sz w:val="20"/>
          <w:szCs w:val="20"/>
        </w:rPr>
        <w:fldChar w:fldCharType="separate"/>
      </w:r>
      <w:r w:rsidR="00AB2E8A" w:rsidRPr="00AB2E8A">
        <w:rPr>
          <w:rFonts w:ascii="Arial" w:hAnsi="Arial" w:cs="Arial"/>
          <w:sz w:val="20"/>
        </w:rPr>
        <w:t>(18)</w:t>
      </w:r>
      <w:r w:rsidR="00646A51">
        <w:rPr>
          <w:rFonts w:ascii="Arial" w:hAnsi="Arial" w:cs="Arial"/>
          <w:bCs/>
          <w:sz w:val="20"/>
          <w:szCs w:val="20"/>
        </w:rPr>
        <w:fldChar w:fldCharType="end"/>
      </w:r>
      <w:r>
        <w:rPr>
          <w:rFonts w:ascii="Arial" w:hAnsi="Arial" w:cs="Arial"/>
          <w:bCs/>
          <w:sz w:val="20"/>
          <w:szCs w:val="20"/>
        </w:rPr>
        <w:t xml:space="preserve"> debido a que en el primero se hizo una comparación en monoterapia y no estaba permitido el uso de TCS, y en el segundo no se medía el EASI75 sino el EASI90</w:t>
      </w:r>
      <w:r w:rsidR="00642851">
        <w:rPr>
          <w:rFonts w:ascii="Arial" w:hAnsi="Arial" w:cs="Arial"/>
          <w:bCs/>
          <w:sz w:val="20"/>
          <w:szCs w:val="20"/>
        </w:rPr>
        <w:t>,</w:t>
      </w:r>
      <w:r>
        <w:rPr>
          <w:rFonts w:ascii="Arial" w:hAnsi="Arial" w:cs="Arial"/>
          <w:bCs/>
          <w:sz w:val="20"/>
          <w:szCs w:val="20"/>
        </w:rPr>
        <w:t xml:space="preserve"> por lo que no era comparable. </w:t>
      </w:r>
    </w:p>
    <w:p w14:paraId="1747066E" w14:textId="77777777" w:rsidR="007F4DF6" w:rsidRDefault="007F4DF6" w:rsidP="009505B0">
      <w:pPr>
        <w:jc w:val="both"/>
        <w:rPr>
          <w:rFonts w:ascii="Arial" w:hAnsi="Arial" w:cs="Arial"/>
          <w:bCs/>
          <w:sz w:val="20"/>
          <w:szCs w:val="20"/>
        </w:rPr>
      </w:pPr>
    </w:p>
    <w:p w14:paraId="1ACE6E4C" w14:textId="5A057361" w:rsidR="00D31A57" w:rsidRDefault="00570BA0" w:rsidP="009505B0">
      <w:pPr>
        <w:jc w:val="both"/>
        <w:rPr>
          <w:rFonts w:ascii="Arial" w:hAnsi="Arial" w:cs="Arial"/>
          <w:bCs/>
          <w:sz w:val="20"/>
          <w:szCs w:val="20"/>
        </w:rPr>
      </w:pPr>
      <w:r>
        <w:rPr>
          <w:rFonts w:ascii="Arial" w:hAnsi="Arial" w:cs="Arial"/>
          <w:bCs/>
          <w:sz w:val="20"/>
          <w:szCs w:val="20"/>
        </w:rPr>
        <w:t>Por ello, excepto en el caso de abrocitinib, se realizaron comparaciones indirectas</w:t>
      </w:r>
      <w:r w:rsidR="007F4DF6">
        <w:rPr>
          <w:rFonts w:ascii="Arial" w:hAnsi="Arial" w:cs="Arial"/>
          <w:bCs/>
          <w:sz w:val="20"/>
          <w:szCs w:val="20"/>
        </w:rPr>
        <w:t xml:space="preserve"> (CI)</w:t>
      </w:r>
      <w:r>
        <w:rPr>
          <w:rFonts w:ascii="Arial" w:hAnsi="Arial" w:cs="Arial"/>
          <w:bCs/>
          <w:sz w:val="20"/>
          <w:szCs w:val="20"/>
        </w:rPr>
        <w:t xml:space="preserve"> ajustadas por el método Bucher</w:t>
      </w:r>
      <w:r w:rsidR="002078B3">
        <w:rPr>
          <w:rFonts w:ascii="Arial" w:hAnsi="Arial" w:cs="Arial"/>
          <w:bCs/>
          <w:sz w:val="20"/>
          <w:szCs w:val="20"/>
        </w:rPr>
        <w:t xml:space="preserve"> cuyos resultados se resumen en el apartado 5.3b</w:t>
      </w:r>
      <w:r>
        <w:rPr>
          <w:rFonts w:ascii="Arial" w:hAnsi="Arial" w:cs="Arial"/>
          <w:bCs/>
          <w:sz w:val="20"/>
          <w:szCs w:val="20"/>
        </w:rPr>
        <w:t xml:space="preserve">. Para ello, </w:t>
      </w:r>
      <w:r w:rsidR="00604893" w:rsidRPr="00604893">
        <w:rPr>
          <w:rFonts w:ascii="Arial" w:hAnsi="Arial" w:cs="Arial"/>
          <w:bCs/>
          <w:sz w:val="20"/>
          <w:szCs w:val="20"/>
        </w:rPr>
        <w:t>se seleccionaron los ensayos clínicos de fase 3 incluidos en el EPAR y que sustentaron la autorización del fármaco, correspondientes a las alternativas recogidas en la tabla comparativa</w:t>
      </w:r>
      <w:r w:rsidR="002078B3">
        <w:rPr>
          <w:rFonts w:ascii="Arial" w:hAnsi="Arial" w:cs="Arial"/>
          <w:bCs/>
          <w:sz w:val="20"/>
          <w:szCs w:val="20"/>
        </w:rPr>
        <w:t xml:space="preserve"> nº3</w:t>
      </w:r>
      <w:r w:rsidR="00604893" w:rsidRPr="00604893">
        <w:rPr>
          <w:rFonts w:ascii="Arial" w:hAnsi="Arial" w:cs="Arial"/>
          <w:bCs/>
          <w:sz w:val="20"/>
          <w:szCs w:val="20"/>
        </w:rPr>
        <w:t xml:space="preserve">. </w:t>
      </w:r>
    </w:p>
    <w:p w14:paraId="7C6A2642" w14:textId="77777777" w:rsidR="00570BA0" w:rsidRDefault="00570BA0" w:rsidP="009505B0">
      <w:pPr>
        <w:jc w:val="both"/>
        <w:rPr>
          <w:rFonts w:ascii="Arial" w:hAnsi="Arial" w:cs="Arial"/>
          <w:bCs/>
          <w:sz w:val="20"/>
          <w:szCs w:val="20"/>
        </w:rPr>
      </w:pPr>
    </w:p>
    <w:p w14:paraId="0F4AAB37" w14:textId="77777777" w:rsidR="00BB4D6A" w:rsidRDefault="00BB4D6A" w:rsidP="009505B0">
      <w:pPr>
        <w:jc w:val="both"/>
        <w:rPr>
          <w:rFonts w:ascii="Arial" w:hAnsi="Arial" w:cs="Arial"/>
          <w:bCs/>
          <w:sz w:val="20"/>
          <w:szCs w:val="20"/>
        </w:rPr>
      </w:pPr>
      <w:r>
        <w:rPr>
          <w:rFonts w:ascii="Arial" w:hAnsi="Arial" w:cs="Arial"/>
          <w:bCs/>
          <w:sz w:val="20"/>
          <w:szCs w:val="20"/>
        </w:rPr>
        <w:t>Ini</w:t>
      </w:r>
      <w:r w:rsidRPr="00604893">
        <w:rPr>
          <w:rFonts w:ascii="Arial" w:hAnsi="Arial" w:cs="Arial"/>
          <w:bCs/>
          <w:sz w:val="20"/>
          <w:szCs w:val="20"/>
        </w:rPr>
        <w:t>c</w:t>
      </w:r>
      <w:r>
        <w:rPr>
          <w:rFonts w:ascii="Arial" w:hAnsi="Arial" w:cs="Arial"/>
          <w:bCs/>
          <w:sz w:val="20"/>
          <w:szCs w:val="20"/>
        </w:rPr>
        <w:t>i</w:t>
      </w:r>
      <w:r w:rsidRPr="00604893">
        <w:rPr>
          <w:rFonts w:ascii="Arial" w:hAnsi="Arial" w:cs="Arial"/>
          <w:bCs/>
          <w:sz w:val="20"/>
          <w:szCs w:val="20"/>
        </w:rPr>
        <w:t>almente</w:t>
      </w:r>
      <w:r w:rsidR="00604893" w:rsidRPr="00604893">
        <w:rPr>
          <w:rFonts w:ascii="Arial" w:hAnsi="Arial" w:cs="Arial"/>
          <w:bCs/>
          <w:sz w:val="20"/>
          <w:szCs w:val="20"/>
        </w:rPr>
        <w:t xml:space="preserve"> se consideraron los estudios realizados en combinación con</w:t>
      </w:r>
      <w:r w:rsidR="007F4DF6">
        <w:rPr>
          <w:rFonts w:ascii="Arial" w:hAnsi="Arial" w:cs="Arial"/>
          <w:bCs/>
          <w:sz w:val="20"/>
          <w:szCs w:val="20"/>
        </w:rPr>
        <w:t xml:space="preserve"> TCS</w:t>
      </w:r>
      <w:r w:rsidR="00604893" w:rsidRPr="00604893">
        <w:rPr>
          <w:rFonts w:ascii="Arial" w:hAnsi="Arial" w:cs="Arial"/>
          <w:bCs/>
          <w:sz w:val="20"/>
          <w:szCs w:val="20"/>
        </w:rPr>
        <w:t>, excluyéndose aquellos que evaluaban el tratamiento en monoterapi</w:t>
      </w:r>
      <w:r w:rsidR="007919E4">
        <w:rPr>
          <w:rFonts w:ascii="Arial" w:hAnsi="Arial" w:cs="Arial"/>
          <w:bCs/>
          <w:sz w:val="20"/>
          <w:szCs w:val="20"/>
        </w:rPr>
        <w:t>a</w:t>
      </w:r>
      <w:r>
        <w:rPr>
          <w:rFonts w:ascii="Arial" w:hAnsi="Arial" w:cs="Arial"/>
          <w:bCs/>
          <w:sz w:val="20"/>
          <w:szCs w:val="20"/>
        </w:rPr>
        <w:t xml:space="preserve">, </w:t>
      </w:r>
      <w:r w:rsidR="002078B3">
        <w:rPr>
          <w:rFonts w:ascii="Arial" w:hAnsi="Arial" w:cs="Arial"/>
          <w:bCs/>
          <w:sz w:val="20"/>
          <w:szCs w:val="20"/>
        </w:rPr>
        <w:t xml:space="preserve">y el </w:t>
      </w:r>
      <w:r>
        <w:rPr>
          <w:rFonts w:ascii="Arial" w:hAnsi="Arial" w:cs="Arial"/>
          <w:bCs/>
          <w:sz w:val="20"/>
          <w:szCs w:val="20"/>
        </w:rPr>
        <w:t xml:space="preserve">estudio </w:t>
      </w:r>
      <w:r w:rsidR="007F4DF6">
        <w:rPr>
          <w:rFonts w:ascii="Arial" w:hAnsi="Arial" w:cs="Arial"/>
          <w:bCs/>
          <w:sz w:val="20"/>
          <w:szCs w:val="20"/>
        </w:rPr>
        <w:t xml:space="preserve">EZCTRA 3 </w:t>
      </w:r>
      <w:r w:rsidR="00646A51">
        <w:rPr>
          <w:rFonts w:ascii="Arial" w:hAnsi="Arial" w:cs="Arial"/>
          <w:bCs/>
          <w:sz w:val="20"/>
          <w:szCs w:val="20"/>
        </w:rPr>
        <w:fldChar w:fldCharType="begin"/>
      </w:r>
      <w:r w:rsidR="00AB2E8A">
        <w:rPr>
          <w:rFonts w:ascii="Arial" w:hAnsi="Arial" w:cs="Arial"/>
          <w:bCs/>
          <w:sz w:val="20"/>
          <w:szCs w:val="20"/>
        </w:rPr>
        <w:instrText xml:space="preserve"> ADDIN ZOTERO_ITEM CSL_CITATION {"citationID":"RpfsRIJl","properties":{"formattedCitation":"(19)","plainCitation":"(19)","noteIndex":0},"citationItems":[{"id":47,"uris":["http://zotero.org/users/18702181/items/SZHW9N5A"],"itemData":{"id":47,"type":"webpage","language":"en","title":"Informe EPAR Adtralza (Tralokinumab)","URL":"https://www.ema.europa.eu/en/medicines/human/EPAR/adtralza","author":[{"family":"European Medicines Agency (EMA)","given":""}],"accessed":{"date-parts":[["2025",11,18]]},"issued":{"date-parts":[["2021",4,20]]}}}],"schema":"https://github.com/citation-style-language/schema/raw/master/csl-citation.json"} </w:instrText>
      </w:r>
      <w:r w:rsidR="00646A51">
        <w:rPr>
          <w:rFonts w:ascii="Arial" w:hAnsi="Arial" w:cs="Arial"/>
          <w:bCs/>
          <w:sz w:val="20"/>
          <w:szCs w:val="20"/>
        </w:rPr>
        <w:fldChar w:fldCharType="separate"/>
      </w:r>
      <w:r w:rsidR="00AB2E8A" w:rsidRPr="00AB2E8A">
        <w:rPr>
          <w:rFonts w:ascii="Arial" w:hAnsi="Arial" w:cs="Arial"/>
          <w:sz w:val="20"/>
        </w:rPr>
        <w:t>(19)</w:t>
      </w:r>
      <w:r w:rsidR="00646A51">
        <w:rPr>
          <w:rFonts w:ascii="Arial" w:hAnsi="Arial" w:cs="Arial"/>
          <w:bCs/>
          <w:sz w:val="20"/>
          <w:szCs w:val="20"/>
        </w:rPr>
        <w:fldChar w:fldCharType="end"/>
      </w:r>
      <w:r w:rsidR="007F4DF6">
        <w:rPr>
          <w:rFonts w:ascii="Arial" w:hAnsi="Arial" w:cs="Arial"/>
          <w:bCs/>
          <w:sz w:val="20"/>
          <w:szCs w:val="20"/>
        </w:rPr>
        <w:t xml:space="preserve"> </w:t>
      </w:r>
      <w:r>
        <w:rPr>
          <w:rFonts w:ascii="Arial" w:hAnsi="Arial" w:cs="Arial"/>
          <w:bCs/>
          <w:sz w:val="20"/>
          <w:szCs w:val="20"/>
        </w:rPr>
        <w:t xml:space="preserve">de tralokinumab </w:t>
      </w:r>
      <w:r w:rsidR="002078B3">
        <w:rPr>
          <w:rFonts w:ascii="Arial" w:hAnsi="Arial" w:cs="Arial"/>
          <w:bCs/>
          <w:sz w:val="20"/>
          <w:szCs w:val="20"/>
        </w:rPr>
        <w:t xml:space="preserve">debido a que </w:t>
      </w:r>
      <w:r>
        <w:rPr>
          <w:rFonts w:ascii="Arial" w:hAnsi="Arial" w:cs="Arial"/>
          <w:bCs/>
          <w:sz w:val="20"/>
          <w:szCs w:val="20"/>
        </w:rPr>
        <w:t>se realizó con</w:t>
      </w:r>
      <w:r w:rsidR="007F4DF6">
        <w:rPr>
          <w:rFonts w:ascii="Arial" w:hAnsi="Arial" w:cs="Arial"/>
          <w:bCs/>
          <w:sz w:val="20"/>
          <w:szCs w:val="20"/>
        </w:rPr>
        <w:t xml:space="preserve"> TCS</w:t>
      </w:r>
      <w:r>
        <w:rPr>
          <w:rFonts w:ascii="Arial" w:hAnsi="Arial" w:cs="Arial"/>
          <w:bCs/>
          <w:sz w:val="20"/>
          <w:szCs w:val="20"/>
        </w:rPr>
        <w:t xml:space="preserve"> de alta potencia</w:t>
      </w:r>
      <w:r w:rsidR="002078B3">
        <w:rPr>
          <w:rFonts w:ascii="Arial" w:hAnsi="Arial" w:cs="Arial"/>
          <w:bCs/>
          <w:sz w:val="20"/>
          <w:szCs w:val="20"/>
        </w:rPr>
        <w:t>.</w:t>
      </w:r>
      <w:r>
        <w:rPr>
          <w:rFonts w:ascii="Arial" w:hAnsi="Arial" w:cs="Arial"/>
          <w:bCs/>
          <w:sz w:val="20"/>
          <w:szCs w:val="20"/>
        </w:rPr>
        <w:t xml:space="preserve"> </w:t>
      </w:r>
      <w:r w:rsidR="002078B3">
        <w:rPr>
          <w:rFonts w:ascii="Arial" w:hAnsi="Arial" w:cs="Arial"/>
          <w:bCs/>
          <w:sz w:val="20"/>
          <w:szCs w:val="20"/>
        </w:rPr>
        <w:t>P</w:t>
      </w:r>
      <w:r w:rsidR="00D31A57">
        <w:rPr>
          <w:rFonts w:ascii="Arial" w:hAnsi="Arial" w:cs="Arial"/>
          <w:bCs/>
          <w:sz w:val="20"/>
          <w:szCs w:val="20"/>
        </w:rPr>
        <w:t xml:space="preserve">osteriormente, </w:t>
      </w:r>
      <w:r>
        <w:rPr>
          <w:rFonts w:ascii="Arial" w:hAnsi="Arial" w:cs="Arial"/>
          <w:bCs/>
          <w:sz w:val="20"/>
          <w:szCs w:val="20"/>
        </w:rPr>
        <w:t xml:space="preserve">se compararon ensayos en monoterapia </w:t>
      </w:r>
      <w:r w:rsidR="002078B3">
        <w:rPr>
          <w:rFonts w:ascii="Arial" w:hAnsi="Arial" w:cs="Arial"/>
          <w:bCs/>
          <w:sz w:val="20"/>
          <w:szCs w:val="20"/>
        </w:rPr>
        <w:t xml:space="preserve">de tralokinumab, dupilumab y lebrikizumab </w:t>
      </w:r>
      <w:r>
        <w:rPr>
          <w:rFonts w:ascii="Arial" w:hAnsi="Arial" w:cs="Arial"/>
          <w:bCs/>
          <w:sz w:val="20"/>
          <w:szCs w:val="20"/>
        </w:rPr>
        <w:t>para poder extrapolar los resultados y hacer un posicionamiento adecuado.</w:t>
      </w:r>
    </w:p>
    <w:p w14:paraId="3E970C8F" w14:textId="77777777" w:rsidR="00570BA0" w:rsidRDefault="00570BA0" w:rsidP="009505B0">
      <w:pPr>
        <w:jc w:val="both"/>
        <w:rPr>
          <w:rFonts w:ascii="Arial" w:hAnsi="Arial" w:cs="Arial"/>
          <w:bCs/>
          <w:sz w:val="20"/>
          <w:szCs w:val="20"/>
        </w:rPr>
      </w:pPr>
    </w:p>
    <w:p w14:paraId="43C9B0E7" w14:textId="77777777" w:rsidR="009505B0" w:rsidRPr="009505B0" w:rsidRDefault="007919E4" w:rsidP="009505B0">
      <w:pPr>
        <w:jc w:val="both"/>
        <w:rPr>
          <w:rFonts w:ascii="Arial" w:hAnsi="Arial" w:cs="Arial"/>
          <w:bCs/>
          <w:sz w:val="20"/>
          <w:szCs w:val="20"/>
        </w:rPr>
      </w:pPr>
      <w:r w:rsidRPr="007919E4">
        <w:rPr>
          <w:rFonts w:ascii="Arial" w:hAnsi="Arial" w:cs="Arial"/>
          <w:bCs/>
          <w:sz w:val="20"/>
          <w:szCs w:val="20"/>
        </w:rPr>
        <w:t xml:space="preserve">Aunque en los ensayos de nemolizumab el uso de TCS no estaba contemplado como parte del protocolo de tratamiento, sino como terapia de base según necesidad, los pacientes continuaron utilizándolos durante la mayor parte del estudio. Esto se refleja en los resultados del ensayo, donde el número medio de días libres de tratamiento tópico fue limitado en ambos grupos, </w:t>
      </w:r>
      <w:r>
        <w:rPr>
          <w:rFonts w:ascii="Arial" w:hAnsi="Arial" w:cs="Arial"/>
          <w:bCs/>
          <w:sz w:val="20"/>
          <w:szCs w:val="20"/>
        </w:rPr>
        <w:t xml:space="preserve">tal como se muestra en la tabla del material suplementario </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{"citationID":"lKVDKHdY","properties":{"formattedCitation":"(5)","plainCitation":"(5)","noteIndex":0},"citationItems":[{"id":31,"uris":["http://zotero.org/users/18702181/items/7H7KVXVG"],"itemData":{"id":31,"type":"article-journal","container-title":"The Lancet","DOI":"10.1016/S0140-6736(24)01203-0","ISSN":"0140-6736, 1474-547X","issue":"10451","journalAbbreviation":"The Lancet","language":"English","page":"445-460","PMID":"39067461","publisher":"Elsevier","source":"www.thelancet.com","title":"Nemolizumab with concomitant topical therapy in adolescents and adults with moderate-to-severe atopic dermatitis (ARCADIA 1 and ARCADIA 2): results from two replicate, double-blind, randomised controlled phase 3 trials","title-short":"Nemolizumab with concomitant topical therapy in adolescents and adults with moderate-to-severe atopic dermatitis (ARCADIA 1 and ARCADIA 2)","volume":"404","author":[{"family":"Silverberg","given":"Jonathan I."},{"family":"Wollenberg","given":"Andreas"},{"family":"Reich","given":"Adam"},{"family":"Thaçi","given":"Diamant"},{"family":"Legat","given":"Franz J."},{"family":"Papp","given":"Kim A."},{"family":"Gold","given":"Linda Stein"},{"family":"Bouaziz","given":"Jean-David"},{"family":"Pink","given":"Andrew E."},{"family":"Carrascosa","given":"José Manuel"},{"family":"Rewerska","given":"Barbara"},{"family":"Szepietowski","given":"Jacek C."},{"family":"Krasowska","given":"Dorota"},{"family":"Havlíčková","given":"Blanka"},{"family":"Kalowska","given":"Monika"},{"family":"Magnolo","given":"Nina"},{"family":"Pauser","given":"Sylvia"},{"family":"Nami","given":"Navid"},{"family":"Sauder","given":"Maxwell B."},{"family":"Jain","given":"Vipul"},{"family":"Padlewska","given":"Kamila"},{"family":"Cheong","given":"Soo Yeon"},{"family":"Morel","given":"Patricia Fleuranceau"},{"family":"Ulianov","given":"Liliana"},{"family":"Piketty","given":"Christophe"}],"issued":{"date-parts":[["2024",8,3]]}}}],"schema":"https://github.com/citation-style-language/schema/raw/master/csl-citation.json"} </w:instrText>
      </w:r>
      <w:r w:rsidR="00646A51">
        <w:rPr>
          <w:rFonts w:ascii="Arial" w:hAnsi="Arial" w:cs="Arial"/>
          <w:bCs/>
          <w:sz w:val="20"/>
          <w:szCs w:val="20"/>
        </w:rPr>
        <w:fldChar w:fldCharType="separate"/>
      </w:r>
      <w:r w:rsidR="00A24290" w:rsidRPr="00A24290">
        <w:rPr>
          <w:rFonts w:ascii="Arial" w:hAnsi="Arial" w:cs="Arial"/>
          <w:sz w:val="20"/>
        </w:rPr>
        <w:t>(5)</w:t>
      </w:r>
      <w:r w:rsidR="00646A51">
        <w:rPr>
          <w:rFonts w:ascii="Arial" w:hAnsi="Arial" w:cs="Arial"/>
          <w:bCs/>
          <w:sz w:val="20"/>
          <w:szCs w:val="20"/>
        </w:rPr>
        <w:fldChar w:fldCharType="end"/>
      </w:r>
      <w:r w:rsidR="00D31A57">
        <w:rPr>
          <w:rFonts w:ascii="Arial" w:hAnsi="Arial" w:cs="Arial"/>
          <w:bCs/>
          <w:sz w:val="20"/>
          <w:szCs w:val="20"/>
        </w:rPr>
        <w:t>;</w:t>
      </w:r>
      <w:r>
        <w:rPr>
          <w:rFonts w:ascii="Arial" w:hAnsi="Arial" w:cs="Arial"/>
          <w:bCs/>
          <w:sz w:val="20"/>
          <w:szCs w:val="20"/>
        </w:rPr>
        <w:t xml:space="preserve"> aproximadamente un día libre de TCS a la semana</w:t>
      </w:r>
      <w:r w:rsidRPr="007919E4">
        <w:rPr>
          <w:rFonts w:ascii="Arial" w:hAnsi="Arial" w:cs="Arial"/>
          <w:bCs/>
          <w:sz w:val="20"/>
          <w:szCs w:val="20"/>
        </w:rPr>
        <w:t>.</w:t>
      </w:r>
      <w:r w:rsidR="00EC55F4">
        <w:rPr>
          <w:rFonts w:ascii="Arial" w:hAnsi="Arial" w:cs="Arial"/>
          <w:bCs/>
          <w:sz w:val="20"/>
          <w:szCs w:val="20"/>
        </w:rPr>
        <w:t xml:space="preserve"> Al no estar protocolizado y no tener datos sobre los TCS que se utilizaron exactamente ni con </w:t>
      </w:r>
      <w:r w:rsidR="00570BA0">
        <w:rPr>
          <w:rFonts w:ascii="Arial" w:hAnsi="Arial" w:cs="Arial"/>
          <w:bCs/>
          <w:sz w:val="20"/>
          <w:szCs w:val="20"/>
        </w:rPr>
        <w:t>qué</w:t>
      </w:r>
      <w:r w:rsidR="00EC55F4">
        <w:rPr>
          <w:rFonts w:ascii="Arial" w:hAnsi="Arial" w:cs="Arial"/>
          <w:bCs/>
          <w:sz w:val="20"/>
          <w:szCs w:val="20"/>
        </w:rPr>
        <w:t xml:space="preserve"> frecuencia, esto puede ser una limitación a la hora de compararlo con otros ensayos. </w:t>
      </w:r>
    </w:p>
    <w:p w14:paraId="2B94576D" w14:textId="77777777" w:rsidR="00BC3E8E" w:rsidRPr="00F978E8" w:rsidRDefault="00BC3E8E" w:rsidP="00755FC3">
      <w:pPr>
        <w:rPr>
          <w:lang w:val="es-ES_tradnl"/>
        </w:rPr>
      </w:pPr>
    </w:p>
    <w:p w14:paraId="74EAAB57" w14:textId="77777777" w:rsidR="00BC3E8E" w:rsidRPr="00F978E8" w:rsidRDefault="00BC3E8E" w:rsidP="00BC3E8E">
      <w:pPr>
        <w:jc w:val="both"/>
        <w:rPr>
          <w:rFonts w:ascii="Arial" w:hAnsi="Arial" w:cs="Arial"/>
          <w:b/>
          <w:color w:val="0000FF"/>
          <w:sz w:val="20"/>
          <w:szCs w:val="20"/>
          <w:lang w:val="es-ES_tradnl"/>
        </w:rPr>
      </w:pPr>
    </w:p>
    <w:p w14:paraId="69BC1207" w14:textId="77777777" w:rsidR="00BC3E8E" w:rsidRPr="00F978E8"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bCs/>
          <w:sz w:val="20"/>
        </w:rPr>
      </w:pPr>
      <w:bookmarkStart w:id="74" w:name="_Toc344399642"/>
      <w:bookmarkStart w:id="75" w:name="_Toc348931369"/>
      <w:bookmarkStart w:id="76" w:name="_Toc216191092"/>
      <w:r w:rsidRPr="002179C2">
        <w:rPr>
          <w:bCs/>
          <w:sz w:val="20"/>
        </w:rPr>
        <w:t xml:space="preserve">C.3 Alternativas terapéuticas </w:t>
      </w:r>
      <w:bookmarkEnd w:id="74"/>
      <w:bookmarkEnd w:id="75"/>
      <w:r w:rsidR="00614F01">
        <w:rPr>
          <w:bCs/>
          <w:sz w:val="20"/>
        </w:rPr>
        <w:t>de similar beneficio clínico</w:t>
      </w:r>
      <w:bookmarkEnd w:id="76"/>
    </w:p>
    <w:p w14:paraId="6F0C8642" w14:textId="77777777" w:rsidR="00BC3E8E" w:rsidRPr="00755FC3" w:rsidRDefault="00BC3E8E" w:rsidP="00755FC3">
      <w:pPr>
        <w:pStyle w:val="Textoindependiente3"/>
        <w:jc w:val="both"/>
        <w:rPr>
          <w:color w:val="000080"/>
          <w:sz w:val="20"/>
          <w:lang w:val="es-ES_tradnl"/>
        </w:rPr>
      </w:pPr>
    </w:p>
    <w:p w14:paraId="4E878B82" w14:textId="77777777" w:rsidR="002C1237" w:rsidRPr="002C1237" w:rsidRDefault="002C1237" w:rsidP="002C1237">
      <w:pPr>
        <w:jc w:val="both"/>
        <w:rPr>
          <w:rFonts w:ascii="Arial" w:hAnsi="Arial" w:cs="Arial"/>
          <w:sz w:val="20"/>
          <w:szCs w:val="20"/>
        </w:rPr>
      </w:pPr>
      <w:r w:rsidRPr="002C1237">
        <w:rPr>
          <w:rFonts w:ascii="Arial" w:hAnsi="Arial" w:cs="Arial"/>
          <w:sz w:val="20"/>
          <w:szCs w:val="20"/>
        </w:rPr>
        <w:t xml:space="preserve">Para valorar </w:t>
      </w:r>
      <w:r w:rsidR="007F4DF6">
        <w:rPr>
          <w:rFonts w:ascii="Arial" w:hAnsi="Arial" w:cs="Arial"/>
          <w:sz w:val="20"/>
          <w:szCs w:val="20"/>
        </w:rPr>
        <w:t>qu</w:t>
      </w:r>
      <w:r w:rsidR="000E2F26">
        <w:rPr>
          <w:rFonts w:ascii="Arial" w:hAnsi="Arial" w:cs="Arial"/>
          <w:sz w:val="20"/>
          <w:szCs w:val="20"/>
        </w:rPr>
        <w:t>é</w:t>
      </w:r>
      <w:r w:rsidR="007F4DF6">
        <w:rPr>
          <w:rFonts w:ascii="Arial" w:hAnsi="Arial" w:cs="Arial"/>
          <w:sz w:val="20"/>
          <w:szCs w:val="20"/>
        </w:rPr>
        <w:t xml:space="preserve"> fármacos podrían ser alternativas</w:t>
      </w:r>
      <w:r w:rsidR="00642851">
        <w:rPr>
          <w:rFonts w:ascii="Arial" w:hAnsi="Arial" w:cs="Arial"/>
          <w:sz w:val="20"/>
          <w:szCs w:val="20"/>
        </w:rPr>
        <w:t xml:space="preserve"> terapéuticas</w:t>
      </w:r>
      <w:r w:rsidR="007F4DF6">
        <w:rPr>
          <w:rFonts w:ascii="Arial" w:hAnsi="Arial" w:cs="Arial"/>
          <w:sz w:val="20"/>
          <w:szCs w:val="20"/>
        </w:rPr>
        <w:t xml:space="preserve"> de similar beneficio clínico (ATSBC)</w:t>
      </w:r>
      <w:r w:rsidR="00511A83">
        <w:rPr>
          <w:rFonts w:ascii="Arial" w:hAnsi="Arial" w:cs="Arial"/>
          <w:sz w:val="20"/>
          <w:szCs w:val="20"/>
        </w:rPr>
        <w:t xml:space="preserve"> </w:t>
      </w:r>
      <w:r w:rsidR="00646A51" w:rsidRPr="00412973">
        <w:rPr>
          <w:rFonts w:ascii="Arial" w:hAnsi="Arial" w:cs="Arial"/>
          <w:sz w:val="20"/>
          <w:szCs w:val="20"/>
          <w:vertAlign w:val="superscript"/>
        </w:rPr>
        <w:fldChar w:fldCharType="begin"/>
      </w:r>
      <w:r w:rsidR="00646A51" w:rsidRPr="00412973">
        <w:rPr>
          <w:rFonts w:ascii="Arial" w:hAnsi="Arial" w:cs="Arial"/>
          <w:sz w:val="20"/>
          <w:szCs w:val="20"/>
          <w:vertAlign w:val="superscript"/>
        </w:rPr>
        <w:instrText xml:space="preserve"> ADDIN ZOTERO_ITEM CSL_CITATION {"citationID":"nTfzqeDg","properties":{"formattedCitation":"(20)","plainCitation":"(20)","noteIndex":0},"citationItems":[{"id":233,"uris":["http://zotero.org/users/18702181/items/ZLP43CNP"],"itemData":{"id":233,"type":"document","title":"Recomendaciones sobre los criterios y procedimientos para orientar la fijación de precios y la inclusión y exclusión, a la entrada en el mercado o con posterioridad, de un medicamento en la coebrtura pública.","author":[{"family":"Comité Asesor para la Financiación de la Prestación Farmacéutica del SNS","given":""}],"issued":{"date-parts":[["2022"]]}}}],"schema":"https://github.com/citation-style-language/schema/raw/master/csl-citation.json"} </w:instrText>
      </w:r>
      <w:r w:rsidR="00646A51" w:rsidRPr="00412973">
        <w:rPr>
          <w:rFonts w:ascii="Arial" w:hAnsi="Arial" w:cs="Arial"/>
          <w:sz w:val="20"/>
          <w:szCs w:val="20"/>
          <w:vertAlign w:val="superscript"/>
        </w:rPr>
        <w:fldChar w:fldCharType="separate"/>
      </w:r>
      <w:r w:rsidR="00646A51" w:rsidRPr="00412973">
        <w:rPr>
          <w:rFonts w:ascii="Arial" w:hAnsi="Arial" w:cs="Arial"/>
          <w:sz w:val="20"/>
        </w:rPr>
        <w:t>(20)</w:t>
      </w:r>
      <w:r w:rsidR="00646A51" w:rsidRPr="00412973">
        <w:rPr>
          <w:rFonts w:ascii="Arial" w:hAnsi="Arial" w:cs="Arial"/>
          <w:sz w:val="20"/>
          <w:szCs w:val="20"/>
          <w:vertAlign w:val="superscript"/>
        </w:rPr>
        <w:fldChar w:fldCharType="end"/>
      </w:r>
      <w:r w:rsidRPr="002C1237">
        <w:rPr>
          <w:rFonts w:ascii="Arial" w:hAnsi="Arial" w:cs="Arial"/>
          <w:sz w:val="20"/>
          <w:szCs w:val="20"/>
        </w:rPr>
        <w:t xml:space="preserve">, y dado que no existe un ensayo previo de no inferioridad con las mismas variables primarias que el presente estudio, se ha seleccionado como referencia </w:t>
      </w:r>
      <w:r w:rsidR="000E2F26">
        <w:rPr>
          <w:rFonts w:ascii="Arial" w:hAnsi="Arial" w:cs="Arial"/>
          <w:sz w:val="20"/>
          <w:szCs w:val="20"/>
        </w:rPr>
        <w:t>para seleccionar el valor umbrar de relevancia clínica (</w:t>
      </w:r>
      <w:r w:rsidR="000E2F26">
        <w:rPr>
          <w:rFonts w:ascii="Calibri" w:hAnsi="Calibri" w:cs="Calibri"/>
          <w:sz w:val="20"/>
          <w:szCs w:val="20"/>
        </w:rPr>
        <w:t xml:space="preserve">∆) </w:t>
      </w:r>
      <w:r w:rsidR="000E2F26">
        <w:rPr>
          <w:rFonts w:ascii="Arial" w:hAnsi="Arial" w:cs="Arial"/>
          <w:sz w:val="20"/>
          <w:szCs w:val="20"/>
        </w:rPr>
        <w:t>un</w:t>
      </w:r>
      <w:r w:rsidRPr="002C1237">
        <w:rPr>
          <w:rFonts w:ascii="Arial" w:hAnsi="Arial" w:cs="Arial"/>
          <w:sz w:val="20"/>
          <w:szCs w:val="20"/>
        </w:rPr>
        <w:t xml:space="preserve"> ensayo de no inferioridad entre abrocitinib y dupilumab</w:t>
      </w:r>
      <w:r w:rsidR="000E2F26">
        <w:rPr>
          <w:rFonts w:ascii="Arial" w:hAnsi="Arial" w:cs="Arial"/>
          <w:sz w:val="20"/>
          <w:szCs w:val="20"/>
        </w:rPr>
        <w:t>, como es el</w:t>
      </w:r>
      <w:r w:rsidRPr="002C1237">
        <w:rPr>
          <w:rFonts w:ascii="Arial" w:hAnsi="Arial" w:cs="Arial"/>
          <w:sz w:val="20"/>
          <w:szCs w:val="20"/>
        </w:rPr>
        <w:t xml:space="preserve"> </w:t>
      </w:r>
      <w:r w:rsidR="000E2F26">
        <w:rPr>
          <w:rFonts w:ascii="Arial" w:hAnsi="Arial" w:cs="Arial"/>
          <w:sz w:val="20"/>
          <w:szCs w:val="20"/>
        </w:rPr>
        <w:t>realizado</w:t>
      </w:r>
      <w:r w:rsidRPr="002C1237">
        <w:rPr>
          <w:rFonts w:ascii="Arial" w:hAnsi="Arial" w:cs="Arial"/>
          <w:sz w:val="20"/>
          <w:szCs w:val="20"/>
        </w:rPr>
        <w:t xml:space="preserve"> por Reich et al. (Lancet, 2022)</w:t>
      </w:r>
      <w:r w:rsidR="002179C2">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{"citationID":"M3qVDFF9","properties":{"formattedCitation":"(16)","plainCitation":"(16)","noteIndex":0},"citationItems":[{"id":62,"uris":["http://zotero.org/users/18702181/items/FZSCDYKW"],"itemData":{"id":62,"type":"article-journal","abstract":"BACKGROUND: Phase 3 trials have assessed efficacy of abrocitinib versus placebo in moderate-to-severe atopic dermatitis, a common immunoinflammatory skin disease. This study assessed the efficacy and safety of abrocitinib versus dupilumab.\nMETHODS: This randomised, double-blind, double-dummy, active-controlled, parallel-treatment, phase 3 trial enrolled adults with moderate-to-severe atopic dermatitis who requir=ed systemic therapy or had inadequate response to topical medications. Participants were enrolled from 151 sites, located in Australia, Bulgaria, Canada, Chile, Finland, Germany, Hungary, Italy, Latvia, Poland, Slovakia, South Korea, Spain, Taiwan, and the USA. These participants were then randomly assigned (1:1) with block randomisation to receive oral abrocitinib (200 mg per day) or subcutaneous dupilumab (300 mg every 2 weeks) for 26 weeks. Participants were required to apply topical corticosteroids (medium or low potency), topical calcineurin inhibitors, or a topical phosphodiesterase 4 inhibitor to active lesion areas. Primary endpoints were response based on achieving a 4 point or higher improvement in Peak Pruritus Numerical Rating Scale (PP-NRS4) at week 2 and a 90% or better improvement in Eczema Area and Severity Index (EASI-90) at week 4. Family-wise type 1 error was controlled via a sequential multiple-testing procedure (two sided, α=0·05). Randomly assigned participants who received at least one dose of study intervention were included in the efficacy and safety analysis sets. This trial was completed on July 13, 2021 (NCT04345367).\nFINDINGS: Between June 11, 2020, and Dec 16, 2020, 940 patients were screened and 727 were enrolled (362 in the abrocitinib group and 365 in the dupilumab group). Compared with dupilumab, a larger proportion of patients treated with abrocitinib reached the primary outcomes, PP-NRS4 at week 2 (172 [48%] of 357, 95% CI 43·0-53·4 vs 93 [26%] of 364, 21·1-30·0; difference 22·6%, 15·8-29·5; p&lt;0·0001), and EASI-90 at week 4 (101 [29%] of 354, 23·8-33·2 vs 53 [15%] of 364, 10·9-18·2; difference 14·1%, 8·2-20·0; p&lt;0·0001). Treatment-emergent adverse events were reported by 268 (74%) of 362 patients treated with abrocitinib and by 239 (65%) of 365 patients treated with dupilumab. Two non-treatment-related deaths occurred in the abrocitinib group.\nINTERPRETATION: Abrocitinib 200 mg per day was more efficacious than dupilumab in adults with moderate-to-severe atopic dermatitis on background topical therapy in inducing early reductions of itch and atopic dermatitis disease signs. Both treatments were well tolerated over 26 weeks.\nFUNDING: Pfizer.","container-title":"Lancet (London, England)","DOI":"10.1016/S0140-6736(22)01199-0","ISSN":"1474-547X","issue":"10348","journalAbbreviation":"Lancet","language":"eng","page":"273-282","PMID":"35871814","source":"PubMed","title":"Efficacy and safety of abrocitinib versus dupilumab in adults with moderate-to-severe atopic dermatitis: a randomised, double-blind, multicentre phase 3 trial","title-short":"Efficacy and safety of abrocitinib versus dupilumab in adults with moderate-to-severe atopic dermatitis","volume":"400","author":[{"family":"Reich","given":"Kristian"},{"family":"Thyssen","given":"Jacob P."},{"family":"Blauvelt","given":"Andrew"},{"family":"Eyerich","given":"Kilian"},{"family":"Soong","given":"Weily"},{"family":"Rice","given":"Zakiya P."},{"family":"Hong","given":"H. Chih-Ho"},{"family":"Katoh","given":"Norito"},{"family":"Valenzuela","given":"Fernando"},{"family":"DiBonaventura","given":"Marco"},{"family":"Bratt","given":"Tamara A."},{"family":"Zhang","given":"Fan"},{"family":"Clibborn","given":"Claire"},{"family":"Rojo","given":"Ricardo"},{"family":"Valdez","given":"Hernan"},{"family":"Kerkmann","given":"Urs"}],"issued":{"date-parts":[["2022",7,23]]}}}],"schema":"https://github.com/citation-style-language/schema/raw/master/csl-citation.json"} </w:instrText>
      </w:r>
      <w:r w:rsidR="00646A51">
        <w:rPr>
          <w:rFonts w:ascii="Arial" w:hAnsi="Arial" w:cs="Arial"/>
          <w:sz w:val="20"/>
          <w:szCs w:val="20"/>
        </w:rPr>
        <w:fldChar w:fldCharType="separate"/>
      </w:r>
      <w:r w:rsidR="00AB2E8A" w:rsidRPr="00AB2E8A">
        <w:rPr>
          <w:rFonts w:ascii="Arial" w:hAnsi="Arial" w:cs="Arial"/>
          <w:sz w:val="20"/>
        </w:rPr>
        <w:t>(16)</w:t>
      </w:r>
      <w:r w:rsidR="00646A51">
        <w:rPr>
          <w:rFonts w:ascii="Arial" w:hAnsi="Arial" w:cs="Arial"/>
          <w:sz w:val="20"/>
          <w:szCs w:val="20"/>
        </w:rPr>
        <w:fldChar w:fldCharType="end"/>
      </w:r>
      <w:r w:rsidR="000E2F26">
        <w:rPr>
          <w:rFonts w:ascii="Arial" w:hAnsi="Arial" w:cs="Arial"/>
          <w:sz w:val="20"/>
          <w:szCs w:val="20"/>
        </w:rPr>
        <w:t>.</w:t>
      </w:r>
      <w:r w:rsidRPr="002C1237">
        <w:rPr>
          <w:rFonts w:ascii="Arial" w:hAnsi="Arial" w:cs="Arial"/>
          <w:sz w:val="20"/>
          <w:szCs w:val="20"/>
        </w:rPr>
        <w:t xml:space="preserve"> </w:t>
      </w:r>
      <w:r w:rsidR="000E2F26">
        <w:rPr>
          <w:rFonts w:ascii="Arial" w:hAnsi="Arial" w:cs="Arial"/>
          <w:sz w:val="20"/>
          <w:szCs w:val="20"/>
        </w:rPr>
        <w:t>En este</w:t>
      </w:r>
      <w:r w:rsidRPr="002C1237">
        <w:rPr>
          <w:rFonts w:ascii="Arial" w:hAnsi="Arial" w:cs="Arial"/>
          <w:sz w:val="20"/>
          <w:szCs w:val="20"/>
        </w:rPr>
        <w:t xml:space="preserve"> se emplea un margen </w:t>
      </w:r>
      <w:r w:rsidR="00B80865">
        <w:rPr>
          <w:rFonts w:ascii="Calibri" w:hAnsi="Calibri" w:cs="Calibri"/>
          <w:sz w:val="20"/>
          <w:szCs w:val="20"/>
        </w:rPr>
        <w:t>∆</w:t>
      </w:r>
      <w:r w:rsidRPr="002C1237">
        <w:rPr>
          <w:rFonts w:ascii="Arial" w:hAnsi="Arial" w:cs="Arial"/>
          <w:sz w:val="20"/>
          <w:szCs w:val="20"/>
        </w:rPr>
        <w:t xml:space="preserve"> del 10 % para </w:t>
      </w:r>
      <w:r w:rsidR="00642851">
        <w:rPr>
          <w:rFonts w:ascii="Arial" w:hAnsi="Arial" w:cs="Arial"/>
          <w:sz w:val="20"/>
          <w:szCs w:val="20"/>
        </w:rPr>
        <w:t>la variable</w:t>
      </w:r>
      <w:r w:rsidRPr="002C1237">
        <w:rPr>
          <w:rFonts w:ascii="Arial" w:hAnsi="Arial" w:cs="Arial"/>
          <w:sz w:val="20"/>
          <w:szCs w:val="20"/>
        </w:rPr>
        <w:t xml:space="preserve"> EASI-90. En nuestro </w:t>
      </w:r>
      <w:r w:rsidR="00CC110F">
        <w:rPr>
          <w:rFonts w:ascii="Arial" w:hAnsi="Arial" w:cs="Arial"/>
          <w:sz w:val="20"/>
          <w:szCs w:val="20"/>
        </w:rPr>
        <w:t>informe</w:t>
      </w:r>
      <w:r w:rsidRPr="002C1237">
        <w:rPr>
          <w:rFonts w:ascii="Arial" w:hAnsi="Arial" w:cs="Arial"/>
          <w:sz w:val="20"/>
          <w:szCs w:val="20"/>
        </w:rPr>
        <w:t>, decidimos extrapolar dicho margen del 10% al EASI-75</w:t>
      </w:r>
      <w:r w:rsidR="000E2F26">
        <w:rPr>
          <w:rFonts w:ascii="Arial" w:hAnsi="Arial" w:cs="Arial"/>
          <w:sz w:val="20"/>
          <w:szCs w:val="20"/>
        </w:rPr>
        <w:t>,</w:t>
      </w:r>
      <w:r w:rsidR="00D31A57">
        <w:rPr>
          <w:rFonts w:ascii="Arial" w:hAnsi="Arial" w:cs="Arial"/>
          <w:sz w:val="20"/>
          <w:szCs w:val="20"/>
        </w:rPr>
        <w:t xml:space="preserve"> igual que se realizó en la comparación indirecta de tralokinumab frente a dupilumab realizada por </w:t>
      </w:r>
      <w:r w:rsidR="00D31A57" w:rsidRPr="00D31A57">
        <w:rPr>
          <w:rFonts w:ascii="Arial" w:hAnsi="Arial" w:cs="Arial"/>
          <w:sz w:val="20"/>
          <w:szCs w:val="20"/>
        </w:rPr>
        <w:t>Taekyung Kim</w:t>
      </w:r>
      <w:r w:rsidR="00D31A57">
        <w:rPr>
          <w:rFonts w:ascii="Arial" w:hAnsi="Arial" w:cs="Arial"/>
          <w:sz w:val="20"/>
          <w:szCs w:val="20"/>
        </w:rPr>
        <w:t xml:space="preserve">et et al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{"citationID":"w57syjCh","properties":{"formattedCitation":"(21)","plainCitation":"(21)","noteIndex":0},"citationItems":[{"id":72,"uris":["http://zotero.org/users/18702181/items/NWCE2SZF"],"itemData":{"id":72,"type":"article-journal","abstract":"Objective: Atopic dermatitis (AD) is a chronic, recurrent inflammatory skin disease. Both tralokinumab and dupilumab have been recommended in the European Guideline for the treatment of adult patients with severe AD. In Korea, dupilumab has been approved for patients with moderate to severe AD, and reimbursed for those with severe AD. Since there is no clinical trial directly comparing tralokinumab and dupilumab, we conducted indirect comparison to assess the clinical usefulness in patients with AD. Methods: We selected clinical trials for indirect comparison through a systematic literature review. Individual patient data were available for the tralokinumab clinical trial, and aggregated data were available for the dupilumab clinical trial. Therefore, we employed the Matching-Adjusted Indirect Comparison (MAIC) method. The treatment efficacy was assessed based on whether patients achieved a 75% reduction on the Eczema Area and Severity Index (EASI 75) after drug administration. Results: The difference in the proportion of patients achieving EASI 75 between tralokinumab and dupilumab was 4.7% (95% CI: -7.9 to 17.3). Considering the non-inferiority margin for the EASI 75 achievement rate is -10%, tralokinumab is deemed non-inferior to dupilumab as the lower bound of the CI for the difference in the EASI 75 achievement rate between tralokinumab and dupilumab was within -10%. Conclusion: We conducted a MAIC analysis comparing tralokinumab and dupilumab based on EASI 75 achievement. The findings of this study show that tralokinumab is non-inferior to dupilumab and can be implemented in Korean clinical settings with a therapeutic position comparable to dupilumab.","container-title":"Korean Journal of Clinical Pharmacy","DOI":"10.24304/kjcp.2023.33.3.178","ISSN":"1226-6051","issue":"3","language":"kor","page":"178-185","publisher":"Korean College Of Clinical Pharmacy","source":"www.koreascience.kr","title":"Matching-adjusted Indirect Comparison (MAIC) of Tralokinumab Versus Dupilumab for the Treatment of Moderate to Severe Adult Atopic Dermatitis","volume":"33","author":[{"family":"Kim","given":"Taekyung"},{"family":"Shin","given":"Keun Soo"},{"family":"Kim","given":"Hyojin"},{"family":"Kim","given":"Eugene"},{"family":"Choi","given":"Leejung"},{"family":"Lee","given":"Dong Hun"}],"issued":{"date-parts":[["2023"]]}}}],"schema":"https://github.com/citation-style-language/schema/raw/master/csl-citation.json"} </w:instrText>
      </w:r>
      <w:r w:rsidR="00646A51">
        <w:rPr>
          <w:rFonts w:ascii="Arial" w:hAnsi="Arial" w:cs="Arial"/>
          <w:sz w:val="20"/>
          <w:szCs w:val="20"/>
        </w:rPr>
        <w:fldChar w:fldCharType="separate"/>
      </w:r>
      <w:r w:rsidR="00511A83" w:rsidRPr="00511A83">
        <w:rPr>
          <w:rFonts w:ascii="Arial" w:hAnsi="Arial" w:cs="Arial"/>
          <w:sz w:val="20"/>
        </w:rPr>
        <w:t>(21)</w:t>
      </w:r>
      <w:r w:rsidR="00646A51">
        <w:rPr>
          <w:rFonts w:ascii="Arial" w:hAnsi="Arial" w:cs="Arial"/>
          <w:sz w:val="20"/>
          <w:szCs w:val="20"/>
        </w:rPr>
        <w:fldChar w:fldCharType="end"/>
      </w:r>
      <w:r w:rsidRPr="002C1237">
        <w:rPr>
          <w:rFonts w:ascii="Arial" w:hAnsi="Arial" w:cs="Arial"/>
          <w:sz w:val="20"/>
          <w:szCs w:val="20"/>
        </w:rPr>
        <w:t>.</w:t>
      </w:r>
    </w:p>
    <w:p w14:paraId="40FFEC0B" w14:textId="77777777" w:rsidR="002C1237" w:rsidRPr="002C1237" w:rsidRDefault="002C1237" w:rsidP="002C1237">
      <w:pPr>
        <w:jc w:val="both"/>
        <w:rPr>
          <w:rFonts w:ascii="Arial" w:hAnsi="Arial" w:cs="Arial"/>
          <w:sz w:val="20"/>
          <w:szCs w:val="20"/>
        </w:rPr>
      </w:pPr>
    </w:p>
    <w:p w14:paraId="350F3877" w14:textId="77777777" w:rsidR="00BC3E8E" w:rsidRDefault="002C1237" w:rsidP="002C1237">
      <w:pPr>
        <w:jc w:val="both"/>
        <w:rPr>
          <w:rFonts w:ascii="Arial" w:hAnsi="Arial" w:cs="Arial"/>
          <w:sz w:val="20"/>
          <w:szCs w:val="20"/>
        </w:rPr>
      </w:pPr>
      <w:r w:rsidRPr="002C1237">
        <w:rPr>
          <w:rFonts w:ascii="Arial" w:hAnsi="Arial" w:cs="Arial"/>
          <w:sz w:val="20"/>
          <w:szCs w:val="20"/>
        </w:rPr>
        <w:t>Adicionalmente, considerando que las diferencias esperadas entre los tratamientos en las demás variables de eficacia (IGA</w:t>
      </w:r>
      <w:r w:rsidR="00823EF1">
        <w:rPr>
          <w:rFonts w:ascii="Arial" w:hAnsi="Arial" w:cs="Arial"/>
          <w:sz w:val="20"/>
          <w:szCs w:val="20"/>
        </w:rPr>
        <w:t xml:space="preserve"> y </w:t>
      </w:r>
      <w:r w:rsidRPr="002C1237">
        <w:rPr>
          <w:rFonts w:ascii="Arial" w:hAnsi="Arial" w:cs="Arial"/>
          <w:sz w:val="20"/>
          <w:szCs w:val="20"/>
        </w:rPr>
        <w:t>reducción de prurito</w:t>
      </w:r>
      <w:r w:rsidR="00823EF1">
        <w:rPr>
          <w:rFonts w:ascii="Arial" w:hAnsi="Arial" w:cs="Arial"/>
          <w:sz w:val="20"/>
          <w:szCs w:val="20"/>
        </w:rPr>
        <w:t xml:space="preserve"> (PP-NRS≥4</w:t>
      </w:r>
      <w:r w:rsidRPr="002C1237">
        <w:rPr>
          <w:rFonts w:ascii="Arial" w:hAnsi="Arial" w:cs="Arial"/>
          <w:sz w:val="20"/>
          <w:szCs w:val="20"/>
        </w:rPr>
        <w:t xml:space="preserve">) no son sustancialmente distintas, se ha establecido también un </w:t>
      </w:r>
      <w:r w:rsidR="00823EF1">
        <w:rPr>
          <w:rFonts w:ascii="Calibri" w:hAnsi="Calibri" w:cs="Calibri"/>
          <w:b/>
          <w:bCs/>
          <w:sz w:val="20"/>
          <w:szCs w:val="20"/>
        </w:rPr>
        <w:t>∆</w:t>
      </w:r>
      <w:r w:rsidR="00823EF1">
        <w:rPr>
          <w:rFonts w:ascii="Arial" w:hAnsi="Arial" w:cs="Arial"/>
          <w:b/>
          <w:bCs/>
          <w:sz w:val="20"/>
          <w:szCs w:val="20"/>
        </w:rPr>
        <w:t xml:space="preserve"> </w:t>
      </w:r>
      <w:r w:rsidRPr="002C1237">
        <w:rPr>
          <w:rFonts w:ascii="Arial" w:hAnsi="Arial" w:cs="Arial"/>
          <w:b/>
          <w:bCs/>
          <w:sz w:val="20"/>
          <w:szCs w:val="20"/>
        </w:rPr>
        <w:t xml:space="preserve">del 10 % </w:t>
      </w:r>
      <w:r w:rsidRPr="002C1237">
        <w:rPr>
          <w:rFonts w:ascii="Arial" w:hAnsi="Arial" w:cs="Arial"/>
          <w:sz w:val="20"/>
          <w:szCs w:val="20"/>
        </w:rPr>
        <w:t>como referencia para todas las variables secundarias del estudio.</w:t>
      </w:r>
    </w:p>
    <w:p w14:paraId="23F5F83C" w14:textId="77777777" w:rsidR="00406E5B" w:rsidRDefault="00406E5B" w:rsidP="002C1237">
      <w:pPr>
        <w:jc w:val="both"/>
        <w:rPr>
          <w:rFonts w:ascii="Arial" w:hAnsi="Arial" w:cs="Arial"/>
          <w:sz w:val="20"/>
          <w:szCs w:val="20"/>
        </w:rPr>
      </w:pPr>
    </w:p>
    <w:p w14:paraId="2E40E8D2" w14:textId="77777777" w:rsidR="00406E5B" w:rsidRPr="00406E5B" w:rsidRDefault="00CC110F" w:rsidP="00406E5B">
      <w:pPr>
        <w:jc w:val="both"/>
        <w:rPr>
          <w:rFonts w:ascii="Arial" w:hAnsi="Arial" w:cs="Arial"/>
          <w:sz w:val="20"/>
          <w:szCs w:val="20"/>
        </w:rPr>
      </w:pPr>
      <w:r>
        <w:rPr>
          <w:rFonts w:ascii="Arial" w:hAnsi="Arial" w:cs="Arial"/>
          <w:sz w:val="20"/>
          <w:szCs w:val="20"/>
        </w:rPr>
        <w:t xml:space="preserve">Tras realizar una búsqueda bibliográfica no hemos encontrado publicadas CI </w:t>
      </w:r>
      <w:r w:rsidR="00406E5B" w:rsidRPr="00406E5B">
        <w:rPr>
          <w:rFonts w:ascii="Arial" w:hAnsi="Arial" w:cs="Arial"/>
          <w:sz w:val="20"/>
          <w:szCs w:val="20"/>
        </w:rPr>
        <w:t xml:space="preserve">que incluyan este fármaco, </w:t>
      </w:r>
      <w:r>
        <w:rPr>
          <w:rFonts w:ascii="Arial" w:hAnsi="Arial" w:cs="Arial"/>
          <w:sz w:val="20"/>
          <w:szCs w:val="20"/>
        </w:rPr>
        <w:t xml:space="preserve">considerando los ensayos pivótales fase 3, únicamente se han encontrado datos en los que se contrastaban los resultados de ensayos fase 2b y que por tanto han sido descartados. Por este motivo, </w:t>
      </w:r>
      <w:r w:rsidR="00406E5B" w:rsidRPr="00406E5B">
        <w:rPr>
          <w:rFonts w:ascii="Arial" w:hAnsi="Arial" w:cs="Arial"/>
          <w:sz w:val="20"/>
          <w:szCs w:val="20"/>
        </w:rPr>
        <w:t xml:space="preserve">se han llevado a cabo </w:t>
      </w:r>
      <w:r w:rsidR="00406E5B">
        <w:rPr>
          <w:rFonts w:ascii="Arial" w:hAnsi="Arial" w:cs="Arial"/>
          <w:sz w:val="20"/>
          <w:szCs w:val="20"/>
        </w:rPr>
        <w:t xml:space="preserve">CI </w:t>
      </w:r>
      <w:r w:rsidR="00406E5B" w:rsidRPr="00406E5B">
        <w:rPr>
          <w:rFonts w:ascii="Arial" w:hAnsi="Arial" w:cs="Arial"/>
          <w:sz w:val="20"/>
          <w:szCs w:val="20"/>
        </w:rPr>
        <w:t>ajustadas de elaboración propia</w:t>
      </w:r>
      <w:r>
        <w:rPr>
          <w:rFonts w:ascii="Arial" w:hAnsi="Arial" w:cs="Arial"/>
          <w:sz w:val="20"/>
          <w:szCs w:val="20"/>
        </w:rPr>
        <w:t xml:space="preserve"> cuyos resultados se resumen en el aparatado 5.3b. </w:t>
      </w:r>
    </w:p>
    <w:p w14:paraId="0B307DA9" w14:textId="77777777" w:rsidR="00406E5B" w:rsidRPr="00406E5B" w:rsidRDefault="00406E5B" w:rsidP="00406E5B">
      <w:pPr>
        <w:jc w:val="both"/>
        <w:rPr>
          <w:rFonts w:ascii="Arial" w:hAnsi="Arial" w:cs="Arial"/>
          <w:sz w:val="20"/>
          <w:szCs w:val="20"/>
        </w:rPr>
      </w:pPr>
    </w:p>
    <w:p w14:paraId="5E5166CD" w14:textId="77777777" w:rsidR="00406E5B" w:rsidRDefault="00406E5B" w:rsidP="00406E5B">
      <w:pPr>
        <w:jc w:val="both"/>
        <w:rPr>
          <w:rFonts w:ascii="Arial" w:hAnsi="Arial" w:cs="Arial"/>
          <w:sz w:val="20"/>
          <w:szCs w:val="20"/>
        </w:rPr>
      </w:pPr>
      <w:r w:rsidRPr="00406E5B">
        <w:rPr>
          <w:rFonts w:ascii="Arial" w:hAnsi="Arial" w:cs="Arial"/>
          <w:sz w:val="20"/>
          <w:szCs w:val="20"/>
        </w:rPr>
        <w:t xml:space="preserve">Las </w:t>
      </w:r>
      <w:r>
        <w:rPr>
          <w:rFonts w:ascii="Arial" w:hAnsi="Arial" w:cs="Arial"/>
          <w:sz w:val="20"/>
          <w:szCs w:val="20"/>
        </w:rPr>
        <w:t xml:space="preserve">CI </w:t>
      </w:r>
      <w:r w:rsidRPr="00406E5B">
        <w:rPr>
          <w:rFonts w:ascii="Arial" w:hAnsi="Arial" w:cs="Arial"/>
          <w:sz w:val="20"/>
          <w:szCs w:val="20"/>
        </w:rPr>
        <w:t>se han realizado frente a dupilumab, considerado el tratamiento de referencia por su perfil de eficacia y seguridad.</w:t>
      </w:r>
    </w:p>
    <w:p w14:paraId="73E1BF54" w14:textId="77777777" w:rsidR="0074103D" w:rsidRDefault="0074103D" w:rsidP="002C1237">
      <w:pPr>
        <w:jc w:val="both"/>
        <w:rPr>
          <w:rFonts w:ascii="Arial" w:hAnsi="Arial" w:cs="Arial"/>
          <w:sz w:val="20"/>
          <w:szCs w:val="20"/>
        </w:rPr>
      </w:pPr>
    </w:p>
    <w:p w14:paraId="3675F932" w14:textId="77777777" w:rsidR="00406E5B" w:rsidRDefault="0074103D" w:rsidP="002C1237">
      <w:pPr>
        <w:jc w:val="both"/>
        <w:rPr>
          <w:rFonts w:ascii="Arial" w:hAnsi="Arial" w:cs="Arial"/>
          <w:color w:val="000000"/>
          <w:sz w:val="20"/>
          <w:szCs w:val="20"/>
        </w:rPr>
      </w:pPr>
      <w:r>
        <w:rPr>
          <w:rFonts w:ascii="Arial" w:hAnsi="Arial" w:cs="Arial"/>
          <w:color w:val="000000"/>
          <w:sz w:val="20"/>
          <w:szCs w:val="20"/>
        </w:rPr>
        <w:t xml:space="preserve">En primer </w:t>
      </w:r>
      <w:r w:rsidR="00D31A57">
        <w:rPr>
          <w:rFonts w:ascii="Arial" w:hAnsi="Arial" w:cs="Arial"/>
          <w:color w:val="000000"/>
          <w:sz w:val="20"/>
          <w:szCs w:val="20"/>
        </w:rPr>
        <w:t>lugar,</w:t>
      </w:r>
      <w:r>
        <w:rPr>
          <w:rFonts w:ascii="Arial" w:hAnsi="Arial" w:cs="Arial"/>
          <w:color w:val="000000"/>
          <w:sz w:val="20"/>
          <w:szCs w:val="20"/>
        </w:rPr>
        <w:t xml:space="preserve"> se realiza una </w:t>
      </w:r>
      <w:r w:rsidR="00406E5B">
        <w:rPr>
          <w:rFonts w:ascii="Arial" w:hAnsi="Arial" w:cs="Arial"/>
          <w:color w:val="000000"/>
          <w:sz w:val="20"/>
          <w:szCs w:val="20"/>
        </w:rPr>
        <w:t xml:space="preserve">CI </w:t>
      </w:r>
      <w:r>
        <w:rPr>
          <w:rFonts w:ascii="Arial" w:hAnsi="Arial" w:cs="Arial"/>
          <w:color w:val="000000"/>
          <w:sz w:val="20"/>
          <w:szCs w:val="20"/>
        </w:rPr>
        <w:t>con todas las alternativas en combinación con TCS</w:t>
      </w:r>
      <w:r w:rsidR="00D31A57">
        <w:rPr>
          <w:rFonts w:ascii="Arial" w:hAnsi="Arial" w:cs="Arial"/>
          <w:color w:val="000000"/>
          <w:sz w:val="20"/>
          <w:szCs w:val="20"/>
        </w:rPr>
        <w:t xml:space="preserve">, </w:t>
      </w:r>
      <w:r w:rsidR="00406E5B">
        <w:rPr>
          <w:rFonts w:ascii="Arial" w:hAnsi="Arial" w:cs="Arial"/>
          <w:color w:val="000000"/>
          <w:sz w:val="20"/>
          <w:szCs w:val="20"/>
        </w:rPr>
        <w:t xml:space="preserve">pero </w:t>
      </w:r>
      <w:r w:rsidR="00D31A57">
        <w:rPr>
          <w:rFonts w:ascii="Arial" w:hAnsi="Arial" w:cs="Arial"/>
          <w:color w:val="000000"/>
          <w:sz w:val="20"/>
          <w:szCs w:val="20"/>
        </w:rPr>
        <w:t xml:space="preserve">se excluye tralokinumab de esta comparación ya que el uso de </w:t>
      </w:r>
      <w:r w:rsidR="0075635A">
        <w:rPr>
          <w:rFonts w:ascii="Arial" w:hAnsi="Arial" w:cs="Arial"/>
          <w:color w:val="000000"/>
          <w:sz w:val="20"/>
          <w:szCs w:val="20"/>
        </w:rPr>
        <w:t xml:space="preserve">TCS </w:t>
      </w:r>
      <w:r w:rsidR="00406E5B">
        <w:rPr>
          <w:rFonts w:ascii="Arial" w:hAnsi="Arial" w:cs="Arial"/>
          <w:color w:val="000000"/>
          <w:sz w:val="20"/>
          <w:szCs w:val="20"/>
        </w:rPr>
        <w:t xml:space="preserve">de alta potencia </w:t>
      </w:r>
      <w:r w:rsidR="00D31A57">
        <w:rPr>
          <w:rFonts w:ascii="Arial" w:hAnsi="Arial" w:cs="Arial"/>
          <w:color w:val="000000"/>
          <w:sz w:val="20"/>
          <w:szCs w:val="20"/>
        </w:rPr>
        <w:t xml:space="preserve">incluido en su protocolo de estudio, era un criterio de exclusión del ensayo de nemolizumab. </w:t>
      </w:r>
    </w:p>
    <w:p w14:paraId="66E5BA6B" w14:textId="77777777" w:rsidR="00823EF1" w:rsidRDefault="00823EF1" w:rsidP="002C1237">
      <w:pPr>
        <w:jc w:val="both"/>
        <w:rPr>
          <w:rFonts w:ascii="Arial" w:hAnsi="Arial" w:cs="Arial"/>
          <w:color w:val="000000"/>
          <w:sz w:val="20"/>
          <w:szCs w:val="20"/>
        </w:rPr>
      </w:pPr>
    </w:p>
    <w:p w14:paraId="162D911C" w14:textId="77777777" w:rsidR="0074103D" w:rsidRDefault="000E2F26" w:rsidP="002C1237">
      <w:pPr>
        <w:jc w:val="both"/>
        <w:rPr>
          <w:rFonts w:ascii="Arial" w:hAnsi="Arial" w:cs="Arial"/>
          <w:color w:val="000000"/>
          <w:sz w:val="20"/>
          <w:szCs w:val="20"/>
        </w:rPr>
      </w:pPr>
      <w:r>
        <w:rPr>
          <w:rFonts w:ascii="Arial" w:hAnsi="Arial" w:cs="Arial"/>
          <w:color w:val="000000"/>
          <w:sz w:val="20"/>
          <w:szCs w:val="20"/>
        </w:rPr>
        <w:t>Según</w:t>
      </w:r>
      <w:r w:rsidR="00D31A57">
        <w:rPr>
          <w:rFonts w:ascii="Arial" w:hAnsi="Arial" w:cs="Arial"/>
          <w:color w:val="000000"/>
          <w:sz w:val="20"/>
          <w:szCs w:val="20"/>
        </w:rPr>
        <w:t xml:space="preserve"> los resultados de esta </w:t>
      </w:r>
      <w:r w:rsidR="00406E5B">
        <w:rPr>
          <w:rFonts w:ascii="Arial" w:hAnsi="Arial" w:cs="Arial"/>
          <w:color w:val="000000"/>
          <w:sz w:val="20"/>
          <w:szCs w:val="20"/>
        </w:rPr>
        <w:t>CI</w:t>
      </w:r>
      <w:r w:rsidR="00D31A57">
        <w:rPr>
          <w:rFonts w:ascii="Arial" w:hAnsi="Arial" w:cs="Arial"/>
          <w:color w:val="000000"/>
          <w:sz w:val="20"/>
          <w:szCs w:val="20"/>
        </w:rPr>
        <w:t>, se c</w:t>
      </w:r>
      <w:r w:rsidR="00406E5B">
        <w:rPr>
          <w:rFonts w:ascii="Arial" w:hAnsi="Arial" w:cs="Arial"/>
          <w:color w:val="000000"/>
          <w:sz w:val="20"/>
          <w:szCs w:val="20"/>
        </w:rPr>
        <w:t>oncluye</w:t>
      </w:r>
      <w:r w:rsidR="00D31A57">
        <w:rPr>
          <w:rFonts w:ascii="Arial" w:hAnsi="Arial" w:cs="Arial"/>
          <w:color w:val="000000"/>
          <w:sz w:val="20"/>
          <w:szCs w:val="20"/>
        </w:rPr>
        <w:t xml:space="preserve"> que lebrikizumab y nemolizumab</w:t>
      </w:r>
      <w:r w:rsidR="00614F01">
        <w:rPr>
          <w:rFonts w:ascii="Arial" w:hAnsi="Arial" w:cs="Arial"/>
          <w:color w:val="000000"/>
          <w:sz w:val="20"/>
          <w:szCs w:val="20"/>
        </w:rPr>
        <w:t xml:space="preserve"> </w:t>
      </w:r>
      <w:r w:rsidR="00406E5B">
        <w:rPr>
          <w:rFonts w:ascii="Arial" w:hAnsi="Arial" w:cs="Arial"/>
          <w:color w:val="000000"/>
          <w:sz w:val="20"/>
          <w:szCs w:val="20"/>
        </w:rPr>
        <w:t>no son ATSBC con respecto a dupilumab ya que hay una diferencia</w:t>
      </w:r>
      <w:r w:rsidR="00D31A57">
        <w:rPr>
          <w:rFonts w:ascii="Arial" w:hAnsi="Arial" w:cs="Arial"/>
          <w:color w:val="000000"/>
          <w:sz w:val="20"/>
          <w:szCs w:val="20"/>
        </w:rPr>
        <w:t xml:space="preserve"> estadísticamente significativa y </w:t>
      </w:r>
      <w:r w:rsidR="002078B3">
        <w:rPr>
          <w:rFonts w:ascii="Arial" w:hAnsi="Arial" w:cs="Arial"/>
          <w:color w:val="000000"/>
          <w:sz w:val="20"/>
          <w:szCs w:val="20"/>
        </w:rPr>
        <w:t>clínicamente</w:t>
      </w:r>
      <w:r w:rsidR="00D31A57">
        <w:rPr>
          <w:rFonts w:ascii="Arial" w:hAnsi="Arial" w:cs="Arial"/>
          <w:color w:val="000000"/>
          <w:sz w:val="20"/>
          <w:szCs w:val="20"/>
        </w:rPr>
        <w:t xml:space="preserve"> relevante</w:t>
      </w:r>
      <w:r w:rsidR="00823EF1">
        <w:rPr>
          <w:rFonts w:ascii="Arial" w:hAnsi="Arial" w:cs="Arial"/>
          <w:color w:val="000000"/>
          <w:sz w:val="20"/>
          <w:szCs w:val="20"/>
        </w:rPr>
        <w:t>.</w:t>
      </w:r>
    </w:p>
    <w:p w14:paraId="6D24AAC6" w14:textId="77777777" w:rsidR="00823EF1" w:rsidRDefault="00823EF1" w:rsidP="002C1237">
      <w:pPr>
        <w:jc w:val="both"/>
        <w:rPr>
          <w:rFonts w:ascii="Arial" w:hAnsi="Arial" w:cs="Arial"/>
          <w:color w:val="000000"/>
          <w:sz w:val="20"/>
          <w:szCs w:val="20"/>
        </w:rPr>
      </w:pPr>
    </w:p>
    <w:p w14:paraId="32B85256" w14:textId="77777777" w:rsidR="00614F01" w:rsidRDefault="00614F01" w:rsidP="002C1237">
      <w:pPr>
        <w:jc w:val="both"/>
        <w:rPr>
          <w:rFonts w:ascii="Arial" w:hAnsi="Arial" w:cs="Arial"/>
          <w:color w:val="000000"/>
          <w:sz w:val="20"/>
          <w:szCs w:val="20"/>
        </w:rPr>
      </w:pPr>
      <w:r>
        <w:rPr>
          <w:rFonts w:ascii="Arial" w:hAnsi="Arial" w:cs="Arial"/>
          <w:color w:val="000000"/>
          <w:sz w:val="20"/>
          <w:szCs w:val="20"/>
        </w:rPr>
        <w:t xml:space="preserve">Para confirmar </w:t>
      </w:r>
      <w:r w:rsidR="00406E5B">
        <w:rPr>
          <w:rFonts w:ascii="Arial" w:hAnsi="Arial" w:cs="Arial"/>
          <w:color w:val="000000"/>
          <w:sz w:val="20"/>
          <w:szCs w:val="20"/>
        </w:rPr>
        <w:t>si</w:t>
      </w:r>
      <w:r>
        <w:rPr>
          <w:rFonts w:ascii="Arial" w:hAnsi="Arial" w:cs="Arial"/>
          <w:color w:val="000000"/>
          <w:sz w:val="20"/>
          <w:szCs w:val="20"/>
        </w:rPr>
        <w:t xml:space="preserve"> nemolizumab y lebrikizumab son ATSBC</w:t>
      </w:r>
      <w:r w:rsidR="00406E5B">
        <w:rPr>
          <w:rFonts w:ascii="Arial" w:hAnsi="Arial" w:cs="Arial"/>
          <w:color w:val="000000"/>
          <w:sz w:val="20"/>
          <w:szCs w:val="20"/>
        </w:rPr>
        <w:t xml:space="preserve"> entre ellos</w:t>
      </w:r>
      <w:r>
        <w:rPr>
          <w:rFonts w:ascii="Arial" w:hAnsi="Arial" w:cs="Arial"/>
          <w:color w:val="000000"/>
          <w:sz w:val="20"/>
          <w:szCs w:val="20"/>
        </w:rPr>
        <w:t xml:space="preserve">, se realizó otra </w:t>
      </w:r>
      <w:r w:rsidR="00406E5B">
        <w:rPr>
          <w:rFonts w:ascii="Arial" w:hAnsi="Arial" w:cs="Arial"/>
          <w:color w:val="000000"/>
          <w:sz w:val="20"/>
          <w:szCs w:val="20"/>
        </w:rPr>
        <w:t xml:space="preserve">CI </w:t>
      </w:r>
      <w:r>
        <w:rPr>
          <w:rFonts w:ascii="Arial" w:hAnsi="Arial" w:cs="Arial"/>
          <w:color w:val="000000"/>
          <w:sz w:val="20"/>
          <w:szCs w:val="20"/>
        </w:rPr>
        <w:t xml:space="preserve">en la que se observa que no hay diferencias estadísticamente significativas ni </w:t>
      </w:r>
      <w:r w:rsidR="00406E5B">
        <w:rPr>
          <w:rFonts w:ascii="Arial" w:hAnsi="Arial" w:cs="Arial"/>
          <w:color w:val="000000"/>
          <w:sz w:val="20"/>
          <w:szCs w:val="20"/>
        </w:rPr>
        <w:t>clínicamente</w:t>
      </w:r>
      <w:r>
        <w:rPr>
          <w:rFonts w:ascii="Arial" w:hAnsi="Arial" w:cs="Arial"/>
          <w:color w:val="000000"/>
          <w:sz w:val="20"/>
          <w:szCs w:val="20"/>
        </w:rPr>
        <w:t xml:space="preserve"> relevantes</w:t>
      </w:r>
      <w:r w:rsidR="00406E5B">
        <w:rPr>
          <w:rFonts w:ascii="Arial" w:hAnsi="Arial" w:cs="Arial"/>
          <w:color w:val="000000"/>
          <w:sz w:val="20"/>
          <w:szCs w:val="20"/>
        </w:rPr>
        <w:t xml:space="preserve"> por tanto se puede concluir que son ATSBC</w:t>
      </w:r>
      <w:r>
        <w:rPr>
          <w:rFonts w:ascii="Arial" w:hAnsi="Arial" w:cs="Arial"/>
          <w:color w:val="000000"/>
          <w:sz w:val="20"/>
          <w:szCs w:val="20"/>
        </w:rPr>
        <w:t xml:space="preserve">. </w:t>
      </w:r>
    </w:p>
    <w:p w14:paraId="643B7000" w14:textId="77777777" w:rsidR="00823EF1" w:rsidRDefault="00823EF1" w:rsidP="002C1237">
      <w:pPr>
        <w:jc w:val="both"/>
        <w:rPr>
          <w:rFonts w:ascii="Arial" w:hAnsi="Arial" w:cs="Arial"/>
          <w:color w:val="000000"/>
          <w:sz w:val="20"/>
          <w:szCs w:val="20"/>
        </w:rPr>
      </w:pPr>
    </w:p>
    <w:p w14:paraId="5744AA22" w14:textId="77777777" w:rsidR="00D31A57" w:rsidRDefault="00406E5B" w:rsidP="002C1237">
      <w:pPr>
        <w:jc w:val="both"/>
        <w:rPr>
          <w:rFonts w:ascii="Arial" w:hAnsi="Arial" w:cs="Arial"/>
          <w:color w:val="000000"/>
          <w:sz w:val="20"/>
          <w:szCs w:val="20"/>
        </w:rPr>
      </w:pPr>
      <w:r>
        <w:rPr>
          <w:rFonts w:ascii="Arial" w:hAnsi="Arial" w:cs="Arial"/>
          <w:color w:val="000000"/>
          <w:sz w:val="20"/>
          <w:szCs w:val="20"/>
        </w:rPr>
        <w:t xml:space="preserve">Para poder posicionar </w:t>
      </w:r>
      <w:r w:rsidR="00D31A57">
        <w:rPr>
          <w:rFonts w:ascii="Arial" w:hAnsi="Arial" w:cs="Arial"/>
          <w:color w:val="000000"/>
          <w:sz w:val="20"/>
          <w:szCs w:val="20"/>
        </w:rPr>
        <w:t>tralokinumab</w:t>
      </w:r>
      <w:r>
        <w:rPr>
          <w:rFonts w:ascii="Arial" w:hAnsi="Arial" w:cs="Arial"/>
          <w:color w:val="000000"/>
          <w:sz w:val="20"/>
          <w:szCs w:val="20"/>
        </w:rPr>
        <w:t xml:space="preserve"> con respecto al resto de alternativas</w:t>
      </w:r>
      <w:r w:rsidR="00D31A57">
        <w:rPr>
          <w:rFonts w:ascii="Arial" w:hAnsi="Arial" w:cs="Arial"/>
          <w:color w:val="000000"/>
          <w:sz w:val="20"/>
          <w:szCs w:val="20"/>
        </w:rPr>
        <w:t xml:space="preserve">, se realizó otra </w:t>
      </w:r>
      <w:r>
        <w:rPr>
          <w:rFonts w:ascii="Arial" w:hAnsi="Arial" w:cs="Arial"/>
          <w:color w:val="000000"/>
          <w:sz w:val="20"/>
          <w:szCs w:val="20"/>
        </w:rPr>
        <w:t xml:space="preserve">CI </w:t>
      </w:r>
      <w:r w:rsidR="00614F01">
        <w:rPr>
          <w:rFonts w:ascii="Arial" w:hAnsi="Arial" w:cs="Arial"/>
          <w:color w:val="000000"/>
          <w:sz w:val="20"/>
          <w:szCs w:val="20"/>
        </w:rPr>
        <w:t xml:space="preserve">con dupilumab </w:t>
      </w:r>
      <w:r w:rsidR="00D31A57">
        <w:rPr>
          <w:rFonts w:ascii="Arial" w:hAnsi="Arial" w:cs="Arial"/>
          <w:color w:val="000000"/>
          <w:sz w:val="20"/>
          <w:szCs w:val="20"/>
        </w:rPr>
        <w:t>considerando los ensa</w:t>
      </w:r>
      <w:r w:rsidR="00614F01">
        <w:rPr>
          <w:rFonts w:ascii="Arial" w:hAnsi="Arial" w:cs="Arial"/>
          <w:color w:val="000000"/>
          <w:sz w:val="20"/>
          <w:szCs w:val="20"/>
        </w:rPr>
        <w:t xml:space="preserve">yos en monoterapia, </w:t>
      </w:r>
      <w:r w:rsidR="003A69B6">
        <w:rPr>
          <w:rFonts w:ascii="Arial" w:hAnsi="Arial" w:cs="Arial"/>
          <w:color w:val="000000"/>
          <w:sz w:val="20"/>
          <w:szCs w:val="20"/>
        </w:rPr>
        <w:t xml:space="preserve">ya </w:t>
      </w:r>
      <w:r w:rsidR="00614F01">
        <w:rPr>
          <w:rFonts w:ascii="Arial" w:hAnsi="Arial" w:cs="Arial"/>
          <w:color w:val="000000"/>
          <w:sz w:val="20"/>
          <w:szCs w:val="20"/>
        </w:rPr>
        <w:t>que en este caso s</w:t>
      </w:r>
      <w:r w:rsidR="000E2F26">
        <w:rPr>
          <w:rFonts w:ascii="Arial" w:hAnsi="Arial" w:cs="Arial"/>
          <w:color w:val="000000"/>
          <w:sz w:val="20"/>
          <w:szCs w:val="20"/>
        </w:rPr>
        <w:t>í</w:t>
      </w:r>
      <w:r w:rsidR="00614F01">
        <w:rPr>
          <w:rFonts w:ascii="Arial" w:hAnsi="Arial" w:cs="Arial"/>
          <w:color w:val="000000"/>
          <w:sz w:val="20"/>
          <w:szCs w:val="20"/>
        </w:rPr>
        <w:t xml:space="preserve"> serian comparables. </w:t>
      </w:r>
      <w:r w:rsidR="003A69B6">
        <w:rPr>
          <w:rFonts w:ascii="Arial" w:hAnsi="Arial" w:cs="Arial"/>
          <w:color w:val="000000"/>
          <w:sz w:val="20"/>
          <w:szCs w:val="20"/>
        </w:rPr>
        <w:t xml:space="preserve">Los resultados de la CI indican </w:t>
      </w:r>
      <w:r w:rsidR="00614F01">
        <w:rPr>
          <w:rFonts w:ascii="Arial" w:hAnsi="Arial" w:cs="Arial"/>
          <w:color w:val="000000"/>
          <w:sz w:val="20"/>
          <w:szCs w:val="20"/>
        </w:rPr>
        <w:t xml:space="preserve">que las diferencias entre </w:t>
      </w:r>
      <w:r w:rsidR="003A69B6">
        <w:rPr>
          <w:rFonts w:ascii="Arial" w:hAnsi="Arial" w:cs="Arial"/>
          <w:color w:val="000000"/>
          <w:sz w:val="20"/>
          <w:szCs w:val="20"/>
        </w:rPr>
        <w:t xml:space="preserve">ellos </w:t>
      </w:r>
      <w:r w:rsidR="00614F01">
        <w:rPr>
          <w:rFonts w:ascii="Arial" w:hAnsi="Arial" w:cs="Arial"/>
          <w:color w:val="000000"/>
          <w:sz w:val="20"/>
          <w:szCs w:val="20"/>
        </w:rPr>
        <w:t>s</w:t>
      </w:r>
      <w:r w:rsidR="003A69B6">
        <w:rPr>
          <w:rFonts w:ascii="Arial" w:hAnsi="Arial" w:cs="Arial"/>
          <w:color w:val="000000"/>
          <w:sz w:val="20"/>
          <w:szCs w:val="20"/>
        </w:rPr>
        <w:t>on</w:t>
      </w:r>
      <w:r w:rsidR="00614F01">
        <w:rPr>
          <w:rFonts w:ascii="Arial" w:hAnsi="Arial" w:cs="Arial"/>
          <w:color w:val="000000"/>
          <w:sz w:val="20"/>
          <w:szCs w:val="20"/>
        </w:rPr>
        <w:t xml:space="preserve"> estadísticamente significativas y clínicamente relevantes por lo que no se puede considerar que tralokinumab sea una ATSBC </w:t>
      </w:r>
      <w:r w:rsidR="000E2F26">
        <w:rPr>
          <w:rFonts w:ascii="Arial" w:hAnsi="Arial" w:cs="Arial"/>
          <w:color w:val="000000"/>
          <w:sz w:val="20"/>
          <w:szCs w:val="20"/>
        </w:rPr>
        <w:t xml:space="preserve">comparado con </w:t>
      </w:r>
      <w:r w:rsidR="00614F01">
        <w:rPr>
          <w:rFonts w:ascii="Arial" w:hAnsi="Arial" w:cs="Arial"/>
          <w:color w:val="000000"/>
          <w:sz w:val="20"/>
          <w:szCs w:val="20"/>
        </w:rPr>
        <w:t xml:space="preserve">dupilumab. </w:t>
      </w:r>
    </w:p>
    <w:p w14:paraId="003FB70B" w14:textId="77777777" w:rsidR="00823EF1" w:rsidRDefault="00823EF1" w:rsidP="002C1237">
      <w:pPr>
        <w:jc w:val="both"/>
        <w:rPr>
          <w:rFonts w:ascii="Arial" w:hAnsi="Arial" w:cs="Arial"/>
          <w:color w:val="000000"/>
          <w:sz w:val="20"/>
          <w:szCs w:val="20"/>
        </w:rPr>
      </w:pPr>
    </w:p>
    <w:p w14:paraId="275DC88F" w14:textId="77777777" w:rsidR="00614F01" w:rsidRDefault="00614F01" w:rsidP="002C1237">
      <w:pPr>
        <w:jc w:val="both"/>
        <w:rPr>
          <w:rFonts w:ascii="Arial" w:hAnsi="Arial" w:cs="Arial"/>
          <w:color w:val="000000"/>
          <w:sz w:val="20"/>
          <w:szCs w:val="20"/>
        </w:rPr>
      </w:pPr>
      <w:r>
        <w:rPr>
          <w:rFonts w:ascii="Arial" w:hAnsi="Arial" w:cs="Arial"/>
          <w:color w:val="000000"/>
          <w:sz w:val="20"/>
          <w:szCs w:val="20"/>
        </w:rPr>
        <w:t xml:space="preserve">Posteriormente, para posicionar tralokinumab con respecto a lebrikizumab, se realizó otra </w:t>
      </w:r>
      <w:r w:rsidR="003A69B6">
        <w:rPr>
          <w:rFonts w:ascii="Arial" w:hAnsi="Arial" w:cs="Arial"/>
          <w:color w:val="000000"/>
          <w:sz w:val="20"/>
          <w:szCs w:val="20"/>
        </w:rPr>
        <w:t>CI</w:t>
      </w:r>
      <w:r>
        <w:rPr>
          <w:rFonts w:ascii="Arial" w:hAnsi="Arial" w:cs="Arial"/>
          <w:color w:val="000000"/>
          <w:sz w:val="20"/>
          <w:szCs w:val="20"/>
        </w:rPr>
        <w:t xml:space="preserve">, considerando los ensayos en monoterapia de estos fármacos. De esta </w:t>
      </w:r>
      <w:r w:rsidR="00F7588A">
        <w:rPr>
          <w:rFonts w:ascii="Arial" w:hAnsi="Arial" w:cs="Arial"/>
          <w:color w:val="000000"/>
          <w:sz w:val="20"/>
          <w:szCs w:val="20"/>
        </w:rPr>
        <w:t xml:space="preserve">CI </w:t>
      </w:r>
      <w:r>
        <w:rPr>
          <w:rFonts w:ascii="Arial" w:hAnsi="Arial" w:cs="Arial"/>
          <w:color w:val="000000"/>
          <w:sz w:val="20"/>
          <w:szCs w:val="20"/>
        </w:rPr>
        <w:t xml:space="preserve">se concluye que no hay </w:t>
      </w:r>
      <w:r w:rsidR="00CC110F">
        <w:rPr>
          <w:rFonts w:ascii="Arial" w:hAnsi="Arial" w:cs="Arial"/>
          <w:color w:val="000000"/>
          <w:sz w:val="20"/>
          <w:szCs w:val="20"/>
        </w:rPr>
        <w:t>diferencias estadísticamente significativas</w:t>
      </w:r>
      <w:r w:rsidR="00823EF1">
        <w:rPr>
          <w:rFonts w:ascii="Arial" w:hAnsi="Arial" w:cs="Arial"/>
          <w:color w:val="000000"/>
          <w:sz w:val="20"/>
          <w:szCs w:val="20"/>
        </w:rPr>
        <w:t xml:space="preserve"> y hay una baja probabilidad de </w:t>
      </w:r>
      <w:r>
        <w:rPr>
          <w:rFonts w:ascii="Arial" w:hAnsi="Arial" w:cs="Arial"/>
          <w:color w:val="000000"/>
          <w:sz w:val="20"/>
          <w:szCs w:val="20"/>
        </w:rPr>
        <w:t xml:space="preserve">diferencias clínicamente relevantes por lo que </w:t>
      </w:r>
      <w:r w:rsidR="00823EF1">
        <w:rPr>
          <w:rFonts w:ascii="Arial" w:hAnsi="Arial" w:cs="Arial"/>
          <w:color w:val="000000"/>
          <w:sz w:val="20"/>
          <w:szCs w:val="20"/>
        </w:rPr>
        <w:t xml:space="preserve">consideran </w:t>
      </w:r>
      <w:r>
        <w:rPr>
          <w:rFonts w:ascii="Arial" w:hAnsi="Arial" w:cs="Arial"/>
          <w:color w:val="000000"/>
          <w:sz w:val="20"/>
          <w:szCs w:val="20"/>
        </w:rPr>
        <w:t>ATSBC.</w:t>
      </w:r>
    </w:p>
    <w:p w14:paraId="53E3EC31" w14:textId="77777777" w:rsidR="00823EF1" w:rsidRDefault="00823EF1" w:rsidP="002C1237">
      <w:pPr>
        <w:jc w:val="both"/>
        <w:rPr>
          <w:rFonts w:ascii="Arial" w:hAnsi="Arial" w:cs="Arial"/>
          <w:color w:val="000000"/>
          <w:sz w:val="20"/>
          <w:szCs w:val="20"/>
        </w:rPr>
      </w:pPr>
    </w:p>
    <w:p w14:paraId="69E8FEA5" w14:textId="77777777" w:rsidR="003A69B6" w:rsidRDefault="003A69B6" w:rsidP="002C1237">
      <w:pPr>
        <w:jc w:val="both"/>
        <w:rPr>
          <w:rFonts w:ascii="Arial" w:hAnsi="Arial" w:cs="Arial"/>
          <w:color w:val="000000"/>
          <w:sz w:val="20"/>
          <w:szCs w:val="20"/>
        </w:rPr>
      </w:pPr>
      <w:r>
        <w:rPr>
          <w:rFonts w:ascii="Arial" w:hAnsi="Arial" w:cs="Arial"/>
          <w:color w:val="000000"/>
          <w:sz w:val="20"/>
          <w:szCs w:val="20"/>
        </w:rPr>
        <w:t>En base a los resultados de las CI se considera que nemolizumab, lebrikizumab y tralokinumab serían ATSBC pero en una segunda posición con respecto a dupilumab</w:t>
      </w:r>
      <w:r w:rsidR="00612D8E">
        <w:rPr>
          <w:rFonts w:ascii="Arial" w:hAnsi="Arial" w:cs="Arial"/>
          <w:color w:val="000000"/>
          <w:sz w:val="20"/>
          <w:szCs w:val="20"/>
        </w:rPr>
        <w:t>.</w:t>
      </w:r>
      <w:r>
        <w:rPr>
          <w:rFonts w:ascii="Arial" w:hAnsi="Arial" w:cs="Arial"/>
          <w:color w:val="000000"/>
          <w:sz w:val="20"/>
          <w:szCs w:val="20"/>
        </w:rPr>
        <w:t xml:space="preserve"> </w:t>
      </w:r>
    </w:p>
    <w:p w14:paraId="2A7E00E5" w14:textId="77777777" w:rsidR="00612D8E" w:rsidRDefault="00612D8E" w:rsidP="002C1237">
      <w:pPr>
        <w:jc w:val="both"/>
        <w:rPr>
          <w:rFonts w:ascii="Arial" w:hAnsi="Arial" w:cs="Arial"/>
          <w:color w:val="000000"/>
          <w:sz w:val="20"/>
          <w:szCs w:val="20"/>
        </w:rPr>
      </w:pPr>
    </w:p>
    <w:p w14:paraId="3EF51BD2" w14:textId="77777777" w:rsidR="00612D8E" w:rsidRPr="00F7588A" w:rsidRDefault="00612D8E" w:rsidP="00612D8E">
      <w:pPr>
        <w:jc w:val="both"/>
        <w:rPr>
          <w:rFonts w:ascii="Arial" w:hAnsi="Arial" w:cs="Arial"/>
          <w:color w:val="EE0000"/>
          <w:sz w:val="20"/>
          <w:szCs w:val="20"/>
        </w:rPr>
      </w:pPr>
      <w:r w:rsidRPr="00F7588A">
        <w:rPr>
          <w:rFonts w:ascii="Arial" w:hAnsi="Arial" w:cs="Arial"/>
          <w:sz w:val="20"/>
          <w:szCs w:val="20"/>
        </w:rPr>
        <w:t>En cuanto a los iJAK, los datos de eficacia muestran que upadacitinib (15 y 30 mg) y abrocitinib (</w:t>
      </w:r>
      <w:r w:rsidR="00F7588A" w:rsidRPr="00F7588A">
        <w:rPr>
          <w:rFonts w:ascii="Arial" w:hAnsi="Arial" w:cs="Arial"/>
          <w:sz w:val="20"/>
          <w:szCs w:val="20"/>
        </w:rPr>
        <w:t xml:space="preserve">100 mg y </w:t>
      </w:r>
      <w:r w:rsidRPr="00F7588A">
        <w:rPr>
          <w:rFonts w:ascii="Arial" w:hAnsi="Arial" w:cs="Arial"/>
          <w:sz w:val="20"/>
          <w:szCs w:val="20"/>
        </w:rPr>
        <w:t>200 mg) no presentan diferencias estadísticamente significativas ni clínicamente relevantes respecto a dupilumab en la consecución del EASI75</w:t>
      </w:r>
      <w:r w:rsidR="00F7588A" w:rsidRPr="00F7588A">
        <w:rPr>
          <w:rFonts w:ascii="Arial" w:hAnsi="Arial" w:cs="Arial"/>
          <w:sz w:val="20"/>
          <w:szCs w:val="20"/>
        </w:rPr>
        <w:t xml:space="preserve"> y del PP-NRS≥4</w:t>
      </w:r>
      <w:r w:rsidRPr="00F7588A">
        <w:rPr>
          <w:rFonts w:ascii="Arial" w:hAnsi="Arial" w:cs="Arial"/>
          <w:sz w:val="20"/>
          <w:szCs w:val="20"/>
        </w:rPr>
        <w:t xml:space="preserve">. Del mismo modo, en la variable IGA, abrocitinib (100 y 200 mg) y upadacitinib 15 mg tampoco difieren de forma significativa ni clínicamente relevante frente a dupilumab; </w:t>
      </w:r>
      <w:r w:rsidR="00823EF1" w:rsidRPr="00F7588A">
        <w:rPr>
          <w:rFonts w:ascii="Arial" w:hAnsi="Arial" w:cs="Arial"/>
          <w:sz w:val="20"/>
          <w:szCs w:val="20"/>
        </w:rPr>
        <w:t>y</w:t>
      </w:r>
      <w:r w:rsidRPr="00F7588A">
        <w:rPr>
          <w:rFonts w:ascii="Arial" w:hAnsi="Arial" w:cs="Arial"/>
          <w:sz w:val="20"/>
          <w:szCs w:val="20"/>
        </w:rPr>
        <w:t xml:space="preserve"> upadacitinib 30 mg muestra una ventaja estadísticamente significativa y clínicamente relevante frente al tratamiento de referencia</w:t>
      </w:r>
      <w:r w:rsidRPr="00F7588A">
        <w:rPr>
          <w:rFonts w:ascii="Arial" w:hAnsi="Arial" w:cs="Arial"/>
          <w:color w:val="EE0000"/>
          <w:sz w:val="20"/>
          <w:szCs w:val="20"/>
        </w:rPr>
        <w:t>.</w:t>
      </w:r>
    </w:p>
    <w:p w14:paraId="5C391DD4" w14:textId="77777777" w:rsidR="00612D8E" w:rsidRDefault="00612D8E" w:rsidP="00612D8E">
      <w:pPr>
        <w:jc w:val="both"/>
        <w:rPr>
          <w:rFonts w:ascii="Arial" w:hAnsi="Arial" w:cs="Arial"/>
          <w:color w:val="000000"/>
          <w:sz w:val="20"/>
          <w:szCs w:val="20"/>
        </w:rPr>
      </w:pPr>
    </w:p>
    <w:p w14:paraId="163A465A" w14:textId="77777777" w:rsidR="00614F01" w:rsidRDefault="00612D8E" w:rsidP="00612D8E">
      <w:pPr>
        <w:jc w:val="both"/>
        <w:rPr>
          <w:rFonts w:ascii="Arial" w:hAnsi="Arial" w:cs="Arial"/>
          <w:color w:val="000000"/>
          <w:sz w:val="20"/>
          <w:szCs w:val="20"/>
        </w:rPr>
      </w:pPr>
      <w:r>
        <w:rPr>
          <w:rFonts w:ascii="Arial" w:hAnsi="Arial" w:cs="Arial"/>
          <w:color w:val="000000"/>
          <w:sz w:val="20"/>
          <w:szCs w:val="20"/>
        </w:rPr>
        <w:t>Por tanto, aunque los iJAK podrían considerarse fármacos con una eficacia comparable o incluso superior a dupilumab, la gravedad y frecuencia de sus efectos adversos impiden clasificarlos como ATSBC.</w:t>
      </w:r>
    </w:p>
    <w:p w14:paraId="54A9B998" w14:textId="77777777" w:rsidR="002C1237" w:rsidRPr="006F6ABB" w:rsidRDefault="002C1237" w:rsidP="002C1237">
      <w:pPr>
        <w:rPr>
          <w:rFonts w:ascii="Arial" w:hAnsi="Arial" w:cs="Arial"/>
          <w:color w:val="FF0000"/>
          <w:sz w:val="16"/>
          <w:szCs w:val="16"/>
        </w:rPr>
      </w:pPr>
    </w:p>
    <w:p w14:paraId="0E41E054"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77" w:name="_Toc344399643"/>
      <w:bookmarkStart w:id="78" w:name="_Toc348931370"/>
      <w:bookmarkStart w:id="79" w:name="_Toc216191093"/>
      <w:r w:rsidRPr="00E3472F">
        <w:rPr>
          <w:rFonts w:cs="Arial"/>
          <w:sz w:val="20"/>
        </w:rPr>
        <w:t>5.2.c Evaluación de las pruebas de cribado utilizadas</w:t>
      </w:r>
      <w:bookmarkEnd w:id="77"/>
      <w:bookmarkEnd w:id="78"/>
      <w:bookmarkEnd w:id="79"/>
      <w:r w:rsidRPr="00E3472F">
        <w:rPr>
          <w:rFonts w:cs="Arial"/>
          <w:sz w:val="20"/>
        </w:rPr>
        <w:t xml:space="preserve"> </w:t>
      </w:r>
    </w:p>
    <w:p w14:paraId="10479D68" w14:textId="77777777" w:rsidR="00BC3E8E" w:rsidRPr="006F6ABB" w:rsidRDefault="00BC3E8E" w:rsidP="00BC3E8E">
      <w:pPr>
        <w:jc w:val="both"/>
        <w:rPr>
          <w:rFonts w:ascii="Arial" w:hAnsi="Arial" w:cs="Arial"/>
          <w:sz w:val="20"/>
          <w:szCs w:val="20"/>
        </w:rPr>
      </w:pPr>
    </w:p>
    <w:p w14:paraId="266E5CAD" w14:textId="77777777" w:rsidR="002F63B7" w:rsidRPr="002F63B7" w:rsidRDefault="002F63B7" w:rsidP="002F63B7">
      <w:pPr>
        <w:jc w:val="both"/>
        <w:rPr>
          <w:rFonts w:ascii="Arial" w:hAnsi="Arial" w:cs="Arial"/>
          <w:sz w:val="20"/>
          <w:szCs w:val="20"/>
        </w:rPr>
      </w:pPr>
      <w:r w:rsidRPr="002F63B7">
        <w:rPr>
          <w:rFonts w:ascii="Arial" w:hAnsi="Arial" w:cs="Arial"/>
          <w:sz w:val="20"/>
          <w:szCs w:val="20"/>
        </w:rPr>
        <w:t xml:space="preserve">En los dos ensayos pivotales se utilizaron diferentes escalas clínicas como variables principales y secundarias para evaluar la gravedad de la </w:t>
      </w:r>
      <w:r w:rsidR="00BD5ED6">
        <w:rPr>
          <w:rFonts w:ascii="Arial" w:hAnsi="Arial" w:cs="Arial"/>
          <w:sz w:val="20"/>
          <w:szCs w:val="20"/>
        </w:rPr>
        <w:t xml:space="preserve">DA </w:t>
      </w:r>
      <w:r w:rsidRPr="002F63B7">
        <w:rPr>
          <w:rFonts w:ascii="Arial" w:hAnsi="Arial" w:cs="Arial"/>
          <w:sz w:val="20"/>
          <w:szCs w:val="20"/>
        </w:rPr>
        <w:t>y la intensidad del prurito. Estas herramientas son de uso habitual en investigación, aunque en la práctica clínica diaria no suelen aplicarse de forma sistemática, ya que la valoración suele realizarse mediante exploración física y juicio clínico.</w:t>
      </w:r>
    </w:p>
    <w:p w14:paraId="72E60DAB" w14:textId="77777777" w:rsidR="002F63B7" w:rsidRPr="002F63B7" w:rsidRDefault="002F63B7" w:rsidP="002F63B7">
      <w:pPr>
        <w:jc w:val="both"/>
        <w:rPr>
          <w:rFonts w:ascii="Arial" w:hAnsi="Arial" w:cs="Arial"/>
          <w:sz w:val="20"/>
          <w:szCs w:val="20"/>
        </w:rPr>
      </w:pPr>
    </w:p>
    <w:p w14:paraId="7EA75B7E" w14:textId="77777777" w:rsidR="002F63B7" w:rsidRPr="002F63B7" w:rsidRDefault="002F63B7" w:rsidP="002F63B7">
      <w:pPr>
        <w:jc w:val="both"/>
        <w:rPr>
          <w:rFonts w:ascii="Arial" w:hAnsi="Arial" w:cs="Arial"/>
          <w:sz w:val="20"/>
          <w:szCs w:val="20"/>
        </w:rPr>
      </w:pPr>
      <w:r w:rsidRPr="002F63B7">
        <w:rPr>
          <w:rFonts w:ascii="Arial" w:hAnsi="Arial" w:cs="Arial"/>
          <w:sz w:val="20"/>
          <w:szCs w:val="20"/>
        </w:rPr>
        <w:t>Las variables principales se midieron con las escalas IGA y EASI. El IGA (0–4)</w:t>
      </w:r>
      <w:r>
        <w:rPr>
          <w:rFonts w:ascii="Arial" w:hAnsi="Arial" w:cs="Arial"/>
          <w:sz w:val="20"/>
          <w:szCs w:val="20"/>
        </w:rPr>
        <w:t xml:space="preserve"> (tabla </w:t>
      </w:r>
      <w:r w:rsidR="00F7588A">
        <w:rPr>
          <w:rFonts w:ascii="Arial" w:hAnsi="Arial" w:cs="Arial"/>
          <w:sz w:val="20"/>
          <w:szCs w:val="20"/>
        </w:rPr>
        <w:t>10</w:t>
      </w:r>
      <w:r>
        <w:rPr>
          <w:rFonts w:ascii="Arial" w:hAnsi="Arial" w:cs="Arial"/>
          <w:sz w:val="20"/>
          <w:szCs w:val="20"/>
        </w:rPr>
        <w:t>)</w:t>
      </w:r>
      <w:r w:rsidRPr="002F63B7">
        <w:rPr>
          <w:rFonts w:ascii="Arial" w:hAnsi="Arial" w:cs="Arial"/>
          <w:sz w:val="20"/>
          <w:szCs w:val="20"/>
        </w:rPr>
        <w:t xml:space="preserve"> permite clasificar el grado de</w:t>
      </w:r>
      <w:r>
        <w:rPr>
          <w:rFonts w:ascii="Arial" w:hAnsi="Arial" w:cs="Arial"/>
          <w:sz w:val="20"/>
          <w:szCs w:val="20"/>
        </w:rPr>
        <w:t xml:space="preserve"> severidad, teniendo en cuenta la gravedad de las lesiones considerando síntomas como formación de pápulas, eritema y exudado</w:t>
      </w:r>
      <w:r w:rsidRPr="002F63B7">
        <w:rPr>
          <w:rFonts w:ascii="Arial" w:hAnsi="Arial" w:cs="Arial"/>
          <w:sz w:val="20"/>
          <w:szCs w:val="20"/>
        </w:rPr>
        <w:t>. Por su parte, el EASI (0–72)</w:t>
      </w:r>
      <w:r>
        <w:rPr>
          <w:rFonts w:ascii="Arial" w:hAnsi="Arial" w:cs="Arial"/>
          <w:sz w:val="20"/>
          <w:szCs w:val="20"/>
        </w:rPr>
        <w:t xml:space="preserve"> (tabla </w:t>
      </w:r>
      <w:r w:rsidR="00F7588A">
        <w:rPr>
          <w:rFonts w:ascii="Arial" w:hAnsi="Arial" w:cs="Arial"/>
          <w:sz w:val="20"/>
          <w:szCs w:val="20"/>
        </w:rPr>
        <w:t>11</w:t>
      </w:r>
      <w:r>
        <w:rPr>
          <w:rFonts w:ascii="Arial" w:hAnsi="Arial" w:cs="Arial"/>
          <w:sz w:val="20"/>
          <w:szCs w:val="20"/>
        </w:rPr>
        <w:t>)</w:t>
      </w:r>
      <w:r w:rsidRPr="002F63B7">
        <w:rPr>
          <w:rFonts w:ascii="Arial" w:hAnsi="Arial" w:cs="Arial"/>
          <w:sz w:val="20"/>
          <w:szCs w:val="20"/>
        </w:rPr>
        <w:t xml:space="preserve"> cuantifica tanto la extensión de la </w:t>
      </w:r>
      <w:r w:rsidR="00BD5ED6">
        <w:rPr>
          <w:rFonts w:ascii="Arial" w:hAnsi="Arial" w:cs="Arial"/>
          <w:sz w:val="20"/>
          <w:szCs w:val="20"/>
        </w:rPr>
        <w:t xml:space="preserve">DA </w:t>
      </w:r>
      <w:r w:rsidRPr="002F63B7">
        <w:rPr>
          <w:rFonts w:ascii="Arial" w:hAnsi="Arial" w:cs="Arial"/>
          <w:sz w:val="20"/>
          <w:szCs w:val="20"/>
        </w:rPr>
        <w:t>como la severidad de distintos signos clínicos</w:t>
      </w:r>
      <w:r>
        <w:rPr>
          <w:rFonts w:ascii="Arial" w:hAnsi="Arial" w:cs="Arial"/>
          <w:sz w:val="20"/>
          <w:szCs w:val="20"/>
        </w:rPr>
        <w:t xml:space="preserve"> (eritema. Induración, papulación y edema, excoriaciones y liquenificación</w:t>
      </w:r>
      <w:r w:rsidRPr="002F63B7">
        <w:rPr>
          <w:rFonts w:ascii="Arial" w:hAnsi="Arial" w:cs="Arial"/>
          <w:sz w:val="20"/>
          <w:szCs w:val="20"/>
        </w:rPr>
        <w:t>, pero no incluye síntomas subjetivos. Como variable secundaria relevante se analizó la mejoría en Peak Pruritus NRS, una escala numérica</w:t>
      </w:r>
      <w:r w:rsidR="003C7B55">
        <w:rPr>
          <w:rFonts w:ascii="Arial" w:hAnsi="Arial" w:cs="Arial"/>
          <w:sz w:val="20"/>
          <w:szCs w:val="20"/>
        </w:rPr>
        <w:t xml:space="preserve"> de 0 a 10</w:t>
      </w:r>
      <w:r w:rsidRPr="002F63B7">
        <w:rPr>
          <w:rFonts w:ascii="Arial" w:hAnsi="Arial" w:cs="Arial"/>
          <w:sz w:val="20"/>
          <w:szCs w:val="20"/>
        </w:rPr>
        <w:t xml:space="preserve"> centrada en el picor percibido por el propio paciente</w:t>
      </w:r>
      <w:r w:rsidR="003C7B55">
        <w:rPr>
          <w:rFonts w:ascii="Arial" w:hAnsi="Arial" w:cs="Arial"/>
          <w:sz w:val="20"/>
          <w:szCs w:val="20"/>
        </w:rPr>
        <w:t xml:space="preserve">, se considera 0 ausencia de picor y 10 el peor picor imaginable. </w:t>
      </w:r>
    </w:p>
    <w:p w14:paraId="756DF312" w14:textId="77777777" w:rsidR="002F63B7" w:rsidRDefault="002F63B7" w:rsidP="002F63B7">
      <w:pPr>
        <w:jc w:val="both"/>
        <w:rPr>
          <w:rFonts w:ascii="Arial" w:hAnsi="Arial" w:cs="Arial"/>
          <w:sz w:val="20"/>
          <w:szCs w:val="20"/>
        </w:rPr>
      </w:pPr>
    </w:p>
    <w:p w14:paraId="1612F4F3" w14:textId="77777777" w:rsidR="005C2663" w:rsidRDefault="005C2663" w:rsidP="002F63B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217"/>
        <w:gridCol w:w="6557"/>
      </w:tblGrid>
      <w:tr w:rsidR="00F7588A" w14:paraId="26464FEC" w14:textId="77777777" w:rsidTr="0087183F">
        <w:trPr>
          <w:trHeight w:val="300"/>
        </w:trPr>
        <w:tc>
          <w:tcPr>
            <w:tcW w:w="8955" w:type="dxa"/>
            <w:gridSpan w:val="3"/>
            <w:shd w:val="clear" w:color="auto" w:fill="C5E0B3"/>
          </w:tcPr>
          <w:p w14:paraId="704BC80B" w14:textId="77777777" w:rsidR="00F7588A" w:rsidRDefault="00F7588A">
            <w:pPr>
              <w:jc w:val="center"/>
              <w:rPr>
                <w:rFonts w:ascii="Arial" w:hAnsi="Arial" w:cs="Arial"/>
                <w:sz w:val="20"/>
                <w:szCs w:val="20"/>
              </w:rPr>
            </w:pPr>
            <w:r w:rsidRPr="003C7B55">
              <w:rPr>
                <w:rFonts w:ascii="Arial" w:hAnsi="Arial" w:cs="Arial"/>
                <w:b/>
                <w:bCs/>
                <w:sz w:val="20"/>
                <w:szCs w:val="20"/>
              </w:rPr>
              <w:t xml:space="preserve">Tabla </w:t>
            </w:r>
            <w:r>
              <w:rPr>
                <w:rFonts w:ascii="Arial" w:hAnsi="Arial" w:cs="Arial"/>
                <w:b/>
                <w:bCs/>
                <w:sz w:val="20"/>
                <w:szCs w:val="20"/>
              </w:rPr>
              <w:t>10</w:t>
            </w:r>
            <w:r w:rsidRPr="003C7B55">
              <w:rPr>
                <w:rFonts w:ascii="Arial" w:hAnsi="Arial" w:cs="Arial"/>
                <w:b/>
                <w:bCs/>
                <w:sz w:val="20"/>
                <w:szCs w:val="20"/>
              </w:rPr>
              <w:t>. Escala IGA (Investigator´s Global Assesment)</w:t>
            </w:r>
            <w:r>
              <w:rPr>
                <w:rFonts w:ascii="Arial" w:hAnsi="Arial" w:cs="Arial"/>
                <w:b/>
                <w:bCs/>
                <w:sz w:val="20"/>
                <w:szCs w:val="20"/>
              </w:rPr>
              <w:t xml:space="preserve"> </w:t>
            </w:r>
            <w:r w:rsidR="00646A51">
              <w:rPr>
                <w:rFonts w:ascii="Arial" w:hAnsi="Arial" w:cs="Arial"/>
                <w:b/>
                <w:bCs/>
                <w:sz w:val="20"/>
                <w:szCs w:val="20"/>
              </w:rPr>
              <w:fldChar w:fldCharType="begin"/>
            </w:r>
            <w:r>
              <w:rPr>
                <w:rFonts w:ascii="Arial" w:hAnsi="Arial" w:cs="Arial"/>
                <w:b/>
                <w:bCs/>
                <w:sz w:val="20"/>
                <w:szCs w:val="20"/>
              </w:rPr>
              <w:instrText xml:space="preserve"> ADDIN ZOTERO_ITEM CSL_CITATION {"citationID":"LitjGkdR","properties":{"formattedCitation":"(13)","plainCitation":"(13)","noteIndex":0},"citationItems":[{"id":22,"uris":["http://zotero.org/users/18702181/items/5JWGRDEH"],"itemData":{"id":22,"type":"webpage","language":"en","title":"Informe EPAR Nemluvio","URL":"https://www.ema.europa.eu/en/medicines/human/EPAR/nemluvio","author":[{"family":"European Medicines Agency (EMA)","given":""}],"accessed":{"date-parts":[["2025",11,5]]},"issued":{"date-parts":[["2024",12,13]]}}}],"schema":"https://github.com/citation-style-language/schema/raw/master/csl-citation.json"} </w:instrText>
            </w:r>
            <w:r w:rsidR="00646A51">
              <w:rPr>
                <w:rFonts w:ascii="Arial" w:hAnsi="Arial" w:cs="Arial"/>
                <w:b/>
                <w:bCs/>
                <w:sz w:val="20"/>
                <w:szCs w:val="20"/>
              </w:rPr>
              <w:fldChar w:fldCharType="separate"/>
            </w:r>
            <w:r w:rsidRPr="00AB2E8A">
              <w:rPr>
                <w:rFonts w:ascii="Arial" w:hAnsi="Arial" w:cs="Arial"/>
                <w:sz w:val="20"/>
              </w:rPr>
              <w:t>(13)</w:t>
            </w:r>
            <w:r w:rsidR="00646A51">
              <w:rPr>
                <w:rFonts w:ascii="Arial" w:hAnsi="Arial" w:cs="Arial"/>
                <w:b/>
                <w:bCs/>
                <w:sz w:val="20"/>
                <w:szCs w:val="20"/>
              </w:rPr>
              <w:fldChar w:fldCharType="end"/>
            </w:r>
          </w:p>
        </w:tc>
      </w:tr>
      <w:tr w:rsidR="005C2663" w14:paraId="702264F7" w14:textId="77777777" w:rsidTr="00F7588A">
        <w:trPr>
          <w:trHeight w:val="300"/>
        </w:trPr>
        <w:tc>
          <w:tcPr>
            <w:tcW w:w="1181" w:type="dxa"/>
            <w:shd w:val="clear" w:color="auto" w:fill="C5E0B3"/>
            <w:hideMark/>
          </w:tcPr>
          <w:p w14:paraId="7274E95F" w14:textId="77777777" w:rsidR="005C2663" w:rsidRDefault="005C2663">
            <w:pPr>
              <w:jc w:val="center"/>
              <w:rPr>
                <w:rFonts w:ascii="Arial" w:hAnsi="Arial" w:cs="Arial"/>
                <w:sz w:val="20"/>
                <w:szCs w:val="20"/>
              </w:rPr>
            </w:pPr>
            <w:r>
              <w:rPr>
                <w:rFonts w:ascii="Arial" w:hAnsi="Arial" w:cs="Arial"/>
                <w:sz w:val="20"/>
                <w:szCs w:val="20"/>
              </w:rPr>
              <w:t>Estado</w:t>
            </w:r>
          </w:p>
        </w:tc>
        <w:tc>
          <w:tcPr>
            <w:tcW w:w="1217" w:type="dxa"/>
            <w:shd w:val="clear" w:color="auto" w:fill="C5E0B3"/>
            <w:hideMark/>
          </w:tcPr>
          <w:p w14:paraId="0A29DD26" w14:textId="77777777" w:rsidR="005C2663" w:rsidRDefault="005C2663">
            <w:pPr>
              <w:jc w:val="center"/>
              <w:rPr>
                <w:rFonts w:ascii="Arial" w:hAnsi="Arial" w:cs="Arial"/>
                <w:sz w:val="20"/>
                <w:szCs w:val="20"/>
              </w:rPr>
            </w:pPr>
            <w:r>
              <w:rPr>
                <w:rFonts w:ascii="Arial" w:hAnsi="Arial" w:cs="Arial"/>
                <w:sz w:val="20"/>
                <w:szCs w:val="20"/>
              </w:rPr>
              <w:t>Puntuación</w:t>
            </w:r>
          </w:p>
        </w:tc>
        <w:tc>
          <w:tcPr>
            <w:tcW w:w="6557" w:type="dxa"/>
            <w:shd w:val="clear" w:color="auto" w:fill="C5E0B3"/>
            <w:hideMark/>
          </w:tcPr>
          <w:p w14:paraId="0315A332" w14:textId="77777777" w:rsidR="005C2663" w:rsidRDefault="005C2663">
            <w:pPr>
              <w:jc w:val="center"/>
              <w:rPr>
                <w:rFonts w:ascii="Arial" w:hAnsi="Arial" w:cs="Arial"/>
                <w:sz w:val="20"/>
                <w:szCs w:val="20"/>
              </w:rPr>
            </w:pPr>
            <w:r>
              <w:rPr>
                <w:rFonts w:ascii="Arial" w:hAnsi="Arial" w:cs="Arial"/>
                <w:sz w:val="20"/>
                <w:szCs w:val="20"/>
              </w:rPr>
              <w:t>Definición</w:t>
            </w:r>
          </w:p>
        </w:tc>
      </w:tr>
      <w:tr w:rsidR="005C2663" w14:paraId="44B05BE3" w14:textId="77777777" w:rsidTr="00F7588A">
        <w:trPr>
          <w:trHeight w:val="600"/>
        </w:trPr>
        <w:tc>
          <w:tcPr>
            <w:tcW w:w="1181" w:type="dxa"/>
            <w:hideMark/>
          </w:tcPr>
          <w:p w14:paraId="72885396" w14:textId="77777777" w:rsidR="005C2663" w:rsidRDefault="005C2663">
            <w:pPr>
              <w:jc w:val="center"/>
              <w:rPr>
                <w:rFonts w:ascii="Arial" w:hAnsi="Arial" w:cs="Arial"/>
                <w:sz w:val="20"/>
                <w:szCs w:val="20"/>
              </w:rPr>
            </w:pPr>
            <w:r>
              <w:rPr>
                <w:rFonts w:ascii="Arial" w:hAnsi="Arial" w:cs="Arial"/>
                <w:sz w:val="20"/>
                <w:szCs w:val="20"/>
              </w:rPr>
              <w:t>Claro</w:t>
            </w:r>
          </w:p>
        </w:tc>
        <w:tc>
          <w:tcPr>
            <w:tcW w:w="1217" w:type="dxa"/>
            <w:hideMark/>
          </w:tcPr>
          <w:p w14:paraId="72FB9BFF" w14:textId="77777777" w:rsidR="005C2663" w:rsidRDefault="005C2663">
            <w:pPr>
              <w:jc w:val="center"/>
              <w:rPr>
                <w:rFonts w:ascii="Arial" w:hAnsi="Arial" w:cs="Arial"/>
                <w:sz w:val="20"/>
                <w:szCs w:val="20"/>
              </w:rPr>
            </w:pPr>
            <w:r>
              <w:rPr>
                <w:rFonts w:ascii="Arial" w:hAnsi="Arial" w:cs="Arial"/>
                <w:sz w:val="20"/>
                <w:szCs w:val="20"/>
              </w:rPr>
              <w:t>0</w:t>
            </w:r>
          </w:p>
        </w:tc>
        <w:tc>
          <w:tcPr>
            <w:tcW w:w="6557" w:type="dxa"/>
            <w:hideMark/>
          </w:tcPr>
          <w:p w14:paraId="399C853E" w14:textId="77777777" w:rsidR="005C2663" w:rsidRDefault="005C2663">
            <w:pPr>
              <w:jc w:val="both"/>
              <w:rPr>
                <w:rFonts w:ascii="Arial" w:hAnsi="Arial" w:cs="Arial"/>
                <w:sz w:val="20"/>
                <w:szCs w:val="20"/>
              </w:rPr>
            </w:pPr>
            <w:r>
              <w:rPr>
                <w:rFonts w:ascii="Arial" w:hAnsi="Arial" w:cs="Arial"/>
                <w:sz w:val="20"/>
                <w:szCs w:val="20"/>
              </w:rPr>
              <w:t>Sin eritema o cambios residuales mínimos, sin induración/papulación ni costras/exudado.</w:t>
            </w:r>
          </w:p>
        </w:tc>
      </w:tr>
      <w:tr w:rsidR="005C2663" w14:paraId="781E8129" w14:textId="77777777" w:rsidTr="00F7588A">
        <w:trPr>
          <w:trHeight w:val="300"/>
        </w:trPr>
        <w:tc>
          <w:tcPr>
            <w:tcW w:w="1181" w:type="dxa"/>
            <w:hideMark/>
          </w:tcPr>
          <w:p w14:paraId="3CC1EE6E" w14:textId="77777777" w:rsidR="005C2663" w:rsidRDefault="005C2663">
            <w:pPr>
              <w:jc w:val="center"/>
              <w:rPr>
                <w:rFonts w:ascii="Arial" w:hAnsi="Arial" w:cs="Arial"/>
                <w:sz w:val="20"/>
                <w:szCs w:val="20"/>
              </w:rPr>
            </w:pPr>
            <w:r>
              <w:rPr>
                <w:rFonts w:ascii="Arial" w:hAnsi="Arial" w:cs="Arial"/>
                <w:sz w:val="20"/>
                <w:szCs w:val="20"/>
              </w:rPr>
              <w:t>Casi claro</w:t>
            </w:r>
          </w:p>
        </w:tc>
        <w:tc>
          <w:tcPr>
            <w:tcW w:w="1217" w:type="dxa"/>
            <w:hideMark/>
          </w:tcPr>
          <w:p w14:paraId="76E4B911" w14:textId="77777777" w:rsidR="005C2663" w:rsidRDefault="005C2663">
            <w:pPr>
              <w:jc w:val="center"/>
              <w:rPr>
                <w:rFonts w:ascii="Arial" w:hAnsi="Arial" w:cs="Arial"/>
                <w:sz w:val="20"/>
                <w:szCs w:val="20"/>
              </w:rPr>
            </w:pPr>
            <w:r>
              <w:rPr>
                <w:rFonts w:ascii="Arial" w:hAnsi="Arial" w:cs="Arial"/>
                <w:sz w:val="20"/>
                <w:szCs w:val="20"/>
              </w:rPr>
              <w:t>1</w:t>
            </w:r>
          </w:p>
        </w:tc>
        <w:tc>
          <w:tcPr>
            <w:tcW w:w="6557" w:type="dxa"/>
            <w:hideMark/>
          </w:tcPr>
          <w:p w14:paraId="3F9CA97A" w14:textId="77777777" w:rsidR="005C2663" w:rsidRDefault="005C2663">
            <w:pPr>
              <w:jc w:val="both"/>
              <w:rPr>
                <w:rFonts w:ascii="Arial" w:hAnsi="Arial" w:cs="Arial"/>
                <w:sz w:val="20"/>
                <w:szCs w:val="20"/>
              </w:rPr>
            </w:pPr>
            <w:r>
              <w:rPr>
                <w:rFonts w:ascii="Arial" w:hAnsi="Arial" w:cs="Arial"/>
                <w:sz w:val="20"/>
                <w:szCs w:val="20"/>
              </w:rPr>
              <w:t>Eritema leve con mínima induración/papulación sin costras/exudado.</w:t>
            </w:r>
          </w:p>
        </w:tc>
      </w:tr>
      <w:tr w:rsidR="005C2663" w14:paraId="158BAC6F" w14:textId="77777777" w:rsidTr="00F7588A">
        <w:trPr>
          <w:trHeight w:val="300"/>
        </w:trPr>
        <w:tc>
          <w:tcPr>
            <w:tcW w:w="1181" w:type="dxa"/>
            <w:hideMark/>
          </w:tcPr>
          <w:p w14:paraId="454E0BEA" w14:textId="77777777" w:rsidR="005C2663" w:rsidRDefault="005C2663">
            <w:pPr>
              <w:jc w:val="center"/>
              <w:rPr>
                <w:rFonts w:ascii="Arial" w:hAnsi="Arial" w:cs="Arial"/>
                <w:sz w:val="20"/>
                <w:szCs w:val="20"/>
              </w:rPr>
            </w:pPr>
            <w:r>
              <w:rPr>
                <w:rFonts w:ascii="Arial" w:hAnsi="Arial" w:cs="Arial"/>
                <w:sz w:val="20"/>
                <w:szCs w:val="20"/>
              </w:rPr>
              <w:t>Leve</w:t>
            </w:r>
          </w:p>
        </w:tc>
        <w:tc>
          <w:tcPr>
            <w:tcW w:w="1217" w:type="dxa"/>
            <w:hideMark/>
          </w:tcPr>
          <w:p w14:paraId="5E2BD9F6" w14:textId="77777777" w:rsidR="005C2663" w:rsidRDefault="005C2663">
            <w:pPr>
              <w:jc w:val="center"/>
              <w:rPr>
                <w:rFonts w:ascii="Arial" w:hAnsi="Arial" w:cs="Arial"/>
                <w:sz w:val="20"/>
                <w:szCs w:val="20"/>
              </w:rPr>
            </w:pPr>
            <w:r>
              <w:rPr>
                <w:rFonts w:ascii="Arial" w:hAnsi="Arial" w:cs="Arial"/>
                <w:sz w:val="20"/>
                <w:szCs w:val="20"/>
              </w:rPr>
              <w:t>2</w:t>
            </w:r>
          </w:p>
        </w:tc>
        <w:tc>
          <w:tcPr>
            <w:tcW w:w="6557" w:type="dxa"/>
            <w:hideMark/>
          </w:tcPr>
          <w:p w14:paraId="535596EC" w14:textId="77777777" w:rsidR="005C2663" w:rsidRDefault="005C2663">
            <w:pPr>
              <w:jc w:val="both"/>
              <w:rPr>
                <w:rFonts w:ascii="Arial" w:hAnsi="Arial" w:cs="Arial"/>
                <w:sz w:val="20"/>
                <w:szCs w:val="20"/>
              </w:rPr>
            </w:pPr>
            <w:r>
              <w:rPr>
                <w:rFonts w:ascii="Arial" w:hAnsi="Arial" w:cs="Arial"/>
                <w:sz w:val="20"/>
                <w:szCs w:val="20"/>
              </w:rPr>
              <w:t>Eritema rosado leve con induración/papulación leve sin costras/exudado.</w:t>
            </w:r>
          </w:p>
        </w:tc>
      </w:tr>
      <w:tr w:rsidR="005C2663" w14:paraId="08AB0DB2" w14:textId="77777777" w:rsidTr="00F7588A">
        <w:trPr>
          <w:trHeight w:val="600"/>
        </w:trPr>
        <w:tc>
          <w:tcPr>
            <w:tcW w:w="1181" w:type="dxa"/>
            <w:hideMark/>
          </w:tcPr>
          <w:p w14:paraId="2A62E9DB" w14:textId="77777777" w:rsidR="005C2663" w:rsidRDefault="005C2663">
            <w:pPr>
              <w:jc w:val="center"/>
              <w:rPr>
                <w:rFonts w:ascii="Arial" w:hAnsi="Arial" w:cs="Arial"/>
                <w:sz w:val="20"/>
                <w:szCs w:val="20"/>
              </w:rPr>
            </w:pPr>
            <w:r>
              <w:rPr>
                <w:rFonts w:ascii="Arial" w:hAnsi="Arial" w:cs="Arial"/>
                <w:sz w:val="20"/>
                <w:szCs w:val="20"/>
              </w:rPr>
              <w:t>Moderado</w:t>
            </w:r>
          </w:p>
        </w:tc>
        <w:tc>
          <w:tcPr>
            <w:tcW w:w="1217" w:type="dxa"/>
            <w:hideMark/>
          </w:tcPr>
          <w:p w14:paraId="2FB22DA2" w14:textId="77777777" w:rsidR="005C2663" w:rsidRDefault="005C2663">
            <w:pPr>
              <w:jc w:val="center"/>
              <w:rPr>
                <w:rFonts w:ascii="Arial" w:hAnsi="Arial" w:cs="Arial"/>
                <w:sz w:val="20"/>
                <w:szCs w:val="20"/>
              </w:rPr>
            </w:pPr>
            <w:r>
              <w:rPr>
                <w:rFonts w:ascii="Arial" w:hAnsi="Arial" w:cs="Arial"/>
                <w:sz w:val="20"/>
                <w:szCs w:val="20"/>
              </w:rPr>
              <w:t>3</w:t>
            </w:r>
          </w:p>
        </w:tc>
        <w:tc>
          <w:tcPr>
            <w:tcW w:w="6557" w:type="dxa"/>
            <w:hideMark/>
          </w:tcPr>
          <w:p w14:paraId="618D66BB" w14:textId="77777777" w:rsidR="005C2663" w:rsidRDefault="005C2663">
            <w:pPr>
              <w:jc w:val="both"/>
              <w:rPr>
                <w:rFonts w:ascii="Arial" w:hAnsi="Arial" w:cs="Arial"/>
                <w:sz w:val="20"/>
                <w:szCs w:val="20"/>
              </w:rPr>
            </w:pPr>
            <w:r>
              <w:rPr>
                <w:rFonts w:ascii="Arial" w:hAnsi="Arial" w:cs="Arial"/>
                <w:sz w:val="20"/>
                <w:szCs w:val="20"/>
              </w:rPr>
              <w:t>Eritema rojo-rosado con induración/papulación moderada, con o sin costras/exudado.</w:t>
            </w:r>
          </w:p>
        </w:tc>
      </w:tr>
      <w:tr w:rsidR="005C2663" w14:paraId="2CF17A8A" w14:textId="77777777" w:rsidTr="00F7588A">
        <w:trPr>
          <w:trHeight w:val="300"/>
        </w:trPr>
        <w:tc>
          <w:tcPr>
            <w:tcW w:w="1181" w:type="dxa"/>
            <w:hideMark/>
          </w:tcPr>
          <w:p w14:paraId="25391F83" w14:textId="77777777" w:rsidR="005C2663" w:rsidRDefault="005C2663">
            <w:pPr>
              <w:jc w:val="center"/>
              <w:rPr>
                <w:rFonts w:ascii="Arial" w:hAnsi="Arial" w:cs="Arial"/>
                <w:sz w:val="20"/>
                <w:szCs w:val="20"/>
              </w:rPr>
            </w:pPr>
            <w:r>
              <w:rPr>
                <w:rFonts w:ascii="Arial" w:hAnsi="Arial" w:cs="Arial"/>
                <w:sz w:val="20"/>
                <w:szCs w:val="20"/>
              </w:rPr>
              <w:t>Severo</w:t>
            </w:r>
          </w:p>
        </w:tc>
        <w:tc>
          <w:tcPr>
            <w:tcW w:w="1217" w:type="dxa"/>
            <w:hideMark/>
          </w:tcPr>
          <w:p w14:paraId="1B7AA0C3" w14:textId="77777777" w:rsidR="005C2663" w:rsidRDefault="005C2663">
            <w:pPr>
              <w:jc w:val="center"/>
              <w:rPr>
                <w:rFonts w:ascii="Arial" w:hAnsi="Arial" w:cs="Arial"/>
                <w:sz w:val="20"/>
                <w:szCs w:val="20"/>
              </w:rPr>
            </w:pPr>
            <w:r>
              <w:rPr>
                <w:rFonts w:ascii="Arial" w:hAnsi="Arial" w:cs="Arial"/>
                <w:sz w:val="20"/>
                <w:szCs w:val="20"/>
              </w:rPr>
              <w:t>4</w:t>
            </w:r>
          </w:p>
        </w:tc>
        <w:tc>
          <w:tcPr>
            <w:tcW w:w="6557" w:type="dxa"/>
            <w:hideMark/>
          </w:tcPr>
          <w:p w14:paraId="4A7606D8" w14:textId="77777777" w:rsidR="005C2663" w:rsidRDefault="005C2663">
            <w:pPr>
              <w:jc w:val="both"/>
              <w:rPr>
                <w:rFonts w:ascii="Arial" w:hAnsi="Arial" w:cs="Arial"/>
                <w:sz w:val="20"/>
                <w:szCs w:val="20"/>
              </w:rPr>
            </w:pPr>
            <w:r>
              <w:rPr>
                <w:rFonts w:ascii="Arial" w:hAnsi="Arial" w:cs="Arial"/>
                <w:sz w:val="20"/>
                <w:szCs w:val="20"/>
              </w:rPr>
              <w:t>Eritema rojo intenso con induración/papulación severa y costras/exudado.</w:t>
            </w:r>
          </w:p>
        </w:tc>
      </w:tr>
    </w:tbl>
    <w:p w14:paraId="46F6D374" w14:textId="77777777" w:rsidR="002F63B7" w:rsidRPr="002F63B7" w:rsidRDefault="002F63B7" w:rsidP="005C2663">
      <w:pPr>
        <w:jc w:val="center"/>
        <w:rPr>
          <w:rFonts w:ascii="Arial" w:hAnsi="Arial" w:cs="Arial"/>
          <w:sz w:val="20"/>
          <w:szCs w:val="20"/>
        </w:rPr>
      </w:pPr>
    </w:p>
    <w:p w14:paraId="061AE262" w14:textId="77777777" w:rsidR="003C7B55" w:rsidRPr="003C7B55" w:rsidRDefault="003C7B55" w:rsidP="003C7B55">
      <w:pPr>
        <w:jc w:val="center"/>
        <w:rPr>
          <w:rFonts w:ascii="Arial" w:hAnsi="Arial" w:cs="Arial"/>
          <w:b/>
          <w:bCs/>
          <w:sz w:val="20"/>
          <w:szCs w:val="20"/>
        </w:rPr>
      </w:pPr>
    </w:p>
    <w:p w14:paraId="506B89E4" w14:textId="77777777" w:rsidR="003C7B55" w:rsidRPr="002F63B7" w:rsidRDefault="003C7B55" w:rsidP="003C7B55">
      <w:pPr>
        <w:jc w:val="center"/>
        <w:rPr>
          <w:rFonts w:ascii="Arial" w:hAnsi="Arial" w:cs="Arial"/>
          <w:sz w:val="20"/>
          <w:szCs w:val="20"/>
        </w:rPr>
      </w:pP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5934"/>
      </w:tblGrid>
      <w:tr w:rsidR="00F7588A" w14:paraId="01585421" w14:textId="77777777" w:rsidTr="00F7588A">
        <w:trPr>
          <w:trHeight w:val="506"/>
        </w:trPr>
        <w:tc>
          <w:tcPr>
            <w:tcW w:w="9043" w:type="dxa"/>
            <w:gridSpan w:val="2"/>
            <w:shd w:val="clear" w:color="auto" w:fill="C5E0B3"/>
          </w:tcPr>
          <w:p w14:paraId="4895C3D3" w14:textId="77777777" w:rsidR="00F7588A" w:rsidRPr="003C7B55" w:rsidRDefault="00F7588A" w:rsidP="00F7588A">
            <w:pPr>
              <w:jc w:val="both"/>
              <w:rPr>
                <w:rFonts w:ascii="Arial" w:hAnsi="Arial" w:cs="Arial"/>
                <w:b/>
                <w:bCs/>
                <w:sz w:val="20"/>
                <w:szCs w:val="20"/>
              </w:rPr>
            </w:pPr>
          </w:p>
          <w:p w14:paraId="348640E2" w14:textId="77777777" w:rsidR="00F7588A" w:rsidRPr="003C7B55" w:rsidRDefault="00F7588A" w:rsidP="00F7588A">
            <w:pPr>
              <w:jc w:val="center"/>
              <w:rPr>
                <w:rFonts w:ascii="Arial" w:hAnsi="Arial" w:cs="Arial"/>
                <w:b/>
                <w:bCs/>
                <w:sz w:val="20"/>
                <w:szCs w:val="20"/>
              </w:rPr>
            </w:pPr>
            <w:r w:rsidRPr="003C7B55">
              <w:rPr>
                <w:rFonts w:ascii="Arial" w:hAnsi="Arial" w:cs="Arial"/>
                <w:b/>
                <w:bCs/>
                <w:sz w:val="20"/>
                <w:szCs w:val="20"/>
              </w:rPr>
              <w:t xml:space="preserve">Tabla </w:t>
            </w:r>
            <w:r>
              <w:rPr>
                <w:rFonts w:ascii="Arial" w:hAnsi="Arial" w:cs="Arial"/>
                <w:b/>
                <w:bCs/>
                <w:sz w:val="20"/>
                <w:szCs w:val="20"/>
              </w:rPr>
              <w:t>11</w:t>
            </w:r>
            <w:r w:rsidRPr="003C7B55">
              <w:rPr>
                <w:rFonts w:ascii="Arial" w:hAnsi="Arial" w:cs="Arial"/>
                <w:b/>
                <w:bCs/>
                <w:sz w:val="20"/>
                <w:szCs w:val="20"/>
              </w:rPr>
              <w:t>. Escala EASI (Eczema Area and Severity Index)</w:t>
            </w:r>
            <w:r>
              <w:rPr>
                <w:rFonts w:ascii="Arial" w:hAnsi="Arial" w:cs="Arial"/>
                <w:b/>
                <w:bCs/>
                <w:sz w:val="20"/>
                <w:szCs w:val="20"/>
              </w:rPr>
              <w:t xml:space="preserve"> </w:t>
            </w:r>
            <w:r w:rsidR="00646A51">
              <w:rPr>
                <w:rFonts w:ascii="Arial" w:hAnsi="Arial" w:cs="Arial"/>
                <w:b/>
                <w:bCs/>
                <w:sz w:val="20"/>
                <w:szCs w:val="20"/>
              </w:rPr>
              <w:fldChar w:fldCharType="begin"/>
            </w:r>
            <w:r>
              <w:rPr>
                <w:rFonts w:ascii="Arial" w:hAnsi="Arial" w:cs="Arial"/>
                <w:b/>
                <w:bCs/>
                <w:sz w:val="20"/>
                <w:szCs w:val="20"/>
              </w:rPr>
              <w:instrText xml:space="preserve"> ADDIN ZOTERO_ITEM CSL_CITATION {"citationID":"MGNlqwDH","properties":{"formattedCitation":"(13)","plainCitation":"(13)","noteIndex":0},"citationItems":[{"id":22,"uris":["http://zotero.org/users/18702181/items/5JWGRDEH"],"itemData":{"id":22,"type":"webpage","language":"en","title":"Informe EPAR Nemluvio","URL":"https://www.ema.europa.eu/en/medicines/human/EPAR/nemluvio","author":[{"family":"European Medicines Agency (EMA)","given":""}],"accessed":{"date-parts":[["2025",11,5]]},"issued":{"date-parts":[["2024",12,13]]}}}],"schema":"https://github.com/citation-style-language/schema/raw/master/csl-citation.json"} </w:instrText>
            </w:r>
            <w:r w:rsidR="00646A51">
              <w:rPr>
                <w:rFonts w:ascii="Arial" w:hAnsi="Arial" w:cs="Arial"/>
                <w:b/>
                <w:bCs/>
                <w:sz w:val="20"/>
                <w:szCs w:val="20"/>
              </w:rPr>
              <w:fldChar w:fldCharType="separate"/>
            </w:r>
            <w:r w:rsidRPr="00AB2E8A">
              <w:rPr>
                <w:rFonts w:ascii="Arial" w:hAnsi="Arial" w:cs="Arial"/>
                <w:sz w:val="20"/>
              </w:rPr>
              <w:t>(13)</w:t>
            </w:r>
            <w:r w:rsidR="00646A51">
              <w:rPr>
                <w:rFonts w:ascii="Arial" w:hAnsi="Arial" w:cs="Arial"/>
                <w:b/>
                <w:bCs/>
                <w:sz w:val="20"/>
                <w:szCs w:val="20"/>
              </w:rPr>
              <w:fldChar w:fldCharType="end"/>
            </w:r>
          </w:p>
          <w:p w14:paraId="1D73DFAB" w14:textId="77777777" w:rsidR="00F7588A" w:rsidRDefault="00F7588A">
            <w:pPr>
              <w:jc w:val="center"/>
              <w:rPr>
                <w:rFonts w:ascii="Arial" w:hAnsi="Arial" w:cs="Arial"/>
                <w:sz w:val="20"/>
                <w:szCs w:val="20"/>
              </w:rPr>
            </w:pPr>
          </w:p>
        </w:tc>
      </w:tr>
      <w:tr w:rsidR="003C7B55" w14:paraId="7FD32965" w14:textId="77777777">
        <w:trPr>
          <w:trHeight w:val="327"/>
        </w:trPr>
        <w:tc>
          <w:tcPr>
            <w:tcW w:w="3109" w:type="dxa"/>
            <w:shd w:val="clear" w:color="auto" w:fill="C5E0B3"/>
            <w:hideMark/>
          </w:tcPr>
          <w:p w14:paraId="34A02186" w14:textId="77777777" w:rsidR="003C7B55" w:rsidRDefault="003C7B55">
            <w:pPr>
              <w:jc w:val="center"/>
              <w:rPr>
                <w:rFonts w:ascii="Arial" w:hAnsi="Arial" w:cs="Arial"/>
                <w:sz w:val="20"/>
                <w:szCs w:val="20"/>
              </w:rPr>
            </w:pPr>
            <w:r>
              <w:rPr>
                <w:rFonts w:ascii="Arial" w:hAnsi="Arial" w:cs="Arial"/>
                <w:sz w:val="20"/>
                <w:szCs w:val="20"/>
              </w:rPr>
              <w:t>Región corporal</w:t>
            </w:r>
          </w:p>
        </w:tc>
        <w:tc>
          <w:tcPr>
            <w:tcW w:w="5934" w:type="dxa"/>
            <w:shd w:val="clear" w:color="auto" w:fill="C5E0B3"/>
            <w:noWrap/>
            <w:hideMark/>
          </w:tcPr>
          <w:p w14:paraId="7E32D99C" w14:textId="77777777" w:rsidR="003C7B55" w:rsidRDefault="003C7B55">
            <w:pPr>
              <w:jc w:val="center"/>
              <w:rPr>
                <w:rFonts w:ascii="Arial" w:hAnsi="Arial" w:cs="Arial"/>
                <w:sz w:val="20"/>
                <w:szCs w:val="20"/>
              </w:rPr>
            </w:pPr>
            <w:r>
              <w:rPr>
                <w:rFonts w:ascii="Arial" w:hAnsi="Arial" w:cs="Arial"/>
                <w:sz w:val="20"/>
                <w:szCs w:val="20"/>
              </w:rPr>
              <w:t>Fórmula</w:t>
            </w:r>
          </w:p>
        </w:tc>
      </w:tr>
      <w:tr w:rsidR="003C7B55" w14:paraId="7F4E9DEB" w14:textId="77777777">
        <w:trPr>
          <w:trHeight w:val="327"/>
        </w:trPr>
        <w:tc>
          <w:tcPr>
            <w:tcW w:w="3109" w:type="dxa"/>
            <w:hideMark/>
          </w:tcPr>
          <w:p w14:paraId="62E809B1" w14:textId="77777777" w:rsidR="003C7B55" w:rsidRDefault="003C7B55">
            <w:pPr>
              <w:jc w:val="center"/>
              <w:rPr>
                <w:rFonts w:ascii="Arial" w:hAnsi="Arial" w:cs="Arial"/>
                <w:sz w:val="20"/>
                <w:szCs w:val="20"/>
              </w:rPr>
            </w:pPr>
            <w:r>
              <w:rPr>
                <w:rFonts w:ascii="Arial" w:hAnsi="Arial" w:cs="Arial"/>
                <w:sz w:val="20"/>
                <w:szCs w:val="20"/>
              </w:rPr>
              <w:t>Cabeza/cuello</w:t>
            </w:r>
          </w:p>
        </w:tc>
        <w:tc>
          <w:tcPr>
            <w:tcW w:w="5934" w:type="dxa"/>
            <w:hideMark/>
          </w:tcPr>
          <w:p w14:paraId="7AC8AAD5" w14:textId="77777777" w:rsidR="003C7B55" w:rsidRDefault="003C7B55">
            <w:pPr>
              <w:jc w:val="center"/>
              <w:rPr>
                <w:rFonts w:ascii="Arial" w:hAnsi="Arial" w:cs="Arial"/>
                <w:sz w:val="20"/>
                <w:szCs w:val="20"/>
              </w:rPr>
            </w:pPr>
            <w:r>
              <w:rPr>
                <w:rFonts w:ascii="Arial" w:hAnsi="Arial" w:cs="Arial"/>
                <w:sz w:val="20"/>
                <w:szCs w:val="20"/>
              </w:rPr>
              <w:t>(E + I + Ex + L) × Área × 0.1</w:t>
            </w:r>
          </w:p>
        </w:tc>
      </w:tr>
      <w:tr w:rsidR="003C7B55" w14:paraId="036440CA" w14:textId="77777777">
        <w:trPr>
          <w:trHeight w:val="654"/>
        </w:trPr>
        <w:tc>
          <w:tcPr>
            <w:tcW w:w="3109" w:type="dxa"/>
            <w:hideMark/>
          </w:tcPr>
          <w:p w14:paraId="060D39FC" w14:textId="77777777" w:rsidR="003C7B55" w:rsidRDefault="003C7B55">
            <w:pPr>
              <w:jc w:val="center"/>
              <w:rPr>
                <w:rFonts w:ascii="Arial" w:hAnsi="Arial" w:cs="Arial"/>
                <w:sz w:val="20"/>
                <w:szCs w:val="20"/>
              </w:rPr>
            </w:pPr>
            <w:r>
              <w:rPr>
                <w:rFonts w:ascii="Arial" w:hAnsi="Arial" w:cs="Arial"/>
                <w:sz w:val="20"/>
                <w:szCs w:val="20"/>
              </w:rPr>
              <w:t>Extremidades superiores</w:t>
            </w:r>
          </w:p>
        </w:tc>
        <w:tc>
          <w:tcPr>
            <w:tcW w:w="5934" w:type="dxa"/>
            <w:noWrap/>
            <w:hideMark/>
          </w:tcPr>
          <w:p w14:paraId="44762488" w14:textId="77777777" w:rsidR="003C7B55" w:rsidRDefault="003C7B55">
            <w:pPr>
              <w:jc w:val="center"/>
              <w:rPr>
                <w:rFonts w:ascii="Arial" w:hAnsi="Arial" w:cs="Arial"/>
                <w:sz w:val="20"/>
                <w:szCs w:val="20"/>
              </w:rPr>
            </w:pPr>
            <w:r>
              <w:rPr>
                <w:rFonts w:ascii="Arial" w:hAnsi="Arial" w:cs="Arial"/>
                <w:sz w:val="20"/>
                <w:szCs w:val="20"/>
              </w:rPr>
              <w:t>(E + I + Ex + L) × Área × 0.2</w:t>
            </w:r>
          </w:p>
        </w:tc>
      </w:tr>
      <w:tr w:rsidR="003C7B55" w14:paraId="0D7088B3" w14:textId="77777777">
        <w:trPr>
          <w:trHeight w:val="327"/>
        </w:trPr>
        <w:tc>
          <w:tcPr>
            <w:tcW w:w="3109" w:type="dxa"/>
            <w:hideMark/>
          </w:tcPr>
          <w:p w14:paraId="38162E85" w14:textId="77777777" w:rsidR="003C7B55" w:rsidRDefault="003C7B55">
            <w:pPr>
              <w:jc w:val="center"/>
              <w:rPr>
                <w:rFonts w:ascii="Arial" w:hAnsi="Arial" w:cs="Arial"/>
                <w:sz w:val="20"/>
                <w:szCs w:val="20"/>
              </w:rPr>
            </w:pPr>
            <w:r>
              <w:rPr>
                <w:rFonts w:ascii="Arial" w:hAnsi="Arial" w:cs="Arial"/>
                <w:sz w:val="20"/>
                <w:szCs w:val="20"/>
              </w:rPr>
              <w:t>Tronco</w:t>
            </w:r>
          </w:p>
        </w:tc>
        <w:tc>
          <w:tcPr>
            <w:tcW w:w="5934" w:type="dxa"/>
            <w:noWrap/>
            <w:hideMark/>
          </w:tcPr>
          <w:p w14:paraId="46037371" w14:textId="77777777" w:rsidR="003C7B55" w:rsidRDefault="003C7B55">
            <w:pPr>
              <w:jc w:val="center"/>
              <w:rPr>
                <w:rFonts w:ascii="Arial" w:hAnsi="Arial" w:cs="Arial"/>
                <w:sz w:val="20"/>
                <w:szCs w:val="20"/>
              </w:rPr>
            </w:pPr>
            <w:r>
              <w:rPr>
                <w:rFonts w:ascii="Arial" w:hAnsi="Arial" w:cs="Arial"/>
                <w:sz w:val="20"/>
                <w:szCs w:val="20"/>
              </w:rPr>
              <w:t>(E + I + Ex + L) × Área × 0.3</w:t>
            </w:r>
          </w:p>
        </w:tc>
      </w:tr>
      <w:tr w:rsidR="003C7B55" w14:paraId="16181797" w14:textId="77777777">
        <w:trPr>
          <w:trHeight w:val="654"/>
        </w:trPr>
        <w:tc>
          <w:tcPr>
            <w:tcW w:w="3109" w:type="dxa"/>
            <w:hideMark/>
          </w:tcPr>
          <w:p w14:paraId="3138FBEB" w14:textId="77777777" w:rsidR="003C7B55" w:rsidRDefault="003C7B55">
            <w:pPr>
              <w:jc w:val="center"/>
              <w:rPr>
                <w:rFonts w:ascii="Arial" w:hAnsi="Arial" w:cs="Arial"/>
                <w:sz w:val="20"/>
                <w:szCs w:val="20"/>
              </w:rPr>
            </w:pPr>
            <w:r>
              <w:rPr>
                <w:rFonts w:ascii="Arial" w:hAnsi="Arial" w:cs="Arial"/>
                <w:sz w:val="20"/>
                <w:szCs w:val="20"/>
              </w:rPr>
              <w:t>Extremidades inferiores</w:t>
            </w:r>
          </w:p>
        </w:tc>
        <w:tc>
          <w:tcPr>
            <w:tcW w:w="5934" w:type="dxa"/>
            <w:noWrap/>
            <w:hideMark/>
          </w:tcPr>
          <w:p w14:paraId="72252562" w14:textId="77777777" w:rsidR="003C7B55" w:rsidRDefault="003C7B55">
            <w:pPr>
              <w:jc w:val="center"/>
              <w:rPr>
                <w:rFonts w:ascii="Arial" w:hAnsi="Arial" w:cs="Arial"/>
                <w:sz w:val="20"/>
                <w:szCs w:val="20"/>
              </w:rPr>
            </w:pPr>
            <w:r>
              <w:rPr>
                <w:rFonts w:ascii="Arial" w:hAnsi="Arial" w:cs="Arial"/>
                <w:sz w:val="20"/>
                <w:szCs w:val="20"/>
              </w:rPr>
              <w:t>(E + I + Ex + L) × Área × 0.4</w:t>
            </w:r>
          </w:p>
        </w:tc>
      </w:tr>
    </w:tbl>
    <w:p w14:paraId="354DC06A" w14:textId="77777777" w:rsidR="00AC3463" w:rsidRDefault="003C7B55" w:rsidP="008702CD">
      <w:pPr>
        <w:rPr>
          <w:rFonts w:ascii="Arial" w:hAnsi="Arial" w:cs="Arial"/>
          <w:sz w:val="20"/>
          <w:szCs w:val="20"/>
        </w:rPr>
      </w:pPr>
      <w:r>
        <w:rPr>
          <w:rFonts w:ascii="Arial" w:hAnsi="Arial" w:cs="Arial"/>
          <w:sz w:val="20"/>
          <w:szCs w:val="20"/>
        </w:rPr>
        <w:t>E:eritema, I: induración/papulación, Ex: excoriaciones, L: linquenificación. El área está definida en una escala de 7 puntos: 0 no erupción, 1=&lt;10%; 2=10-29%, 3= 30-49%, 4=50-69%, 5=70-89%, 6=90-100%.</w:t>
      </w:r>
      <w:r w:rsidR="008702CD">
        <w:rPr>
          <w:rFonts w:ascii="Arial" w:hAnsi="Arial" w:cs="Arial"/>
          <w:sz w:val="20"/>
          <w:szCs w:val="20"/>
        </w:rPr>
        <w:t xml:space="preserve"> </w:t>
      </w:r>
    </w:p>
    <w:p w14:paraId="02DB8412" w14:textId="77777777" w:rsidR="00583742" w:rsidRDefault="00583742" w:rsidP="00583742">
      <w:pPr>
        <w:rPr>
          <w:noProof/>
        </w:rPr>
      </w:pPr>
    </w:p>
    <w:p w14:paraId="3A6646AF" w14:textId="77777777" w:rsidR="008702CD" w:rsidRDefault="008702CD" w:rsidP="008702CD">
      <w:pPr>
        <w:jc w:val="both"/>
        <w:rPr>
          <w:rFonts w:ascii="Arial" w:hAnsi="Arial" w:cs="Arial"/>
          <w:sz w:val="20"/>
          <w:szCs w:val="20"/>
        </w:rPr>
      </w:pPr>
      <w:r w:rsidRPr="008702CD">
        <w:rPr>
          <w:rFonts w:ascii="Arial" w:hAnsi="Arial" w:cs="Arial"/>
          <w:sz w:val="20"/>
          <w:szCs w:val="20"/>
        </w:rPr>
        <w:t xml:space="preserve">La </w:t>
      </w:r>
      <w:r w:rsidRPr="008702CD">
        <w:rPr>
          <w:rFonts w:ascii="Arial" w:hAnsi="Arial" w:cs="Arial"/>
          <w:b/>
          <w:bCs/>
          <w:sz w:val="20"/>
          <w:szCs w:val="20"/>
        </w:rPr>
        <w:t xml:space="preserve">precisión </w:t>
      </w:r>
      <w:r>
        <w:rPr>
          <w:rFonts w:ascii="Arial" w:hAnsi="Arial" w:cs="Arial"/>
          <w:b/>
          <w:bCs/>
          <w:sz w:val="20"/>
          <w:szCs w:val="20"/>
        </w:rPr>
        <w:t xml:space="preserve">diagnóstica </w:t>
      </w:r>
      <w:r w:rsidRPr="008702CD">
        <w:rPr>
          <w:rFonts w:ascii="Arial" w:hAnsi="Arial" w:cs="Arial"/>
          <w:sz w:val="20"/>
          <w:szCs w:val="20"/>
        </w:rPr>
        <w:t>(validez analítica</w:t>
      </w:r>
      <w:r>
        <w:rPr>
          <w:rFonts w:ascii="Arial" w:hAnsi="Arial" w:cs="Arial"/>
          <w:b/>
          <w:bCs/>
          <w:sz w:val="20"/>
          <w:szCs w:val="20"/>
        </w:rPr>
        <w:t xml:space="preserve">) </w:t>
      </w:r>
      <w:r w:rsidRPr="008702CD">
        <w:rPr>
          <w:rFonts w:ascii="Arial" w:hAnsi="Arial" w:cs="Arial"/>
          <w:sz w:val="20"/>
          <w:szCs w:val="20"/>
        </w:rPr>
        <w:t xml:space="preserve">de las escalas y cuestionarios empleados para evaluar la severidad de la </w:t>
      </w:r>
      <w:r w:rsidR="00BD5ED6">
        <w:rPr>
          <w:rFonts w:ascii="Arial" w:hAnsi="Arial" w:cs="Arial"/>
          <w:sz w:val="20"/>
          <w:szCs w:val="20"/>
        </w:rPr>
        <w:t xml:space="preserve">DA </w:t>
      </w:r>
      <w:r w:rsidRPr="008702CD">
        <w:rPr>
          <w:rFonts w:ascii="Arial" w:hAnsi="Arial" w:cs="Arial"/>
          <w:sz w:val="20"/>
          <w:szCs w:val="20"/>
        </w:rPr>
        <w:t>(como EASI</w:t>
      </w:r>
      <w:r w:rsidR="00241686">
        <w:rPr>
          <w:rFonts w:ascii="Arial" w:hAnsi="Arial" w:cs="Arial"/>
          <w:sz w:val="20"/>
          <w:szCs w:val="20"/>
        </w:rPr>
        <w:t xml:space="preserve"> o</w:t>
      </w:r>
      <w:r w:rsidRPr="008702CD">
        <w:rPr>
          <w:rFonts w:ascii="Arial" w:hAnsi="Arial" w:cs="Arial"/>
          <w:sz w:val="20"/>
          <w:szCs w:val="20"/>
        </w:rPr>
        <w:t xml:space="preserve"> IG</w:t>
      </w:r>
      <w:r>
        <w:rPr>
          <w:rFonts w:ascii="Arial" w:hAnsi="Arial" w:cs="Arial"/>
          <w:sz w:val="20"/>
          <w:szCs w:val="20"/>
        </w:rPr>
        <w:t>A</w:t>
      </w:r>
      <w:r w:rsidRPr="008702CD">
        <w:rPr>
          <w:rFonts w:ascii="Arial" w:hAnsi="Arial" w:cs="Arial"/>
          <w:sz w:val="20"/>
          <w:szCs w:val="20"/>
        </w:rPr>
        <w:t xml:space="preserve">) es, por naturaleza, subjetiva, ya que depende de la observación del clínico y del cumplimiento estricto de las directrices de cada </w:t>
      </w:r>
      <w:r>
        <w:rPr>
          <w:rFonts w:ascii="Arial" w:hAnsi="Arial" w:cs="Arial"/>
          <w:sz w:val="20"/>
          <w:szCs w:val="20"/>
        </w:rPr>
        <w:t>escala</w:t>
      </w:r>
      <w:r w:rsidRPr="008702CD">
        <w:rPr>
          <w:rFonts w:ascii="Arial" w:hAnsi="Arial" w:cs="Arial"/>
          <w:sz w:val="20"/>
          <w:szCs w:val="20"/>
        </w:rPr>
        <w:t>, lo que puede introducir sesgo de medición y generar variabilidad interobservador que reduzca la validez analítica; sin embargo, en ensayos clínicos doble ciego, este sesgo se distribuye de manera similar entre los grupos de tratamiento y placeb</w:t>
      </w:r>
      <w:r>
        <w:rPr>
          <w:rFonts w:ascii="Arial" w:hAnsi="Arial" w:cs="Arial"/>
          <w:sz w:val="20"/>
          <w:szCs w:val="20"/>
        </w:rPr>
        <w:t>o.</w:t>
      </w:r>
      <w:r w:rsidR="00241686">
        <w:rPr>
          <w:rFonts w:ascii="Arial" w:hAnsi="Arial" w:cs="Arial"/>
          <w:sz w:val="20"/>
          <w:szCs w:val="20"/>
        </w:rPr>
        <w:t xml:space="preserve"> Igualmente ocurre con la escala PP-NRS en este caso es una escala subjetiva que depende de la valoración que hace el paciente sobre el nivel del picor. </w:t>
      </w:r>
    </w:p>
    <w:p w14:paraId="00B27E7F" w14:textId="77777777" w:rsidR="008702CD" w:rsidRDefault="008702CD" w:rsidP="008702CD">
      <w:pPr>
        <w:jc w:val="both"/>
        <w:rPr>
          <w:rFonts w:ascii="Arial" w:hAnsi="Arial" w:cs="Arial"/>
          <w:sz w:val="20"/>
          <w:szCs w:val="20"/>
        </w:rPr>
      </w:pPr>
    </w:p>
    <w:p w14:paraId="5AAB8D3A" w14:textId="77777777" w:rsidR="003C7B55" w:rsidRPr="008702CD" w:rsidRDefault="008702CD" w:rsidP="008702CD">
      <w:pPr>
        <w:jc w:val="both"/>
        <w:rPr>
          <w:rFonts w:ascii="Arial" w:hAnsi="Arial" w:cs="Arial"/>
          <w:sz w:val="20"/>
          <w:szCs w:val="20"/>
        </w:rPr>
      </w:pPr>
      <w:r w:rsidRPr="008702CD">
        <w:rPr>
          <w:rFonts w:ascii="Arial" w:hAnsi="Arial" w:cs="Arial"/>
          <w:sz w:val="20"/>
          <w:szCs w:val="20"/>
        </w:rPr>
        <w:t xml:space="preserve">A pesar de la ausencia de biomarcadores objetivos o tests estandarizados para cuantificar la intensidad de la enfermedad, estas escalas presentan una clara </w:t>
      </w:r>
      <w:r w:rsidRPr="008702CD">
        <w:rPr>
          <w:rFonts w:ascii="Arial" w:hAnsi="Arial" w:cs="Arial"/>
          <w:b/>
          <w:bCs/>
          <w:sz w:val="20"/>
          <w:szCs w:val="20"/>
        </w:rPr>
        <w:t>utilidad clínica</w:t>
      </w:r>
      <w:r w:rsidRPr="008702CD">
        <w:rPr>
          <w:rFonts w:ascii="Arial" w:hAnsi="Arial" w:cs="Arial"/>
          <w:sz w:val="20"/>
          <w:szCs w:val="20"/>
        </w:rPr>
        <w:t>, ya que miden signos y síntomas directamente observables como eritema, liquenificación o prurito, siendo por</w:t>
      </w:r>
      <w:r w:rsidRPr="008702CD">
        <w:rPr>
          <w:noProof/>
        </w:rPr>
        <w:t xml:space="preserve"> </w:t>
      </w:r>
      <w:r w:rsidRPr="008702CD">
        <w:rPr>
          <w:rFonts w:ascii="Arial" w:hAnsi="Arial" w:cs="Arial"/>
          <w:sz w:val="20"/>
          <w:szCs w:val="20"/>
        </w:rPr>
        <w:t xml:space="preserve">tanto herramientas prácticas para evaluar la intensidad y el impacto de la </w:t>
      </w:r>
      <w:r w:rsidR="00BD5ED6">
        <w:rPr>
          <w:rFonts w:ascii="Arial" w:hAnsi="Arial" w:cs="Arial"/>
          <w:sz w:val="20"/>
          <w:szCs w:val="20"/>
        </w:rPr>
        <w:t>DA</w:t>
      </w:r>
      <w:r w:rsidRPr="008702CD">
        <w:rPr>
          <w:rFonts w:ascii="Arial" w:hAnsi="Arial" w:cs="Arial"/>
          <w:sz w:val="20"/>
          <w:szCs w:val="20"/>
        </w:rPr>
        <w:t>. No obstante, su uso rutinario en la práctica clínica diaria es limitado, dado que las decisiones terapéuticas se suelen basar en la impresión global del clínico y en las necesidades individuales del paciente, más que en la puntuación formal de estas escalas.</w:t>
      </w:r>
    </w:p>
    <w:p w14:paraId="0255C1AB" w14:textId="77777777" w:rsidR="00583742" w:rsidRPr="006F6ABB" w:rsidRDefault="00583742" w:rsidP="00583742">
      <w:pPr>
        <w:rPr>
          <w:rFonts w:ascii="Arial" w:hAnsi="Arial" w:cs="Arial"/>
          <w:bCs/>
          <w:color w:val="0000FF"/>
          <w:sz w:val="20"/>
          <w:szCs w:val="20"/>
          <w:u w:val="single"/>
        </w:rPr>
      </w:pPr>
    </w:p>
    <w:p w14:paraId="2EF362A9" w14:textId="77777777" w:rsidR="00BC3E8E" w:rsidRPr="006F6ABB" w:rsidRDefault="00BC3E8E" w:rsidP="00BC3E8E">
      <w:pPr>
        <w:jc w:val="both"/>
        <w:rPr>
          <w:rFonts w:ascii="Arial" w:hAnsi="Arial" w:cs="Arial"/>
          <w:sz w:val="20"/>
          <w:szCs w:val="20"/>
        </w:rPr>
      </w:pPr>
    </w:p>
    <w:p w14:paraId="4A1CC74F" w14:textId="77777777"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0" w:name="_Toc344399644"/>
      <w:bookmarkStart w:id="81" w:name="_Toc348931371"/>
      <w:bookmarkStart w:id="82" w:name="_Toc216191094"/>
      <w:r w:rsidRPr="00E3472F">
        <w:rPr>
          <w:rFonts w:cs="Arial"/>
          <w:sz w:val="20"/>
        </w:rPr>
        <w:t>5.3 Revisiones sistemáticas publicadas, comparaciones indirectas y sus conclusiones</w:t>
      </w:r>
      <w:bookmarkEnd w:id="80"/>
      <w:bookmarkEnd w:id="81"/>
      <w:bookmarkEnd w:id="82"/>
      <w:r w:rsidRPr="006F6ABB">
        <w:rPr>
          <w:rFonts w:cs="Arial"/>
          <w:sz w:val="20"/>
        </w:rPr>
        <w:t xml:space="preserve"> </w:t>
      </w:r>
    </w:p>
    <w:p w14:paraId="4D171158" w14:textId="77777777" w:rsidR="00BC3E8E" w:rsidRDefault="00BC3E8E" w:rsidP="00BC3E8E">
      <w:pPr>
        <w:jc w:val="both"/>
        <w:rPr>
          <w:rFonts w:ascii="Arial" w:hAnsi="Arial" w:cs="Arial"/>
          <w:color w:val="000080"/>
          <w:sz w:val="20"/>
          <w:szCs w:val="20"/>
        </w:rPr>
      </w:pPr>
    </w:p>
    <w:p w14:paraId="0901292D" w14:textId="77777777" w:rsidR="00BC3E8E" w:rsidRPr="006F6ABB" w:rsidRDefault="00BC3E8E" w:rsidP="00BC3E8E">
      <w:pPr>
        <w:rPr>
          <w:rFonts w:ascii="Arial" w:hAnsi="Arial" w:cs="Arial"/>
          <w:color w:val="000080"/>
          <w:sz w:val="20"/>
          <w:szCs w:val="20"/>
        </w:rPr>
      </w:pPr>
    </w:p>
    <w:p w14:paraId="0C954C69"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3" w:name="_Toc344399645"/>
      <w:bookmarkStart w:id="84" w:name="_Toc348931372"/>
      <w:bookmarkStart w:id="85" w:name="_Toc216191095"/>
      <w:r w:rsidRPr="00B35A86">
        <w:rPr>
          <w:rFonts w:cs="Arial"/>
          <w:sz w:val="20"/>
        </w:rPr>
        <w:t>5.3.a Revisiones sistemáticas publicadas</w:t>
      </w:r>
      <w:bookmarkEnd w:id="83"/>
      <w:bookmarkEnd w:id="84"/>
      <w:bookmarkEnd w:id="85"/>
    </w:p>
    <w:p w14:paraId="56A1204D" w14:textId="77777777" w:rsidR="0055730A" w:rsidRDefault="00BC3E8E" w:rsidP="0055730A">
      <w:pPr>
        <w:rPr>
          <w:rFonts w:ascii="Arial" w:hAnsi="Arial" w:cs="Arial"/>
          <w:color w:val="FF0000"/>
          <w:sz w:val="20"/>
          <w:szCs w:val="20"/>
        </w:rPr>
      </w:pPr>
      <w:r w:rsidRPr="006F6ABB">
        <w:rPr>
          <w:rFonts w:ascii="Arial" w:hAnsi="Arial" w:cs="Arial"/>
          <w:color w:val="FF0000"/>
          <w:sz w:val="20"/>
          <w:szCs w:val="20"/>
        </w:rPr>
        <w:t xml:space="preserve">              </w:t>
      </w:r>
    </w:p>
    <w:p w14:paraId="7E6100BC" w14:textId="77777777" w:rsidR="0055730A" w:rsidRDefault="0055730A" w:rsidP="005859BF">
      <w:pPr>
        <w:jc w:val="both"/>
        <w:rPr>
          <w:rFonts w:ascii="Arial" w:hAnsi="Arial" w:cs="Arial"/>
          <w:sz w:val="20"/>
          <w:szCs w:val="20"/>
        </w:rPr>
      </w:pPr>
      <w:r>
        <w:rPr>
          <w:rFonts w:ascii="Arial" w:hAnsi="Arial" w:cs="Arial"/>
          <w:sz w:val="20"/>
          <w:szCs w:val="20"/>
        </w:rPr>
        <w:t xml:space="preserve">Se realiza una búsqueda bibliográfica en Medline-PubMed a fecha de </w:t>
      </w:r>
      <w:r w:rsidR="00F7588A">
        <w:rPr>
          <w:rFonts w:ascii="Arial" w:hAnsi="Arial" w:cs="Arial"/>
          <w:sz w:val="20"/>
          <w:szCs w:val="20"/>
        </w:rPr>
        <w:t>noviembre</w:t>
      </w:r>
      <w:r>
        <w:rPr>
          <w:rFonts w:ascii="Arial" w:hAnsi="Arial" w:cs="Arial"/>
          <w:sz w:val="20"/>
          <w:szCs w:val="20"/>
        </w:rPr>
        <w:t xml:space="preserve"> 2025 con los términos “</w:t>
      </w:r>
      <w:r w:rsidR="00665283">
        <w:rPr>
          <w:rFonts w:ascii="Arial" w:hAnsi="Arial" w:cs="Arial"/>
          <w:sz w:val="20"/>
          <w:szCs w:val="20"/>
        </w:rPr>
        <w:t>nemolizumab</w:t>
      </w:r>
      <w:r>
        <w:rPr>
          <w:rFonts w:ascii="Arial" w:hAnsi="Arial" w:cs="Arial"/>
          <w:sz w:val="20"/>
          <w:szCs w:val="20"/>
        </w:rPr>
        <w:t>” AND “atopic dermatitis”, filtrando por tipo de artículo: “</w:t>
      </w:r>
      <w:r w:rsidR="00F4098F">
        <w:rPr>
          <w:rFonts w:ascii="Arial" w:hAnsi="Arial" w:cs="Arial"/>
          <w:sz w:val="20"/>
          <w:szCs w:val="20"/>
        </w:rPr>
        <w:t xml:space="preserve">5 años, </w:t>
      </w:r>
      <w:r>
        <w:rPr>
          <w:rFonts w:ascii="Arial" w:hAnsi="Arial" w:cs="Arial"/>
          <w:sz w:val="20"/>
          <w:szCs w:val="20"/>
        </w:rPr>
        <w:t>meta-analysis” y “systematic reviews”, se obtienen 1</w:t>
      </w:r>
      <w:r w:rsidR="00F4098F">
        <w:rPr>
          <w:rFonts w:ascii="Arial" w:hAnsi="Arial" w:cs="Arial"/>
          <w:sz w:val="20"/>
          <w:szCs w:val="20"/>
        </w:rPr>
        <w:t>4</w:t>
      </w:r>
      <w:r>
        <w:rPr>
          <w:rFonts w:ascii="Arial" w:hAnsi="Arial" w:cs="Arial"/>
          <w:sz w:val="20"/>
          <w:szCs w:val="20"/>
        </w:rPr>
        <w:t xml:space="preserve"> resultados. </w:t>
      </w:r>
    </w:p>
    <w:p w14:paraId="6A663989" w14:textId="77777777" w:rsidR="00B17FD2" w:rsidRDefault="00B17FD2" w:rsidP="005859BF">
      <w:pPr>
        <w:jc w:val="both"/>
        <w:rPr>
          <w:rFonts w:ascii="Arial" w:hAnsi="Arial" w:cs="Arial"/>
          <w:sz w:val="20"/>
          <w:szCs w:val="20"/>
        </w:rPr>
      </w:pPr>
    </w:p>
    <w:p w14:paraId="6EBA25BE" w14:textId="77777777" w:rsidR="00815962" w:rsidRDefault="00815962" w:rsidP="005859BF">
      <w:pPr>
        <w:jc w:val="both"/>
        <w:rPr>
          <w:rFonts w:ascii="Arial" w:hAnsi="Arial" w:cs="Arial"/>
          <w:sz w:val="20"/>
          <w:szCs w:val="20"/>
        </w:rPr>
      </w:pPr>
      <w:r w:rsidRPr="00815962">
        <w:rPr>
          <w:rFonts w:ascii="Arial" w:hAnsi="Arial" w:cs="Arial"/>
          <w:sz w:val="20"/>
          <w:szCs w:val="20"/>
        </w:rPr>
        <w:t xml:space="preserve">En la mayoría de las revisiones identificadas se incluyeron únicamente los ensayos clínicos en fase II y, en aquellos casos donde se incorporaron estudios en fase III, solo se consideraron los ensayos realizados en población japonesa, excluyéndose los ensayos ARCADIA 1 y ARCADIA 2 en </w:t>
      </w:r>
      <w:r w:rsidR="00BD5ED6">
        <w:rPr>
          <w:rFonts w:ascii="Arial" w:hAnsi="Arial" w:cs="Arial"/>
          <w:sz w:val="20"/>
          <w:szCs w:val="20"/>
        </w:rPr>
        <w:t>DA</w:t>
      </w:r>
      <w:r w:rsidRPr="00815962">
        <w:rPr>
          <w:rFonts w:ascii="Arial" w:hAnsi="Arial" w:cs="Arial"/>
          <w:sz w:val="20"/>
          <w:szCs w:val="20"/>
        </w:rPr>
        <w:t>. Por este motivo, dichas revisiones fueron descartadas para el presente análisis.</w:t>
      </w:r>
    </w:p>
    <w:p w14:paraId="7646D638" w14:textId="77777777" w:rsidR="00331661" w:rsidRPr="00815962" w:rsidRDefault="00331661" w:rsidP="005859BF">
      <w:pPr>
        <w:jc w:val="both"/>
        <w:rPr>
          <w:rFonts w:ascii="Arial" w:hAnsi="Arial" w:cs="Arial"/>
          <w:sz w:val="20"/>
          <w:szCs w:val="20"/>
        </w:rPr>
      </w:pPr>
    </w:p>
    <w:p w14:paraId="16950746" w14:textId="77777777" w:rsidR="00B17FD2" w:rsidRPr="00570BA0" w:rsidRDefault="00815962" w:rsidP="005859BF">
      <w:pPr>
        <w:jc w:val="both"/>
        <w:rPr>
          <w:rFonts w:ascii="Arial" w:hAnsi="Arial" w:cs="Arial"/>
          <w:sz w:val="20"/>
          <w:szCs w:val="20"/>
        </w:rPr>
      </w:pPr>
      <w:r w:rsidRPr="00815962">
        <w:rPr>
          <w:rFonts w:ascii="Arial" w:hAnsi="Arial" w:cs="Arial"/>
          <w:sz w:val="20"/>
          <w:szCs w:val="20"/>
        </w:rPr>
        <w:t>Respecto a las publicaciones del último año, se localizaron cuatro resultados relevantes. El primero corresponde a la actualización de la guía americana</w:t>
      </w:r>
      <w:r>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{"citationID":"M9Hpw5J0","properties":{"formattedCitation":"(8)","plainCitation":"(8)","noteIndex":0},"citationItems":[{"id":12,"uris":["http://zotero.org/users/18702181/items/K4JDKALR"],"itemData":{"id":12,"type":"article-journal","container-title":"Journal of the American Academy of Dermatology","DOI":"10.1016/j.jaad.2025.05.1386","ISSN":"0190-9622, 1097-6787","issue":"3","journalAbbreviation":"Journal of the American Academy of Dermatology","language":"English","page":"745.e1-745.e7","PMID":"40531067","publisher":"Elsevier","source":"www.jaad.org","title":"Focused update: Guidelines of care for the management of atopic dermatitis in adults","title-short":"Focused update","volume":"93","author":[{"family":"Davis","given":"Dawn M. R."},{"family":"Frazer-Green","given":"Lindsy"},{"family":"Alikhan","given":"Ali"},{"family":"Bercovitch","given":"Lionel"},{"family":"Cohen","given":"David E."},{"family":"Darr","given":"Jennifer M."},{"family":"Drucker","given":"Aaron M."},{"family":"Eichenfield","given":"Lawrence F."},{"family":"Paller","given":"Amy S."},{"family":"Schwarzenberger","given":"Kathryn"},{"family":"Silverberg","given":"Jonathan I."},{"family":"Singh","given":"Anne Marie"},{"family":"Wu","given":"Peggy A."},{"family":"Sidbury","given":"Robert"}],"issued":{"date-parts":[["2025",9,1]]}}}],"schema":"https://github.com/citation-style-language/schema/raw/master/csl-citation.json"} </w:instrText>
      </w:r>
      <w:r w:rsidR="00646A51">
        <w:rPr>
          <w:rFonts w:ascii="Arial" w:hAnsi="Arial" w:cs="Arial"/>
          <w:sz w:val="20"/>
          <w:szCs w:val="20"/>
        </w:rPr>
        <w:fldChar w:fldCharType="separate"/>
      </w:r>
      <w:r w:rsidR="00A24290" w:rsidRPr="00A24290">
        <w:rPr>
          <w:rFonts w:ascii="Arial" w:hAnsi="Arial" w:cs="Arial"/>
          <w:sz w:val="20"/>
        </w:rPr>
        <w:t>(8)</w:t>
      </w:r>
      <w:r w:rsidR="00646A51">
        <w:rPr>
          <w:rFonts w:ascii="Arial" w:hAnsi="Arial" w:cs="Arial"/>
          <w:sz w:val="20"/>
          <w:szCs w:val="20"/>
        </w:rPr>
        <w:fldChar w:fldCharType="end"/>
      </w:r>
      <w:r w:rsidRPr="00815962">
        <w:rPr>
          <w:rFonts w:ascii="Arial" w:hAnsi="Arial" w:cs="Arial"/>
          <w:sz w:val="20"/>
          <w:szCs w:val="20"/>
        </w:rPr>
        <w:t>, que ha sido incluida en el apartado de guías clínicas de este informe. El segundo es el estudio de Li et al.</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{"citationID":"MINQf9yn","properties":{"formattedCitation":"(22)","plainCitation":"(22)","noteIndex":0},"citationItems":[{"id":38,"uris":["http://zotero.org/users/18702181/items/ZY6F5WK3"],"itemData":{"id":38,"type":"article-journal","abstract":"Chronic pruritus, a common symptom of dermatologic diseases, impairs quality of life. No review exists that evaluates the efficacy of emerging therapies based on a single standardized scale. We assessed efficacy and adverse effects of novel treatments available for pruritus in patients diagnosed with common pruritic diseases using the proportions of patients experiencing a ≥4-point reduction as a standardized efficacy measure between studies. We searched PubMed, Web of Science, Embase, and Cochrane Central Register of Controlled Trials for phase II or III trials reporting change in numerical rating scale following interventions for pruritus from 2015 to 2023. The strongest improvements in pruritus were seen from ustekinumab (RR 4.30 [2.88; 6.41]) and ixekizumab (RR 4.42 [3.32; 5.88]) for psoriasis and upadacitinib (RR 5.54 [95% CI: 4.53-6.78]), abrocitinib (RR 3.76 [95% CI: 2.97-4.76]), and baricitinib (RR 3.63 [95% CI: 2.36-5.58]) for atopic dermatitis. Nemolizumab (RR 3.06 [95% CI: 1.63-5.74]) and dupilumab (RR 2.11 [95% CI: 1.30-3.41]) were most effective for prurigo nodularis, though fewer studies were available for comparison. Adverse effects were mild and similar between agents; discontinuation rates were low. This review evaluates efficacy of emerging pruritus treatments based on a single standardized measurement, highlighting the role of novel agents in the treatment of chronic pruritus.","container-title":"Dermatitis: Contact, Atopic, Occupational, Drug","DOI":"10.1089/derm.2023.0419","ISSN":"2162-5220","issue":"4","journalAbbreviation":"Dermatitis","language":"eng","page":"333-342","PMID":"40541282","source":"PubMed","title":"New and Emerging Pharmacotherapies for Pruritus: A Systematic Review and Network Meta-Analysis","title-short":"New and Emerging Pharmacotherapies for Pruritus","volume":"36","author":[{"family":"Li","given":"Han"},{"family":"Arthur","given":"Anita"},{"family":"Forouzandeh","given":"Mahtab"},{"family":"Pomputius","given":"Ariel"},{"family":"Cuervo-Pardo","given":"Lyda"},{"family":"Montanez-Wiscovich","given":"Marjorie"}],"issued":{"date-parts":[["2025"]]}}}],"schema":"https://github.com/citation-style-language/schema/raw/master/csl-citation.json"} </w:instrText>
      </w:r>
      <w:r w:rsidR="00646A51">
        <w:rPr>
          <w:rFonts w:ascii="Arial" w:hAnsi="Arial" w:cs="Arial"/>
          <w:sz w:val="20"/>
          <w:szCs w:val="20"/>
        </w:rPr>
        <w:fldChar w:fldCharType="separate"/>
      </w:r>
      <w:r w:rsidR="00511A83" w:rsidRPr="00511A83">
        <w:rPr>
          <w:rFonts w:ascii="Arial" w:hAnsi="Arial" w:cs="Arial"/>
          <w:sz w:val="20"/>
        </w:rPr>
        <w:t>(22)</w:t>
      </w:r>
      <w:r w:rsidR="00646A51">
        <w:rPr>
          <w:rFonts w:ascii="Arial" w:hAnsi="Arial" w:cs="Arial"/>
          <w:sz w:val="20"/>
          <w:szCs w:val="20"/>
        </w:rPr>
        <w:fldChar w:fldCharType="end"/>
      </w:r>
      <w:r w:rsidRPr="00815962">
        <w:rPr>
          <w:rFonts w:ascii="Arial" w:hAnsi="Arial" w:cs="Arial"/>
          <w:sz w:val="20"/>
          <w:szCs w:val="20"/>
        </w:rPr>
        <w:t xml:space="preserve">, una revisión sistemática y metaanálisis en red centrada en terapias emergentes para el prurito; sin embargo, nemolizumab únicamente fue evaluado en el contexto de prurigo nodular y no en </w:t>
      </w:r>
      <w:r w:rsidR="00F7588A">
        <w:rPr>
          <w:rFonts w:ascii="Arial" w:hAnsi="Arial" w:cs="Arial"/>
          <w:sz w:val="20"/>
          <w:szCs w:val="20"/>
        </w:rPr>
        <w:t>DA</w:t>
      </w:r>
      <w:r w:rsidRPr="00815962">
        <w:rPr>
          <w:rFonts w:ascii="Arial" w:hAnsi="Arial" w:cs="Arial"/>
          <w:sz w:val="20"/>
          <w:szCs w:val="20"/>
        </w:rPr>
        <w:t>, por lo que no resultó pertinente para los objetivos de este trabajo.</w:t>
      </w:r>
      <w:r w:rsidR="00331661">
        <w:rPr>
          <w:rFonts w:ascii="Arial" w:hAnsi="Arial" w:cs="Arial"/>
          <w:sz w:val="20"/>
          <w:szCs w:val="20"/>
        </w:rPr>
        <w:t xml:space="preserve"> </w:t>
      </w:r>
      <w:r w:rsidRPr="00815962">
        <w:rPr>
          <w:rFonts w:ascii="Arial" w:hAnsi="Arial" w:cs="Arial"/>
          <w:sz w:val="20"/>
          <w:szCs w:val="20"/>
        </w:rPr>
        <w:t>El tercer resultado corresponde a la revisión sistemática publicada por Bai et al.</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{"citationID":"0zSgl0vT","properties":{"formattedCitation":"(23)","plainCitation":"(23)","noteIndex":0},"citationItems":[{"id":40,"uris":["http://zotero.org/users/18702181/items/6GYWF567"],"itemData":{"id":40,"type":"article-journal","container-title":"Journal of Cutaneous Medicine and Surgery","DOI":"10.1177/12034754251351620","ISSN":"1615-7109","journalAbbreviation":"J Cutan Med Surg","language":"eng","page":"12034754251351620","PMID":"40538092","source":"PubMed","title":"Nemolizumab for the Treatment of Dermatological Conditions: A Systematic Review of Randomized Placebo-Controlled Trials","title-short":"Nemolizumab for the Treatment of Dermatological Conditions","author":[{"family":"Bai","given":"Jia Qi Adam"},{"family":"Geng","given":"Ryan S. Q."},{"family":"Gupta","given":"Sana"},{"family":"Akuffo-Addo","given":"Edgar"},{"family":"Lam","given":"Megan"},{"family":"Sibbald","given":"Cathryn"}],"issued":{"date-parts":[["2025",6,19]]}}}],"schema":"https://github.com/citation-style-language/schema/raw/master/csl-citation.json"} </w:instrText>
      </w:r>
      <w:r w:rsidR="00646A51">
        <w:rPr>
          <w:rFonts w:ascii="Arial" w:hAnsi="Arial" w:cs="Arial"/>
          <w:sz w:val="20"/>
          <w:szCs w:val="20"/>
        </w:rPr>
        <w:fldChar w:fldCharType="separate"/>
      </w:r>
      <w:r w:rsidR="00511A83" w:rsidRPr="00511A83">
        <w:rPr>
          <w:rFonts w:ascii="Arial" w:hAnsi="Arial" w:cs="Arial"/>
          <w:sz w:val="20"/>
        </w:rPr>
        <w:t>(23)</w:t>
      </w:r>
      <w:r w:rsidR="00646A51">
        <w:rPr>
          <w:rFonts w:ascii="Arial" w:hAnsi="Arial" w:cs="Arial"/>
          <w:sz w:val="20"/>
          <w:szCs w:val="20"/>
        </w:rPr>
        <w:fldChar w:fldCharType="end"/>
      </w:r>
      <w:r w:rsidRPr="00815962">
        <w:rPr>
          <w:rFonts w:ascii="Arial" w:hAnsi="Arial" w:cs="Arial"/>
          <w:sz w:val="20"/>
          <w:szCs w:val="20"/>
        </w:rPr>
        <w:t xml:space="preserve">, en formato de carta al editor. No fue posible acceder al material suplementario para evaluar la calidad metodológica, y además el formato de publicación no se consideró el más adecuado, motivo por el que también fue descartada. Finalmente, el metaanálisis en red de Drucker et al.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{"citationID":"H9b6iv60","properties":{"formattedCitation":"(24)","plainCitation":"(24)","noteIndex":0},"citationItems":[{"id":36,"uris":["http://zotero.org/users/18702181/items/TMK47HDT"],"itemData":{"id":36,"type":"article-journal","abstract":"Nemolizumab is a new biologic approved to treat atopic dermatitis. In this perspective piece, we use results from our living systematic review and network meta-analysis to provide perspective on the relative efficacy of nemolizumab compared with other approved targeted systemic treatments.","container-title":"The British Journal of Dermatology","DOI":"10.1093/bjd/ljaf166","ISSN":"1365-2133","issue":"3","journalAbbreviation":"Br J Dermatol","language":"eng","page":"548-552","PMID":"40334148","PMCID":"PMC12360034","source":"PubMed","title":"Living network meta-analysis to compare nemolizumab against other available targeted systemic treatments for atopic dermatitis","volume":"193","author":[{"family":"Drucker","given":"Aaron M."},{"family":"Walwyn","given":"Chantel"},{"family":"Chu","given":"Cherry"},{"family":"Yiu","given":"Zenas Z. N."},{"family":"Rochwerg","given":"Bram"},{"family":"Di Giorgio","given":"Sonya"},{"family":"Arents","given":"Bernd W. M."},{"family":"Mohan","given":"Tanya"},{"family":"Burton","given":"Tim"},{"family":"Spuls","given":"Phyllis I."},{"family":"Schmitt","given":"Jochen"},{"family":"Prieto-Merino","given":"David"},{"family":"Flohr","given":"Carsten"}],"issued":{"date-parts":[["2025",8,18]]}}}],"schema":"https://github.com/citation-style-language/schema/raw/master/csl-citation.json"} </w:instrText>
      </w:r>
      <w:r w:rsidR="00646A51">
        <w:rPr>
          <w:rFonts w:ascii="Arial" w:hAnsi="Arial" w:cs="Arial"/>
          <w:sz w:val="20"/>
          <w:szCs w:val="20"/>
        </w:rPr>
        <w:fldChar w:fldCharType="separate"/>
      </w:r>
      <w:r w:rsidR="00511A83" w:rsidRPr="00511A83">
        <w:rPr>
          <w:rFonts w:ascii="Arial" w:hAnsi="Arial" w:cs="Arial"/>
          <w:sz w:val="20"/>
        </w:rPr>
        <w:t>(24)</w:t>
      </w:r>
      <w:r w:rsidR="00646A51">
        <w:rPr>
          <w:rFonts w:ascii="Arial" w:hAnsi="Arial" w:cs="Arial"/>
          <w:sz w:val="20"/>
          <w:szCs w:val="20"/>
        </w:rPr>
        <w:fldChar w:fldCharType="end"/>
      </w:r>
      <w:r>
        <w:rPr>
          <w:rFonts w:ascii="Arial" w:hAnsi="Arial" w:cs="Arial"/>
          <w:sz w:val="20"/>
          <w:szCs w:val="20"/>
        </w:rPr>
        <w:t xml:space="preserve"> </w:t>
      </w:r>
      <w:r w:rsidRPr="00815962">
        <w:rPr>
          <w:rFonts w:ascii="Arial" w:hAnsi="Arial" w:cs="Arial"/>
          <w:sz w:val="20"/>
          <w:szCs w:val="20"/>
        </w:rPr>
        <w:t xml:space="preserve">fue excluido porque, a pesar de incluir los ensayos fase III, la información clave </w:t>
      </w:r>
      <w:r>
        <w:rPr>
          <w:rFonts w:ascii="Arial" w:hAnsi="Arial" w:cs="Arial"/>
          <w:sz w:val="20"/>
          <w:szCs w:val="20"/>
        </w:rPr>
        <w:t>como la tabla</w:t>
      </w:r>
      <w:r w:rsidRPr="00815962">
        <w:rPr>
          <w:rFonts w:ascii="Arial" w:hAnsi="Arial" w:cs="Arial"/>
          <w:sz w:val="20"/>
          <w:szCs w:val="20"/>
        </w:rPr>
        <w:t xml:space="preserve"> liga de comparaciones y la metodología no está disponible en el artículo, y el enlace facilitado para consulta no se encuentra operativo.</w:t>
      </w:r>
      <w:r w:rsidR="00B17FD2" w:rsidRPr="00B17FD2">
        <w:rPr>
          <w:rFonts w:ascii="Arial" w:hAnsi="Arial" w:cs="Arial"/>
          <w:vanish/>
          <w:sz w:val="20"/>
          <w:szCs w:val="20"/>
        </w:rPr>
        <w:t>Final del formulario</w:t>
      </w:r>
    </w:p>
    <w:p w14:paraId="6E44D5AE" w14:textId="77777777" w:rsidR="0055730A" w:rsidRPr="00AA733F" w:rsidRDefault="0055730A" w:rsidP="005859BF">
      <w:pPr>
        <w:jc w:val="both"/>
        <w:rPr>
          <w:highlight w:val="darkGreen"/>
        </w:rPr>
      </w:pPr>
    </w:p>
    <w:p w14:paraId="61C65877" w14:textId="77777777" w:rsidR="00BC3E8E" w:rsidRPr="006F6ABB" w:rsidRDefault="00BC3E8E" w:rsidP="0055730A">
      <w:pPr>
        <w:rPr>
          <w:rFonts w:ascii="Arial" w:hAnsi="Arial" w:cs="Arial"/>
          <w:sz w:val="20"/>
          <w:szCs w:val="20"/>
        </w:rPr>
      </w:pPr>
    </w:p>
    <w:p w14:paraId="113CA892"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6" w:name="_Toc344399646"/>
      <w:bookmarkStart w:id="87" w:name="_Toc348931373"/>
      <w:bookmarkStart w:id="88" w:name="_Toc216191096"/>
      <w:r w:rsidRPr="00B35A86">
        <w:rPr>
          <w:rFonts w:cs="Arial"/>
          <w:sz w:val="20"/>
        </w:rPr>
        <w:t>5.3.b Comparaciones indirectas (CCII)</w:t>
      </w:r>
      <w:bookmarkEnd w:id="86"/>
      <w:bookmarkEnd w:id="87"/>
      <w:bookmarkEnd w:id="88"/>
    </w:p>
    <w:p w14:paraId="5F1BAC9F" w14:textId="77777777" w:rsidR="00BC3E8E" w:rsidRPr="006F6ABB" w:rsidRDefault="00BC3E8E" w:rsidP="00BC3E8E">
      <w:pPr>
        <w:rPr>
          <w:rFonts w:ascii="Arial" w:hAnsi="Arial" w:cs="Arial"/>
          <w:b/>
          <w:bCs/>
          <w:sz w:val="20"/>
          <w:szCs w:val="20"/>
          <w:highlight w:val="yellow"/>
        </w:rPr>
      </w:pPr>
    </w:p>
    <w:p w14:paraId="43BA49D2"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9" w:name="_Toc344399647"/>
      <w:bookmarkStart w:id="90" w:name="_Toc348931374"/>
      <w:bookmarkStart w:id="91" w:name="_Toc216191097"/>
      <w:r w:rsidRPr="00B35A86">
        <w:rPr>
          <w:rFonts w:cs="Arial"/>
          <w:sz w:val="20"/>
        </w:rPr>
        <w:t>5.3.b.1 Comparaciones Indirectas publicadas</w:t>
      </w:r>
      <w:bookmarkEnd w:id="89"/>
      <w:bookmarkEnd w:id="90"/>
      <w:bookmarkEnd w:id="91"/>
    </w:p>
    <w:p w14:paraId="5CAED301" w14:textId="77777777" w:rsidR="00BC3E8E" w:rsidRPr="006F6ABB" w:rsidRDefault="00BC3E8E" w:rsidP="00BC3E8E">
      <w:pPr>
        <w:rPr>
          <w:rFonts w:ascii="Arial" w:hAnsi="Arial" w:cs="Arial"/>
          <w:b/>
          <w:bCs/>
          <w:color w:val="FF0000"/>
          <w:sz w:val="20"/>
          <w:szCs w:val="20"/>
        </w:rPr>
      </w:pPr>
    </w:p>
    <w:p w14:paraId="39E1C5C6" w14:textId="77777777" w:rsidR="000E19BB" w:rsidRPr="00AD0C32" w:rsidRDefault="00AD0C32" w:rsidP="00AD0C32">
      <w:pPr>
        <w:jc w:val="both"/>
        <w:rPr>
          <w:rFonts w:ascii="Arial" w:hAnsi="Arial" w:cs="Arial"/>
          <w:sz w:val="20"/>
          <w:szCs w:val="20"/>
        </w:rPr>
      </w:pPr>
      <w:r w:rsidRPr="00AD0C32">
        <w:rPr>
          <w:rFonts w:ascii="Arial" w:hAnsi="Arial" w:cs="Arial"/>
          <w:sz w:val="20"/>
          <w:szCs w:val="20"/>
        </w:rPr>
        <w:t>En noviembre de 2025 se realizó una búsqueda bibliográfica en Medline-PubMed. Tal y como se ha señalado en el apartado de revisiones sistemáticas, no se han identificado comparaciones indirectas publicadas ni metaanálisis en red que incluyan los ensayos en fase III de nemolizumab y, además, la información detallada sobre la metodología empleada no se encuentra disponible de forma pública.</w:t>
      </w:r>
    </w:p>
    <w:p w14:paraId="256D12CD" w14:textId="77777777" w:rsidR="00BC3E8E" w:rsidRPr="006F6ABB" w:rsidRDefault="00BC3E8E" w:rsidP="00BC3E8E">
      <w:pPr>
        <w:rPr>
          <w:rFonts w:ascii="Arial" w:hAnsi="Arial" w:cs="Arial"/>
          <w:b/>
          <w:bCs/>
          <w:color w:val="FF0000"/>
          <w:sz w:val="20"/>
          <w:szCs w:val="20"/>
        </w:rPr>
      </w:pPr>
    </w:p>
    <w:p w14:paraId="6476FC17"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92" w:name="_Toc344399648"/>
      <w:bookmarkStart w:id="93" w:name="_Toc348931375"/>
      <w:bookmarkStart w:id="94" w:name="_Toc216191098"/>
      <w:r w:rsidRPr="00B35A86">
        <w:rPr>
          <w:rFonts w:cs="Arial"/>
          <w:sz w:val="20"/>
        </w:rPr>
        <w:t>5.3.b.2 Comparaciones indirectas de elaboración propia</w:t>
      </w:r>
      <w:bookmarkEnd w:id="92"/>
      <w:bookmarkEnd w:id="93"/>
      <w:bookmarkEnd w:id="94"/>
    </w:p>
    <w:p w14:paraId="43B1F258" w14:textId="77777777" w:rsidR="009505B0" w:rsidRDefault="009505B0" w:rsidP="009505B0">
      <w:pPr>
        <w:jc w:val="both"/>
        <w:rPr>
          <w:rFonts w:ascii="Arial" w:hAnsi="Arial" w:cs="Arial"/>
          <w:color w:val="FF0000"/>
          <w:sz w:val="20"/>
          <w:szCs w:val="20"/>
        </w:rPr>
      </w:pPr>
    </w:p>
    <w:p w14:paraId="1CAAFAB4" w14:textId="77777777" w:rsidR="00331661" w:rsidRDefault="009505B0" w:rsidP="009505B0">
      <w:pPr>
        <w:jc w:val="both"/>
        <w:rPr>
          <w:rFonts w:ascii="Arial" w:hAnsi="Arial" w:cs="Arial"/>
          <w:sz w:val="20"/>
          <w:szCs w:val="20"/>
        </w:rPr>
      </w:pPr>
      <w:r w:rsidRPr="009505B0">
        <w:rPr>
          <w:rFonts w:ascii="Arial" w:hAnsi="Arial" w:cs="Arial"/>
          <w:sz w:val="20"/>
          <w:szCs w:val="20"/>
        </w:rPr>
        <w:t xml:space="preserve">Para evaluar la posición terapéutica de nemolizumab frente a otras alternativas disponibles en </w:t>
      </w:r>
      <w:r w:rsidR="00331661">
        <w:rPr>
          <w:rFonts w:ascii="Arial" w:hAnsi="Arial" w:cs="Arial"/>
          <w:sz w:val="20"/>
          <w:szCs w:val="20"/>
        </w:rPr>
        <w:t>DA</w:t>
      </w:r>
      <w:r w:rsidRPr="009505B0">
        <w:rPr>
          <w:rFonts w:ascii="Arial" w:hAnsi="Arial" w:cs="Arial"/>
          <w:sz w:val="20"/>
          <w:szCs w:val="20"/>
        </w:rPr>
        <w:t xml:space="preserve">, se llevó a cabo una </w:t>
      </w:r>
      <w:r w:rsidR="00331661">
        <w:rPr>
          <w:rFonts w:ascii="Arial" w:hAnsi="Arial" w:cs="Arial"/>
          <w:sz w:val="20"/>
          <w:szCs w:val="20"/>
        </w:rPr>
        <w:t xml:space="preserve">CI ajustada </w:t>
      </w:r>
      <w:r w:rsidRPr="009505B0">
        <w:rPr>
          <w:rFonts w:ascii="Arial" w:hAnsi="Arial" w:cs="Arial"/>
          <w:sz w:val="20"/>
          <w:szCs w:val="20"/>
        </w:rPr>
        <w:t xml:space="preserve">utilizando el método de Bucher basado en diferencias absolutas de respuesta con intervalos de confianza ajustados. </w:t>
      </w:r>
    </w:p>
    <w:p w14:paraId="666091F9" w14:textId="77777777" w:rsidR="00331661" w:rsidRDefault="00331661" w:rsidP="009505B0">
      <w:pPr>
        <w:jc w:val="both"/>
        <w:rPr>
          <w:rFonts w:ascii="Arial" w:hAnsi="Arial" w:cs="Arial"/>
          <w:sz w:val="20"/>
          <w:szCs w:val="20"/>
        </w:rPr>
      </w:pPr>
    </w:p>
    <w:p w14:paraId="21CCDB58" w14:textId="77777777" w:rsidR="00BC3E8E" w:rsidRDefault="00331661" w:rsidP="009505B0">
      <w:pPr>
        <w:jc w:val="both"/>
        <w:rPr>
          <w:rFonts w:ascii="Arial" w:hAnsi="Arial" w:cs="Arial"/>
          <w:sz w:val="20"/>
          <w:szCs w:val="20"/>
        </w:rPr>
      </w:pPr>
      <w:r>
        <w:rPr>
          <w:rFonts w:ascii="Arial" w:hAnsi="Arial" w:cs="Arial"/>
          <w:sz w:val="20"/>
          <w:szCs w:val="20"/>
        </w:rPr>
        <w:t>En primer lugar</w:t>
      </w:r>
      <w:r w:rsidR="009505B0" w:rsidRPr="009505B0">
        <w:rPr>
          <w:rFonts w:ascii="Arial" w:hAnsi="Arial" w:cs="Arial"/>
          <w:sz w:val="20"/>
          <w:szCs w:val="20"/>
        </w:rPr>
        <w:t xml:space="preserve">, con el objetivo de garantizar la validez metodológica y la comparabilidad entre estudios, se elaboraron </w:t>
      </w:r>
      <w:r w:rsidR="009505B0" w:rsidRPr="003B32FD">
        <w:rPr>
          <w:rFonts w:ascii="Arial" w:hAnsi="Arial" w:cs="Arial"/>
          <w:sz w:val="20"/>
          <w:szCs w:val="20"/>
        </w:rPr>
        <w:t>tablas</w:t>
      </w:r>
      <w:r w:rsidR="00524A74" w:rsidRPr="003B32FD">
        <w:rPr>
          <w:rFonts w:ascii="Arial" w:hAnsi="Arial" w:cs="Arial"/>
          <w:sz w:val="20"/>
          <w:szCs w:val="20"/>
        </w:rPr>
        <w:t xml:space="preserve"> </w:t>
      </w:r>
      <w:r w:rsidR="009505B0" w:rsidRPr="003B32FD">
        <w:rPr>
          <w:rFonts w:ascii="Arial" w:hAnsi="Arial" w:cs="Arial"/>
          <w:sz w:val="20"/>
          <w:szCs w:val="20"/>
        </w:rPr>
        <w:t>de análisis descriptivo contemplando el diseño de los ensayos clínicos, las medidas de</w:t>
      </w:r>
      <w:r w:rsidR="009505B0" w:rsidRPr="009505B0">
        <w:rPr>
          <w:rFonts w:ascii="Arial" w:hAnsi="Arial" w:cs="Arial"/>
          <w:sz w:val="20"/>
          <w:szCs w:val="20"/>
        </w:rPr>
        <w:t xml:space="preserve"> eficacia empleadas, la duración del seguimiento, las características de los pacientes incluidos, y los regímenes de dosis utilizados en cada caso. Esta evaluación permitió determinar el grado de homogeneidad entre los ensayos seleccionados y fundamentar la idoneidad del análisis </w:t>
      </w:r>
      <w:r w:rsidR="009505B0" w:rsidRPr="00524A74">
        <w:rPr>
          <w:rFonts w:ascii="Arial" w:hAnsi="Arial" w:cs="Arial"/>
          <w:sz w:val="20"/>
          <w:szCs w:val="20"/>
        </w:rPr>
        <w:t>comparativo.</w:t>
      </w:r>
    </w:p>
    <w:p w14:paraId="4B07894C" w14:textId="77777777" w:rsidR="00F67D3D" w:rsidRPr="00F67D3D" w:rsidRDefault="00F67D3D" w:rsidP="009505B0">
      <w:pPr>
        <w:jc w:val="both"/>
        <w:rPr>
          <w:rFonts w:ascii="Arial" w:hAnsi="Arial" w:cs="Arial"/>
          <w:sz w:val="20"/>
          <w:szCs w:val="20"/>
        </w:rPr>
      </w:pPr>
    </w:p>
    <w:p w14:paraId="7B2B09A3" w14:textId="77777777" w:rsidR="00F67D3D" w:rsidRDefault="00F67D3D" w:rsidP="009505B0">
      <w:pPr>
        <w:jc w:val="both"/>
        <w:rPr>
          <w:rFonts w:ascii="Arial" w:hAnsi="Arial" w:cs="Arial"/>
          <w:sz w:val="20"/>
          <w:szCs w:val="20"/>
        </w:rPr>
      </w:pPr>
      <w:r w:rsidRPr="00F67D3D">
        <w:rPr>
          <w:rFonts w:ascii="Arial" w:hAnsi="Arial" w:cs="Arial"/>
          <w:sz w:val="20"/>
          <w:szCs w:val="20"/>
        </w:rPr>
        <w:t xml:space="preserve">Para la </w:t>
      </w:r>
      <w:r w:rsidR="00331661">
        <w:rPr>
          <w:rFonts w:ascii="Arial" w:hAnsi="Arial" w:cs="Arial"/>
          <w:sz w:val="20"/>
          <w:szCs w:val="20"/>
        </w:rPr>
        <w:t xml:space="preserve">CI </w:t>
      </w:r>
      <w:r w:rsidRPr="00F67D3D">
        <w:rPr>
          <w:rFonts w:ascii="Arial" w:hAnsi="Arial" w:cs="Arial"/>
          <w:sz w:val="20"/>
          <w:szCs w:val="20"/>
        </w:rPr>
        <w:t>de eficacia, se han seleccionado como principales criterios de valoración el EASI-75</w:t>
      </w:r>
      <w:r w:rsidR="00331661">
        <w:rPr>
          <w:rFonts w:ascii="Arial" w:hAnsi="Arial" w:cs="Arial"/>
          <w:sz w:val="20"/>
          <w:szCs w:val="20"/>
        </w:rPr>
        <w:t xml:space="preserve"> (proporción de pacientes que alcanzan una mejora del 75% en la variable EASI)</w:t>
      </w:r>
      <w:r w:rsidRPr="00F67D3D">
        <w:rPr>
          <w:rFonts w:ascii="Arial" w:hAnsi="Arial" w:cs="Arial"/>
          <w:sz w:val="20"/>
          <w:szCs w:val="20"/>
        </w:rPr>
        <w:t xml:space="preserve"> y el IGA (IGA 0/1 y ≥ 2 puntos de reducción). Estas variables representan la medida estándar de la mejoría global de</w:t>
      </w:r>
      <w:r w:rsidR="00331661">
        <w:rPr>
          <w:rFonts w:ascii="Arial" w:hAnsi="Arial" w:cs="Arial"/>
          <w:sz w:val="20"/>
          <w:szCs w:val="20"/>
        </w:rPr>
        <w:t xml:space="preserve"> la DA</w:t>
      </w:r>
      <w:r w:rsidRPr="00F67D3D">
        <w:rPr>
          <w:rFonts w:ascii="Arial" w:hAnsi="Arial" w:cs="Arial"/>
          <w:sz w:val="20"/>
          <w:szCs w:val="20"/>
        </w:rPr>
        <w:t xml:space="preserve">, siendo los criterios de valoración principales en la mayoría de los ensayos, y en particular, en los estudios de Nemolizumab. Todas las mediciones de estos criterios se han estandarizado a la Semana 16. Adicionalmente, se incluye la proporción de respondedores con una reducción de ≥4 puntos en el PP-NRS. Esta variable de prurito, evaluada en la </w:t>
      </w:r>
      <w:r>
        <w:rPr>
          <w:rFonts w:ascii="Arial" w:hAnsi="Arial" w:cs="Arial"/>
          <w:sz w:val="20"/>
          <w:szCs w:val="20"/>
        </w:rPr>
        <w:t>s</w:t>
      </w:r>
      <w:r w:rsidRPr="00F67D3D">
        <w:rPr>
          <w:rFonts w:ascii="Arial" w:hAnsi="Arial" w:cs="Arial"/>
          <w:sz w:val="20"/>
          <w:szCs w:val="20"/>
        </w:rPr>
        <w:t>emana 16</w:t>
      </w:r>
      <w:r w:rsidR="00EB736B">
        <w:rPr>
          <w:rFonts w:ascii="Arial" w:hAnsi="Arial" w:cs="Arial"/>
          <w:sz w:val="20"/>
          <w:szCs w:val="20"/>
        </w:rPr>
        <w:t xml:space="preserve">, </w:t>
      </w:r>
      <w:r w:rsidRPr="00F67D3D">
        <w:rPr>
          <w:rFonts w:ascii="Arial" w:hAnsi="Arial" w:cs="Arial"/>
          <w:sz w:val="20"/>
          <w:szCs w:val="20"/>
        </w:rPr>
        <w:t xml:space="preserve">es considerada una medida secundaria clave debido a que el prurito es el síntoma más limitante de la </w:t>
      </w:r>
      <w:r w:rsidR="00BD5ED6">
        <w:rPr>
          <w:rFonts w:ascii="Arial" w:hAnsi="Arial" w:cs="Arial"/>
          <w:sz w:val="20"/>
          <w:szCs w:val="20"/>
        </w:rPr>
        <w:t>DA</w:t>
      </w:r>
      <w:r w:rsidRPr="00F67D3D">
        <w:rPr>
          <w:rFonts w:ascii="Arial" w:hAnsi="Arial" w:cs="Arial"/>
          <w:sz w:val="20"/>
          <w:szCs w:val="20"/>
        </w:rPr>
        <w:t>. Además, su inclusión es esencial dado que el fármaco bajo evaluación principal en este informe es un anti-IL-31, cuya diana biológica está directamente implicada en la patogénesis del prurito.</w:t>
      </w:r>
    </w:p>
    <w:p w14:paraId="3D1DBB09" w14:textId="77777777" w:rsidR="003B32FD" w:rsidRDefault="003B32FD" w:rsidP="009505B0">
      <w:pPr>
        <w:jc w:val="both"/>
        <w:rPr>
          <w:rFonts w:ascii="Arial" w:hAnsi="Arial" w:cs="Arial"/>
          <w:sz w:val="20"/>
          <w:szCs w:val="20"/>
        </w:rPr>
      </w:pPr>
    </w:p>
    <w:p w14:paraId="389D15D2" w14:textId="77777777" w:rsidR="003B32FD" w:rsidRDefault="003B32FD" w:rsidP="009505B0">
      <w:pPr>
        <w:jc w:val="both"/>
        <w:rPr>
          <w:rFonts w:ascii="Arial" w:hAnsi="Arial" w:cs="Arial"/>
          <w:sz w:val="20"/>
          <w:szCs w:val="20"/>
        </w:rPr>
      </w:pPr>
    </w:p>
    <w:p w14:paraId="7D5AF30D" w14:textId="77777777" w:rsidR="003B32FD" w:rsidRDefault="003B32FD" w:rsidP="009505B0">
      <w:pPr>
        <w:jc w:val="both"/>
        <w:rPr>
          <w:rFonts w:ascii="Arial" w:hAnsi="Arial" w:cs="Arial"/>
          <w:sz w:val="20"/>
          <w:szCs w:val="20"/>
        </w:rPr>
      </w:pPr>
    </w:p>
    <w:p w14:paraId="252B2ACB" w14:textId="77777777" w:rsidR="005150C9" w:rsidRDefault="005150C9" w:rsidP="009505B0">
      <w:pPr>
        <w:jc w:val="both"/>
        <w:rPr>
          <w:rFonts w:ascii="Arial" w:hAnsi="Arial" w:cs="Arial"/>
          <w:sz w:val="20"/>
          <w:szCs w:val="20"/>
        </w:rPr>
      </w:pPr>
    </w:p>
    <w:tbl>
      <w:tblPr>
        <w:tblW w:w="10962" w:type="dxa"/>
        <w:tblInd w:w="-1231" w:type="dxa"/>
        <w:tblCellMar>
          <w:left w:w="70" w:type="dxa"/>
          <w:right w:w="70" w:type="dxa"/>
        </w:tblCellMar>
        <w:tblLook w:val="04A0" w:firstRow="1" w:lastRow="0" w:firstColumn="1" w:lastColumn="0" w:noHBand="0" w:noVBand="1"/>
      </w:tblPr>
      <w:tblGrid>
        <w:gridCol w:w="1375"/>
        <w:gridCol w:w="2485"/>
        <w:gridCol w:w="2256"/>
        <w:gridCol w:w="2679"/>
        <w:gridCol w:w="2167"/>
      </w:tblGrid>
      <w:tr w:rsidR="005150C9" w14:paraId="43CF52EA" w14:textId="77777777" w:rsidTr="006842A0">
        <w:trPr>
          <w:trHeight w:val="275"/>
        </w:trPr>
        <w:tc>
          <w:tcPr>
            <w:tcW w:w="10962" w:type="dxa"/>
            <w:gridSpan w:val="5"/>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41564F9" w14:textId="77777777" w:rsidR="005150C9" w:rsidRPr="003B32FD" w:rsidRDefault="005150C9" w:rsidP="00CA7727">
            <w:pPr>
              <w:jc w:val="center"/>
              <w:rPr>
                <w:rFonts w:ascii="Arial" w:hAnsi="Arial" w:cs="Arial"/>
                <w:b/>
                <w:bCs/>
                <w:color w:val="000000"/>
                <w:sz w:val="20"/>
                <w:szCs w:val="20"/>
              </w:rPr>
            </w:pPr>
            <w:r w:rsidRPr="003B32FD">
              <w:rPr>
                <w:rFonts w:ascii="Arial" w:hAnsi="Arial" w:cs="Arial"/>
                <w:b/>
                <w:bCs/>
                <w:color w:val="000000"/>
                <w:sz w:val="20"/>
                <w:szCs w:val="20"/>
              </w:rPr>
              <w:t xml:space="preserve">Tabla </w:t>
            </w:r>
            <w:r w:rsidR="003B32FD" w:rsidRPr="003B32FD">
              <w:rPr>
                <w:rFonts w:ascii="Arial" w:hAnsi="Arial" w:cs="Arial"/>
                <w:b/>
                <w:bCs/>
                <w:color w:val="000000"/>
                <w:sz w:val="20"/>
                <w:szCs w:val="20"/>
              </w:rPr>
              <w:t>12</w:t>
            </w:r>
            <w:r w:rsidRPr="003B32FD">
              <w:rPr>
                <w:rFonts w:ascii="Arial" w:hAnsi="Arial" w:cs="Arial"/>
                <w:b/>
                <w:bCs/>
                <w:color w:val="000000"/>
                <w:sz w:val="20"/>
                <w:szCs w:val="20"/>
              </w:rPr>
              <w:t>. Comparación ensayos de anticuerpos monoclonales</w:t>
            </w:r>
          </w:p>
        </w:tc>
      </w:tr>
      <w:tr w:rsidR="005150C9" w14:paraId="2F41843D" w14:textId="77777777" w:rsidTr="005150C9">
        <w:trPr>
          <w:trHeight w:val="289"/>
        </w:trPr>
        <w:tc>
          <w:tcPr>
            <w:tcW w:w="1375" w:type="dxa"/>
            <w:tcBorders>
              <w:top w:val="nil"/>
              <w:left w:val="nil"/>
              <w:bottom w:val="nil"/>
              <w:right w:val="nil"/>
            </w:tcBorders>
            <w:noWrap/>
            <w:vAlign w:val="bottom"/>
            <w:hideMark/>
          </w:tcPr>
          <w:p w14:paraId="03ACA62A" w14:textId="77777777" w:rsidR="005150C9" w:rsidRDefault="005150C9">
            <w:pPr>
              <w:rPr>
                <w:rFonts w:ascii="Arial" w:hAnsi="Arial" w:cs="Arial"/>
                <w:color w:val="000000"/>
                <w:sz w:val="22"/>
                <w:szCs w:val="22"/>
              </w:rPr>
            </w:pPr>
          </w:p>
        </w:tc>
        <w:tc>
          <w:tcPr>
            <w:tcW w:w="2485" w:type="dxa"/>
            <w:tcBorders>
              <w:top w:val="nil"/>
              <w:left w:val="single" w:sz="8" w:space="0" w:color="auto"/>
              <w:bottom w:val="single" w:sz="8" w:space="0" w:color="auto"/>
              <w:right w:val="single" w:sz="8" w:space="0" w:color="auto"/>
            </w:tcBorders>
            <w:shd w:val="clear" w:color="000000" w:fill="DDEBF7"/>
            <w:vAlign w:val="center"/>
            <w:hideMark/>
          </w:tcPr>
          <w:p w14:paraId="116F53DB" w14:textId="77777777" w:rsidR="005150C9" w:rsidRDefault="005150C9">
            <w:pPr>
              <w:jc w:val="center"/>
              <w:rPr>
                <w:rFonts w:ascii="Arial" w:hAnsi="Arial" w:cs="Arial"/>
                <w:b/>
                <w:bCs/>
                <w:color w:val="000000"/>
                <w:sz w:val="16"/>
                <w:szCs w:val="16"/>
              </w:rPr>
            </w:pPr>
            <w:r>
              <w:rPr>
                <w:rFonts w:ascii="Arial" w:hAnsi="Arial" w:cs="Arial"/>
                <w:b/>
                <w:bCs/>
                <w:color w:val="000000"/>
                <w:sz w:val="16"/>
                <w:szCs w:val="16"/>
              </w:rPr>
              <w:t>NEMOLIZUMAB</w:t>
            </w:r>
          </w:p>
        </w:tc>
        <w:tc>
          <w:tcPr>
            <w:tcW w:w="2256" w:type="dxa"/>
            <w:tcBorders>
              <w:top w:val="nil"/>
              <w:left w:val="nil"/>
              <w:bottom w:val="single" w:sz="8" w:space="0" w:color="auto"/>
              <w:right w:val="single" w:sz="8" w:space="0" w:color="auto"/>
            </w:tcBorders>
            <w:shd w:val="clear" w:color="000000" w:fill="FCE4D6"/>
            <w:vAlign w:val="center"/>
            <w:hideMark/>
          </w:tcPr>
          <w:p w14:paraId="76F0ADAE" w14:textId="77777777" w:rsidR="005150C9" w:rsidRDefault="005150C9">
            <w:pPr>
              <w:jc w:val="center"/>
              <w:rPr>
                <w:rFonts w:ascii="Arial" w:hAnsi="Arial" w:cs="Arial"/>
                <w:b/>
                <w:bCs/>
                <w:color w:val="000000"/>
                <w:sz w:val="16"/>
                <w:szCs w:val="16"/>
              </w:rPr>
            </w:pPr>
            <w:r>
              <w:rPr>
                <w:rFonts w:ascii="Arial" w:hAnsi="Arial" w:cs="Arial"/>
                <w:b/>
                <w:bCs/>
                <w:color w:val="000000"/>
                <w:sz w:val="16"/>
                <w:szCs w:val="16"/>
              </w:rPr>
              <w:t>DUPILUMAB</w:t>
            </w:r>
          </w:p>
        </w:tc>
        <w:tc>
          <w:tcPr>
            <w:tcW w:w="2679" w:type="dxa"/>
            <w:tcBorders>
              <w:top w:val="nil"/>
              <w:left w:val="nil"/>
              <w:bottom w:val="single" w:sz="4" w:space="0" w:color="auto"/>
              <w:right w:val="single" w:sz="8" w:space="0" w:color="auto"/>
            </w:tcBorders>
            <w:shd w:val="clear" w:color="000000" w:fill="B4C6E7"/>
            <w:vAlign w:val="center"/>
            <w:hideMark/>
          </w:tcPr>
          <w:p w14:paraId="0A43E41A" w14:textId="77777777" w:rsidR="005150C9" w:rsidRDefault="005150C9">
            <w:pPr>
              <w:jc w:val="center"/>
              <w:rPr>
                <w:rFonts w:ascii="Arial" w:hAnsi="Arial" w:cs="Arial"/>
                <w:b/>
                <w:bCs/>
                <w:color w:val="000000"/>
                <w:sz w:val="16"/>
                <w:szCs w:val="16"/>
              </w:rPr>
            </w:pPr>
            <w:r>
              <w:rPr>
                <w:rFonts w:ascii="Arial" w:hAnsi="Arial" w:cs="Arial"/>
                <w:b/>
                <w:bCs/>
                <w:color w:val="000000"/>
                <w:sz w:val="16"/>
                <w:szCs w:val="16"/>
              </w:rPr>
              <w:t>TRALOKINUMAB</w:t>
            </w:r>
          </w:p>
        </w:tc>
        <w:tc>
          <w:tcPr>
            <w:tcW w:w="2167" w:type="dxa"/>
            <w:tcBorders>
              <w:top w:val="nil"/>
              <w:left w:val="nil"/>
              <w:bottom w:val="single" w:sz="4" w:space="0" w:color="auto"/>
              <w:right w:val="single" w:sz="8" w:space="0" w:color="auto"/>
            </w:tcBorders>
            <w:shd w:val="clear" w:color="000000" w:fill="C6E0B4"/>
            <w:vAlign w:val="bottom"/>
            <w:hideMark/>
          </w:tcPr>
          <w:p w14:paraId="69925E88" w14:textId="77777777" w:rsidR="005150C9" w:rsidRDefault="005150C9">
            <w:pPr>
              <w:jc w:val="center"/>
              <w:rPr>
                <w:rFonts w:ascii="Arial" w:hAnsi="Arial" w:cs="Arial"/>
                <w:b/>
                <w:bCs/>
                <w:color w:val="000000"/>
                <w:sz w:val="16"/>
                <w:szCs w:val="16"/>
              </w:rPr>
            </w:pPr>
            <w:r>
              <w:rPr>
                <w:rFonts w:ascii="Arial" w:hAnsi="Arial" w:cs="Arial"/>
                <w:b/>
                <w:bCs/>
                <w:color w:val="000000"/>
                <w:sz w:val="16"/>
                <w:szCs w:val="16"/>
              </w:rPr>
              <w:t>LEBRIKIZUMAB</w:t>
            </w:r>
          </w:p>
        </w:tc>
      </w:tr>
      <w:tr w:rsidR="005150C9" w14:paraId="28D3FF46" w14:textId="77777777" w:rsidTr="005150C9">
        <w:trPr>
          <w:trHeight w:val="289"/>
        </w:trPr>
        <w:tc>
          <w:tcPr>
            <w:tcW w:w="1375" w:type="dxa"/>
            <w:tcBorders>
              <w:top w:val="single" w:sz="8" w:space="0" w:color="auto"/>
              <w:left w:val="single" w:sz="8" w:space="0" w:color="auto"/>
              <w:bottom w:val="single" w:sz="8" w:space="0" w:color="auto"/>
              <w:right w:val="nil"/>
            </w:tcBorders>
            <w:shd w:val="clear" w:color="000000" w:fill="F2F2F2"/>
            <w:vAlign w:val="center"/>
            <w:hideMark/>
          </w:tcPr>
          <w:p w14:paraId="7F7AE329"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ENSAYO</w:t>
            </w:r>
          </w:p>
        </w:tc>
        <w:tc>
          <w:tcPr>
            <w:tcW w:w="2485" w:type="dxa"/>
            <w:tcBorders>
              <w:top w:val="nil"/>
              <w:left w:val="single" w:sz="8" w:space="0" w:color="auto"/>
              <w:bottom w:val="single" w:sz="4" w:space="0" w:color="auto"/>
              <w:right w:val="single" w:sz="8" w:space="0" w:color="auto"/>
            </w:tcBorders>
            <w:noWrap/>
            <w:vAlign w:val="center"/>
            <w:hideMark/>
          </w:tcPr>
          <w:p w14:paraId="28699548"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ARCADIA 1 y 2</w:t>
            </w:r>
          </w:p>
        </w:tc>
        <w:tc>
          <w:tcPr>
            <w:tcW w:w="2256" w:type="dxa"/>
            <w:tcBorders>
              <w:top w:val="nil"/>
              <w:left w:val="nil"/>
              <w:bottom w:val="single" w:sz="4" w:space="0" w:color="auto"/>
              <w:right w:val="single" w:sz="8" w:space="0" w:color="auto"/>
            </w:tcBorders>
            <w:noWrap/>
            <w:vAlign w:val="bottom"/>
            <w:hideMark/>
          </w:tcPr>
          <w:p w14:paraId="7590A885"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CHRONOS</w:t>
            </w:r>
          </w:p>
        </w:tc>
        <w:tc>
          <w:tcPr>
            <w:tcW w:w="2679" w:type="dxa"/>
            <w:tcBorders>
              <w:top w:val="single" w:sz="8" w:space="0" w:color="auto"/>
              <w:left w:val="nil"/>
              <w:bottom w:val="single" w:sz="4" w:space="0" w:color="auto"/>
              <w:right w:val="single" w:sz="8" w:space="0" w:color="auto"/>
            </w:tcBorders>
            <w:vAlign w:val="center"/>
            <w:hideMark/>
          </w:tcPr>
          <w:p w14:paraId="499DED74"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ECZTRA 3</w:t>
            </w:r>
          </w:p>
        </w:tc>
        <w:tc>
          <w:tcPr>
            <w:tcW w:w="2167" w:type="dxa"/>
            <w:tcBorders>
              <w:top w:val="nil"/>
              <w:left w:val="nil"/>
              <w:bottom w:val="single" w:sz="4" w:space="0" w:color="auto"/>
              <w:right w:val="single" w:sz="8" w:space="0" w:color="auto"/>
            </w:tcBorders>
            <w:shd w:val="clear" w:color="000000" w:fill="FFFFFF"/>
            <w:vAlign w:val="center"/>
            <w:hideMark/>
          </w:tcPr>
          <w:p w14:paraId="4AAB4DC9"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KGAD (ADHere)</w:t>
            </w:r>
          </w:p>
        </w:tc>
      </w:tr>
      <w:tr w:rsidR="005150C9" w14:paraId="63D6C260" w14:textId="77777777" w:rsidTr="005150C9">
        <w:trPr>
          <w:trHeight w:val="509"/>
        </w:trPr>
        <w:tc>
          <w:tcPr>
            <w:tcW w:w="1375" w:type="dxa"/>
            <w:tcBorders>
              <w:top w:val="nil"/>
              <w:left w:val="single" w:sz="8" w:space="0" w:color="auto"/>
              <w:bottom w:val="single" w:sz="4" w:space="0" w:color="auto"/>
              <w:right w:val="nil"/>
            </w:tcBorders>
            <w:shd w:val="clear" w:color="000000" w:fill="F2F2F2"/>
            <w:vAlign w:val="center"/>
            <w:hideMark/>
          </w:tcPr>
          <w:p w14:paraId="67F4DF71"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DISEÑO</w:t>
            </w:r>
          </w:p>
        </w:tc>
        <w:tc>
          <w:tcPr>
            <w:tcW w:w="2485" w:type="dxa"/>
            <w:tcBorders>
              <w:top w:val="nil"/>
              <w:left w:val="single" w:sz="8" w:space="0" w:color="auto"/>
              <w:bottom w:val="single" w:sz="4" w:space="0" w:color="auto"/>
              <w:right w:val="single" w:sz="8" w:space="0" w:color="auto"/>
            </w:tcBorders>
            <w:vAlign w:val="center"/>
            <w:hideMark/>
          </w:tcPr>
          <w:p w14:paraId="382CE90A" w14:textId="77777777" w:rsidR="005150C9" w:rsidRPr="005150C9" w:rsidRDefault="005150C9">
            <w:pPr>
              <w:jc w:val="center"/>
              <w:rPr>
                <w:rFonts w:ascii="Arial" w:hAnsi="Arial" w:cs="Arial"/>
                <w:sz w:val="16"/>
                <w:szCs w:val="16"/>
              </w:rPr>
            </w:pPr>
            <w:r w:rsidRPr="005150C9">
              <w:rPr>
                <w:rFonts w:ascii="Arial" w:hAnsi="Arial" w:cs="Arial"/>
                <w:sz w:val="16"/>
                <w:szCs w:val="16"/>
              </w:rPr>
              <w:t>Fase 3, aleatorizado, doble ciego, paralelo</w:t>
            </w:r>
          </w:p>
        </w:tc>
        <w:tc>
          <w:tcPr>
            <w:tcW w:w="2256" w:type="dxa"/>
            <w:tcBorders>
              <w:top w:val="nil"/>
              <w:left w:val="nil"/>
              <w:bottom w:val="single" w:sz="4" w:space="0" w:color="auto"/>
              <w:right w:val="single" w:sz="8" w:space="0" w:color="auto"/>
            </w:tcBorders>
            <w:vAlign w:val="center"/>
            <w:hideMark/>
          </w:tcPr>
          <w:p w14:paraId="2DF4E932" w14:textId="77777777" w:rsidR="005150C9" w:rsidRPr="005150C9" w:rsidRDefault="005150C9">
            <w:pPr>
              <w:jc w:val="center"/>
              <w:rPr>
                <w:rFonts w:ascii="Arial" w:hAnsi="Arial" w:cs="Arial"/>
                <w:sz w:val="16"/>
                <w:szCs w:val="16"/>
              </w:rPr>
            </w:pPr>
            <w:r w:rsidRPr="005150C9">
              <w:rPr>
                <w:rFonts w:ascii="Arial" w:hAnsi="Arial" w:cs="Arial"/>
                <w:sz w:val="16"/>
                <w:szCs w:val="16"/>
              </w:rPr>
              <w:t>Fase 3, aleatorizado, doble ciego, paralelo</w:t>
            </w:r>
          </w:p>
        </w:tc>
        <w:tc>
          <w:tcPr>
            <w:tcW w:w="2679" w:type="dxa"/>
            <w:tcBorders>
              <w:top w:val="nil"/>
              <w:left w:val="nil"/>
              <w:bottom w:val="single" w:sz="4" w:space="0" w:color="auto"/>
              <w:right w:val="single" w:sz="8" w:space="0" w:color="auto"/>
            </w:tcBorders>
            <w:vAlign w:val="center"/>
            <w:hideMark/>
          </w:tcPr>
          <w:p w14:paraId="27A2DE5C" w14:textId="77777777" w:rsidR="005150C9" w:rsidRPr="005150C9" w:rsidRDefault="005150C9">
            <w:pPr>
              <w:jc w:val="center"/>
              <w:rPr>
                <w:rFonts w:ascii="Arial" w:hAnsi="Arial" w:cs="Arial"/>
                <w:sz w:val="16"/>
                <w:szCs w:val="16"/>
              </w:rPr>
            </w:pPr>
            <w:r w:rsidRPr="005150C9">
              <w:rPr>
                <w:rFonts w:ascii="Arial" w:hAnsi="Arial" w:cs="Arial"/>
                <w:sz w:val="16"/>
                <w:szCs w:val="16"/>
              </w:rPr>
              <w:t>Fase 3, aleatorizado, doble ciego, paralelo</w:t>
            </w:r>
          </w:p>
        </w:tc>
        <w:tc>
          <w:tcPr>
            <w:tcW w:w="2167" w:type="dxa"/>
            <w:tcBorders>
              <w:top w:val="nil"/>
              <w:left w:val="nil"/>
              <w:bottom w:val="single" w:sz="4" w:space="0" w:color="auto"/>
              <w:right w:val="single" w:sz="8" w:space="0" w:color="auto"/>
            </w:tcBorders>
            <w:vAlign w:val="center"/>
            <w:hideMark/>
          </w:tcPr>
          <w:p w14:paraId="2E3935EE" w14:textId="77777777" w:rsidR="005150C9" w:rsidRPr="005150C9" w:rsidRDefault="005150C9">
            <w:pPr>
              <w:jc w:val="center"/>
              <w:rPr>
                <w:rFonts w:ascii="Arial" w:hAnsi="Arial" w:cs="Arial"/>
                <w:sz w:val="16"/>
                <w:szCs w:val="16"/>
              </w:rPr>
            </w:pPr>
            <w:r w:rsidRPr="005150C9">
              <w:rPr>
                <w:rFonts w:ascii="Arial" w:hAnsi="Arial" w:cs="Arial"/>
                <w:sz w:val="16"/>
                <w:szCs w:val="16"/>
              </w:rPr>
              <w:t>Fase 3, aleatorizado, doble ciego, paralelo</w:t>
            </w:r>
          </w:p>
        </w:tc>
      </w:tr>
      <w:tr w:rsidR="005150C9" w14:paraId="08F296BF" w14:textId="77777777" w:rsidTr="005150C9">
        <w:trPr>
          <w:trHeight w:val="1211"/>
        </w:trPr>
        <w:tc>
          <w:tcPr>
            <w:tcW w:w="1375" w:type="dxa"/>
            <w:tcBorders>
              <w:top w:val="nil"/>
              <w:left w:val="single" w:sz="8" w:space="0" w:color="auto"/>
              <w:bottom w:val="single" w:sz="4" w:space="0" w:color="auto"/>
              <w:right w:val="nil"/>
            </w:tcBorders>
            <w:shd w:val="clear" w:color="000000" w:fill="F2F2F2"/>
            <w:vAlign w:val="center"/>
            <w:hideMark/>
          </w:tcPr>
          <w:p w14:paraId="40EBD1B0"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BRAZOS</w:t>
            </w:r>
          </w:p>
        </w:tc>
        <w:tc>
          <w:tcPr>
            <w:tcW w:w="2485" w:type="dxa"/>
            <w:tcBorders>
              <w:top w:val="nil"/>
              <w:left w:val="single" w:sz="8" w:space="0" w:color="auto"/>
              <w:bottom w:val="single" w:sz="4" w:space="0" w:color="auto"/>
              <w:right w:val="single" w:sz="8" w:space="0" w:color="auto"/>
            </w:tcBorders>
            <w:vAlign w:val="center"/>
            <w:hideMark/>
          </w:tcPr>
          <w:p w14:paraId="31D82D99" w14:textId="77777777" w:rsidR="005150C9" w:rsidRPr="005150C9" w:rsidRDefault="005150C9">
            <w:pPr>
              <w:jc w:val="center"/>
              <w:rPr>
                <w:rFonts w:ascii="Arial" w:hAnsi="Arial" w:cs="Arial"/>
                <w:sz w:val="16"/>
                <w:szCs w:val="16"/>
              </w:rPr>
            </w:pPr>
            <w:r w:rsidRPr="005150C9">
              <w:rPr>
                <w:rFonts w:ascii="Arial" w:hAnsi="Arial" w:cs="Arial"/>
                <w:b/>
                <w:bCs/>
                <w:sz w:val="16"/>
                <w:szCs w:val="16"/>
              </w:rPr>
              <w:t>Inducción</w:t>
            </w:r>
            <w:r w:rsidRPr="005150C9">
              <w:rPr>
                <w:rFonts w:ascii="Arial" w:hAnsi="Arial" w:cs="Arial"/>
                <w:sz w:val="16"/>
                <w:szCs w:val="16"/>
              </w:rPr>
              <w:t>: nemo</w:t>
            </w:r>
            <w:r>
              <w:rPr>
                <w:rFonts w:ascii="Arial" w:hAnsi="Arial" w:cs="Arial"/>
                <w:sz w:val="16"/>
                <w:szCs w:val="16"/>
              </w:rPr>
              <w:t>lizumab</w:t>
            </w:r>
            <w:r w:rsidRPr="005150C9">
              <w:rPr>
                <w:rFonts w:ascii="Arial" w:hAnsi="Arial" w:cs="Arial"/>
                <w:sz w:val="16"/>
                <w:szCs w:val="16"/>
              </w:rPr>
              <w:t xml:space="preserve"> 60 mg (carga)+ TCS </w:t>
            </w:r>
            <w:r>
              <w:rPr>
                <w:rFonts w:ascii="Arial" w:hAnsi="Arial" w:cs="Arial"/>
                <w:sz w:val="16"/>
                <w:szCs w:val="16"/>
              </w:rPr>
              <w:t xml:space="preserve">y </w:t>
            </w:r>
            <w:r w:rsidRPr="005150C9">
              <w:rPr>
                <w:rFonts w:ascii="Arial" w:hAnsi="Arial" w:cs="Arial"/>
                <w:sz w:val="16"/>
                <w:szCs w:val="16"/>
              </w:rPr>
              <w:t>nemo</w:t>
            </w:r>
            <w:r>
              <w:rPr>
                <w:rFonts w:ascii="Arial" w:hAnsi="Arial" w:cs="Arial"/>
                <w:sz w:val="16"/>
                <w:szCs w:val="16"/>
              </w:rPr>
              <w:t>lizumab</w:t>
            </w:r>
            <w:r w:rsidRPr="005150C9">
              <w:rPr>
                <w:rFonts w:ascii="Arial" w:hAnsi="Arial" w:cs="Arial"/>
                <w:sz w:val="16"/>
                <w:szCs w:val="16"/>
              </w:rPr>
              <w:t xml:space="preserve"> 30 mg Q4W+TCS vs placebo+TCS </w:t>
            </w:r>
            <w:r w:rsidRPr="005150C9">
              <w:rPr>
                <w:rFonts w:ascii="Arial" w:hAnsi="Arial" w:cs="Arial"/>
                <w:b/>
                <w:bCs/>
                <w:sz w:val="16"/>
                <w:szCs w:val="16"/>
              </w:rPr>
              <w:t>Mantenimiento</w:t>
            </w:r>
            <w:r>
              <w:rPr>
                <w:rFonts w:ascii="Arial" w:hAnsi="Arial" w:cs="Arial"/>
                <w:sz w:val="16"/>
                <w:szCs w:val="16"/>
              </w:rPr>
              <w:t xml:space="preserve">: </w:t>
            </w:r>
            <w:r w:rsidRPr="005150C9">
              <w:rPr>
                <w:rFonts w:ascii="Arial" w:hAnsi="Arial" w:cs="Arial"/>
                <w:sz w:val="16"/>
                <w:szCs w:val="16"/>
              </w:rPr>
              <w:t xml:space="preserve"> nemo</w:t>
            </w:r>
            <w:r>
              <w:rPr>
                <w:rFonts w:ascii="Arial" w:hAnsi="Arial" w:cs="Arial"/>
                <w:sz w:val="16"/>
                <w:szCs w:val="16"/>
              </w:rPr>
              <w:t>lizumab</w:t>
            </w:r>
            <w:r w:rsidRPr="005150C9">
              <w:rPr>
                <w:rFonts w:ascii="Arial" w:hAnsi="Arial" w:cs="Arial"/>
                <w:sz w:val="16"/>
                <w:szCs w:val="16"/>
              </w:rPr>
              <w:t xml:space="preserve"> 30 mg Q4W vs Q8W+TCS  vs placebo+TCS</w:t>
            </w:r>
          </w:p>
        </w:tc>
        <w:tc>
          <w:tcPr>
            <w:tcW w:w="2256" w:type="dxa"/>
            <w:tcBorders>
              <w:top w:val="nil"/>
              <w:left w:val="nil"/>
              <w:bottom w:val="single" w:sz="4" w:space="0" w:color="auto"/>
              <w:right w:val="single" w:sz="8" w:space="0" w:color="auto"/>
            </w:tcBorders>
            <w:vAlign w:val="center"/>
            <w:hideMark/>
          </w:tcPr>
          <w:p w14:paraId="4D5A0632" w14:textId="77777777" w:rsidR="005150C9" w:rsidRPr="005150C9" w:rsidRDefault="005150C9">
            <w:pPr>
              <w:jc w:val="center"/>
              <w:rPr>
                <w:rFonts w:ascii="Arial" w:hAnsi="Arial" w:cs="Arial"/>
                <w:sz w:val="16"/>
                <w:szCs w:val="16"/>
              </w:rPr>
            </w:pPr>
            <w:r w:rsidRPr="005150C9">
              <w:rPr>
                <w:rFonts w:ascii="Arial" w:hAnsi="Arial" w:cs="Arial"/>
                <w:b/>
                <w:bCs/>
                <w:sz w:val="16"/>
                <w:szCs w:val="16"/>
              </w:rPr>
              <w:t>D0:</w:t>
            </w:r>
            <w:r w:rsidRPr="005150C9">
              <w:rPr>
                <w:rFonts w:ascii="Arial" w:hAnsi="Arial" w:cs="Arial"/>
                <w:sz w:val="16"/>
                <w:szCs w:val="16"/>
              </w:rPr>
              <w:t xml:space="preserve"> Dupi</w:t>
            </w:r>
            <w:r>
              <w:rPr>
                <w:rFonts w:ascii="Arial" w:hAnsi="Arial" w:cs="Arial"/>
                <w:sz w:val="16"/>
                <w:szCs w:val="16"/>
              </w:rPr>
              <w:t>lumab</w:t>
            </w:r>
            <w:r w:rsidRPr="005150C9">
              <w:rPr>
                <w:rFonts w:ascii="Arial" w:hAnsi="Arial" w:cs="Arial"/>
                <w:sz w:val="16"/>
                <w:szCs w:val="16"/>
              </w:rPr>
              <w:t xml:space="preserve"> 600 mg </w:t>
            </w:r>
            <w:r w:rsidRPr="005150C9">
              <w:rPr>
                <w:rFonts w:ascii="Arial" w:hAnsi="Arial" w:cs="Arial"/>
                <w:b/>
                <w:bCs/>
                <w:sz w:val="16"/>
                <w:szCs w:val="16"/>
              </w:rPr>
              <w:t>Dm: Dupi</w:t>
            </w:r>
            <w:r>
              <w:rPr>
                <w:rFonts w:ascii="Arial" w:hAnsi="Arial" w:cs="Arial"/>
                <w:b/>
                <w:bCs/>
                <w:sz w:val="16"/>
                <w:szCs w:val="16"/>
              </w:rPr>
              <w:t>lumab</w:t>
            </w:r>
            <w:r w:rsidRPr="005150C9">
              <w:rPr>
                <w:rFonts w:ascii="Arial" w:hAnsi="Arial" w:cs="Arial"/>
                <w:b/>
                <w:bCs/>
                <w:sz w:val="16"/>
                <w:szCs w:val="16"/>
              </w:rPr>
              <w:t xml:space="preserve"> 300 mg Q2W</w:t>
            </w:r>
            <w:r w:rsidRPr="005150C9">
              <w:rPr>
                <w:rFonts w:ascii="Arial" w:hAnsi="Arial" w:cs="Arial"/>
                <w:sz w:val="16"/>
                <w:szCs w:val="16"/>
              </w:rPr>
              <w:t>+ TCS vs dupi</w:t>
            </w:r>
            <w:r>
              <w:rPr>
                <w:rFonts w:ascii="Arial" w:hAnsi="Arial" w:cs="Arial"/>
                <w:sz w:val="16"/>
                <w:szCs w:val="16"/>
              </w:rPr>
              <w:t>lumab</w:t>
            </w:r>
            <w:r w:rsidRPr="005150C9">
              <w:rPr>
                <w:rFonts w:ascii="Arial" w:hAnsi="Arial" w:cs="Arial"/>
                <w:sz w:val="16"/>
                <w:szCs w:val="16"/>
              </w:rPr>
              <w:t xml:space="preserve"> 300 mg semanal+ </w:t>
            </w:r>
            <w:r>
              <w:rPr>
                <w:rFonts w:ascii="Arial" w:hAnsi="Arial" w:cs="Arial"/>
                <w:sz w:val="16"/>
                <w:szCs w:val="16"/>
              </w:rPr>
              <w:t>TCS</w:t>
            </w:r>
            <w:r w:rsidRPr="005150C9">
              <w:rPr>
                <w:rFonts w:ascii="Arial" w:hAnsi="Arial" w:cs="Arial"/>
                <w:sz w:val="16"/>
                <w:szCs w:val="16"/>
              </w:rPr>
              <w:t xml:space="preserve"> vs placebo semanal + </w:t>
            </w:r>
            <w:r>
              <w:rPr>
                <w:rFonts w:ascii="Arial" w:hAnsi="Arial" w:cs="Arial"/>
                <w:sz w:val="16"/>
                <w:szCs w:val="16"/>
              </w:rPr>
              <w:t>TCS</w:t>
            </w:r>
            <w:r w:rsidRPr="005150C9">
              <w:rPr>
                <w:rFonts w:ascii="Arial" w:hAnsi="Arial" w:cs="Arial"/>
                <w:sz w:val="16"/>
                <w:szCs w:val="16"/>
              </w:rPr>
              <w:t xml:space="preserve">.  </w:t>
            </w:r>
          </w:p>
        </w:tc>
        <w:tc>
          <w:tcPr>
            <w:tcW w:w="2679" w:type="dxa"/>
            <w:tcBorders>
              <w:top w:val="nil"/>
              <w:left w:val="nil"/>
              <w:bottom w:val="single" w:sz="4" w:space="0" w:color="auto"/>
              <w:right w:val="single" w:sz="8" w:space="0" w:color="auto"/>
            </w:tcBorders>
            <w:vAlign w:val="center"/>
            <w:hideMark/>
          </w:tcPr>
          <w:p w14:paraId="11AC8E2C" w14:textId="77777777" w:rsidR="005150C9" w:rsidRPr="005150C9" w:rsidRDefault="005150C9">
            <w:pPr>
              <w:jc w:val="center"/>
              <w:rPr>
                <w:rFonts w:ascii="Arial" w:hAnsi="Arial" w:cs="Arial"/>
                <w:sz w:val="16"/>
                <w:szCs w:val="16"/>
              </w:rPr>
            </w:pPr>
            <w:r w:rsidRPr="005150C9">
              <w:rPr>
                <w:rFonts w:ascii="Arial" w:hAnsi="Arial" w:cs="Arial"/>
                <w:b/>
                <w:bCs/>
                <w:sz w:val="16"/>
                <w:szCs w:val="16"/>
              </w:rPr>
              <w:t>Inducción</w:t>
            </w:r>
            <w:r w:rsidRPr="005150C9">
              <w:rPr>
                <w:rFonts w:ascii="Arial" w:hAnsi="Arial" w:cs="Arial"/>
                <w:sz w:val="16"/>
                <w:szCs w:val="16"/>
              </w:rPr>
              <w:t xml:space="preserve"> (0-16 Semanas):Tralokinumab 300 mg Q2W + </w:t>
            </w:r>
            <w:r w:rsidRPr="003B32FD">
              <w:rPr>
                <w:rFonts w:ascii="Arial" w:hAnsi="Arial" w:cs="Arial"/>
                <w:b/>
                <w:bCs/>
                <w:sz w:val="16"/>
                <w:szCs w:val="16"/>
              </w:rPr>
              <w:t>TCS ALTA POTENCIA</w:t>
            </w:r>
            <w:r w:rsidRPr="005150C9">
              <w:rPr>
                <w:rFonts w:ascii="Arial" w:hAnsi="Arial" w:cs="Arial"/>
                <w:sz w:val="16"/>
                <w:szCs w:val="16"/>
              </w:rPr>
              <w:t xml:space="preserve"> (D0 600 mg  vs Placebo Q2W + TCS. </w:t>
            </w:r>
            <w:r w:rsidRPr="005150C9">
              <w:rPr>
                <w:rFonts w:ascii="Arial" w:hAnsi="Arial" w:cs="Arial"/>
                <w:b/>
                <w:bCs/>
                <w:sz w:val="16"/>
                <w:szCs w:val="16"/>
              </w:rPr>
              <w:t>Mantenimiento</w:t>
            </w:r>
            <w:r w:rsidRPr="005150C9">
              <w:rPr>
                <w:rFonts w:ascii="Arial" w:hAnsi="Arial" w:cs="Arial"/>
                <w:sz w:val="16"/>
                <w:szCs w:val="16"/>
              </w:rPr>
              <w:t xml:space="preserve"> (16–32 Semanas) Tralokinumab 300 mg Q2W + TCS vs Tralokinumab 300 mg Q4W + TCS </w:t>
            </w:r>
          </w:p>
        </w:tc>
        <w:tc>
          <w:tcPr>
            <w:tcW w:w="2167" w:type="dxa"/>
            <w:tcBorders>
              <w:top w:val="nil"/>
              <w:left w:val="nil"/>
              <w:bottom w:val="single" w:sz="4" w:space="0" w:color="auto"/>
              <w:right w:val="single" w:sz="8" w:space="0" w:color="auto"/>
            </w:tcBorders>
            <w:vAlign w:val="center"/>
            <w:hideMark/>
          </w:tcPr>
          <w:p w14:paraId="23D6F7F1" w14:textId="77777777" w:rsidR="005150C9" w:rsidRPr="005150C9" w:rsidRDefault="005150C9">
            <w:pPr>
              <w:jc w:val="center"/>
              <w:rPr>
                <w:rFonts w:ascii="Arial" w:hAnsi="Arial" w:cs="Arial"/>
                <w:sz w:val="16"/>
                <w:szCs w:val="16"/>
              </w:rPr>
            </w:pPr>
            <w:r w:rsidRPr="005150C9">
              <w:rPr>
                <w:rFonts w:ascii="Arial" w:hAnsi="Arial" w:cs="Arial"/>
                <w:sz w:val="16"/>
                <w:szCs w:val="16"/>
              </w:rPr>
              <w:t>D0: 500 mg Semana 0 y 2, seguida de 250 mg Q2W +</w:t>
            </w:r>
            <w:r w:rsidRPr="005150C9">
              <w:rPr>
                <w:rFonts w:ascii="Arial" w:hAnsi="Arial" w:cs="Arial"/>
                <w:b/>
                <w:bCs/>
                <w:sz w:val="16"/>
                <w:szCs w:val="16"/>
              </w:rPr>
              <w:t xml:space="preserve"> TCS.</w:t>
            </w:r>
            <w:r w:rsidRPr="005150C9">
              <w:rPr>
                <w:rFonts w:ascii="Arial" w:hAnsi="Arial" w:cs="Arial"/>
                <w:sz w:val="16"/>
                <w:szCs w:val="16"/>
              </w:rPr>
              <w:t xml:space="preserve"> VS Placebo Q2W</w:t>
            </w:r>
            <w:r w:rsidRPr="005150C9">
              <w:rPr>
                <w:rFonts w:ascii="Arial" w:hAnsi="Arial" w:cs="Arial"/>
                <w:b/>
                <w:bCs/>
                <w:sz w:val="16"/>
                <w:szCs w:val="16"/>
              </w:rPr>
              <w:t>+ TCS</w:t>
            </w:r>
          </w:p>
        </w:tc>
      </w:tr>
      <w:tr w:rsidR="005150C9" w14:paraId="3182BB05" w14:textId="77777777" w:rsidTr="005150C9">
        <w:trPr>
          <w:trHeight w:val="977"/>
        </w:trPr>
        <w:tc>
          <w:tcPr>
            <w:tcW w:w="1375" w:type="dxa"/>
            <w:tcBorders>
              <w:top w:val="nil"/>
              <w:left w:val="single" w:sz="8" w:space="0" w:color="auto"/>
              <w:bottom w:val="single" w:sz="4" w:space="0" w:color="auto"/>
              <w:right w:val="nil"/>
            </w:tcBorders>
            <w:shd w:val="clear" w:color="000000" w:fill="F2F2F2"/>
            <w:vAlign w:val="center"/>
            <w:hideMark/>
          </w:tcPr>
          <w:p w14:paraId="5D8DC7B8"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PACIENTES</w:t>
            </w:r>
          </w:p>
        </w:tc>
        <w:tc>
          <w:tcPr>
            <w:tcW w:w="2485" w:type="dxa"/>
            <w:tcBorders>
              <w:top w:val="nil"/>
              <w:left w:val="single" w:sz="8" w:space="0" w:color="auto"/>
              <w:bottom w:val="single" w:sz="4" w:space="0" w:color="auto"/>
              <w:right w:val="single" w:sz="8" w:space="0" w:color="auto"/>
            </w:tcBorders>
            <w:vAlign w:val="center"/>
            <w:hideMark/>
          </w:tcPr>
          <w:p w14:paraId="2333CFBD" w14:textId="77777777" w:rsidR="005150C9" w:rsidRPr="005150C9" w:rsidRDefault="005150C9">
            <w:pPr>
              <w:jc w:val="center"/>
              <w:rPr>
                <w:rFonts w:ascii="Arial" w:hAnsi="Arial" w:cs="Arial"/>
                <w:sz w:val="16"/>
                <w:szCs w:val="16"/>
              </w:rPr>
            </w:pPr>
            <w:r w:rsidRPr="005150C9">
              <w:rPr>
                <w:rFonts w:ascii="Arial" w:hAnsi="Arial" w:cs="Arial"/>
                <w:sz w:val="16"/>
                <w:szCs w:val="16"/>
              </w:rPr>
              <w:t xml:space="preserve">Adultos y adolescentes </w:t>
            </w:r>
            <w:r w:rsidRPr="005150C9">
              <w:rPr>
                <w:rFonts w:ascii="Arial" w:hAnsi="Arial" w:cs="Arial"/>
                <w:b/>
                <w:bCs/>
                <w:sz w:val="16"/>
                <w:szCs w:val="16"/>
              </w:rPr>
              <w:t>(≥12 años)</w:t>
            </w:r>
            <w:r w:rsidRPr="005150C9">
              <w:rPr>
                <w:rFonts w:ascii="Arial" w:hAnsi="Arial" w:cs="Arial"/>
                <w:sz w:val="16"/>
                <w:szCs w:val="16"/>
              </w:rPr>
              <w:t xml:space="preserve"> con DA moderada-severa desde </w:t>
            </w:r>
            <w:r w:rsidRPr="005150C9">
              <w:rPr>
                <w:rFonts w:ascii="Arial" w:hAnsi="Arial" w:cs="Arial"/>
                <w:b/>
                <w:bCs/>
                <w:sz w:val="16"/>
                <w:szCs w:val="16"/>
              </w:rPr>
              <w:t>al menos 2 años</w:t>
            </w:r>
            <w:r w:rsidRPr="005150C9">
              <w:rPr>
                <w:rFonts w:ascii="Arial" w:hAnsi="Arial" w:cs="Arial"/>
                <w:sz w:val="16"/>
                <w:szCs w:val="16"/>
              </w:rPr>
              <w:t xml:space="preserve"> (IGA≥3, EASI≥16, BSA≥10%,</w:t>
            </w:r>
            <w:r w:rsidRPr="005150C9">
              <w:rPr>
                <w:rFonts w:ascii="Arial" w:hAnsi="Arial" w:cs="Arial"/>
                <w:b/>
                <w:bCs/>
                <w:sz w:val="16"/>
                <w:szCs w:val="16"/>
              </w:rPr>
              <w:t xml:space="preserve"> PP-NRS≥4</w:t>
            </w:r>
            <w:r w:rsidRPr="005150C9">
              <w:rPr>
                <w:rFonts w:ascii="Arial" w:hAnsi="Arial" w:cs="Arial"/>
                <w:sz w:val="16"/>
                <w:szCs w:val="16"/>
              </w:rPr>
              <w:t>) y falta de respuesta a los tratamiento tópicos.</w:t>
            </w:r>
          </w:p>
        </w:tc>
        <w:tc>
          <w:tcPr>
            <w:tcW w:w="2256" w:type="dxa"/>
            <w:tcBorders>
              <w:top w:val="nil"/>
              <w:left w:val="nil"/>
              <w:bottom w:val="single" w:sz="4" w:space="0" w:color="auto"/>
              <w:right w:val="single" w:sz="8" w:space="0" w:color="auto"/>
            </w:tcBorders>
            <w:vAlign w:val="center"/>
            <w:hideMark/>
          </w:tcPr>
          <w:p w14:paraId="15B53CBC" w14:textId="77777777" w:rsidR="005150C9" w:rsidRPr="005150C9" w:rsidRDefault="005150C9">
            <w:pPr>
              <w:jc w:val="center"/>
              <w:rPr>
                <w:rFonts w:ascii="Arial" w:hAnsi="Arial" w:cs="Arial"/>
                <w:sz w:val="16"/>
                <w:szCs w:val="16"/>
              </w:rPr>
            </w:pPr>
            <w:r w:rsidRPr="005150C9">
              <w:rPr>
                <w:rFonts w:ascii="Arial" w:hAnsi="Arial" w:cs="Arial"/>
                <w:sz w:val="16"/>
                <w:szCs w:val="16"/>
              </w:rPr>
              <w:t xml:space="preserve">Edad </w:t>
            </w:r>
            <w:r w:rsidRPr="005150C9">
              <w:rPr>
                <w:rFonts w:ascii="Arial" w:hAnsi="Arial" w:cs="Arial"/>
                <w:b/>
                <w:bCs/>
                <w:sz w:val="16"/>
                <w:szCs w:val="16"/>
              </w:rPr>
              <w:t>≥18 años</w:t>
            </w:r>
            <w:r w:rsidRPr="005150C9">
              <w:rPr>
                <w:rFonts w:ascii="Arial" w:hAnsi="Arial" w:cs="Arial"/>
                <w:sz w:val="16"/>
                <w:szCs w:val="16"/>
              </w:rPr>
              <w:t xml:space="preserve">, DA desde </w:t>
            </w:r>
            <w:r w:rsidRPr="005150C9">
              <w:rPr>
                <w:rFonts w:ascii="Arial" w:hAnsi="Arial" w:cs="Arial"/>
                <w:b/>
                <w:bCs/>
                <w:sz w:val="16"/>
                <w:szCs w:val="16"/>
              </w:rPr>
              <w:t>al menos 3 años</w:t>
            </w:r>
            <w:r w:rsidRPr="005150C9">
              <w:rPr>
                <w:rFonts w:ascii="Arial" w:hAnsi="Arial" w:cs="Arial"/>
                <w:sz w:val="16"/>
                <w:szCs w:val="16"/>
              </w:rPr>
              <w:t>, sin respuesta a tto topico, IGA≥ 3,</w:t>
            </w:r>
            <w:r w:rsidRPr="005150C9">
              <w:rPr>
                <w:rFonts w:ascii="Arial" w:hAnsi="Arial" w:cs="Arial"/>
                <w:b/>
                <w:bCs/>
                <w:sz w:val="16"/>
                <w:szCs w:val="16"/>
              </w:rPr>
              <w:t xml:space="preserve"> </w:t>
            </w:r>
            <w:r w:rsidRPr="005150C9">
              <w:rPr>
                <w:rFonts w:ascii="Arial" w:hAnsi="Arial" w:cs="Arial"/>
                <w:sz w:val="16"/>
                <w:szCs w:val="16"/>
              </w:rPr>
              <w:t xml:space="preserve">EASI≥16, BSA≥ 10%, </w:t>
            </w:r>
            <w:r w:rsidRPr="005150C9">
              <w:rPr>
                <w:rFonts w:ascii="Arial" w:hAnsi="Arial" w:cs="Arial"/>
                <w:b/>
                <w:bCs/>
                <w:sz w:val="16"/>
                <w:szCs w:val="16"/>
              </w:rPr>
              <w:t>NRS medio ≥3</w:t>
            </w:r>
          </w:p>
        </w:tc>
        <w:tc>
          <w:tcPr>
            <w:tcW w:w="2679" w:type="dxa"/>
            <w:tcBorders>
              <w:top w:val="nil"/>
              <w:left w:val="nil"/>
              <w:bottom w:val="single" w:sz="4" w:space="0" w:color="auto"/>
              <w:right w:val="single" w:sz="8" w:space="0" w:color="auto"/>
            </w:tcBorders>
            <w:vAlign w:val="center"/>
            <w:hideMark/>
          </w:tcPr>
          <w:p w14:paraId="64E7BF2D" w14:textId="77777777" w:rsidR="005150C9" w:rsidRPr="005150C9" w:rsidRDefault="005150C9">
            <w:pPr>
              <w:jc w:val="center"/>
              <w:rPr>
                <w:rFonts w:ascii="Arial" w:hAnsi="Arial" w:cs="Arial"/>
                <w:sz w:val="16"/>
                <w:szCs w:val="16"/>
              </w:rPr>
            </w:pPr>
            <w:r w:rsidRPr="005150C9">
              <w:rPr>
                <w:rFonts w:ascii="Arial" w:hAnsi="Arial" w:cs="Arial"/>
                <w:sz w:val="16"/>
                <w:szCs w:val="16"/>
              </w:rPr>
              <w:t>Adultos (</w:t>
            </w:r>
            <w:r w:rsidRPr="005150C9">
              <w:rPr>
                <w:rFonts w:ascii="Arial" w:hAnsi="Arial" w:cs="Arial"/>
                <w:b/>
                <w:bCs/>
                <w:sz w:val="16"/>
                <w:szCs w:val="16"/>
              </w:rPr>
              <w:t>≥18 años</w:t>
            </w:r>
            <w:r w:rsidRPr="005150C9">
              <w:rPr>
                <w:rFonts w:ascii="Arial" w:hAnsi="Arial" w:cs="Arial"/>
                <w:sz w:val="16"/>
                <w:szCs w:val="16"/>
              </w:rPr>
              <w:t xml:space="preserve"> de edad) con DA Criterios de Gravedad Basal: EASI ≥16, IGA ≥3 (en una escala de 0 a 4), BSA≥10% , y PP-NRS ≥4</w:t>
            </w:r>
          </w:p>
        </w:tc>
        <w:tc>
          <w:tcPr>
            <w:tcW w:w="2167" w:type="dxa"/>
            <w:tcBorders>
              <w:top w:val="nil"/>
              <w:left w:val="nil"/>
              <w:bottom w:val="single" w:sz="4" w:space="0" w:color="auto"/>
              <w:right w:val="single" w:sz="8" w:space="0" w:color="auto"/>
            </w:tcBorders>
            <w:vAlign w:val="center"/>
            <w:hideMark/>
          </w:tcPr>
          <w:p w14:paraId="299E1B1C" w14:textId="77777777" w:rsidR="005150C9" w:rsidRPr="005150C9" w:rsidRDefault="005150C9">
            <w:pPr>
              <w:jc w:val="center"/>
              <w:rPr>
                <w:rFonts w:ascii="Arial" w:hAnsi="Arial" w:cs="Arial"/>
                <w:sz w:val="16"/>
                <w:szCs w:val="16"/>
              </w:rPr>
            </w:pPr>
            <w:r w:rsidRPr="005150C9">
              <w:rPr>
                <w:rFonts w:ascii="Arial" w:hAnsi="Arial" w:cs="Arial"/>
                <w:sz w:val="16"/>
                <w:szCs w:val="16"/>
              </w:rPr>
              <w:t>Adolescentes y adultos</w:t>
            </w:r>
            <w:r w:rsidRPr="005150C9">
              <w:rPr>
                <w:rFonts w:ascii="Arial" w:hAnsi="Arial" w:cs="Arial"/>
                <w:b/>
                <w:bCs/>
                <w:sz w:val="16"/>
                <w:szCs w:val="16"/>
              </w:rPr>
              <w:t xml:space="preserve"> ≥12 años </w:t>
            </w:r>
            <w:r w:rsidRPr="005150C9">
              <w:rPr>
                <w:rFonts w:ascii="Arial" w:hAnsi="Arial" w:cs="Arial"/>
                <w:sz w:val="16"/>
                <w:szCs w:val="16"/>
              </w:rPr>
              <w:t xml:space="preserve">con ≥40 kg, diagnóstico DA desde al menos 1 año. Gravedad: (IGA ≥ 3), EASI ≥ 16 y BSA≥10% </w:t>
            </w:r>
          </w:p>
        </w:tc>
      </w:tr>
      <w:tr w:rsidR="005150C9" w14:paraId="3B17F9FE" w14:textId="77777777" w:rsidTr="005150C9">
        <w:trPr>
          <w:trHeight w:val="578"/>
        </w:trPr>
        <w:tc>
          <w:tcPr>
            <w:tcW w:w="1375" w:type="dxa"/>
            <w:tcBorders>
              <w:top w:val="nil"/>
              <w:left w:val="single" w:sz="8" w:space="0" w:color="auto"/>
              <w:bottom w:val="single" w:sz="4" w:space="0" w:color="auto"/>
              <w:right w:val="nil"/>
            </w:tcBorders>
            <w:shd w:val="clear" w:color="000000" w:fill="F2F2F2"/>
            <w:vAlign w:val="center"/>
            <w:hideMark/>
          </w:tcPr>
          <w:p w14:paraId="7F4D6AFB"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VARIABLES PRIMARIAS</w:t>
            </w:r>
          </w:p>
        </w:tc>
        <w:tc>
          <w:tcPr>
            <w:tcW w:w="2485" w:type="dxa"/>
            <w:tcBorders>
              <w:top w:val="nil"/>
              <w:left w:val="single" w:sz="8" w:space="0" w:color="auto"/>
              <w:bottom w:val="single" w:sz="4" w:space="0" w:color="auto"/>
              <w:right w:val="single" w:sz="8" w:space="0" w:color="auto"/>
            </w:tcBorders>
            <w:vAlign w:val="center"/>
            <w:hideMark/>
          </w:tcPr>
          <w:p w14:paraId="580E19EA" w14:textId="77777777" w:rsidR="005150C9" w:rsidRPr="005150C9" w:rsidRDefault="005150C9">
            <w:pPr>
              <w:jc w:val="center"/>
              <w:rPr>
                <w:rFonts w:ascii="Arial" w:hAnsi="Arial" w:cs="Arial"/>
                <w:sz w:val="16"/>
                <w:szCs w:val="16"/>
              </w:rPr>
            </w:pPr>
            <w:r w:rsidRPr="005150C9">
              <w:rPr>
                <w:rFonts w:ascii="Arial" w:hAnsi="Arial" w:cs="Arial"/>
                <w:b/>
                <w:bCs/>
                <w:sz w:val="16"/>
                <w:szCs w:val="16"/>
              </w:rPr>
              <w:t>IGA 0/1 y ≥2</w:t>
            </w:r>
            <w:r w:rsidRPr="005150C9">
              <w:rPr>
                <w:rFonts w:ascii="Arial" w:hAnsi="Arial" w:cs="Arial"/>
                <w:sz w:val="16"/>
                <w:szCs w:val="16"/>
              </w:rPr>
              <w:t xml:space="preserve">  reducción de IGA y EASI75 sem 16</w:t>
            </w:r>
          </w:p>
        </w:tc>
        <w:tc>
          <w:tcPr>
            <w:tcW w:w="2256" w:type="dxa"/>
            <w:tcBorders>
              <w:top w:val="nil"/>
              <w:left w:val="nil"/>
              <w:bottom w:val="single" w:sz="4" w:space="0" w:color="auto"/>
              <w:right w:val="single" w:sz="8" w:space="0" w:color="auto"/>
            </w:tcBorders>
            <w:vAlign w:val="center"/>
            <w:hideMark/>
          </w:tcPr>
          <w:p w14:paraId="3005143B" w14:textId="77777777" w:rsidR="005150C9" w:rsidRPr="005150C9" w:rsidRDefault="005150C9">
            <w:pPr>
              <w:jc w:val="center"/>
              <w:rPr>
                <w:rFonts w:ascii="Arial" w:hAnsi="Arial" w:cs="Arial"/>
                <w:sz w:val="16"/>
                <w:szCs w:val="16"/>
              </w:rPr>
            </w:pPr>
            <w:r w:rsidRPr="005150C9">
              <w:rPr>
                <w:rFonts w:ascii="Arial" w:hAnsi="Arial" w:cs="Arial"/>
                <w:b/>
                <w:bCs/>
                <w:sz w:val="16"/>
                <w:szCs w:val="16"/>
              </w:rPr>
              <w:t>IGA 0/1 y ≥2</w:t>
            </w:r>
            <w:r w:rsidRPr="005150C9">
              <w:rPr>
                <w:rFonts w:ascii="Arial" w:hAnsi="Arial" w:cs="Arial"/>
                <w:sz w:val="16"/>
                <w:szCs w:val="16"/>
              </w:rPr>
              <w:t xml:space="preserve">  reducción de IGA y EASI75 sem 16</w:t>
            </w:r>
          </w:p>
        </w:tc>
        <w:tc>
          <w:tcPr>
            <w:tcW w:w="2679" w:type="dxa"/>
            <w:tcBorders>
              <w:top w:val="nil"/>
              <w:left w:val="nil"/>
              <w:bottom w:val="single" w:sz="4" w:space="0" w:color="auto"/>
              <w:right w:val="single" w:sz="8" w:space="0" w:color="auto"/>
            </w:tcBorders>
            <w:vAlign w:val="center"/>
            <w:hideMark/>
          </w:tcPr>
          <w:p w14:paraId="4DE5D654" w14:textId="77777777" w:rsidR="005150C9" w:rsidRPr="005150C9" w:rsidRDefault="005150C9">
            <w:pPr>
              <w:jc w:val="center"/>
              <w:rPr>
                <w:rFonts w:ascii="Arial" w:hAnsi="Arial" w:cs="Arial"/>
                <w:sz w:val="16"/>
                <w:szCs w:val="16"/>
              </w:rPr>
            </w:pPr>
            <w:r w:rsidRPr="005150C9">
              <w:rPr>
                <w:rFonts w:ascii="Arial" w:hAnsi="Arial" w:cs="Arial"/>
                <w:b/>
                <w:bCs/>
                <w:sz w:val="16"/>
                <w:szCs w:val="16"/>
              </w:rPr>
              <w:t>IGA 0/1 y ≥2</w:t>
            </w:r>
            <w:r w:rsidRPr="005150C9">
              <w:rPr>
                <w:rFonts w:ascii="Arial" w:hAnsi="Arial" w:cs="Arial"/>
                <w:sz w:val="16"/>
                <w:szCs w:val="16"/>
              </w:rPr>
              <w:t xml:space="preserve">  reducción de IGA y EASI75 sem 16</w:t>
            </w:r>
          </w:p>
        </w:tc>
        <w:tc>
          <w:tcPr>
            <w:tcW w:w="2167" w:type="dxa"/>
            <w:tcBorders>
              <w:top w:val="nil"/>
              <w:left w:val="nil"/>
              <w:bottom w:val="single" w:sz="4" w:space="0" w:color="auto"/>
              <w:right w:val="single" w:sz="8" w:space="0" w:color="auto"/>
            </w:tcBorders>
            <w:vAlign w:val="center"/>
            <w:hideMark/>
          </w:tcPr>
          <w:p w14:paraId="055C2584" w14:textId="77777777" w:rsidR="005150C9" w:rsidRPr="005150C9" w:rsidRDefault="005150C9">
            <w:pPr>
              <w:jc w:val="center"/>
              <w:rPr>
                <w:rFonts w:ascii="Arial" w:hAnsi="Arial" w:cs="Arial"/>
                <w:sz w:val="16"/>
                <w:szCs w:val="16"/>
              </w:rPr>
            </w:pPr>
            <w:r w:rsidRPr="005150C9">
              <w:rPr>
                <w:rFonts w:ascii="Arial" w:hAnsi="Arial" w:cs="Arial"/>
                <w:b/>
                <w:bCs/>
                <w:sz w:val="16"/>
                <w:szCs w:val="16"/>
              </w:rPr>
              <w:t>IGA 0/1 y ≥2</w:t>
            </w:r>
            <w:r w:rsidRPr="005150C9">
              <w:rPr>
                <w:rFonts w:ascii="Arial" w:hAnsi="Arial" w:cs="Arial"/>
                <w:sz w:val="16"/>
                <w:szCs w:val="16"/>
              </w:rPr>
              <w:t xml:space="preserve"> reducción de IGA y EASI75 sem 16</w:t>
            </w:r>
          </w:p>
        </w:tc>
      </w:tr>
      <w:tr w:rsidR="005150C9" w14:paraId="64145AF1" w14:textId="77777777" w:rsidTr="005150C9">
        <w:trPr>
          <w:trHeight w:val="619"/>
        </w:trPr>
        <w:tc>
          <w:tcPr>
            <w:tcW w:w="1375" w:type="dxa"/>
            <w:tcBorders>
              <w:top w:val="nil"/>
              <w:left w:val="single" w:sz="8" w:space="0" w:color="auto"/>
              <w:bottom w:val="single" w:sz="4" w:space="0" w:color="auto"/>
              <w:right w:val="nil"/>
            </w:tcBorders>
            <w:shd w:val="clear" w:color="000000" w:fill="F2F2F2"/>
            <w:vAlign w:val="center"/>
            <w:hideMark/>
          </w:tcPr>
          <w:p w14:paraId="21DE523A"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VARIABLES SECUNDARIAS</w:t>
            </w:r>
          </w:p>
        </w:tc>
        <w:tc>
          <w:tcPr>
            <w:tcW w:w="2485" w:type="dxa"/>
            <w:tcBorders>
              <w:top w:val="nil"/>
              <w:left w:val="single" w:sz="8" w:space="0" w:color="auto"/>
              <w:bottom w:val="single" w:sz="4" w:space="0" w:color="auto"/>
              <w:right w:val="single" w:sz="8" w:space="0" w:color="auto"/>
            </w:tcBorders>
            <w:vAlign w:val="center"/>
            <w:hideMark/>
          </w:tcPr>
          <w:p w14:paraId="69054373" w14:textId="77777777" w:rsidR="005150C9" w:rsidRPr="005150C9" w:rsidRDefault="005150C9">
            <w:pPr>
              <w:jc w:val="center"/>
              <w:rPr>
                <w:rFonts w:ascii="Arial" w:hAnsi="Arial" w:cs="Arial"/>
                <w:sz w:val="16"/>
                <w:szCs w:val="16"/>
              </w:rPr>
            </w:pPr>
            <w:r w:rsidRPr="005150C9">
              <w:rPr>
                <w:rFonts w:ascii="Arial" w:hAnsi="Arial" w:cs="Arial"/>
                <w:sz w:val="16"/>
                <w:szCs w:val="16"/>
              </w:rPr>
              <w:t>Mejora PP-NRS≥4 puntos</w:t>
            </w:r>
          </w:p>
        </w:tc>
        <w:tc>
          <w:tcPr>
            <w:tcW w:w="2256" w:type="dxa"/>
            <w:tcBorders>
              <w:top w:val="nil"/>
              <w:left w:val="nil"/>
              <w:bottom w:val="single" w:sz="4" w:space="0" w:color="auto"/>
              <w:right w:val="single" w:sz="8" w:space="0" w:color="auto"/>
            </w:tcBorders>
            <w:vAlign w:val="center"/>
            <w:hideMark/>
          </w:tcPr>
          <w:p w14:paraId="09F97E74" w14:textId="77777777" w:rsidR="005150C9" w:rsidRPr="005150C9" w:rsidRDefault="005150C9">
            <w:pPr>
              <w:jc w:val="center"/>
              <w:rPr>
                <w:rFonts w:ascii="Arial" w:hAnsi="Arial" w:cs="Arial"/>
                <w:sz w:val="16"/>
                <w:szCs w:val="16"/>
              </w:rPr>
            </w:pPr>
            <w:r w:rsidRPr="005150C9">
              <w:rPr>
                <w:rFonts w:ascii="Arial" w:hAnsi="Arial" w:cs="Arial"/>
                <w:sz w:val="16"/>
                <w:szCs w:val="16"/>
              </w:rPr>
              <w:t>Mejora PP-NRS≥4 puntos</w:t>
            </w:r>
          </w:p>
        </w:tc>
        <w:tc>
          <w:tcPr>
            <w:tcW w:w="2679" w:type="dxa"/>
            <w:tcBorders>
              <w:top w:val="nil"/>
              <w:left w:val="nil"/>
              <w:bottom w:val="single" w:sz="4" w:space="0" w:color="auto"/>
              <w:right w:val="single" w:sz="8" w:space="0" w:color="auto"/>
            </w:tcBorders>
            <w:vAlign w:val="center"/>
            <w:hideMark/>
          </w:tcPr>
          <w:p w14:paraId="4374DC4A" w14:textId="77777777" w:rsidR="005150C9" w:rsidRPr="005150C9" w:rsidRDefault="005150C9">
            <w:pPr>
              <w:jc w:val="center"/>
              <w:rPr>
                <w:rFonts w:ascii="Arial" w:hAnsi="Arial" w:cs="Arial"/>
                <w:sz w:val="16"/>
                <w:szCs w:val="16"/>
              </w:rPr>
            </w:pPr>
            <w:r w:rsidRPr="005150C9">
              <w:rPr>
                <w:rFonts w:ascii="Arial" w:hAnsi="Arial" w:cs="Arial"/>
                <w:sz w:val="16"/>
                <w:szCs w:val="16"/>
              </w:rPr>
              <w:t>Mejora PP-NRS≥4 puntos</w:t>
            </w:r>
          </w:p>
        </w:tc>
        <w:tc>
          <w:tcPr>
            <w:tcW w:w="2167" w:type="dxa"/>
            <w:tcBorders>
              <w:top w:val="nil"/>
              <w:left w:val="nil"/>
              <w:bottom w:val="single" w:sz="4" w:space="0" w:color="auto"/>
              <w:right w:val="single" w:sz="8" w:space="0" w:color="auto"/>
            </w:tcBorders>
            <w:vAlign w:val="center"/>
            <w:hideMark/>
          </w:tcPr>
          <w:p w14:paraId="7533ECE7" w14:textId="77777777" w:rsidR="005150C9" w:rsidRPr="005150C9" w:rsidRDefault="005150C9">
            <w:pPr>
              <w:jc w:val="center"/>
              <w:rPr>
                <w:rFonts w:ascii="Arial" w:hAnsi="Arial" w:cs="Arial"/>
                <w:sz w:val="16"/>
                <w:szCs w:val="16"/>
              </w:rPr>
            </w:pPr>
            <w:r w:rsidRPr="005150C9">
              <w:rPr>
                <w:rFonts w:ascii="Arial" w:hAnsi="Arial" w:cs="Arial"/>
                <w:sz w:val="16"/>
                <w:szCs w:val="16"/>
              </w:rPr>
              <w:t>Mejora PP-NRS≥4 puntos</w:t>
            </w:r>
          </w:p>
        </w:tc>
      </w:tr>
      <w:tr w:rsidR="005150C9" w14:paraId="62732CEE" w14:textId="77777777" w:rsidTr="005150C9">
        <w:trPr>
          <w:trHeight w:val="895"/>
        </w:trPr>
        <w:tc>
          <w:tcPr>
            <w:tcW w:w="1375" w:type="dxa"/>
            <w:tcBorders>
              <w:top w:val="nil"/>
              <w:left w:val="single" w:sz="4" w:space="0" w:color="auto"/>
              <w:bottom w:val="single" w:sz="4" w:space="0" w:color="auto"/>
              <w:right w:val="nil"/>
            </w:tcBorders>
            <w:shd w:val="clear" w:color="000000" w:fill="F2F2F2"/>
            <w:vAlign w:val="center"/>
            <w:hideMark/>
          </w:tcPr>
          <w:p w14:paraId="7BF1C7A8" w14:textId="77777777" w:rsidR="005150C9" w:rsidRPr="005150C9" w:rsidRDefault="005150C9">
            <w:pPr>
              <w:jc w:val="center"/>
              <w:rPr>
                <w:rFonts w:ascii="Arial" w:hAnsi="Arial" w:cs="Arial"/>
                <w:b/>
                <w:bCs/>
                <w:sz w:val="16"/>
                <w:szCs w:val="16"/>
              </w:rPr>
            </w:pPr>
            <w:r w:rsidRPr="005150C9">
              <w:rPr>
                <w:rFonts w:ascii="Arial" w:hAnsi="Arial" w:cs="Arial"/>
                <w:b/>
                <w:bCs/>
                <w:sz w:val="16"/>
                <w:szCs w:val="16"/>
              </w:rPr>
              <w:t>TIEMPO DE SEGUIMIENTO</w:t>
            </w:r>
          </w:p>
        </w:tc>
        <w:tc>
          <w:tcPr>
            <w:tcW w:w="2485" w:type="dxa"/>
            <w:tcBorders>
              <w:top w:val="nil"/>
              <w:left w:val="single" w:sz="8" w:space="0" w:color="auto"/>
              <w:bottom w:val="single" w:sz="8" w:space="0" w:color="auto"/>
              <w:right w:val="single" w:sz="8" w:space="0" w:color="auto"/>
            </w:tcBorders>
            <w:vAlign w:val="center"/>
            <w:hideMark/>
          </w:tcPr>
          <w:p w14:paraId="05857EC2" w14:textId="77777777" w:rsidR="005150C9" w:rsidRPr="005150C9" w:rsidRDefault="005150C9">
            <w:pPr>
              <w:jc w:val="center"/>
              <w:rPr>
                <w:rFonts w:ascii="Arial" w:hAnsi="Arial" w:cs="Arial"/>
                <w:sz w:val="16"/>
                <w:szCs w:val="16"/>
              </w:rPr>
            </w:pPr>
            <w:r w:rsidRPr="005150C9">
              <w:rPr>
                <w:rFonts w:ascii="Arial" w:hAnsi="Arial" w:cs="Arial"/>
                <w:sz w:val="16"/>
                <w:szCs w:val="16"/>
              </w:rPr>
              <w:t xml:space="preserve">Estudio de inducción: </w:t>
            </w:r>
            <w:r w:rsidRPr="005150C9">
              <w:rPr>
                <w:rFonts w:ascii="Arial" w:hAnsi="Arial" w:cs="Arial"/>
                <w:b/>
                <w:bCs/>
                <w:sz w:val="16"/>
                <w:szCs w:val="16"/>
              </w:rPr>
              <w:t>16 semanas</w:t>
            </w:r>
            <w:r w:rsidRPr="005150C9">
              <w:rPr>
                <w:rFonts w:ascii="Arial" w:hAnsi="Arial" w:cs="Arial"/>
                <w:sz w:val="16"/>
                <w:szCs w:val="16"/>
              </w:rPr>
              <w:t>, estudio de mantenimiento: 48 semanas</w:t>
            </w:r>
          </w:p>
        </w:tc>
        <w:tc>
          <w:tcPr>
            <w:tcW w:w="2256" w:type="dxa"/>
            <w:tcBorders>
              <w:top w:val="nil"/>
              <w:left w:val="nil"/>
              <w:bottom w:val="single" w:sz="8" w:space="0" w:color="auto"/>
              <w:right w:val="single" w:sz="8" w:space="0" w:color="auto"/>
            </w:tcBorders>
            <w:vAlign w:val="center"/>
            <w:hideMark/>
          </w:tcPr>
          <w:p w14:paraId="6D5C7C5D" w14:textId="77777777" w:rsidR="005150C9" w:rsidRPr="005150C9" w:rsidRDefault="005150C9">
            <w:pPr>
              <w:jc w:val="center"/>
              <w:rPr>
                <w:rFonts w:ascii="Arial" w:hAnsi="Arial" w:cs="Arial"/>
                <w:sz w:val="16"/>
                <w:szCs w:val="16"/>
              </w:rPr>
            </w:pPr>
            <w:r w:rsidRPr="005150C9">
              <w:rPr>
                <w:rFonts w:ascii="Arial" w:hAnsi="Arial" w:cs="Arial"/>
                <w:sz w:val="16"/>
                <w:szCs w:val="16"/>
              </w:rPr>
              <w:t xml:space="preserve"> 64 semanas (52 de tratamiento (con evaluación primaria en la </w:t>
            </w:r>
            <w:r w:rsidRPr="005150C9">
              <w:rPr>
                <w:rFonts w:ascii="Arial" w:hAnsi="Arial" w:cs="Arial"/>
                <w:b/>
                <w:bCs/>
                <w:sz w:val="16"/>
                <w:szCs w:val="16"/>
              </w:rPr>
              <w:t>semana 16</w:t>
            </w:r>
            <w:r w:rsidRPr="005150C9">
              <w:rPr>
                <w:rFonts w:ascii="Arial" w:hAnsi="Arial" w:cs="Arial"/>
                <w:sz w:val="16"/>
                <w:szCs w:val="16"/>
              </w:rPr>
              <w:t xml:space="preserve"> y 12 de seguimiento).  </w:t>
            </w:r>
          </w:p>
        </w:tc>
        <w:tc>
          <w:tcPr>
            <w:tcW w:w="2679" w:type="dxa"/>
            <w:tcBorders>
              <w:top w:val="nil"/>
              <w:left w:val="nil"/>
              <w:bottom w:val="single" w:sz="8" w:space="0" w:color="auto"/>
              <w:right w:val="single" w:sz="8" w:space="0" w:color="auto"/>
            </w:tcBorders>
            <w:vAlign w:val="center"/>
            <w:hideMark/>
          </w:tcPr>
          <w:p w14:paraId="101BFC37" w14:textId="77777777" w:rsidR="005150C9" w:rsidRPr="005150C9" w:rsidRDefault="005150C9">
            <w:pPr>
              <w:jc w:val="center"/>
              <w:rPr>
                <w:rFonts w:ascii="Arial" w:hAnsi="Arial" w:cs="Arial"/>
                <w:sz w:val="16"/>
                <w:szCs w:val="16"/>
              </w:rPr>
            </w:pPr>
            <w:r w:rsidRPr="005150C9">
              <w:rPr>
                <w:rFonts w:ascii="Arial" w:hAnsi="Arial" w:cs="Arial"/>
                <w:sz w:val="16"/>
                <w:szCs w:val="16"/>
              </w:rPr>
              <w:t>Tratamiento Inicial: 16 semanas (Inducción) y Mantenimiento hasta semana 32.</w:t>
            </w:r>
          </w:p>
        </w:tc>
        <w:tc>
          <w:tcPr>
            <w:tcW w:w="2167" w:type="dxa"/>
            <w:tcBorders>
              <w:top w:val="nil"/>
              <w:left w:val="nil"/>
              <w:bottom w:val="single" w:sz="8" w:space="0" w:color="auto"/>
              <w:right w:val="single" w:sz="8" w:space="0" w:color="auto"/>
            </w:tcBorders>
            <w:vAlign w:val="center"/>
            <w:hideMark/>
          </w:tcPr>
          <w:p w14:paraId="1CA78A59" w14:textId="77777777" w:rsidR="005150C9" w:rsidRPr="005150C9" w:rsidRDefault="005150C9">
            <w:pPr>
              <w:jc w:val="center"/>
              <w:rPr>
                <w:rFonts w:ascii="Arial" w:hAnsi="Arial" w:cs="Arial"/>
                <w:sz w:val="16"/>
                <w:szCs w:val="16"/>
              </w:rPr>
            </w:pPr>
            <w:r w:rsidRPr="005150C9">
              <w:rPr>
                <w:rFonts w:ascii="Arial" w:hAnsi="Arial" w:cs="Arial"/>
                <w:sz w:val="16"/>
                <w:szCs w:val="16"/>
              </w:rPr>
              <w:t xml:space="preserve"> 16 semanas</w:t>
            </w:r>
          </w:p>
        </w:tc>
      </w:tr>
    </w:tbl>
    <w:p w14:paraId="778F93EE" w14:textId="77777777" w:rsidR="00736E34" w:rsidRPr="00F67D3D" w:rsidRDefault="00736E34" w:rsidP="009505B0">
      <w:pPr>
        <w:jc w:val="both"/>
        <w:rPr>
          <w:rFonts w:ascii="Arial" w:hAnsi="Arial" w:cs="Arial"/>
          <w:sz w:val="20"/>
          <w:szCs w:val="20"/>
        </w:rPr>
      </w:pPr>
    </w:p>
    <w:p w14:paraId="5A2AF9C3" w14:textId="77777777" w:rsidR="00524A74" w:rsidRDefault="00524A74" w:rsidP="009505B0">
      <w:pPr>
        <w:jc w:val="both"/>
        <w:rPr>
          <w:rFonts w:ascii="Arial" w:hAnsi="Arial" w:cs="Arial"/>
          <w:color w:val="FF0000"/>
          <w:sz w:val="20"/>
          <w:szCs w:val="20"/>
        </w:rPr>
      </w:pPr>
    </w:p>
    <w:p w14:paraId="3DBC81AF" w14:textId="77777777" w:rsidR="00524A74" w:rsidRPr="00524A74" w:rsidRDefault="00524A74" w:rsidP="00524A74">
      <w:pPr>
        <w:jc w:val="both"/>
        <w:rPr>
          <w:rFonts w:ascii="Arial" w:hAnsi="Arial" w:cs="Arial"/>
          <w:sz w:val="20"/>
          <w:szCs w:val="20"/>
        </w:rPr>
      </w:pPr>
      <w:r w:rsidRPr="00524A74">
        <w:rPr>
          <w:rFonts w:ascii="Arial" w:hAnsi="Arial" w:cs="Arial"/>
          <w:sz w:val="20"/>
          <w:szCs w:val="20"/>
        </w:rPr>
        <w:t>1.</w:t>
      </w:r>
      <w:r>
        <w:rPr>
          <w:rFonts w:ascii="Arial" w:hAnsi="Arial" w:cs="Arial"/>
          <w:color w:val="FF0000"/>
          <w:sz w:val="20"/>
          <w:szCs w:val="20"/>
        </w:rPr>
        <w:t xml:space="preserve"> </w:t>
      </w:r>
      <w:r w:rsidRPr="00524A74">
        <w:rPr>
          <w:rFonts w:ascii="Arial" w:hAnsi="Arial" w:cs="Arial"/>
          <w:sz w:val="20"/>
          <w:szCs w:val="20"/>
        </w:rPr>
        <w:t xml:space="preserve">Aunque los ensayos </w:t>
      </w:r>
      <w:r w:rsidRPr="00524A74">
        <w:rPr>
          <w:rFonts w:ascii="Arial" w:hAnsi="Arial" w:cs="Arial"/>
          <w:b/>
          <w:bCs/>
          <w:sz w:val="20"/>
          <w:szCs w:val="20"/>
        </w:rPr>
        <w:t>ARCADIA (nemolizumab)</w:t>
      </w:r>
      <w:r>
        <w:rPr>
          <w:rFonts w:ascii="Arial" w:hAnsi="Arial" w:cs="Arial"/>
          <w:b/>
          <w:bCs/>
          <w:sz w:val="20"/>
          <w:szCs w:val="20"/>
        </w:rPr>
        <w:t xml:space="preserve"> </w:t>
      </w:r>
      <w:r w:rsidRPr="003B32FD">
        <w:rPr>
          <w:rFonts w:ascii="Arial" w:hAnsi="Arial" w:cs="Arial"/>
          <w:sz w:val="20"/>
          <w:szCs w:val="20"/>
        </w:rPr>
        <w:t>(4)</w:t>
      </w:r>
      <w:r w:rsidRPr="00524A74">
        <w:rPr>
          <w:rFonts w:ascii="Arial" w:hAnsi="Arial" w:cs="Arial"/>
          <w:b/>
          <w:bCs/>
          <w:sz w:val="20"/>
          <w:szCs w:val="20"/>
        </w:rPr>
        <w:t xml:space="preserve"> y CHRONOS (dupilumab) </w:t>
      </w:r>
      <w:r w:rsidRPr="00524A74">
        <w:rPr>
          <w:rFonts w:ascii="Arial" w:hAnsi="Arial" w:cs="Arial"/>
          <w:sz w:val="20"/>
          <w:szCs w:val="20"/>
        </w:rPr>
        <w:t xml:space="preserve">(16) son metodológicamente similares y suficientemente comparables para realizar una comparación indirecta, existen algunas diferencias que conviene considerar, si bien no se han valorado como limitantes para el análisis. ARCADIA incluyó adultos y adolescentes ≥12 años, mientras que CHRONOS solo adultos ≥18 años, observándose una ligera peor respuesta en adolescentes sin interacción significativa. Aunque ambos estudios seleccionaron pacientes con DA moderada-grave (IGA 3/4), la distribución basal fue distinta (≈70% IGA 3 en ARCADIA frente al 50% en CHRONOS). Las variables primarias (IGA y EASI75) y la principal secundaria (PP-NRS) fueron equivalentes, seleccionándose la pauta de dupilumab 300 mg Q2W para la comparación. A pesar de su diferente duración global, los resultados se compararon en la semana 16. En el ensayo de dupilumab se utilizó un protocolo estandarizado de </w:t>
      </w:r>
      <w:r w:rsidR="0075635A">
        <w:rPr>
          <w:rFonts w:ascii="Arial" w:hAnsi="Arial" w:cs="Arial"/>
          <w:sz w:val="20"/>
          <w:szCs w:val="20"/>
        </w:rPr>
        <w:t xml:space="preserve">TCS </w:t>
      </w:r>
      <w:r w:rsidRPr="00524A74">
        <w:rPr>
          <w:rFonts w:ascii="Arial" w:hAnsi="Arial" w:cs="Arial"/>
          <w:sz w:val="20"/>
          <w:szCs w:val="20"/>
        </w:rPr>
        <w:t>de potencia media-baja, clasificándose como no respondedores a los pacientes que requirieron TCS de alta potencia de rescate.</w:t>
      </w:r>
    </w:p>
    <w:p w14:paraId="03C7FA3C" w14:textId="77777777" w:rsidR="00524A74" w:rsidRPr="00524A74" w:rsidRDefault="00524A74" w:rsidP="00524A74">
      <w:pPr>
        <w:jc w:val="both"/>
        <w:rPr>
          <w:rFonts w:ascii="Arial" w:hAnsi="Arial" w:cs="Arial"/>
          <w:b/>
          <w:bCs/>
          <w:sz w:val="20"/>
          <w:szCs w:val="20"/>
        </w:rPr>
      </w:pPr>
      <w:r w:rsidRPr="00524A74">
        <w:rPr>
          <w:rFonts w:ascii="Arial" w:hAnsi="Arial" w:cs="Arial"/>
          <w:sz w:val="20"/>
          <w:szCs w:val="20"/>
        </w:rPr>
        <w:t>2.</w:t>
      </w:r>
      <w:r w:rsidRPr="00524A74">
        <w:rPr>
          <w:rFonts w:ascii="Arial" w:hAnsi="Arial" w:cs="Arial"/>
          <w:sz w:val="20"/>
          <w:szCs w:val="20"/>
        </w:rPr>
        <w:tab/>
        <w:t xml:space="preserve">La limitación principal para comparar los ensayos de </w:t>
      </w:r>
      <w:r w:rsidRPr="00524A74">
        <w:rPr>
          <w:rFonts w:ascii="Arial" w:hAnsi="Arial" w:cs="Arial"/>
          <w:b/>
          <w:bCs/>
          <w:sz w:val="20"/>
          <w:szCs w:val="20"/>
        </w:rPr>
        <w:t>nemolizumab y tralokinumab (ECZTRA 3) (21)</w:t>
      </w:r>
      <w:r w:rsidRPr="00524A74">
        <w:rPr>
          <w:rFonts w:ascii="Arial" w:hAnsi="Arial" w:cs="Arial"/>
          <w:sz w:val="20"/>
          <w:szCs w:val="20"/>
        </w:rPr>
        <w:t xml:space="preserve"> radica en la diferente potencia de la terapia tópica de fondo utilizada. En el ensayo de tralokinumab, el protocolo estandarizó el uso de un TCS de alta potencia (furoato de mometasona 0.1%) como parte del tratamiento basal. En contraste, en el ensayo de nemolizumab, la terapia de fondo se restringió a TCS de baja a media potencia, y el uso de TCS de alta potencia se designaba como terapia de rescate. Además, los pacientes en el ensayo de nemolizumab que requerían y utilizaban esta terapia de rescate de alta potencia eran automáticamente clasificados como no respondedores, haciendo que los resultados de eficacia </w:t>
      </w:r>
      <w:r w:rsidRPr="00524A74">
        <w:rPr>
          <w:rFonts w:ascii="Arial" w:hAnsi="Arial" w:cs="Arial"/>
          <w:b/>
          <w:bCs/>
          <w:sz w:val="20"/>
          <w:szCs w:val="20"/>
        </w:rPr>
        <w:t xml:space="preserve">no </w:t>
      </w:r>
      <w:r w:rsidRPr="00524A74">
        <w:rPr>
          <w:rFonts w:ascii="Arial" w:hAnsi="Arial" w:cs="Arial"/>
          <w:sz w:val="20"/>
          <w:szCs w:val="20"/>
        </w:rPr>
        <w:t xml:space="preserve">sean </w:t>
      </w:r>
      <w:r w:rsidRPr="00524A74">
        <w:rPr>
          <w:rFonts w:ascii="Arial" w:hAnsi="Arial" w:cs="Arial"/>
          <w:b/>
          <w:bCs/>
          <w:sz w:val="20"/>
          <w:szCs w:val="20"/>
        </w:rPr>
        <w:t>comparables.</w:t>
      </w:r>
    </w:p>
    <w:p w14:paraId="29D7733D" w14:textId="77777777" w:rsidR="00524A74" w:rsidRPr="00524A74" w:rsidRDefault="00524A74" w:rsidP="00524A74">
      <w:pPr>
        <w:jc w:val="both"/>
        <w:rPr>
          <w:rFonts w:ascii="Arial" w:hAnsi="Arial" w:cs="Arial"/>
          <w:b/>
          <w:bCs/>
          <w:sz w:val="20"/>
          <w:szCs w:val="20"/>
        </w:rPr>
      </w:pPr>
    </w:p>
    <w:p w14:paraId="496CC1C7" w14:textId="77777777" w:rsidR="00524A74" w:rsidRDefault="00524A74" w:rsidP="00524A74">
      <w:pPr>
        <w:jc w:val="both"/>
        <w:rPr>
          <w:rFonts w:ascii="Arial" w:hAnsi="Arial" w:cs="Arial"/>
          <w:sz w:val="20"/>
          <w:szCs w:val="20"/>
        </w:rPr>
      </w:pPr>
      <w:r w:rsidRPr="00524A74">
        <w:rPr>
          <w:rFonts w:ascii="Arial" w:hAnsi="Arial" w:cs="Arial"/>
          <w:sz w:val="20"/>
          <w:szCs w:val="20"/>
        </w:rPr>
        <w:t>3.</w:t>
      </w:r>
      <w:r w:rsidRPr="00524A74">
        <w:rPr>
          <w:rFonts w:ascii="Arial" w:hAnsi="Arial" w:cs="Arial"/>
          <w:sz w:val="20"/>
          <w:szCs w:val="20"/>
        </w:rPr>
        <w:tab/>
        <w:t xml:space="preserve">Los ensayos de Fase 3 de </w:t>
      </w:r>
      <w:r w:rsidRPr="00524A74">
        <w:rPr>
          <w:rFonts w:ascii="Arial" w:hAnsi="Arial" w:cs="Arial"/>
          <w:b/>
          <w:bCs/>
          <w:sz w:val="20"/>
          <w:szCs w:val="20"/>
        </w:rPr>
        <w:t>Nemolizumab (ARCADIA 1 y 2) (4) y Lebrikizumab (KGAD/Adhere) (17)</w:t>
      </w:r>
      <w:r w:rsidRPr="00524A74">
        <w:rPr>
          <w:rFonts w:ascii="Arial" w:hAnsi="Arial" w:cs="Arial"/>
          <w:sz w:val="20"/>
          <w:szCs w:val="20"/>
        </w:rPr>
        <w:t xml:space="preserve"> comparten elementos de diseño clave y variables primarias, además de haber utilizado una terapia tópica de fondo de potencia media-baja similar, lo que justifica la posibilidad de una comparación indirecta. No obstante, existen limitaciones a considerar; el ensayo de Lebrikizumab incluyó una población con mayor exposición previa a dupilumab (14% vs. 6% en Nemolizumab). Adicionalmente, el requisito de duración del diagnóstico de DA fue más corto en el estudio de Lebrikizumab (al menos 1 año) que en el de Nemolizumab (al menos 2 años). </w:t>
      </w:r>
    </w:p>
    <w:tbl>
      <w:tblPr>
        <w:tblpPr w:leftFromText="141" w:rightFromText="141" w:vertAnchor="text" w:horzAnchor="margin" w:tblpXSpec="center" w:tblpY="104"/>
        <w:tblW w:w="10956" w:type="dxa"/>
        <w:tblCellMar>
          <w:left w:w="70" w:type="dxa"/>
          <w:right w:w="70" w:type="dxa"/>
        </w:tblCellMar>
        <w:tblLook w:val="04A0" w:firstRow="1" w:lastRow="0" w:firstColumn="1" w:lastColumn="0" w:noHBand="0" w:noVBand="1"/>
      </w:tblPr>
      <w:tblGrid>
        <w:gridCol w:w="1472"/>
        <w:gridCol w:w="2191"/>
        <w:gridCol w:w="2532"/>
        <w:gridCol w:w="2298"/>
        <w:gridCol w:w="2463"/>
      </w:tblGrid>
      <w:tr w:rsidR="00ED735F" w14:paraId="3ED87093" w14:textId="77777777" w:rsidTr="003B32FD">
        <w:trPr>
          <w:trHeight w:val="294"/>
        </w:trPr>
        <w:tc>
          <w:tcPr>
            <w:tcW w:w="10956" w:type="dxa"/>
            <w:gridSpan w:val="5"/>
            <w:tcBorders>
              <w:top w:val="single" w:sz="8" w:space="0" w:color="auto"/>
              <w:left w:val="single" w:sz="8" w:space="0" w:color="auto"/>
              <w:bottom w:val="single" w:sz="8" w:space="0" w:color="auto"/>
              <w:right w:val="single" w:sz="8" w:space="0" w:color="000000"/>
            </w:tcBorders>
            <w:shd w:val="clear" w:color="auto" w:fill="CCFFCC"/>
            <w:noWrap/>
            <w:vAlign w:val="bottom"/>
            <w:hideMark/>
          </w:tcPr>
          <w:p w14:paraId="6C52C83B" w14:textId="77777777" w:rsidR="00ED735F" w:rsidRPr="00ED735F" w:rsidRDefault="00ED735F" w:rsidP="00CA7727">
            <w:pPr>
              <w:jc w:val="center"/>
              <w:rPr>
                <w:rFonts w:ascii="Arial" w:hAnsi="Arial" w:cs="Arial"/>
                <w:sz w:val="18"/>
                <w:szCs w:val="18"/>
              </w:rPr>
            </w:pPr>
            <w:r w:rsidRPr="003B32FD">
              <w:rPr>
                <w:rFonts w:ascii="Arial" w:hAnsi="Arial" w:cs="Arial"/>
                <w:b/>
                <w:bCs/>
                <w:color w:val="000000"/>
                <w:sz w:val="20"/>
                <w:szCs w:val="20"/>
              </w:rPr>
              <w:t xml:space="preserve">Tabla </w:t>
            </w:r>
            <w:r w:rsidR="003B32FD" w:rsidRPr="003B32FD">
              <w:rPr>
                <w:rFonts w:ascii="Arial" w:hAnsi="Arial" w:cs="Arial"/>
                <w:b/>
                <w:bCs/>
                <w:color w:val="000000"/>
                <w:sz w:val="20"/>
                <w:szCs w:val="20"/>
              </w:rPr>
              <w:t>13</w:t>
            </w:r>
            <w:r w:rsidRPr="003B32FD">
              <w:rPr>
                <w:rFonts w:ascii="Arial" w:hAnsi="Arial" w:cs="Arial"/>
                <w:b/>
                <w:bCs/>
                <w:color w:val="000000"/>
                <w:sz w:val="20"/>
                <w:szCs w:val="20"/>
              </w:rPr>
              <w:t xml:space="preserve">. Comparación ensayos de nemolizumab e </w:t>
            </w:r>
            <w:r w:rsidR="003B32FD">
              <w:rPr>
                <w:rFonts w:ascii="Arial" w:hAnsi="Arial" w:cs="Arial"/>
                <w:b/>
                <w:bCs/>
                <w:color w:val="000000"/>
                <w:sz w:val="20"/>
                <w:szCs w:val="20"/>
              </w:rPr>
              <w:t>iJAK</w:t>
            </w:r>
          </w:p>
        </w:tc>
      </w:tr>
      <w:tr w:rsidR="00ED735F" w14:paraId="57DC95EE" w14:textId="77777777" w:rsidTr="00ED735F">
        <w:trPr>
          <w:trHeight w:val="294"/>
        </w:trPr>
        <w:tc>
          <w:tcPr>
            <w:tcW w:w="1472"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0639C09"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ENSAYO</w:t>
            </w:r>
          </w:p>
        </w:tc>
        <w:tc>
          <w:tcPr>
            <w:tcW w:w="2191" w:type="dxa"/>
            <w:tcBorders>
              <w:top w:val="nil"/>
              <w:left w:val="nil"/>
              <w:bottom w:val="single" w:sz="8" w:space="0" w:color="auto"/>
              <w:right w:val="nil"/>
            </w:tcBorders>
            <w:shd w:val="clear" w:color="000000" w:fill="DDEBF7"/>
            <w:vAlign w:val="center"/>
            <w:hideMark/>
          </w:tcPr>
          <w:p w14:paraId="5865B692"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NEMOLIZUMAB</w:t>
            </w:r>
          </w:p>
        </w:tc>
        <w:tc>
          <w:tcPr>
            <w:tcW w:w="2532" w:type="dxa"/>
            <w:tcBorders>
              <w:top w:val="nil"/>
              <w:left w:val="single" w:sz="8" w:space="0" w:color="auto"/>
              <w:bottom w:val="single" w:sz="8" w:space="0" w:color="auto"/>
              <w:right w:val="nil"/>
            </w:tcBorders>
            <w:shd w:val="clear" w:color="000000" w:fill="FCE4D6"/>
            <w:vAlign w:val="center"/>
            <w:hideMark/>
          </w:tcPr>
          <w:p w14:paraId="5119ECCF"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ABROCITINIB</w:t>
            </w:r>
          </w:p>
        </w:tc>
        <w:tc>
          <w:tcPr>
            <w:tcW w:w="2298" w:type="dxa"/>
            <w:tcBorders>
              <w:top w:val="nil"/>
              <w:left w:val="single" w:sz="8" w:space="0" w:color="auto"/>
              <w:bottom w:val="single" w:sz="8" w:space="0" w:color="auto"/>
              <w:right w:val="single" w:sz="8" w:space="0" w:color="auto"/>
            </w:tcBorders>
            <w:shd w:val="clear" w:color="000000" w:fill="C6E0B4"/>
            <w:vAlign w:val="center"/>
            <w:hideMark/>
          </w:tcPr>
          <w:p w14:paraId="6A9E9F02"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UPADACITINIB</w:t>
            </w:r>
          </w:p>
        </w:tc>
        <w:tc>
          <w:tcPr>
            <w:tcW w:w="2460" w:type="dxa"/>
            <w:tcBorders>
              <w:top w:val="nil"/>
              <w:left w:val="nil"/>
              <w:bottom w:val="single" w:sz="4" w:space="0" w:color="auto"/>
              <w:right w:val="single" w:sz="8" w:space="0" w:color="auto"/>
            </w:tcBorders>
            <w:shd w:val="clear" w:color="000000" w:fill="FFF2CC"/>
            <w:vAlign w:val="center"/>
            <w:hideMark/>
          </w:tcPr>
          <w:p w14:paraId="6246F973"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BARICITINIB</w:t>
            </w:r>
          </w:p>
        </w:tc>
      </w:tr>
      <w:tr w:rsidR="00ED735F" w14:paraId="765608D0" w14:textId="77777777" w:rsidTr="00ED735F">
        <w:trPr>
          <w:trHeight w:val="294"/>
        </w:trPr>
        <w:tc>
          <w:tcPr>
            <w:tcW w:w="1472" w:type="dxa"/>
            <w:vMerge/>
            <w:tcBorders>
              <w:top w:val="nil"/>
              <w:left w:val="single" w:sz="8" w:space="0" w:color="auto"/>
              <w:bottom w:val="single" w:sz="8" w:space="0" w:color="000000"/>
              <w:right w:val="single" w:sz="8" w:space="0" w:color="auto"/>
            </w:tcBorders>
            <w:vAlign w:val="center"/>
            <w:hideMark/>
          </w:tcPr>
          <w:p w14:paraId="4470AD8B" w14:textId="77777777" w:rsidR="00ED735F" w:rsidRPr="00ED735F" w:rsidRDefault="00ED735F" w:rsidP="00ED735F">
            <w:pPr>
              <w:rPr>
                <w:rFonts w:ascii="Arial" w:hAnsi="Arial" w:cs="Arial"/>
                <w:b/>
                <w:bCs/>
                <w:sz w:val="18"/>
                <w:szCs w:val="18"/>
              </w:rPr>
            </w:pPr>
          </w:p>
        </w:tc>
        <w:tc>
          <w:tcPr>
            <w:tcW w:w="2191" w:type="dxa"/>
            <w:tcBorders>
              <w:top w:val="nil"/>
              <w:left w:val="nil"/>
              <w:bottom w:val="single" w:sz="4" w:space="0" w:color="auto"/>
              <w:right w:val="nil"/>
            </w:tcBorders>
            <w:noWrap/>
            <w:vAlign w:val="center"/>
            <w:hideMark/>
          </w:tcPr>
          <w:p w14:paraId="31BE7E6B"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ARCADIA 1 y 2</w:t>
            </w:r>
          </w:p>
        </w:tc>
        <w:tc>
          <w:tcPr>
            <w:tcW w:w="2532" w:type="dxa"/>
            <w:tcBorders>
              <w:top w:val="nil"/>
              <w:left w:val="single" w:sz="8" w:space="0" w:color="auto"/>
              <w:bottom w:val="single" w:sz="4" w:space="0" w:color="auto"/>
              <w:right w:val="nil"/>
            </w:tcBorders>
            <w:shd w:val="clear" w:color="000000" w:fill="FFFFFF"/>
            <w:vAlign w:val="center"/>
            <w:hideMark/>
          </w:tcPr>
          <w:p w14:paraId="7404AF4D"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 xml:space="preserve"> JADE COMPARE</w:t>
            </w:r>
          </w:p>
        </w:tc>
        <w:tc>
          <w:tcPr>
            <w:tcW w:w="2298" w:type="dxa"/>
            <w:tcBorders>
              <w:top w:val="nil"/>
              <w:left w:val="single" w:sz="8" w:space="0" w:color="auto"/>
              <w:bottom w:val="single" w:sz="4" w:space="0" w:color="auto"/>
              <w:right w:val="single" w:sz="8" w:space="0" w:color="auto"/>
            </w:tcBorders>
            <w:shd w:val="clear" w:color="000000" w:fill="FFFFFF"/>
            <w:vAlign w:val="center"/>
            <w:hideMark/>
          </w:tcPr>
          <w:p w14:paraId="72C61468"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M16-047 (AD Up)</w:t>
            </w:r>
          </w:p>
        </w:tc>
        <w:tc>
          <w:tcPr>
            <w:tcW w:w="2460" w:type="dxa"/>
            <w:tcBorders>
              <w:top w:val="nil"/>
              <w:left w:val="nil"/>
              <w:bottom w:val="single" w:sz="4" w:space="0" w:color="auto"/>
              <w:right w:val="single" w:sz="8" w:space="0" w:color="auto"/>
            </w:tcBorders>
            <w:shd w:val="clear" w:color="000000" w:fill="FFFFFF"/>
            <w:vAlign w:val="center"/>
            <w:hideMark/>
          </w:tcPr>
          <w:p w14:paraId="3409C84D"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Estudio JAIY</w:t>
            </w:r>
          </w:p>
        </w:tc>
      </w:tr>
      <w:tr w:rsidR="00ED735F" w14:paraId="3573ABE6" w14:textId="77777777" w:rsidTr="00ED735F">
        <w:trPr>
          <w:trHeight w:val="498"/>
        </w:trPr>
        <w:tc>
          <w:tcPr>
            <w:tcW w:w="1472" w:type="dxa"/>
            <w:tcBorders>
              <w:top w:val="nil"/>
              <w:left w:val="single" w:sz="8" w:space="0" w:color="auto"/>
              <w:bottom w:val="single" w:sz="4" w:space="0" w:color="auto"/>
              <w:right w:val="nil"/>
            </w:tcBorders>
            <w:shd w:val="clear" w:color="000000" w:fill="F2F2F2"/>
            <w:vAlign w:val="center"/>
            <w:hideMark/>
          </w:tcPr>
          <w:p w14:paraId="5D9D0168"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DISEÑO</w:t>
            </w:r>
          </w:p>
        </w:tc>
        <w:tc>
          <w:tcPr>
            <w:tcW w:w="2191" w:type="dxa"/>
            <w:tcBorders>
              <w:top w:val="nil"/>
              <w:left w:val="single" w:sz="8" w:space="0" w:color="auto"/>
              <w:bottom w:val="single" w:sz="4" w:space="0" w:color="auto"/>
              <w:right w:val="nil"/>
            </w:tcBorders>
            <w:vAlign w:val="center"/>
            <w:hideMark/>
          </w:tcPr>
          <w:p w14:paraId="6B4BD7B5"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Fase 3, aleatorizado, doble ciego, paralelo</w:t>
            </w:r>
          </w:p>
        </w:tc>
        <w:tc>
          <w:tcPr>
            <w:tcW w:w="2532" w:type="dxa"/>
            <w:tcBorders>
              <w:top w:val="nil"/>
              <w:left w:val="single" w:sz="8" w:space="0" w:color="auto"/>
              <w:bottom w:val="single" w:sz="4" w:space="0" w:color="auto"/>
              <w:right w:val="nil"/>
            </w:tcBorders>
            <w:vAlign w:val="center"/>
            <w:hideMark/>
          </w:tcPr>
          <w:p w14:paraId="579F2E4B"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Fase 3, aleatorizado, doble ciego, doble dummy (incluye dupilumab), controlado con placebo</w:t>
            </w:r>
          </w:p>
        </w:tc>
        <w:tc>
          <w:tcPr>
            <w:tcW w:w="2298" w:type="dxa"/>
            <w:tcBorders>
              <w:top w:val="nil"/>
              <w:left w:val="single" w:sz="8" w:space="0" w:color="auto"/>
              <w:bottom w:val="single" w:sz="4" w:space="0" w:color="auto"/>
              <w:right w:val="single" w:sz="8" w:space="0" w:color="auto"/>
            </w:tcBorders>
            <w:vAlign w:val="center"/>
            <w:hideMark/>
          </w:tcPr>
          <w:p w14:paraId="10BFD0AF"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Fase 3, aleatorizado, doble ciego, paralelo</w:t>
            </w:r>
          </w:p>
        </w:tc>
        <w:tc>
          <w:tcPr>
            <w:tcW w:w="2460" w:type="dxa"/>
            <w:tcBorders>
              <w:top w:val="nil"/>
              <w:left w:val="nil"/>
              <w:bottom w:val="single" w:sz="4" w:space="0" w:color="auto"/>
              <w:right w:val="single" w:sz="8" w:space="0" w:color="auto"/>
            </w:tcBorders>
            <w:vAlign w:val="center"/>
            <w:hideMark/>
          </w:tcPr>
          <w:p w14:paraId="29B59075"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Fase 3, aleatorizado, doble ciego, controlado con placebo</w:t>
            </w:r>
          </w:p>
        </w:tc>
      </w:tr>
      <w:tr w:rsidR="00ED735F" w14:paraId="30533957" w14:textId="77777777" w:rsidTr="00ED735F">
        <w:trPr>
          <w:trHeight w:val="1915"/>
        </w:trPr>
        <w:tc>
          <w:tcPr>
            <w:tcW w:w="1472" w:type="dxa"/>
            <w:tcBorders>
              <w:top w:val="nil"/>
              <w:left w:val="single" w:sz="8" w:space="0" w:color="auto"/>
              <w:bottom w:val="single" w:sz="4" w:space="0" w:color="auto"/>
              <w:right w:val="nil"/>
            </w:tcBorders>
            <w:shd w:val="clear" w:color="000000" w:fill="F2F2F2"/>
            <w:vAlign w:val="center"/>
            <w:hideMark/>
          </w:tcPr>
          <w:p w14:paraId="319676C4"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BRAZOS</w:t>
            </w:r>
          </w:p>
        </w:tc>
        <w:tc>
          <w:tcPr>
            <w:tcW w:w="2191" w:type="dxa"/>
            <w:tcBorders>
              <w:top w:val="nil"/>
              <w:left w:val="single" w:sz="8" w:space="0" w:color="auto"/>
              <w:bottom w:val="single" w:sz="4" w:space="0" w:color="auto"/>
              <w:right w:val="nil"/>
            </w:tcBorders>
            <w:vAlign w:val="center"/>
            <w:hideMark/>
          </w:tcPr>
          <w:p w14:paraId="7456F95E"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D0: nemo 60 mg (carga)+ TCS D4-16:nemo 30 mg Q4W+TCS vs placebo+TCS y Dm nemo 30 mg Q4W vs Q8W+TCS  vs placebo+TCS</w:t>
            </w:r>
          </w:p>
        </w:tc>
        <w:tc>
          <w:tcPr>
            <w:tcW w:w="2532" w:type="dxa"/>
            <w:tcBorders>
              <w:top w:val="nil"/>
              <w:left w:val="single" w:sz="8" w:space="0" w:color="auto"/>
              <w:bottom w:val="single" w:sz="4" w:space="0" w:color="auto"/>
              <w:right w:val="nil"/>
            </w:tcBorders>
            <w:vAlign w:val="center"/>
            <w:hideMark/>
          </w:tcPr>
          <w:p w14:paraId="47A985E1"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Abrocitinib 100 mg QD + placebo inyectable    Abrocitinib 200 mg QD + placebo inyectable</w:t>
            </w:r>
            <w:r w:rsidRPr="00ED735F">
              <w:rPr>
                <w:rFonts w:ascii="Arial" w:hAnsi="Arial" w:cs="Arial"/>
                <w:sz w:val="18"/>
                <w:szCs w:val="18"/>
              </w:rPr>
              <w:br/>
            </w:r>
            <w:r w:rsidRPr="00ED735F">
              <w:rPr>
                <w:rFonts w:ascii="Arial" w:hAnsi="Arial" w:cs="Arial"/>
                <w:b/>
                <w:bCs/>
                <w:sz w:val="18"/>
                <w:szCs w:val="18"/>
              </w:rPr>
              <w:t xml:space="preserve">Dupilumab </w:t>
            </w:r>
            <w:r w:rsidRPr="00ED735F">
              <w:rPr>
                <w:rFonts w:ascii="Arial" w:hAnsi="Arial" w:cs="Arial"/>
                <w:sz w:val="18"/>
                <w:szCs w:val="18"/>
              </w:rPr>
              <w:t>300 mg Q2W + placebo oral</w:t>
            </w:r>
            <w:r w:rsidRPr="00ED735F">
              <w:rPr>
                <w:rFonts w:ascii="Arial" w:hAnsi="Arial" w:cs="Arial"/>
                <w:sz w:val="18"/>
                <w:szCs w:val="18"/>
              </w:rPr>
              <w:br/>
              <w:t>Placebo (oral + inyectable)</w:t>
            </w:r>
            <w:r w:rsidRPr="00ED735F">
              <w:rPr>
                <w:rFonts w:ascii="Arial" w:hAnsi="Arial" w:cs="Arial"/>
                <w:sz w:val="18"/>
                <w:szCs w:val="18"/>
              </w:rPr>
              <w:br/>
              <w:t>Todos con TCS de fondo</w:t>
            </w:r>
          </w:p>
        </w:tc>
        <w:tc>
          <w:tcPr>
            <w:tcW w:w="2298" w:type="dxa"/>
            <w:tcBorders>
              <w:top w:val="nil"/>
              <w:left w:val="single" w:sz="8" w:space="0" w:color="auto"/>
              <w:bottom w:val="single" w:sz="4" w:space="0" w:color="auto"/>
              <w:right w:val="single" w:sz="8" w:space="0" w:color="auto"/>
            </w:tcBorders>
            <w:vAlign w:val="center"/>
            <w:hideMark/>
          </w:tcPr>
          <w:p w14:paraId="4D81F6F5"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Upadacitinib 15 mg QD + TCS. Upadacitinib 30 mg QD + TCS y Placebo QD + TCS</w:t>
            </w:r>
          </w:p>
        </w:tc>
        <w:tc>
          <w:tcPr>
            <w:tcW w:w="2460" w:type="dxa"/>
            <w:tcBorders>
              <w:top w:val="nil"/>
              <w:left w:val="nil"/>
              <w:bottom w:val="single" w:sz="4" w:space="0" w:color="auto"/>
              <w:right w:val="single" w:sz="8" w:space="0" w:color="auto"/>
            </w:tcBorders>
            <w:vAlign w:val="center"/>
            <w:hideMark/>
          </w:tcPr>
          <w:p w14:paraId="0DEBF644"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Baricitinib 2 mg QD + TCS, 4 mg QD + TCS o Placebo QD + TCS</w:t>
            </w:r>
          </w:p>
        </w:tc>
      </w:tr>
      <w:tr w:rsidR="00ED735F" w14:paraId="580F6383" w14:textId="77777777" w:rsidTr="00ED735F">
        <w:trPr>
          <w:trHeight w:val="1453"/>
        </w:trPr>
        <w:tc>
          <w:tcPr>
            <w:tcW w:w="1472" w:type="dxa"/>
            <w:tcBorders>
              <w:top w:val="nil"/>
              <w:left w:val="single" w:sz="8" w:space="0" w:color="auto"/>
              <w:bottom w:val="single" w:sz="4" w:space="0" w:color="auto"/>
              <w:right w:val="nil"/>
            </w:tcBorders>
            <w:shd w:val="clear" w:color="000000" w:fill="F2F2F2"/>
            <w:vAlign w:val="center"/>
            <w:hideMark/>
          </w:tcPr>
          <w:p w14:paraId="03CB7FA6"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PACIENTES</w:t>
            </w:r>
          </w:p>
        </w:tc>
        <w:tc>
          <w:tcPr>
            <w:tcW w:w="2191" w:type="dxa"/>
            <w:tcBorders>
              <w:top w:val="nil"/>
              <w:left w:val="single" w:sz="8" w:space="0" w:color="auto"/>
              <w:bottom w:val="single" w:sz="4" w:space="0" w:color="auto"/>
              <w:right w:val="nil"/>
            </w:tcBorders>
            <w:vAlign w:val="center"/>
            <w:hideMark/>
          </w:tcPr>
          <w:p w14:paraId="30ECA9E5"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 xml:space="preserve">Adultos y adolescentes </w:t>
            </w:r>
            <w:r w:rsidRPr="00ED735F">
              <w:rPr>
                <w:rFonts w:ascii="Arial" w:hAnsi="Arial" w:cs="Arial"/>
                <w:b/>
                <w:bCs/>
                <w:sz w:val="18"/>
                <w:szCs w:val="18"/>
              </w:rPr>
              <w:t>(≥12 años)</w:t>
            </w:r>
            <w:r w:rsidRPr="00ED735F">
              <w:rPr>
                <w:rFonts w:ascii="Arial" w:hAnsi="Arial" w:cs="Arial"/>
                <w:sz w:val="18"/>
                <w:szCs w:val="18"/>
              </w:rPr>
              <w:t xml:space="preserve"> con DA moderada-severa desde </w:t>
            </w:r>
            <w:r w:rsidRPr="00ED735F">
              <w:rPr>
                <w:rFonts w:ascii="Arial" w:hAnsi="Arial" w:cs="Arial"/>
                <w:b/>
                <w:bCs/>
                <w:sz w:val="18"/>
                <w:szCs w:val="18"/>
              </w:rPr>
              <w:t>al menos 2 años</w:t>
            </w:r>
            <w:r w:rsidRPr="00ED735F">
              <w:rPr>
                <w:rFonts w:ascii="Arial" w:hAnsi="Arial" w:cs="Arial"/>
                <w:sz w:val="18"/>
                <w:szCs w:val="18"/>
              </w:rPr>
              <w:t xml:space="preserve"> (IGA≥3, EASI≥16, BSA≥10%,</w:t>
            </w:r>
            <w:r w:rsidRPr="00ED735F">
              <w:rPr>
                <w:rFonts w:ascii="Arial" w:hAnsi="Arial" w:cs="Arial"/>
                <w:b/>
                <w:bCs/>
                <w:sz w:val="18"/>
                <w:szCs w:val="18"/>
              </w:rPr>
              <w:t xml:space="preserve"> PP-NRS≥4</w:t>
            </w:r>
            <w:r w:rsidRPr="00ED735F">
              <w:rPr>
                <w:rFonts w:ascii="Arial" w:hAnsi="Arial" w:cs="Arial"/>
                <w:sz w:val="18"/>
                <w:szCs w:val="18"/>
              </w:rPr>
              <w:t>) y falta de respuesta a los tratamiento tópicos.</w:t>
            </w:r>
          </w:p>
        </w:tc>
        <w:tc>
          <w:tcPr>
            <w:tcW w:w="2532" w:type="dxa"/>
            <w:tcBorders>
              <w:top w:val="nil"/>
              <w:left w:val="single" w:sz="8" w:space="0" w:color="auto"/>
              <w:bottom w:val="single" w:sz="4" w:space="0" w:color="auto"/>
              <w:right w:val="nil"/>
            </w:tcBorders>
            <w:vAlign w:val="center"/>
            <w:hideMark/>
          </w:tcPr>
          <w:p w14:paraId="023E7E94"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Adultos (</w:t>
            </w:r>
            <w:r w:rsidRPr="00ED735F">
              <w:rPr>
                <w:rFonts w:ascii="Arial" w:hAnsi="Arial" w:cs="Arial"/>
                <w:b/>
                <w:bCs/>
                <w:sz w:val="18"/>
                <w:szCs w:val="18"/>
              </w:rPr>
              <w:t>≥18 años</w:t>
            </w:r>
            <w:r w:rsidRPr="00ED735F">
              <w:rPr>
                <w:rFonts w:ascii="Arial" w:hAnsi="Arial" w:cs="Arial"/>
                <w:sz w:val="18"/>
                <w:szCs w:val="18"/>
              </w:rPr>
              <w:t xml:space="preserve">, hasta 84 años, DA crónica ≥1 año confirmada. Gravedad: EASI ≥16, IGA ≥3, BSA afectada ≥10%, PP-NRS ≥4. </w:t>
            </w:r>
          </w:p>
        </w:tc>
        <w:tc>
          <w:tcPr>
            <w:tcW w:w="2298" w:type="dxa"/>
            <w:tcBorders>
              <w:top w:val="nil"/>
              <w:left w:val="single" w:sz="8" w:space="0" w:color="auto"/>
              <w:bottom w:val="single" w:sz="4" w:space="0" w:color="auto"/>
              <w:right w:val="single" w:sz="8" w:space="0" w:color="auto"/>
            </w:tcBorders>
            <w:vAlign w:val="center"/>
            <w:hideMark/>
          </w:tcPr>
          <w:p w14:paraId="328A92B6"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Adultos y adolescentes</w:t>
            </w:r>
            <w:r w:rsidRPr="00ED735F">
              <w:rPr>
                <w:rFonts w:ascii="Arial" w:hAnsi="Arial" w:cs="Arial"/>
                <w:b/>
                <w:bCs/>
                <w:sz w:val="18"/>
                <w:szCs w:val="18"/>
              </w:rPr>
              <w:t xml:space="preserve"> (≥12 a ≤75 años)</w:t>
            </w:r>
            <w:r w:rsidRPr="00ED735F">
              <w:rPr>
                <w:rFonts w:ascii="Arial" w:hAnsi="Arial" w:cs="Arial"/>
                <w:sz w:val="18"/>
                <w:szCs w:val="18"/>
              </w:rPr>
              <w:t xml:space="preserve"> con DA con gravedad: EASI ≥16, IGA ≥3, ≥10% de BSA, y PP- NRS promedio semanal ≥4</w:t>
            </w:r>
          </w:p>
        </w:tc>
        <w:tc>
          <w:tcPr>
            <w:tcW w:w="2460" w:type="dxa"/>
            <w:tcBorders>
              <w:top w:val="nil"/>
              <w:left w:val="nil"/>
              <w:bottom w:val="single" w:sz="4" w:space="0" w:color="auto"/>
              <w:right w:val="single" w:sz="8" w:space="0" w:color="auto"/>
            </w:tcBorders>
            <w:vAlign w:val="center"/>
            <w:hideMark/>
          </w:tcPr>
          <w:p w14:paraId="092B2AA3"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adultos</w:t>
            </w:r>
            <w:r w:rsidRPr="00ED735F">
              <w:rPr>
                <w:rFonts w:ascii="Arial" w:hAnsi="Arial" w:cs="Arial"/>
                <w:b/>
                <w:bCs/>
                <w:sz w:val="18"/>
                <w:szCs w:val="18"/>
              </w:rPr>
              <w:t xml:space="preserve"> ≥18 años </w:t>
            </w:r>
            <w:r w:rsidRPr="00ED735F">
              <w:rPr>
                <w:rFonts w:ascii="Arial" w:hAnsi="Arial" w:cs="Arial"/>
                <w:sz w:val="18"/>
                <w:szCs w:val="18"/>
              </w:rPr>
              <w:t>con diagnóstico de ≥1 año, DA moderada-grave (IGA ≥3, EASI ≥16 y BSA ≥10%)</w:t>
            </w:r>
          </w:p>
        </w:tc>
      </w:tr>
      <w:tr w:rsidR="00ED735F" w14:paraId="615CBD3A" w14:textId="77777777" w:rsidTr="00ED735F">
        <w:trPr>
          <w:trHeight w:val="919"/>
        </w:trPr>
        <w:tc>
          <w:tcPr>
            <w:tcW w:w="1472" w:type="dxa"/>
            <w:tcBorders>
              <w:top w:val="nil"/>
              <w:left w:val="single" w:sz="8" w:space="0" w:color="auto"/>
              <w:bottom w:val="single" w:sz="4" w:space="0" w:color="auto"/>
              <w:right w:val="nil"/>
            </w:tcBorders>
            <w:shd w:val="clear" w:color="000000" w:fill="F2F2F2"/>
            <w:vAlign w:val="center"/>
            <w:hideMark/>
          </w:tcPr>
          <w:p w14:paraId="6169908C"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VARIABLES PRIMARIAS</w:t>
            </w:r>
          </w:p>
        </w:tc>
        <w:tc>
          <w:tcPr>
            <w:tcW w:w="2191" w:type="dxa"/>
            <w:tcBorders>
              <w:top w:val="nil"/>
              <w:left w:val="single" w:sz="8" w:space="0" w:color="auto"/>
              <w:bottom w:val="single" w:sz="4" w:space="0" w:color="auto"/>
              <w:right w:val="nil"/>
            </w:tcBorders>
            <w:vAlign w:val="center"/>
            <w:hideMark/>
          </w:tcPr>
          <w:p w14:paraId="29DB43A5" w14:textId="77777777" w:rsidR="00ED735F" w:rsidRPr="00ED735F" w:rsidRDefault="00ED735F" w:rsidP="00ED735F">
            <w:pPr>
              <w:jc w:val="center"/>
              <w:rPr>
                <w:rFonts w:ascii="Arial" w:hAnsi="Arial" w:cs="Arial"/>
                <w:sz w:val="18"/>
                <w:szCs w:val="18"/>
              </w:rPr>
            </w:pPr>
            <w:r w:rsidRPr="00ED735F">
              <w:rPr>
                <w:rFonts w:ascii="Arial" w:hAnsi="Arial" w:cs="Arial"/>
                <w:b/>
                <w:bCs/>
                <w:sz w:val="18"/>
                <w:szCs w:val="18"/>
              </w:rPr>
              <w:t>IGA 0/1 y ≥2</w:t>
            </w:r>
            <w:r w:rsidRPr="00ED735F">
              <w:rPr>
                <w:rFonts w:ascii="Arial" w:hAnsi="Arial" w:cs="Arial"/>
                <w:sz w:val="18"/>
                <w:szCs w:val="18"/>
              </w:rPr>
              <w:t xml:space="preserve">  reducción de IGA y EASI75 </w:t>
            </w:r>
            <w:r w:rsidRPr="00ED735F">
              <w:rPr>
                <w:rFonts w:ascii="Arial" w:hAnsi="Arial" w:cs="Arial"/>
                <w:b/>
                <w:bCs/>
                <w:sz w:val="18"/>
                <w:szCs w:val="18"/>
              </w:rPr>
              <w:t>sem 16</w:t>
            </w:r>
          </w:p>
        </w:tc>
        <w:tc>
          <w:tcPr>
            <w:tcW w:w="2532" w:type="dxa"/>
            <w:tcBorders>
              <w:top w:val="nil"/>
              <w:left w:val="single" w:sz="8" w:space="0" w:color="auto"/>
              <w:bottom w:val="single" w:sz="4" w:space="0" w:color="auto"/>
              <w:right w:val="nil"/>
            </w:tcBorders>
            <w:vAlign w:val="center"/>
            <w:hideMark/>
          </w:tcPr>
          <w:p w14:paraId="5BBEE349"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 xml:space="preserve"> IGA 0/1 y ≥2  reducción de IGA y EASI75 en </w:t>
            </w:r>
            <w:r w:rsidRPr="00ED735F">
              <w:rPr>
                <w:rFonts w:ascii="Arial" w:hAnsi="Arial" w:cs="Arial"/>
                <w:b/>
                <w:bCs/>
                <w:sz w:val="18"/>
                <w:szCs w:val="18"/>
              </w:rPr>
              <w:t>semana 12</w:t>
            </w:r>
          </w:p>
        </w:tc>
        <w:tc>
          <w:tcPr>
            <w:tcW w:w="2298" w:type="dxa"/>
            <w:tcBorders>
              <w:top w:val="nil"/>
              <w:left w:val="single" w:sz="8" w:space="0" w:color="auto"/>
              <w:bottom w:val="single" w:sz="4" w:space="0" w:color="auto"/>
              <w:right w:val="single" w:sz="8" w:space="0" w:color="auto"/>
            </w:tcBorders>
            <w:vAlign w:val="center"/>
            <w:hideMark/>
          </w:tcPr>
          <w:p w14:paraId="45225943" w14:textId="77777777" w:rsidR="00ED735F" w:rsidRPr="00ED735F" w:rsidRDefault="00ED735F" w:rsidP="00ED735F">
            <w:pPr>
              <w:jc w:val="center"/>
              <w:rPr>
                <w:rFonts w:ascii="Arial" w:hAnsi="Arial" w:cs="Arial"/>
                <w:sz w:val="18"/>
                <w:szCs w:val="18"/>
              </w:rPr>
            </w:pPr>
            <w:r w:rsidRPr="00ED735F">
              <w:rPr>
                <w:rFonts w:ascii="Arial" w:hAnsi="Arial" w:cs="Arial"/>
                <w:b/>
                <w:bCs/>
                <w:sz w:val="18"/>
                <w:szCs w:val="18"/>
              </w:rPr>
              <w:t>IGA 0/1 y ≥2</w:t>
            </w:r>
            <w:r w:rsidRPr="00ED735F">
              <w:rPr>
                <w:rFonts w:ascii="Arial" w:hAnsi="Arial" w:cs="Arial"/>
                <w:sz w:val="18"/>
                <w:szCs w:val="18"/>
              </w:rPr>
              <w:t xml:space="preserve">  reducción de IGA y EASI75 </w:t>
            </w:r>
            <w:r w:rsidRPr="00ED735F">
              <w:rPr>
                <w:rFonts w:ascii="Arial" w:hAnsi="Arial" w:cs="Arial"/>
                <w:b/>
                <w:bCs/>
                <w:sz w:val="18"/>
                <w:szCs w:val="18"/>
              </w:rPr>
              <w:t>sem 16</w:t>
            </w:r>
          </w:p>
        </w:tc>
        <w:tc>
          <w:tcPr>
            <w:tcW w:w="2460" w:type="dxa"/>
            <w:tcBorders>
              <w:top w:val="nil"/>
              <w:left w:val="nil"/>
              <w:bottom w:val="single" w:sz="4" w:space="0" w:color="auto"/>
              <w:right w:val="single" w:sz="8" w:space="0" w:color="auto"/>
            </w:tcBorders>
            <w:vAlign w:val="center"/>
            <w:hideMark/>
          </w:tcPr>
          <w:p w14:paraId="51C72ED7"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IGA 0/1 y ≥2  reducción de IGA semana 16</w:t>
            </w:r>
          </w:p>
        </w:tc>
      </w:tr>
      <w:tr w:rsidR="00ED735F" w14:paraId="0879D8CB" w14:textId="77777777" w:rsidTr="00ED735F">
        <w:trPr>
          <w:trHeight w:val="1050"/>
        </w:trPr>
        <w:tc>
          <w:tcPr>
            <w:tcW w:w="1472" w:type="dxa"/>
            <w:tcBorders>
              <w:top w:val="nil"/>
              <w:left w:val="single" w:sz="8" w:space="0" w:color="auto"/>
              <w:bottom w:val="single" w:sz="4" w:space="0" w:color="auto"/>
              <w:right w:val="nil"/>
            </w:tcBorders>
            <w:shd w:val="clear" w:color="000000" w:fill="F2F2F2"/>
            <w:vAlign w:val="center"/>
            <w:hideMark/>
          </w:tcPr>
          <w:p w14:paraId="3DD45314"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VARIABLES SECUNDARIAS</w:t>
            </w:r>
          </w:p>
        </w:tc>
        <w:tc>
          <w:tcPr>
            <w:tcW w:w="2191" w:type="dxa"/>
            <w:tcBorders>
              <w:top w:val="nil"/>
              <w:left w:val="single" w:sz="8" w:space="0" w:color="auto"/>
              <w:bottom w:val="single" w:sz="4" w:space="0" w:color="auto"/>
              <w:right w:val="nil"/>
            </w:tcBorders>
            <w:vAlign w:val="center"/>
            <w:hideMark/>
          </w:tcPr>
          <w:p w14:paraId="15840D85"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Mejora PP-NRS≥4 puntos semana 16</w:t>
            </w:r>
          </w:p>
        </w:tc>
        <w:tc>
          <w:tcPr>
            <w:tcW w:w="2532" w:type="dxa"/>
            <w:tcBorders>
              <w:top w:val="nil"/>
              <w:left w:val="single" w:sz="8" w:space="0" w:color="auto"/>
              <w:bottom w:val="single" w:sz="4" w:space="0" w:color="auto"/>
              <w:right w:val="nil"/>
            </w:tcBorders>
            <w:vAlign w:val="center"/>
            <w:hideMark/>
          </w:tcPr>
          <w:p w14:paraId="06076656"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 xml:space="preserve">PP-NRS4 en Semana 2, </w:t>
            </w:r>
            <w:r w:rsidRPr="00ED735F">
              <w:rPr>
                <w:rFonts w:ascii="Arial" w:hAnsi="Arial" w:cs="Arial"/>
                <w:b/>
                <w:bCs/>
                <w:sz w:val="18"/>
                <w:szCs w:val="18"/>
              </w:rPr>
              <w:t>IGA 0/1 en Semana 16, EASI-75 en Semana 16, PP-NRS4 en Semanas 4, 12, 16</w:t>
            </w:r>
          </w:p>
        </w:tc>
        <w:tc>
          <w:tcPr>
            <w:tcW w:w="2298" w:type="dxa"/>
            <w:tcBorders>
              <w:top w:val="nil"/>
              <w:left w:val="single" w:sz="8" w:space="0" w:color="auto"/>
              <w:bottom w:val="single" w:sz="4" w:space="0" w:color="auto"/>
              <w:right w:val="single" w:sz="8" w:space="0" w:color="auto"/>
            </w:tcBorders>
            <w:vAlign w:val="center"/>
            <w:hideMark/>
          </w:tcPr>
          <w:p w14:paraId="64ED9B80"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Mejora PP-NRS≥4 puntos semana 16</w:t>
            </w:r>
          </w:p>
        </w:tc>
        <w:tc>
          <w:tcPr>
            <w:tcW w:w="2460" w:type="dxa"/>
            <w:tcBorders>
              <w:top w:val="nil"/>
              <w:left w:val="nil"/>
              <w:bottom w:val="single" w:sz="4" w:space="0" w:color="auto"/>
              <w:right w:val="single" w:sz="8" w:space="0" w:color="auto"/>
            </w:tcBorders>
            <w:vAlign w:val="center"/>
            <w:hideMark/>
          </w:tcPr>
          <w:p w14:paraId="0A73686D" w14:textId="77777777" w:rsidR="00ED735F" w:rsidRPr="00ED735F" w:rsidRDefault="00ED735F" w:rsidP="00ED735F">
            <w:pPr>
              <w:jc w:val="center"/>
              <w:rPr>
                <w:rFonts w:ascii="Arial" w:hAnsi="Arial" w:cs="Arial"/>
                <w:sz w:val="18"/>
                <w:szCs w:val="18"/>
              </w:rPr>
            </w:pPr>
            <w:r w:rsidRPr="00ED735F">
              <w:rPr>
                <w:rFonts w:ascii="Arial" w:hAnsi="Arial" w:cs="Arial"/>
                <w:b/>
                <w:bCs/>
                <w:sz w:val="18"/>
                <w:szCs w:val="18"/>
              </w:rPr>
              <w:t>EASI 75 en la Semana 16</w:t>
            </w:r>
            <w:r w:rsidRPr="00ED735F">
              <w:rPr>
                <w:rFonts w:ascii="Arial" w:hAnsi="Arial" w:cs="Arial"/>
                <w:sz w:val="18"/>
                <w:szCs w:val="18"/>
              </w:rPr>
              <w:t>, Mejora ≥4 puntos PP-NRS en la semana 16</w:t>
            </w:r>
          </w:p>
        </w:tc>
      </w:tr>
      <w:tr w:rsidR="00ED735F" w14:paraId="41D03303" w14:textId="77777777" w:rsidTr="00ED735F">
        <w:trPr>
          <w:trHeight w:val="907"/>
        </w:trPr>
        <w:tc>
          <w:tcPr>
            <w:tcW w:w="1472" w:type="dxa"/>
            <w:tcBorders>
              <w:top w:val="nil"/>
              <w:left w:val="single" w:sz="8" w:space="0" w:color="auto"/>
              <w:bottom w:val="single" w:sz="8" w:space="0" w:color="auto"/>
              <w:right w:val="nil"/>
            </w:tcBorders>
            <w:shd w:val="clear" w:color="000000" w:fill="F2F2F2"/>
            <w:vAlign w:val="center"/>
            <w:hideMark/>
          </w:tcPr>
          <w:p w14:paraId="457EAA41" w14:textId="77777777" w:rsidR="00ED735F" w:rsidRPr="00ED735F" w:rsidRDefault="00ED735F" w:rsidP="00ED735F">
            <w:pPr>
              <w:jc w:val="center"/>
              <w:rPr>
                <w:rFonts w:ascii="Arial" w:hAnsi="Arial" w:cs="Arial"/>
                <w:b/>
                <w:bCs/>
                <w:sz w:val="18"/>
                <w:szCs w:val="18"/>
              </w:rPr>
            </w:pPr>
            <w:r w:rsidRPr="00ED735F">
              <w:rPr>
                <w:rFonts w:ascii="Arial" w:hAnsi="Arial" w:cs="Arial"/>
                <w:b/>
                <w:bCs/>
                <w:sz w:val="18"/>
                <w:szCs w:val="18"/>
              </w:rPr>
              <w:t>TIEMPO DE SEGUIMIENTO</w:t>
            </w:r>
          </w:p>
        </w:tc>
        <w:tc>
          <w:tcPr>
            <w:tcW w:w="2191" w:type="dxa"/>
            <w:tcBorders>
              <w:top w:val="nil"/>
              <w:left w:val="single" w:sz="8" w:space="0" w:color="auto"/>
              <w:bottom w:val="single" w:sz="8" w:space="0" w:color="auto"/>
              <w:right w:val="nil"/>
            </w:tcBorders>
            <w:vAlign w:val="center"/>
            <w:hideMark/>
          </w:tcPr>
          <w:p w14:paraId="27565688"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 xml:space="preserve">Estudio de inducción: </w:t>
            </w:r>
            <w:r w:rsidRPr="00ED735F">
              <w:rPr>
                <w:rFonts w:ascii="Arial" w:hAnsi="Arial" w:cs="Arial"/>
                <w:b/>
                <w:bCs/>
                <w:sz w:val="18"/>
                <w:szCs w:val="18"/>
              </w:rPr>
              <w:t>16 semanas</w:t>
            </w:r>
            <w:r w:rsidRPr="00ED735F">
              <w:rPr>
                <w:rFonts w:ascii="Arial" w:hAnsi="Arial" w:cs="Arial"/>
                <w:sz w:val="18"/>
                <w:szCs w:val="18"/>
              </w:rPr>
              <w:t>, estudio de mantenimiento: 48 semanas</w:t>
            </w:r>
          </w:p>
        </w:tc>
        <w:tc>
          <w:tcPr>
            <w:tcW w:w="2532" w:type="dxa"/>
            <w:tcBorders>
              <w:top w:val="nil"/>
              <w:left w:val="single" w:sz="8" w:space="0" w:color="auto"/>
              <w:bottom w:val="single" w:sz="8" w:space="0" w:color="auto"/>
              <w:right w:val="nil"/>
            </w:tcBorders>
            <w:vAlign w:val="center"/>
            <w:hideMark/>
          </w:tcPr>
          <w:p w14:paraId="36426DDB" w14:textId="77777777" w:rsidR="00ED735F" w:rsidRPr="00ED735F" w:rsidRDefault="00ED735F" w:rsidP="00ED735F">
            <w:pPr>
              <w:jc w:val="center"/>
              <w:rPr>
                <w:rFonts w:ascii="Arial" w:hAnsi="Arial" w:cs="Arial"/>
                <w:sz w:val="18"/>
                <w:szCs w:val="18"/>
              </w:rPr>
            </w:pPr>
            <w:r w:rsidRPr="00ED735F">
              <w:rPr>
                <w:rFonts w:ascii="Arial" w:hAnsi="Arial" w:cs="Arial"/>
                <w:b/>
                <w:bCs/>
                <w:sz w:val="18"/>
                <w:szCs w:val="18"/>
              </w:rPr>
              <w:t xml:space="preserve">16 semanas </w:t>
            </w:r>
            <w:r w:rsidRPr="00ED735F">
              <w:rPr>
                <w:rFonts w:ascii="Arial" w:hAnsi="Arial" w:cs="Arial"/>
                <w:sz w:val="18"/>
                <w:szCs w:val="18"/>
              </w:rPr>
              <w:t>de tratamiento y 20 semanas de duración total del ensayo.</w:t>
            </w:r>
          </w:p>
        </w:tc>
        <w:tc>
          <w:tcPr>
            <w:tcW w:w="2298" w:type="dxa"/>
            <w:tcBorders>
              <w:top w:val="nil"/>
              <w:left w:val="single" w:sz="8" w:space="0" w:color="auto"/>
              <w:bottom w:val="single" w:sz="8" w:space="0" w:color="auto"/>
              <w:right w:val="single" w:sz="8" w:space="0" w:color="auto"/>
            </w:tcBorders>
            <w:vAlign w:val="center"/>
            <w:hideMark/>
          </w:tcPr>
          <w:p w14:paraId="2D7D4B38"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Periodo Doble Ciego de</w:t>
            </w:r>
            <w:r w:rsidRPr="00ED735F">
              <w:rPr>
                <w:rFonts w:ascii="Arial" w:hAnsi="Arial" w:cs="Arial"/>
                <w:b/>
                <w:bCs/>
                <w:sz w:val="18"/>
                <w:szCs w:val="18"/>
              </w:rPr>
              <w:t xml:space="preserve"> 16 semanas</w:t>
            </w:r>
            <w:r w:rsidRPr="00ED735F">
              <w:rPr>
                <w:rFonts w:ascii="Arial" w:hAnsi="Arial" w:cs="Arial"/>
                <w:sz w:val="18"/>
                <w:szCs w:val="18"/>
              </w:rPr>
              <w:t>, seguido de un Periodo de Extensión Ciega de hasta 120 semanas</w:t>
            </w:r>
          </w:p>
        </w:tc>
        <w:tc>
          <w:tcPr>
            <w:tcW w:w="2460" w:type="dxa"/>
            <w:tcBorders>
              <w:top w:val="nil"/>
              <w:left w:val="nil"/>
              <w:bottom w:val="single" w:sz="8" w:space="0" w:color="auto"/>
              <w:right w:val="single" w:sz="8" w:space="0" w:color="auto"/>
            </w:tcBorders>
            <w:vAlign w:val="center"/>
            <w:hideMark/>
          </w:tcPr>
          <w:p w14:paraId="3ABB62F5" w14:textId="77777777" w:rsidR="00ED735F" w:rsidRPr="00ED735F" w:rsidRDefault="00ED735F" w:rsidP="00ED735F">
            <w:pPr>
              <w:jc w:val="center"/>
              <w:rPr>
                <w:rFonts w:ascii="Arial" w:hAnsi="Arial" w:cs="Arial"/>
                <w:sz w:val="18"/>
                <w:szCs w:val="18"/>
              </w:rPr>
            </w:pPr>
            <w:r w:rsidRPr="00ED735F">
              <w:rPr>
                <w:rFonts w:ascii="Arial" w:hAnsi="Arial" w:cs="Arial"/>
                <w:sz w:val="18"/>
                <w:szCs w:val="18"/>
              </w:rPr>
              <w:t>16 semanas</w:t>
            </w:r>
          </w:p>
        </w:tc>
      </w:tr>
    </w:tbl>
    <w:p w14:paraId="6B41C40B" w14:textId="77777777" w:rsidR="005150C9" w:rsidRPr="00524A74" w:rsidRDefault="005150C9" w:rsidP="00524A74">
      <w:pPr>
        <w:jc w:val="both"/>
        <w:rPr>
          <w:rFonts w:ascii="Arial" w:hAnsi="Arial" w:cs="Arial"/>
          <w:sz w:val="20"/>
          <w:szCs w:val="20"/>
        </w:rPr>
      </w:pPr>
    </w:p>
    <w:p w14:paraId="550ABE8D" w14:textId="77777777" w:rsidR="00524A74" w:rsidRPr="00524A74" w:rsidRDefault="00524A74" w:rsidP="00524A74">
      <w:pPr>
        <w:jc w:val="both"/>
        <w:rPr>
          <w:rFonts w:ascii="Arial" w:hAnsi="Arial" w:cs="Arial"/>
          <w:sz w:val="20"/>
          <w:szCs w:val="20"/>
        </w:rPr>
      </w:pPr>
    </w:p>
    <w:p w14:paraId="183CF813" w14:textId="77777777" w:rsidR="00524A74" w:rsidRPr="00524A74" w:rsidRDefault="00524A74" w:rsidP="00524A74">
      <w:pPr>
        <w:jc w:val="both"/>
        <w:rPr>
          <w:rFonts w:ascii="Arial" w:hAnsi="Arial" w:cs="Arial"/>
          <w:sz w:val="20"/>
          <w:szCs w:val="20"/>
        </w:rPr>
      </w:pPr>
      <w:r w:rsidRPr="00524A74">
        <w:rPr>
          <w:rFonts w:ascii="Arial" w:hAnsi="Arial" w:cs="Arial"/>
          <w:sz w:val="20"/>
          <w:szCs w:val="20"/>
        </w:rPr>
        <w:t>4.</w:t>
      </w:r>
      <w:r w:rsidRPr="00524A74">
        <w:rPr>
          <w:rFonts w:ascii="Arial" w:hAnsi="Arial" w:cs="Arial"/>
          <w:sz w:val="20"/>
          <w:szCs w:val="20"/>
        </w:rPr>
        <w:tab/>
        <w:t xml:space="preserve">Los ensayos de </w:t>
      </w:r>
      <w:r w:rsidRPr="00524A74">
        <w:rPr>
          <w:rFonts w:ascii="Arial" w:hAnsi="Arial" w:cs="Arial"/>
          <w:b/>
          <w:bCs/>
          <w:sz w:val="20"/>
          <w:szCs w:val="20"/>
        </w:rPr>
        <w:t>abrocitinib (JADE compare) (18) y nemolizumab</w:t>
      </w:r>
      <w:r w:rsidRPr="00524A74">
        <w:rPr>
          <w:rFonts w:ascii="Arial" w:hAnsi="Arial" w:cs="Arial"/>
          <w:sz w:val="20"/>
          <w:szCs w:val="20"/>
        </w:rPr>
        <w:t xml:space="preserve"> pueden considerarse comparables en términos generales</w:t>
      </w:r>
      <w:r w:rsidR="005150C9">
        <w:rPr>
          <w:rFonts w:ascii="Arial" w:hAnsi="Arial" w:cs="Arial"/>
          <w:sz w:val="20"/>
          <w:szCs w:val="20"/>
        </w:rPr>
        <w:t>, como en el ensayo JADE compare se hizo una comparación directa con dupilumab se tomaron estos datos como referencia. Hay que considerar algunas diferencias con respecto a los ensayos realizados para nemolizumab</w:t>
      </w:r>
      <w:r w:rsidRPr="00524A74">
        <w:rPr>
          <w:rFonts w:ascii="Arial" w:hAnsi="Arial" w:cs="Arial"/>
          <w:sz w:val="20"/>
          <w:szCs w:val="20"/>
        </w:rPr>
        <w:t>,</w:t>
      </w:r>
      <w:r w:rsidR="005150C9">
        <w:rPr>
          <w:rFonts w:ascii="Arial" w:hAnsi="Arial" w:cs="Arial"/>
          <w:sz w:val="20"/>
          <w:szCs w:val="20"/>
        </w:rPr>
        <w:t xml:space="preserve"> como que</w:t>
      </w:r>
      <w:r w:rsidRPr="00524A74">
        <w:rPr>
          <w:rFonts w:ascii="Arial" w:hAnsi="Arial" w:cs="Arial"/>
          <w:sz w:val="20"/>
          <w:szCs w:val="20"/>
        </w:rPr>
        <w:t xml:space="preserve"> la población incluida difiere en el criterio de edad, ya que los estudios de abrocitinib incluyeron únicamente adultos (≥18 años), mientras que en los de nemolizumab se reclutaron pacientes desde los 12 años. No obstante, la gravedad basal de la </w:t>
      </w:r>
      <w:r w:rsidR="00BD5ED6">
        <w:rPr>
          <w:rFonts w:ascii="Arial" w:hAnsi="Arial" w:cs="Arial"/>
          <w:sz w:val="20"/>
          <w:szCs w:val="20"/>
        </w:rPr>
        <w:t>DA</w:t>
      </w:r>
      <w:r w:rsidRPr="00524A74">
        <w:rPr>
          <w:rFonts w:ascii="Arial" w:hAnsi="Arial" w:cs="Arial"/>
          <w:sz w:val="20"/>
          <w:szCs w:val="20"/>
        </w:rPr>
        <w:t xml:space="preserve"> fue similar, con una proporción comparable de pacientes con IGA 3/4 (aproximadamente 65/35). Por otra parte, aunque las variables principales de eficacia se evaluaron en la semana 12, se dispone de resultados de EASI75</w:t>
      </w:r>
      <w:r w:rsidR="005150C9">
        <w:rPr>
          <w:rFonts w:ascii="Arial" w:hAnsi="Arial" w:cs="Arial"/>
          <w:sz w:val="20"/>
          <w:szCs w:val="20"/>
        </w:rPr>
        <w:t xml:space="preserve">, </w:t>
      </w:r>
      <w:r w:rsidRPr="00524A74">
        <w:rPr>
          <w:rFonts w:ascii="Arial" w:hAnsi="Arial" w:cs="Arial"/>
          <w:sz w:val="20"/>
          <w:szCs w:val="20"/>
        </w:rPr>
        <w:t>IGA 0/1</w:t>
      </w:r>
      <w:r w:rsidR="005150C9">
        <w:rPr>
          <w:rFonts w:ascii="Arial" w:hAnsi="Arial" w:cs="Arial"/>
          <w:sz w:val="20"/>
          <w:szCs w:val="20"/>
        </w:rPr>
        <w:t xml:space="preserve"> y reducción de </w:t>
      </w:r>
      <w:r w:rsidR="005150C9" w:rsidRPr="00EB736B">
        <w:rPr>
          <w:rFonts w:ascii="Arial" w:hAnsi="Arial" w:cs="Arial"/>
          <w:sz w:val="20"/>
          <w:szCs w:val="20"/>
        </w:rPr>
        <w:t>PP-NRS≥4</w:t>
      </w:r>
      <w:r w:rsidRPr="00524A74">
        <w:rPr>
          <w:rFonts w:ascii="Arial" w:hAnsi="Arial" w:cs="Arial"/>
          <w:sz w:val="20"/>
          <w:szCs w:val="20"/>
        </w:rPr>
        <w:t xml:space="preserve"> en la semana 16 como variables secundarias en ambos fármacos, lo que permite su comparación. </w:t>
      </w:r>
    </w:p>
    <w:p w14:paraId="7605A400" w14:textId="77777777" w:rsidR="00524A74" w:rsidRPr="00524A74" w:rsidRDefault="00524A74" w:rsidP="00524A74">
      <w:pPr>
        <w:jc w:val="both"/>
        <w:rPr>
          <w:rFonts w:ascii="Arial" w:hAnsi="Arial" w:cs="Arial"/>
          <w:sz w:val="20"/>
          <w:szCs w:val="20"/>
        </w:rPr>
      </w:pPr>
    </w:p>
    <w:p w14:paraId="51718F8E" w14:textId="77777777" w:rsidR="00524A74" w:rsidRDefault="00524A74" w:rsidP="00524A74">
      <w:pPr>
        <w:jc w:val="both"/>
        <w:rPr>
          <w:rFonts w:ascii="Arial" w:hAnsi="Arial" w:cs="Arial"/>
          <w:sz w:val="20"/>
          <w:szCs w:val="20"/>
        </w:rPr>
      </w:pPr>
      <w:r w:rsidRPr="00524A74">
        <w:rPr>
          <w:rFonts w:ascii="Arial" w:hAnsi="Arial" w:cs="Arial"/>
          <w:sz w:val="20"/>
          <w:szCs w:val="20"/>
        </w:rPr>
        <w:t>5.</w:t>
      </w:r>
      <w:r w:rsidRPr="00524A74">
        <w:rPr>
          <w:rFonts w:ascii="Arial" w:hAnsi="Arial" w:cs="Arial"/>
          <w:sz w:val="20"/>
          <w:szCs w:val="20"/>
        </w:rPr>
        <w:tab/>
        <w:t xml:space="preserve">Los ensayos de </w:t>
      </w:r>
      <w:r w:rsidRPr="00524A74">
        <w:rPr>
          <w:rFonts w:ascii="Arial" w:hAnsi="Arial" w:cs="Arial"/>
          <w:b/>
          <w:bCs/>
          <w:sz w:val="20"/>
          <w:szCs w:val="20"/>
        </w:rPr>
        <w:t>upadacitinib (AD-Up) (19) y nemolizumab</w:t>
      </w:r>
      <w:r w:rsidRPr="00524A74">
        <w:rPr>
          <w:rFonts w:ascii="Arial" w:hAnsi="Arial" w:cs="Arial"/>
          <w:sz w:val="20"/>
          <w:szCs w:val="20"/>
        </w:rPr>
        <w:t xml:space="preserve"> pueden considerarse comparables para un análisis indirecto, aunque existen algunas consideraciones metodológicas que deben valorarse al interpretar los resultados. En primer lugar, en el programa clínico de upadacitinib se evaluaron dos dosis (15 mg y 30 mg), ambas autorizadas en ficha técnica, por lo que se incluirán los resultados correspondientes a ambas pautas. Asimismo, aunque en ambos desarrollos clínicos se incluyeron pacientes adolescentes ≥12 años, el ensayo de upadacitinib estableció un límite superior de edad de 75 años, lo que podría influir en la representatividad de la población adulta de mayor edad. Por otro lado, el estudio M16-047 (AD Up), que evaluó upadacitinib en combinación con TCS, implementó un uso estandarizado, obligatorio y continuado de TCS de potencia media-baja en todos los brazos. </w:t>
      </w:r>
    </w:p>
    <w:p w14:paraId="0C9D28A9" w14:textId="77777777" w:rsidR="00485EE2" w:rsidRDefault="00485EE2" w:rsidP="00524A74">
      <w:pPr>
        <w:jc w:val="both"/>
        <w:rPr>
          <w:rFonts w:ascii="Arial" w:hAnsi="Arial" w:cs="Arial"/>
          <w:sz w:val="20"/>
          <w:szCs w:val="20"/>
        </w:rPr>
      </w:pPr>
    </w:p>
    <w:p w14:paraId="042D885B" w14:textId="77777777" w:rsidR="00485EE2" w:rsidRPr="00485EE2" w:rsidRDefault="00485EE2" w:rsidP="00485EE2">
      <w:pPr>
        <w:jc w:val="both"/>
        <w:rPr>
          <w:rFonts w:ascii="Arial" w:hAnsi="Arial" w:cs="Arial"/>
          <w:sz w:val="20"/>
          <w:szCs w:val="20"/>
        </w:rPr>
      </w:pPr>
      <w:r>
        <w:rPr>
          <w:rFonts w:ascii="Arial" w:hAnsi="Arial" w:cs="Arial"/>
          <w:sz w:val="20"/>
          <w:szCs w:val="20"/>
        </w:rPr>
        <w:t xml:space="preserve">6. </w:t>
      </w:r>
      <w:r w:rsidRPr="00485EE2">
        <w:rPr>
          <w:rFonts w:ascii="Arial" w:hAnsi="Arial" w:cs="Arial"/>
          <w:sz w:val="20"/>
          <w:szCs w:val="20"/>
        </w:rPr>
        <w:t xml:space="preserve">La </w:t>
      </w:r>
      <w:r w:rsidR="00ED735F">
        <w:rPr>
          <w:rFonts w:ascii="Arial" w:hAnsi="Arial" w:cs="Arial"/>
          <w:sz w:val="20"/>
          <w:szCs w:val="20"/>
        </w:rPr>
        <w:t xml:space="preserve">CI </w:t>
      </w:r>
      <w:r w:rsidRPr="00485EE2">
        <w:rPr>
          <w:rFonts w:ascii="Arial" w:hAnsi="Arial" w:cs="Arial"/>
          <w:sz w:val="20"/>
          <w:szCs w:val="20"/>
        </w:rPr>
        <w:t xml:space="preserve">entre </w:t>
      </w:r>
      <w:r w:rsidRPr="00485EE2">
        <w:rPr>
          <w:rFonts w:ascii="Arial" w:hAnsi="Arial" w:cs="Arial"/>
          <w:b/>
          <w:bCs/>
          <w:sz w:val="20"/>
          <w:szCs w:val="20"/>
        </w:rPr>
        <w:t>baricitinib (ensayos JAIY/JAIN)</w:t>
      </w:r>
      <w:r>
        <w:rPr>
          <w:rFonts w:ascii="Arial" w:hAnsi="Arial" w:cs="Arial"/>
          <w:b/>
          <w:bCs/>
          <w:sz w:val="20"/>
          <w:szCs w:val="20"/>
        </w:rPr>
        <w:t xml:space="preserve"> </w:t>
      </w:r>
      <w:r w:rsidR="00646A51">
        <w:rPr>
          <w:rFonts w:ascii="Arial" w:hAnsi="Arial" w:cs="Arial"/>
          <w:b/>
          <w:bCs/>
          <w:sz w:val="20"/>
          <w:szCs w:val="20"/>
        </w:rPr>
        <w:fldChar w:fldCharType="begin"/>
      </w:r>
      <w:r w:rsidR="00511A83">
        <w:rPr>
          <w:rFonts w:ascii="Arial" w:hAnsi="Arial" w:cs="Arial"/>
          <w:b/>
          <w:bCs/>
          <w:sz w:val="20"/>
          <w:szCs w:val="20"/>
        </w:rPr>
        <w:instrText xml:space="preserve"> ADDIN ZOTERO_ITEM CSL_CITATION {"citationID":"yP4FRP6v","properties":{"formattedCitation":"(25)","plainCitation":"(25)","noteIndex":0},"citationItems":[{"id":54,"uris":["http://zotero.org/users/18702181/items/577XWNIQ"],"itemData":{"id":54,"type":"article-journal","abstract":"This randomized clinical trial assesses the efficacy and safety of 4 mg and 2 mg of baricitinib in combination with background topical corticosteroid therapy in adults with moderate to severe AD who previously had an inadequate response to topical corticosteroid therapy.","container-title":"JAMA Dermatology","DOI":"10.1001/jamadermatol.2020.3260","ISSN":"2168-6068","issue":"12","journalAbbreviation":"JAMA Dermatol","page":"1-11","PMID":"33001140","PMCID":"PMC7527941","source":"PubMed Central","title":"Efficacy and Safety of Baricitinib Combined With Topical Corticosteroids for Treatment of Moderate to Severe Atopic Dermatitis","volume":"156","author":[{"family":"Reich","given":"Kristian"},{"family":"Kabashima","given":"Kenji"},{"family":"Peris","given":"Ketty"},{"family":"Silverberg","given":"Jonathan I."},{"family":"Eichenfield","given":"Lawrence F."},{"family":"Bieber","given":"Thomas"},{"family":"Kaszuba","given":"Aleksandra"},{"family":"Kolodsick","given":"Jill"},{"family":"Yang","given":"Fan E."},{"family":"Gamalo","given":"Margaret"},{"family":"Brinker","given":"Dennis R."},{"family":"DeLozier","given":"Amy M."},{"family":"Janes","given":"Jonathan M."},{"family":"Nunes","given":"Fabio P."},{"family":"Thyssen","given":"Jacob P."},{"family":"Simpson","given":"Eric L."}],"issued":{"date-parts":[["2020",12]]}}}],"schema":"https://github.com/citation-style-language/schema/raw/master/csl-citation.json"} </w:instrText>
      </w:r>
      <w:r w:rsidR="00646A51">
        <w:rPr>
          <w:rFonts w:ascii="Arial" w:hAnsi="Arial" w:cs="Arial"/>
          <w:b/>
          <w:bCs/>
          <w:sz w:val="20"/>
          <w:szCs w:val="20"/>
        </w:rPr>
        <w:fldChar w:fldCharType="separate"/>
      </w:r>
      <w:r w:rsidR="00511A83" w:rsidRPr="00511A83">
        <w:rPr>
          <w:rFonts w:ascii="Arial" w:hAnsi="Arial" w:cs="Arial"/>
          <w:sz w:val="20"/>
        </w:rPr>
        <w:t>(25)</w:t>
      </w:r>
      <w:r w:rsidR="00646A51">
        <w:rPr>
          <w:rFonts w:ascii="Arial" w:hAnsi="Arial" w:cs="Arial"/>
          <w:b/>
          <w:bCs/>
          <w:sz w:val="20"/>
          <w:szCs w:val="20"/>
        </w:rPr>
        <w:fldChar w:fldCharType="end"/>
      </w:r>
      <w:r w:rsidRPr="00485EE2">
        <w:rPr>
          <w:rFonts w:ascii="Arial" w:hAnsi="Arial" w:cs="Arial"/>
          <w:sz w:val="20"/>
          <w:szCs w:val="20"/>
        </w:rPr>
        <w:t xml:space="preserve"> y </w:t>
      </w:r>
      <w:r w:rsidRPr="00485EE2">
        <w:rPr>
          <w:rFonts w:ascii="Arial" w:hAnsi="Arial" w:cs="Arial"/>
          <w:b/>
          <w:bCs/>
          <w:sz w:val="20"/>
          <w:szCs w:val="20"/>
        </w:rPr>
        <w:t>nemolizumab</w:t>
      </w:r>
      <w:r w:rsidRPr="00485EE2">
        <w:rPr>
          <w:rFonts w:ascii="Arial" w:hAnsi="Arial" w:cs="Arial"/>
          <w:sz w:val="20"/>
          <w:szCs w:val="20"/>
        </w:rPr>
        <w:t xml:space="preserve"> (ensayos ARCADIA) se considera factible, respaldada por la elevada similitud en el diseño de los estudios y la coherencia en la estrategia de terapia tópica de base utilizada en ambos programas. No obstante, existen algunas diferencias poblacionales que, si bien no limitan la realización de la comparación, resultan relevantes a la hora de interpretar los resultados, como la inclusión de adolescentes únicamente en los ensayos de nemolizumab (≥12 años frente a ≥18 años en baricitinib) y la mayor exposición previa a inmunosupresores convencionales en la población de baricitinib (hasta 70% de uso previo de ciclosporina frente a aproximadamente 14% con nemolizumab).</w:t>
      </w:r>
    </w:p>
    <w:p w14:paraId="61D4BDEF" w14:textId="77777777" w:rsidR="00485EE2" w:rsidRPr="00524A74" w:rsidRDefault="00485EE2" w:rsidP="00524A74">
      <w:pPr>
        <w:jc w:val="both"/>
        <w:rPr>
          <w:rFonts w:ascii="Arial" w:hAnsi="Arial" w:cs="Arial"/>
          <w:sz w:val="20"/>
          <w:szCs w:val="20"/>
        </w:rPr>
      </w:pPr>
    </w:p>
    <w:p w14:paraId="3987607A" w14:textId="77777777" w:rsidR="00DF2703" w:rsidRDefault="00ED735F" w:rsidP="00BA67BB">
      <w:pPr>
        <w:jc w:val="both"/>
      </w:pPr>
      <w:r>
        <w:rPr>
          <w:rFonts w:ascii="Arial" w:hAnsi="Arial" w:cs="Arial"/>
          <w:sz w:val="20"/>
          <w:szCs w:val="20"/>
        </w:rPr>
        <w:t>A</w:t>
      </w:r>
      <w:r w:rsidR="00BA67BB" w:rsidRPr="00BA67BB">
        <w:rPr>
          <w:rFonts w:ascii="Arial" w:hAnsi="Arial" w:cs="Arial"/>
          <w:sz w:val="20"/>
          <w:szCs w:val="20"/>
        </w:rPr>
        <w:t xml:space="preserve">ntes de llevar a cabo la </w:t>
      </w:r>
      <w:r>
        <w:rPr>
          <w:rFonts w:ascii="Arial" w:hAnsi="Arial" w:cs="Arial"/>
          <w:sz w:val="20"/>
          <w:szCs w:val="20"/>
        </w:rPr>
        <w:t>CI</w:t>
      </w:r>
      <w:r w:rsidR="00BA67BB" w:rsidRPr="00BA67BB">
        <w:rPr>
          <w:rFonts w:ascii="Arial" w:hAnsi="Arial" w:cs="Arial"/>
          <w:sz w:val="20"/>
          <w:szCs w:val="20"/>
        </w:rPr>
        <w:t xml:space="preserve">, se realizó un metaanálisis de los ensayos ARCADIA 1 y ARCADIA 2 de nemolizumab con el objetivo de obtener una estimación combinada robusta que permitiera integrar adecuadamente estos resultados en el análisis comparativo posterior. El metaanálisis se llevó a cabo utilizando la calculadora de J. Primo (Unidad de Digestivo, Hospital de Sagunto). Los resultados obtenidos se presentan en la tabla </w:t>
      </w:r>
      <w:r w:rsidR="003B32FD">
        <w:rPr>
          <w:rFonts w:ascii="Arial" w:hAnsi="Arial" w:cs="Arial"/>
          <w:sz w:val="20"/>
          <w:szCs w:val="20"/>
        </w:rPr>
        <w:t xml:space="preserve">14 adjunta </w:t>
      </w:r>
      <w:r w:rsidR="00BA67BB" w:rsidRPr="00BA67BB">
        <w:rPr>
          <w:rFonts w:ascii="Arial" w:hAnsi="Arial" w:cs="Arial"/>
          <w:sz w:val="20"/>
          <w:szCs w:val="20"/>
        </w:rPr>
        <w:t>a continuación</w:t>
      </w:r>
      <w:r w:rsidR="00BA67BB" w:rsidRPr="00BA67BB">
        <w:t>.</w:t>
      </w:r>
    </w:p>
    <w:p w14:paraId="198CFC51" w14:textId="77777777" w:rsidR="00DF2703" w:rsidRDefault="00DF2703" w:rsidP="00DF2703">
      <w:pPr>
        <w:jc w:val="center"/>
        <w:rPr>
          <w:rFonts w:ascii="Arial" w:hAnsi="Arial" w:cs="Arial"/>
          <w:b/>
          <w:bCs/>
          <w:sz w:val="20"/>
          <w:szCs w:val="20"/>
        </w:rPr>
      </w:pPr>
    </w:p>
    <w:p w14:paraId="50B87AA7" w14:textId="77777777" w:rsidR="00DF2703" w:rsidRPr="00DF2703" w:rsidRDefault="00DF2703" w:rsidP="00DF2703">
      <w:pPr>
        <w:jc w:val="center"/>
        <w:rPr>
          <w:rFonts w:ascii="Arial" w:hAnsi="Arial" w:cs="Arial"/>
          <w:b/>
          <w:bCs/>
          <w:sz w:val="20"/>
          <w:szCs w:val="20"/>
        </w:rPr>
      </w:pPr>
      <w:r w:rsidRPr="00DF2703">
        <w:rPr>
          <w:rFonts w:ascii="Arial" w:hAnsi="Arial" w:cs="Arial"/>
          <w:b/>
          <w:bCs/>
          <w:sz w:val="20"/>
          <w:szCs w:val="20"/>
        </w:rPr>
        <w:t xml:space="preserve">Tabla </w:t>
      </w:r>
      <w:r w:rsidR="003B32FD">
        <w:rPr>
          <w:rFonts w:ascii="Arial" w:hAnsi="Arial" w:cs="Arial"/>
          <w:b/>
          <w:bCs/>
          <w:sz w:val="20"/>
          <w:szCs w:val="20"/>
        </w:rPr>
        <w:t>14</w:t>
      </w:r>
      <w:r w:rsidRPr="00DF2703">
        <w:rPr>
          <w:rFonts w:ascii="Arial" w:hAnsi="Arial" w:cs="Arial"/>
          <w:b/>
          <w:bCs/>
          <w:sz w:val="20"/>
          <w:szCs w:val="20"/>
        </w:rPr>
        <w:t>: Resultados metaanálisis ensayos ARCADIA-1 y 2</w:t>
      </w:r>
    </w:p>
    <w:p w14:paraId="5960F962" w14:textId="3D32F9FF" w:rsidR="00364834" w:rsidRPr="00364834" w:rsidRDefault="00646A51" w:rsidP="00364834">
      <w:r>
        <w:fldChar w:fldCharType="begin"/>
      </w:r>
      <w:r w:rsidR="0090219F">
        <w:instrText xml:space="preserve"> LINK </w:instrText>
      </w:r>
      <w:r w:rsidR="00693F7E">
        <w:instrText xml:space="preserve">Excel.Sheet.12 "C:\\Users\\cgonz\\Desktop\\CGR\\R4\\GENESIS\\INFORMES\\NEMOLIZUMAB-20251103T180918Z-1-001\\NEMOLIZUMAB\\Metaanalisis ARCADIA 1 y 2.xlsx" Hoja1!F1C1:F5C7 </w:instrText>
      </w:r>
      <w:r w:rsidR="0090219F">
        <w:instrText xml:space="preserve">\a \f 4 \h </w:instrText>
      </w:r>
      <w:r w:rsidR="00BA67BB">
        <w:instrText xml:space="preserve"> \* MERGEFORMAT </w:instrText>
      </w:r>
      <w:r>
        <w:fldChar w:fldCharType="separate"/>
      </w:r>
    </w:p>
    <w:tbl>
      <w:tblPr>
        <w:tblW w:w="8937" w:type="dxa"/>
        <w:tblCellMar>
          <w:left w:w="70" w:type="dxa"/>
          <w:right w:w="70" w:type="dxa"/>
        </w:tblCellMar>
        <w:tblLook w:val="04A0" w:firstRow="1" w:lastRow="0" w:firstColumn="1" w:lastColumn="0" w:noHBand="0" w:noVBand="1"/>
      </w:tblPr>
      <w:tblGrid>
        <w:gridCol w:w="1050"/>
        <w:gridCol w:w="1185"/>
        <w:gridCol w:w="1180"/>
        <w:gridCol w:w="1181"/>
        <w:gridCol w:w="1364"/>
        <w:gridCol w:w="1560"/>
        <w:gridCol w:w="1417"/>
      </w:tblGrid>
      <w:tr w:rsidR="00364834" w:rsidRPr="00364834" w14:paraId="6575B949" w14:textId="77777777" w:rsidTr="00364834">
        <w:trPr>
          <w:trHeight w:val="798"/>
        </w:trPr>
        <w:tc>
          <w:tcPr>
            <w:tcW w:w="105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9942C7D" w14:textId="222AA74D"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VARIABLE</w:t>
            </w:r>
          </w:p>
        </w:tc>
        <w:tc>
          <w:tcPr>
            <w:tcW w:w="2365"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147B7E26"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ARCADIA 1</w:t>
            </w:r>
          </w:p>
        </w:tc>
        <w:tc>
          <w:tcPr>
            <w:tcW w:w="2545"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60A32DE4"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ARCADIA 2</w:t>
            </w:r>
          </w:p>
        </w:tc>
        <w:tc>
          <w:tcPr>
            <w:tcW w:w="2977" w:type="dxa"/>
            <w:gridSpan w:val="2"/>
            <w:tcBorders>
              <w:top w:val="single" w:sz="4" w:space="0" w:color="auto"/>
              <w:left w:val="nil"/>
              <w:bottom w:val="single" w:sz="4" w:space="0" w:color="auto"/>
              <w:right w:val="single" w:sz="4" w:space="0" w:color="auto"/>
            </w:tcBorders>
            <w:shd w:val="clear" w:color="000000" w:fill="FFF2CC"/>
            <w:vAlign w:val="center"/>
            <w:hideMark/>
          </w:tcPr>
          <w:p w14:paraId="6F247A53"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RESULTADO METANALISIS (Diferencia respuesta)</w:t>
            </w:r>
          </w:p>
        </w:tc>
      </w:tr>
      <w:tr w:rsidR="00364834" w:rsidRPr="00364834" w14:paraId="52BD09C7" w14:textId="77777777" w:rsidTr="00364834">
        <w:trPr>
          <w:trHeight w:val="325"/>
        </w:trPr>
        <w:tc>
          <w:tcPr>
            <w:tcW w:w="1050" w:type="dxa"/>
            <w:tcBorders>
              <w:top w:val="nil"/>
              <w:left w:val="single" w:sz="4" w:space="0" w:color="auto"/>
              <w:bottom w:val="single" w:sz="4" w:space="0" w:color="auto"/>
              <w:right w:val="single" w:sz="4" w:space="0" w:color="auto"/>
            </w:tcBorders>
            <w:shd w:val="clear" w:color="000000" w:fill="E7E6E6"/>
            <w:noWrap/>
            <w:vAlign w:val="center"/>
            <w:hideMark/>
          </w:tcPr>
          <w:p w14:paraId="70521E87"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BRAZO</w:t>
            </w:r>
          </w:p>
        </w:tc>
        <w:tc>
          <w:tcPr>
            <w:tcW w:w="1185" w:type="dxa"/>
            <w:tcBorders>
              <w:top w:val="nil"/>
              <w:left w:val="nil"/>
              <w:bottom w:val="single" w:sz="4" w:space="0" w:color="auto"/>
              <w:right w:val="single" w:sz="4" w:space="0" w:color="auto"/>
            </w:tcBorders>
            <w:vAlign w:val="center"/>
            <w:hideMark/>
          </w:tcPr>
          <w:p w14:paraId="196A084C" w14:textId="77777777" w:rsidR="00364834" w:rsidRPr="00364834" w:rsidRDefault="00364834" w:rsidP="00364834">
            <w:pPr>
              <w:jc w:val="center"/>
              <w:rPr>
                <w:rFonts w:ascii="Arial" w:hAnsi="Arial" w:cs="Arial"/>
                <w:b/>
                <w:bCs/>
                <w:color w:val="000000"/>
                <w:sz w:val="16"/>
                <w:szCs w:val="16"/>
              </w:rPr>
            </w:pPr>
            <w:r w:rsidRPr="00364834">
              <w:rPr>
                <w:rFonts w:ascii="Arial" w:hAnsi="Arial" w:cs="Arial"/>
                <w:b/>
                <w:bCs/>
                <w:color w:val="000000"/>
                <w:sz w:val="16"/>
                <w:szCs w:val="16"/>
              </w:rPr>
              <w:t>NEMO (N=620)</w:t>
            </w:r>
          </w:p>
        </w:tc>
        <w:tc>
          <w:tcPr>
            <w:tcW w:w="1180" w:type="dxa"/>
            <w:tcBorders>
              <w:top w:val="nil"/>
              <w:left w:val="nil"/>
              <w:bottom w:val="single" w:sz="4" w:space="0" w:color="auto"/>
              <w:right w:val="single" w:sz="4" w:space="0" w:color="auto"/>
            </w:tcBorders>
            <w:vAlign w:val="center"/>
            <w:hideMark/>
          </w:tcPr>
          <w:p w14:paraId="13CD0AC7" w14:textId="77777777" w:rsidR="00364834" w:rsidRPr="00364834" w:rsidRDefault="00364834" w:rsidP="00364834">
            <w:pPr>
              <w:jc w:val="center"/>
              <w:rPr>
                <w:rFonts w:ascii="Arial" w:hAnsi="Arial" w:cs="Arial"/>
                <w:b/>
                <w:bCs/>
                <w:color w:val="000000"/>
                <w:sz w:val="16"/>
                <w:szCs w:val="16"/>
              </w:rPr>
            </w:pPr>
            <w:r w:rsidRPr="00364834">
              <w:rPr>
                <w:rFonts w:ascii="Arial" w:hAnsi="Arial" w:cs="Arial"/>
                <w:b/>
                <w:bCs/>
                <w:color w:val="000000"/>
                <w:sz w:val="16"/>
                <w:szCs w:val="16"/>
              </w:rPr>
              <w:t>PLACEBO (N=321)</w:t>
            </w:r>
          </w:p>
        </w:tc>
        <w:tc>
          <w:tcPr>
            <w:tcW w:w="1181" w:type="dxa"/>
            <w:tcBorders>
              <w:top w:val="nil"/>
              <w:left w:val="nil"/>
              <w:bottom w:val="single" w:sz="4" w:space="0" w:color="auto"/>
              <w:right w:val="single" w:sz="4" w:space="0" w:color="auto"/>
            </w:tcBorders>
            <w:vAlign w:val="center"/>
            <w:hideMark/>
          </w:tcPr>
          <w:p w14:paraId="3C232C7D" w14:textId="77777777" w:rsidR="00364834" w:rsidRPr="00364834" w:rsidRDefault="00364834" w:rsidP="00364834">
            <w:pPr>
              <w:jc w:val="center"/>
              <w:rPr>
                <w:rFonts w:ascii="Arial" w:hAnsi="Arial" w:cs="Arial"/>
                <w:b/>
                <w:bCs/>
                <w:color w:val="000000"/>
                <w:sz w:val="16"/>
                <w:szCs w:val="16"/>
              </w:rPr>
            </w:pPr>
            <w:r w:rsidRPr="00364834">
              <w:rPr>
                <w:rFonts w:ascii="Arial" w:hAnsi="Arial" w:cs="Arial"/>
                <w:b/>
                <w:bCs/>
                <w:color w:val="000000"/>
                <w:sz w:val="16"/>
                <w:szCs w:val="16"/>
              </w:rPr>
              <w:t>NEMO (N=522)</w:t>
            </w:r>
          </w:p>
        </w:tc>
        <w:tc>
          <w:tcPr>
            <w:tcW w:w="1364" w:type="dxa"/>
            <w:tcBorders>
              <w:top w:val="nil"/>
              <w:left w:val="nil"/>
              <w:bottom w:val="single" w:sz="4" w:space="0" w:color="auto"/>
              <w:right w:val="single" w:sz="4" w:space="0" w:color="auto"/>
            </w:tcBorders>
            <w:vAlign w:val="center"/>
            <w:hideMark/>
          </w:tcPr>
          <w:p w14:paraId="2C6E9A18" w14:textId="77777777" w:rsidR="00364834" w:rsidRPr="00364834" w:rsidRDefault="00364834" w:rsidP="00364834">
            <w:pPr>
              <w:jc w:val="center"/>
              <w:rPr>
                <w:rFonts w:ascii="Arial" w:hAnsi="Arial" w:cs="Arial"/>
                <w:b/>
                <w:bCs/>
                <w:color w:val="000000"/>
                <w:sz w:val="16"/>
                <w:szCs w:val="16"/>
              </w:rPr>
            </w:pPr>
            <w:r w:rsidRPr="00364834">
              <w:rPr>
                <w:rFonts w:ascii="Arial" w:hAnsi="Arial" w:cs="Arial"/>
                <w:b/>
                <w:bCs/>
                <w:color w:val="000000"/>
                <w:sz w:val="16"/>
                <w:szCs w:val="16"/>
              </w:rPr>
              <w:t>PLACEBO (N=265)</w:t>
            </w:r>
          </w:p>
        </w:tc>
        <w:tc>
          <w:tcPr>
            <w:tcW w:w="1560" w:type="dxa"/>
            <w:tcBorders>
              <w:top w:val="nil"/>
              <w:left w:val="nil"/>
              <w:bottom w:val="single" w:sz="4" w:space="0" w:color="auto"/>
              <w:right w:val="single" w:sz="4" w:space="0" w:color="auto"/>
            </w:tcBorders>
            <w:noWrap/>
            <w:vAlign w:val="center"/>
            <w:hideMark/>
          </w:tcPr>
          <w:p w14:paraId="2A1A46AA" w14:textId="77777777" w:rsidR="00364834" w:rsidRPr="00364834" w:rsidRDefault="00364834" w:rsidP="00364834">
            <w:pPr>
              <w:jc w:val="center"/>
              <w:rPr>
                <w:rFonts w:ascii="Arial" w:hAnsi="Arial" w:cs="Arial"/>
                <w:b/>
                <w:bCs/>
                <w:color w:val="000000"/>
                <w:sz w:val="16"/>
                <w:szCs w:val="16"/>
              </w:rPr>
            </w:pPr>
            <w:r w:rsidRPr="00364834">
              <w:rPr>
                <w:rFonts w:ascii="Arial" w:hAnsi="Arial" w:cs="Arial"/>
                <w:b/>
                <w:bCs/>
                <w:color w:val="000000"/>
                <w:sz w:val="16"/>
                <w:szCs w:val="16"/>
              </w:rPr>
              <w:t>DR</w:t>
            </w:r>
          </w:p>
        </w:tc>
        <w:tc>
          <w:tcPr>
            <w:tcW w:w="1417" w:type="dxa"/>
            <w:tcBorders>
              <w:top w:val="nil"/>
              <w:left w:val="nil"/>
              <w:bottom w:val="single" w:sz="4" w:space="0" w:color="auto"/>
              <w:right w:val="single" w:sz="4" w:space="0" w:color="auto"/>
            </w:tcBorders>
            <w:noWrap/>
            <w:vAlign w:val="center"/>
            <w:hideMark/>
          </w:tcPr>
          <w:p w14:paraId="4D15A739" w14:textId="77777777" w:rsidR="00364834" w:rsidRPr="00364834" w:rsidRDefault="00364834" w:rsidP="00364834">
            <w:pPr>
              <w:jc w:val="center"/>
              <w:rPr>
                <w:rFonts w:ascii="Arial" w:hAnsi="Arial" w:cs="Arial"/>
                <w:b/>
                <w:bCs/>
                <w:color w:val="000000"/>
                <w:sz w:val="16"/>
                <w:szCs w:val="16"/>
              </w:rPr>
            </w:pPr>
            <w:r w:rsidRPr="00364834">
              <w:rPr>
                <w:rFonts w:ascii="Arial" w:hAnsi="Arial" w:cs="Arial"/>
                <w:b/>
                <w:bCs/>
                <w:color w:val="000000"/>
                <w:sz w:val="16"/>
                <w:szCs w:val="16"/>
              </w:rPr>
              <w:t>IC 95%</w:t>
            </w:r>
          </w:p>
        </w:tc>
      </w:tr>
      <w:tr w:rsidR="00364834" w:rsidRPr="00364834" w14:paraId="03CA8D1E" w14:textId="77777777" w:rsidTr="00364834">
        <w:trPr>
          <w:trHeight w:val="325"/>
        </w:trPr>
        <w:tc>
          <w:tcPr>
            <w:tcW w:w="1050" w:type="dxa"/>
            <w:tcBorders>
              <w:top w:val="nil"/>
              <w:left w:val="single" w:sz="4" w:space="0" w:color="auto"/>
              <w:bottom w:val="single" w:sz="4" w:space="0" w:color="auto"/>
              <w:right w:val="single" w:sz="4" w:space="0" w:color="auto"/>
            </w:tcBorders>
            <w:shd w:val="clear" w:color="000000" w:fill="E7E6E6"/>
            <w:noWrap/>
            <w:vAlign w:val="center"/>
            <w:hideMark/>
          </w:tcPr>
          <w:p w14:paraId="392CE97D"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IGA</w:t>
            </w:r>
          </w:p>
        </w:tc>
        <w:tc>
          <w:tcPr>
            <w:tcW w:w="1185" w:type="dxa"/>
            <w:tcBorders>
              <w:top w:val="nil"/>
              <w:left w:val="nil"/>
              <w:bottom w:val="single" w:sz="4" w:space="0" w:color="auto"/>
              <w:right w:val="single" w:sz="4" w:space="0" w:color="auto"/>
            </w:tcBorders>
            <w:noWrap/>
            <w:vAlign w:val="center"/>
            <w:hideMark/>
          </w:tcPr>
          <w:p w14:paraId="0B064438"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221</w:t>
            </w:r>
          </w:p>
        </w:tc>
        <w:tc>
          <w:tcPr>
            <w:tcW w:w="1180" w:type="dxa"/>
            <w:tcBorders>
              <w:top w:val="nil"/>
              <w:left w:val="nil"/>
              <w:bottom w:val="single" w:sz="4" w:space="0" w:color="auto"/>
              <w:right w:val="single" w:sz="4" w:space="0" w:color="auto"/>
            </w:tcBorders>
            <w:noWrap/>
            <w:vAlign w:val="center"/>
            <w:hideMark/>
          </w:tcPr>
          <w:p w14:paraId="0A73C9BA"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79</w:t>
            </w:r>
          </w:p>
        </w:tc>
        <w:tc>
          <w:tcPr>
            <w:tcW w:w="1181" w:type="dxa"/>
            <w:tcBorders>
              <w:top w:val="nil"/>
              <w:left w:val="nil"/>
              <w:bottom w:val="single" w:sz="4" w:space="0" w:color="auto"/>
              <w:right w:val="single" w:sz="4" w:space="0" w:color="auto"/>
            </w:tcBorders>
            <w:noWrap/>
            <w:vAlign w:val="center"/>
            <w:hideMark/>
          </w:tcPr>
          <w:p w14:paraId="170E8C96"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197</w:t>
            </w:r>
          </w:p>
        </w:tc>
        <w:tc>
          <w:tcPr>
            <w:tcW w:w="1364" w:type="dxa"/>
            <w:tcBorders>
              <w:top w:val="nil"/>
              <w:left w:val="nil"/>
              <w:bottom w:val="single" w:sz="4" w:space="0" w:color="auto"/>
              <w:right w:val="single" w:sz="4" w:space="0" w:color="auto"/>
            </w:tcBorders>
            <w:noWrap/>
            <w:vAlign w:val="center"/>
            <w:hideMark/>
          </w:tcPr>
          <w:p w14:paraId="243409D2"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69</w:t>
            </w:r>
          </w:p>
        </w:tc>
        <w:tc>
          <w:tcPr>
            <w:tcW w:w="1560" w:type="dxa"/>
            <w:tcBorders>
              <w:top w:val="nil"/>
              <w:left w:val="nil"/>
              <w:bottom w:val="single" w:sz="4" w:space="0" w:color="auto"/>
              <w:right w:val="single" w:sz="4" w:space="0" w:color="auto"/>
            </w:tcBorders>
            <w:noWrap/>
            <w:vAlign w:val="center"/>
            <w:hideMark/>
          </w:tcPr>
          <w:p w14:paraId="7B698105"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11</w:t>
            </w:r>
          </w:p>
        </w:tc>
        <w:tc>
          <w:tcPr>
            <w:tcW w:w="1417" w:type="dxa"/>
            <w:tcBorders>
              <w:top w:val="nil"/>
              <w:left w:val="nil"/>
              <w:bottom w:val="single" w:sz="4" w:space="0" w:color="auto"/>
              <w:right w:val="single" w:sz="4" w:space="0" w:color="auto"/>
            </w:tcBorders>
            <w:noWrap/>
            <w:vAlign w:val="center"/>
            <w:hideMark/>
          </w:tcPr>
          <w:p w14:paraId="1987A4D0"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(7-16)</w:t>
            </w:r>
          </w:p>
        </w:tc>
      </w:tr>
      <w:tr w:rsidR="00364834" w:rsidRPr="00364834" w14:paraId="742FEF5B" w14:textId="77777777" w:rsidTr="00364834">
        <w:trPr>
          <w:trHeight w:val="325"/>
        </w:trPr>
        <w:tc>
          <w:tcPr>
            <w:tcW w:w="1050" w:type="dxa"/>
            <w:tcBorders>
              <w:top w:val="nil"/>
              <w:left w:val="single" w:sz="4" w:space="0" w:color="auto"/>
              <w:bottom w:val="single" w:sz="4" w:space="0" w:color="auto"/>
              <w:right w:val="single" w:sz="4" w:space="0" w:color="auto"/>
            </w:tcBorders>
            <w:shd w:val="clear" w:color="000000" w:fill="E7E6E6"/>
            <w:noWrap/>
            <w:vAlign w:val="center"/>
            <w:hideMark/>
          </w:tcPr>
          <w:p w14:paraId="0C946B4D"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EASI75</w:t>
            </w:r>
          </w:p>
        </w:tc>
        <w:tc>
          <w:tcPr>
            <w:tcW w:w="1185" w:type="dxa"/>
            <w:tcBorders>
              <w:top w:val="nil"/>
              <w:left w:val="nil"/>
              <w:bottom w:val="single" w:sz="4" w:space="0" w:color="auto"/>
              <w:right w:val="single" w:sz="4" w:space="0" w:color="auto"/>
            </w:tcBorders>
            <w:noWrap/>
            <w:vAlign w:val="center"/>
            <w:hideMark/>
          </w:tcPr>
          <w:p w14:paraId="34E533AD"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270</w:t>
            </w:r>
          </w:p>
        </w:tc>
        <w:tc>
          <w:tcPr>
            <w:tcW w:w="1180" w:type="dxa"/>
            <w:tcBorders>
              <w:top w:val="nil"/>
              <w:left w:val="nil"/>
              <w:bottom w:val="single" w:sz="4" w:space="0" w:color="auto"/>
              <w:right w:val="single" w:sz="4" w:space="0" w:color="auto"/>
            </w:tcBorders>
            <w:noWrap/>
            <w:vAlign w:val="center"/>
            <w:hideMark/>
          </w:tcPr>
          <w:p w14:paraId="57FC515B"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93</w:t>
            </w:r>
          </w:p>
        </w:tc>
        <w:tc>
          <w:tcPr>
            <w:tcW w:w="1181" w:type="dxa"/>
            <w:tcBorders>
              <w:top w:val="nil"/>
              <w:left w:val="nil"/>
              <w:bottom w:val="single" w:sz="4" w:space="0" w:color="auto"/>
              <w:right w:val="single" w:sz="4" w:space="0" w:color="auto"/>
            </w:tcBorders>
            <w:noWrap/>
            <w:vAlign w:val="center"/>
            <w:hideMark/>
          </w:tcPr>
          <w:p w14:paraId="05CA0447"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220</w:t>
            </w:r>
          </w:p>
        </w:tc>
        <w:tc>
          <w:tcPr>
            <w:tcW w:w="1364" w:type="dxa"/>
            <w:tcBorders>
              <w:top w:val="nil"/>
              <w:left w:val="nil"/>
              <w:bottom w:val="single" w:sz="4" w:space="0" w:color="auto"/>
              <w:right w:val="single" w:sz="4" w:space="0" w:color="auto"/>
            </w:tcBorders>
            <w:noWrap/>
            <w:vAlign w:val="center"/>
            <w:hideMark/>
          </w:tcPr>
          <w:p w14:paraId="3212C0B4"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80</w:t>
            </w:r>
          </w:p>
        </w:tc>
        <w:tc>
          <w:tcPr>
            <w:tcW w:w="1560" w:type="dxa"/>
            <w:tcBorders>
              <w:top w:val="nil"/>
              <w:left w:val="nil"/>
              <w:bottom w:val="single" w:sz="4" w:space="0" w:color="auto"/>
              <w:right w:val="single" w:sz="4" w:space="0" w:color="auto"/>
            </w:tcBorders>
            <w:noWrap/>
            <w:vAlign w:val="center"/>
            <w:hideMark/>
          </w:tcPr>
          <w:p w14:paraId="147799FA"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13</w:t>
            </w:r>
          </w:p>
        </w:tc>
        <w:tc>
          <w:tcPr>
            <w:tcW w:w="1417" w:type="dxa"/>
            <w:tcBorders>
              <w:top w:val="nil"/>
              <w:left w:val="nil"/>
              <w:bottom w:val="single" w:sz="4" w:space="0" w:color="auto"/>
              <w:right w:val="single" w:sz="4" w:space="0" w:color="auto"/>
            </w:tcBorders>
            <w:noWrap/>
            <w:vAlign w:val="center"/>
            <w:hideMark/>
          </w:tcPr>
          <w:p w14:paraId="4B5AC477"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(9-18)</w:t>
            </w:r>
          </w:p>
        </w:tc>
      </w:tr>
      <w:tr w:rsidR="00364834" w:rsidRPr="00364834" w14:paraId="4F5B26B2" w14:textId="77777777" w:rsidTr="00364834">
        <w:trPr>
          <w:trHeight w:val="325"/>
        </w:trPr>
        <w:tc>
          <w:tcPr>
            <w:tcW w:w="1050" w:type="dxa"/>
            <w:tcBorders>
              <w:top w:val="nil"/>
              <w:left w:val="single" w:sz="4" w:space="0" w:color="auto"/>
              <w:bottom w:val="single" w:sz="4" w:space="0" w:color="auto"/>
              <w:right w:val="single" w:sz="4" w:space="0" w:color="auto"/>
            </w:tcBorders>
            <w:shd w:val="clear" w:color="000000" w:fill="E7E6E6"/>
            <w:noWrap/>
            <w:vAlign w:val="center"/>
            <w:hideMark/>
          </w:tcPr>
          <w:p w14:paraId="6DFE6600"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PP-NRS</w:t>
            </w:r>
          </w:p>
        </w:tc>
        <w:tc>
          <w:tcPr>
            <w:tcW w:w="1185" w:type="dxa"/>
            <w:tcBorders>
              <w:top w:val="nil"/>
              <w:left w:val="nil"/>
              <w:bottom w:val="single" w:sz="4" w:space="0" w:color="auto"/>
              <w:right w:val="single" w:sz="4" w:space="0" w:color="auto"/>
            </w:tcBorders>
            <w:noWrap/>
            <w:vAlign w:val="center"/>
            <w:hideMark/>
          </w:tcPr>
          <w:p w14:paraId="539BF639"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265</w:t>
            </w:r>
          </w:p>
        </w:tc>
        <w:tc>
          <w:tcPr>
            <w:tcW w:w="1180" w:type="dxa"/>
            <w:tcBorders>
              <w:top w:val="nil"/>
              <w:left w:val="nil"/>
              <w:bottom w:val="single" w:sz="4" w:space="0" w:color="auto"/>
              <w:right w:val="single" w:sz="4" w:space="0" w:color="auto"/>
            </w:tcBorders>
            <w:noWrap/>
            <w:vAlign w:val="center"/>
            <w:hideMark/>
          </w:tcPr>
          <w:p w14:paraId="2141DC06"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57</w:t>
            </w:r>
          </w:p>
        </w:tc>
        <w:tc>
          <w:tcPr>
            <w:tcW w:w="1181" w:type="dxa"/>
            <w:tcBorders>
              <w:top w:val="nil"/>
              <w:left w:val="nil"/>
              <w:bottom w:val="single" w:sz="4" w:space="0" w:color="auto"/>
              <w:right w:val="single" w:sz="4" w:space="0" w:color="auto"/>
            </w:tcBorders>
            <w:noWrap/>
            <w:vAlign w:val="center"/>
            <w:hideMark/>
          </w:tcPr>
          <w:p w14:paraId="76A29A8F"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214</w:t>
            </w:r>
          </w:p>
        </w:tc>
        <w:tc>
          <w:tcPr>
            <w:tcW w:w="1364" w:type="dxa"/>
            <w:tcBorders>
              <w:top w:val="nil"/>
              <w:left w:val="nil"/>
              <w:bottom w:val="single" w:sz="4" w:space="0" w:color="auto"/>
              <w:right w:val="single" w:sz="4" w:space="0" w:color="auto"/>
            </w:tcBorders>
            <w:noWrap/>
            <w:vAlign w:val="center"/>
            <w:hideMark/>
          </w:tcPr>
          <w:p w14:paraId="57104B9F"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48</w:t>
            </w:r>
          </w:p>
        </w:tc>
        <w:tc>
          <w:tcPr>
            <w:tcW w:w="1560" w:type="dxa"/>
            <w:tcBorders>
              <w:top w:val="nil"/>
              <w:left w:val="nil"/>
              <w:bottom w:val="single" w:sz="4" w:space="0" w:color="auto"/>
              <w:right w:val="single" w:sz="4" w:space="0" w:color="auto"/>
            </w:tcBorders>
            <w:noWrap/>
            <w:vAlign w:val="center"/>
            <w:hideMark/>
          </w:tcPr>
          <w:p w14:paraId="2731ED5A"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24</w:t>
            </w:r>
          </w:p>
        </w:tc>
        <w:tc>
          <w:tcPr>
            <w:tcW w:w="1417" w:type="dxa"/>
            <w:tcBorders>
              <w:top w:val="nil"/>
              <w:left w:val="nil"/>
              <w:bottom w:val="single" w:sz="4" w:space="0" w:color="auto"/>
              <w:right w:val="single" w:sz="4" w:space="0" w:color="auto"/>
            </w:tcBorders>
            <w:noWrap/>
            <w:vAlign w:val="center"/>
            <w:hideMark/>
          </w:tcPr>
          <w:p w14:paraId="416B6053"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(20-28)</w:t>
            </w:r>
          </w:p>
        </w:tc>
      </w:tr>
    </w:tbl>
    <w:p w14:paraId="4ED9F1B2" w14:textId="77777777" w:rsidR="00BA67BB" w:rsidRPr="00DF2703" w:rsidRDefault="00646A51" w:rsidP="00DF2703">
      <w:pPr>
        <w:jc w:val="center"/>
        <w:rPr>
          <w:rFonts w:ascii="Arial" w:hAnsi="Arial" w:cs="Arial"/>
          <w:b/>
          <w:bCs/>
          <w:sz w:val="20"/>
          <w:szCs w:val="20"/>
        </w:rPr>
      </w:pPr>
      <w:r>
        <w:fldChar w:fldCharType="end"/>
      </w:r>
    </w:p>
    <w:p w14:paraId="39D8D919" w14:textId="77777777" w:rsidR="00F273B2" w:rsidRPr="003B32FD" w:rsidRDefault="00F273B2" w:rsidP="00F273B2">
      <w:pPr>
        <w:rPr>
          <w:color w:val="CCFFCC"/>
        </w:rPr>
      </w:pPr>
      <w:r w:rsidRPr="00BA67BB">
        <w:br w:type="page"/>
      </w:r>
    </w:p>
    <w:tbl>
      <w:tblPr>
        <w:tblW w:w="8500" w:type="dxa"/>
        <w:tblInd w:w="75" w:type="dxa"/>
        <w:tblCellMar>
          <w:left w:w="70" w:type="dxa"/>
          <w:right w:w="70" w:type="dxa"/>
        </w:tblCellMar>
        <w:tblLook w:val="04A0" w:firstRow="1" w:lastRow="0" w:firstColumn="1" w:lastColumn="0" w:noHBand="0" w:noVBand="1"/>
      </w:tblPr>
      <w:tblGrid>
        <w:gridCol w:w="1687"/>
        <w:gridCol w:w="1676"/>
        <w:gridCol w:w="34"/>
        <w:gridCol w:w="1790"/>
        <w:gridCol w:w="53"/>
        <w:gridCol w:w="1619"/>
        <w:gridCol w:w="82"/>
        <w:gridCol w:w="1559"/>
      </w:tblGrid>
      <w:tr w:rsidR="003B32FD" w:rsidRPr="003B32FD" w14:paraId="4E2E0BB6" w14:textId="77777777" w:rsidTr="003B32FD">
        <w:trPr>
          <w:trHeight w:val="447"/>
        </w:trPr>
        <w:tc>
          <w:tcPr>
            <w:tcW w:w="8500" w:type="dxa"/>
            <w:gridSpan w:val="8"/>
            <w:tcBorders>
              <w:top w:val="single" w:sz="4" w:space="0" w:color="auto"/>
              <w:left w:val="single" w:sz="4" w:space="0" w:color="auto"/>
              <w:bottom w:val="single" w:sz="4" w:space="0" w:color="auto"/>
              <w:right w:val="single" w:sz="4" w:space="0" w:color="auto"/>
            </w:tcBorders>
            <w:shd w:val="clear" w:color="auto" w:fill="CCFFCC"/>
            <w:vAlign w:val="center"/>
          </w:tcPr>
          <w:p w14:paraId="4F0D5977" w14:textId="77777777" w:rsidR="003B32FD" w:rsidRPr="003B32FD" w:rsidRDefault="003B32FD">
            <w:pPr>
              <w:jc w:val="center"/>
              <w:rPr>
                <w:rFonts w:ascii="Arial" w:hAnsi="Arial" w:cs="Arial"/>
                <w:b/>
                <w:bCs/>
                <w:color w:val="CCFFCC"/>
                <w:sz w:val="16"/>
                <w:szCs w:val="16"/>
              </w:rPr>
            </w:pPr>
            <w:r>
              <w:rPr>
                <w:rFonts w:ascii="Arial" w:hAnsi="Arial" w:cs="Arial"/>
                <w:b/>
                <w:bCs/>
                <w:color w:val="000000"/>
                <w:sz w:val="16"/>
                <w:szCs w:val="16"/>
              </w:rPr>
              <w:t>Tabla16. COMPARACIÓN INDIRECTA PROPIA iJAK vs DUPILUMAB (Método Bucher, Calculadora Wells 2009)</w:t>
            </w:r>
          </w:p>
        </w:tc>
      </w:tr>
      <w:tr w:rsidR="00F273B2" w14:paraId="313E9DC2" w14:textId="77777777" w:rsidTr="00736CD4">
        <w:trPr>
          <w:trHeight w:val="1265"/>
        </w:trPr>
        <w:tc>
          <w:tcPr>
            <w:tcW w:w="1687"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7842B05" w14:textId="77777777" w:rsidR="00F273B2" w:rsidRDefault="00F273B2">
            <w:pPr>
              <w:jc w:val="center"/>
              <w:rPr>
                <w:rFonts w:ascii="Arial" w:hAnsi="Arial" w:cs="Arial"/>
                <w:b/>
                <w:bCs/>
                <w:color w:val="000000"/>
                <w:sz w:val="16"/>
                <w:szCs w:val="16"/>
              </w:rPr>
            </w:pPr>
            <w:r>
              <w:rPr>
                <w:rFonts w:ascii="Arial" w:hAnsi="Arial" w:cs="Arial"/>
                <w:b/>
                <w:bCs/>
                <w:color w:val="000000"/>
                <w:sz w:val="16"/>
                <w:szCs w:val="16"/>
              </w:rPr>
              <w:t>Fármaco (Mecanismo)</w:t>
            </w:r>
          </w:p>
        </w:tc>
        <w:tc>
          <w:tcPr>
            <w:tcW w:w="1676" w:type="dxa"/>
            <w:tcBorders>
              <w:top w:val="single" w:sz="4" w:space="0" w:color="auto"/>
              <w:left w:val="nil"/>
              <w:bottom w:val="single" w:sz="4" w:space="0" w:color="auto"/>
              <w:right w:val="single" w:sz="4" w:space="0" w:color="auto"/>
            </w:tcBorders>
            <w:shd w:val="clear" w:color="000000" w:fill="D0CECE"/>
            <w:vAlign w:val="center"/>
            <w:hideMark/>
          </w:tcPr>
          <w:p w14:paraId="047339DC" w14:textId="77777777" w:rsidR="00F273B2" w:rsidRDefault="00F273B2">
            <w:pPr>
              <w:jc w:val="center"/>
              <w:rPr>
                <w:rFonts w:ascii="Arial" w:hAnsi="Arial" w:cs="Arial"/>
                <w:b/>
                <w:bCs/>
                <w:color w:val="000000"/>
                <w:sz w:val="16"/>
                <w:szCs w:val="16"/>
              </w:rPr>
            </w:pPr>
            <w:r>
              <w:rPr>
                <w:rFonts w:ascii="Arial" w:hAnsi="Arial" w:cs="Arial"/>
                <w:b/>
                <w:bCs/>
                <w:color w:val="000000"/>
                <w:sz w:val="16"/>
                <w:szCs w:val="16"/>
              </w:rPr>
              <w:t>Ensayo</w:t>
            </w:r>
          </w:p>
        </w:tc>
        <w:tc>
          <w:tcPr>
            <w:tcW w:w="1824" w:type="dxa"/>
            <w:gridSpan w:val="2"/>
            <w:tcBorders>
              <w:top w:val="single" w:sz="4" w:space="0" w:color="auto"/>
              <w:left w:val="nil"/>
              <w:bottom w:val="single" w:sz="4" w:space="0" w:color="auto"/>
              <w:right w:val="single" w:sz="4" w:space="0" w:color="auto"/>
            </w:tcBorders>
            <w:shd w:val="clear" w:color="000000" w:fill="D0CECE"/>
            <w:vAlign w:val="center"/>
            <w:hideMark/>
          </w:tcPr>
          <w:p w14:paraId="537F54A2" w14:textId="77777777" w:rsidR="00F273B2" w:rsidRDefault="00F273B2">
            <w:pPr>
              <w:jc w:val="center"/>
              <w:rPr>
                <w:rFonts w:ascii="Arial" w:hAnsi="Arial" w:cs="Arial"/>
                <w:b/>
                <w:bCs/>
                <w:color w:val="000000"/>
                <w:sz w:val="16"/>
                <w:szCs w:val="16"/>
              </w:rPr>
            </w:pPr>
            <w:r>
              <w:rPr>
                <w:rFonts w:ascii="Arial" w:hAnsi="Arial" w:cs="Arial"/>
                <w:b/>
                <w:bCs/>
                <w:color w:val="000000"/>
                <w:sz w:val="16"/>
                <w:szCs w:val="16"/>
              </w:rPr>
              <w:t>Variable de Respuesta (Semana 16)</w:t>
            </w:r>
          </w:p>
        </w:tc>
        <w:tc>
          <w:tcPr>
            <w:tcW w:w="1672" w:type="dxa"/>
            <w:gridSpan w:val="2"/>
            <w:tcBorders>
              <w:top w:val="single" w:sz="4" w:space="0" w:color="auto"/>
              <w:left w:val="nil"/>
              <w:bottom w:val="single" w:sz="4" w:space="0" w:color="auto"/>
              <w:right w:val="single" w:sz="4" w:space="0" w:color="auto"/>
            </w:tcBorders>
            <w:shd w:val="clear" w:color="000000" w:fill="D0CECE"/>
            <w:vAlign w:val="center"/>
            <w:hideMark/>
          </w:tcPr>
          <w:p w14:paraId="56DEAF08" w14:textId="77777777" w:rsidR="00F273B2" w:rsidRDefault="00F273B2">
            <w:pPr>
              <w:jc w:val="center"/>
              <w:rPr>
                <w:rFonts w:ascii="Arial" w:hAnsi="Arial" w:cs="Arial"/>
                <w:b/>
                <w:bCs/>
                <w:color w:val="000000"/>
                <w:sz w:val="16"/>
                <w:szCs w:val="16"/>
              </w:rPr>
            </w:pPr>
            <w:r>
              <w:rPr>
                <w:rFonts w:ascii="Arial" w:hAnsi="Arial" w:cs="Arial"/>
                <w:b/>
                <w:bCs/>
                <w:color w:val="000000"/>
                <w:sz w:val="16"/>
                <w:szCs w:val="16"/>
              </w:rPr>
              <w:t>Diferencia de respuesta frente a placebo en la semana 16</w:t>
            </w:r>
          </w:p>
        </w:tc>
        <w:tc>
          <w:tcPr>
            <w:tcW w:w="1641" w:type="dxa"/>
            <w:gridSpan w:val="2"/>
            <w:tcBorders>
              <w:top w:val="single" w:sz="4" w:space="0" w:color="auto"/>
              <w:left w:val="nil"/>
              <w:bottom w:val="single" w:sz="4" w:space="0" w:color="auto"/>
              <w:right w:val="single" w:sz="4" w:space="0" w:color="auto"/>
            </w:tcBorders>
            <w:shd w:val="clear" w:color="000000" w:fill="D0CECE"/>
            <w:vAlign w:val="center"/>
            <w:hideMark/>
          </w:tcPr>
          <w:p w14:paraId="37ED9A20" w14:textId="77777777" w:rsidR="00F273B2" w:rsidRDefault="00F273B2">
            <w:pPr>
              <w:jc w:val="center"/>
              <w:rPr>
                <w:rFonts w:ascii="Arial" w:hAnsi="Arial" w:cs="Arial"/>
                <w:b/>
                <w:bCs/>
                <w:color w:val="000000"/>
                <w:sz w:val="16"/>
                <w:szCs w:val="16"/>
              </w:rPr>
            </w:pPr>
            <w:r>
              <w:rPr>
                <w:rFonts w:ascii="Arial" w:hAnsi="Arial" w:cs="Arial"/>
                <w:b/>
                <w:bCs/>
                <w:color w:val="000000"/>
                <w:sz w:val="16"/>
                <w:szCs w:val="16"/>
              </w:rPr>
              <w:t>IC95%</w:t>
            </w:r>
          </w:p>
        </w:tc>
      </w:tr>
      <w:tr w:rsidR="00F273B2" w14:paraId="3DA28FD8" w14:textId="77777777" w:rsidTr="00736CD4">
        <w:trPr>
          <w:trHeight w:val="336"/>
        </w:trPr>
        <w:tc>
          <w:tcPr>
            <w:tcW w:w="1687"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4A36F70A" w14:textId="77777777" w:rsidR="00F273B2" w:rsidRDefault="00F273B2">
            <w:pPr>
              <w:jc w:val="center"/>
              <w:rPr>
                <w:rFonts w:ascii="Arial" w:hAnsi="Arial" w:cs="Arial"/>
                <w:color w:val="000000"/>
                <w:sz w:val="16"/>
                <w:szCs w:val="16"/>
              </w:rPr>
            </w:pPr>
            <w:r>
              <w:rPr>
                <w:rFonts w:ascii="Arial" w:hAnsi="Arial" w:cs="Arial"/>
                <w:color w:val="000000"/>
                <w:sz w:val="16"/>
                <w:szCs w:val="16"/>
              </w:rPr>
              <w:t xml:space="preserve">Dupilumab </w:t>
            </w:r>
          </w:p>
        </w:tc>
        <w:tc>
          <w:tcPr>
            <w:tcW w:w="1676"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39B01320" w14:textId="77777777" w:rsidR="00F273B2" w:rsidRDefault="00F273B2">
            <w:pPr>
              <w:jc w:val="center"/>
              <w:rPr>
                <w:rFonts w:ascii="Arial" w:hAnsi="Arial" w:cs="Arial"/>
                <w:color w:val="000000"/>
                <w:sz w:val="16"/>
                <w:szCs w:val="16"/>
              </w:rPr>
            </w:pPr>
            <w:r>
              <w:rPr>
                <w:rFonts w:ascii="Arial" w:hAnsi="Arial" w:cs="Arial"/>
                <w:color w:val="000000"/>
                <w:sz w:val="16"/>
                <w:szCs w:val="16"/>
              </w:rPr>
              <w:t xml:space="preserve">CHRONOS (Dupilumab + TCS, bisemanal) </w:t>
            </w:r>
            <w:r w:rsidR="00646A51">
              <w:rPr>
                <w:rFonts w:ascii="Arial" w:hAnsi="Arial" w:cs="Arial"/>
                <w:color w:val="000000"/>
                <w:sz w:val="16"/>
                <w:szCs w:val="16"/>
              </w:rPr>
              <w:fldChar w:fldCharType="begin"/>
            </w:r>
            <w:r w:rsidR="00511A83">
              <w:rPr>
                <w:rFonts w:ascii="Arial" w:hAnsi="Arial" w:cs="Arial"/>
                <w:color w:val="000000"/>
                <w:sz w:val="16"/>
                <w:szCs w:val="16"/>
              </w:rPr>
              <w:instrText xml:space="preserve"> ADDIN ZOTERO_ITEM CSL_CITATION {"citationID":"epwkpWHI","properties":{"formattedCitation":"(26)","plainCitation":"(26)","noteIndex":0},"citationItems":[{"id":42,"uris":["http://zotero.org/users/18702181/items/526T4SD2"],"itemData":{"id":42,"type":"article-journal","abstract":"BACKGROUND: Dupilumab (an anti-interleukin-4-receptor-α monoclonal antibody) blocks signalling of interleukin 4 and interleukin 13, type 2/Th2 cytokines implicated in numerous allergic diseases ranging from asthma to atopic dermatitis. Previous 16-week monotherapy studies showed that dupilumab substantially improved signs and symptoms of moderate-to-severe atopic dermatitis with acceptable safety, validating the crucial role of interleukin 4 and interleukin 13 in atopic dermatitis pathogenesis. We aimed to evaluate the long-term efficacy and safety of dupilumab with medium-potency topical corticosteroids versus placebo with topical corticosteroids in adults with moderate-to-severe atopic dermatitis.\nMETHODS: In this 1-year, randomised, double-blinded, placebo-controlled, phase 3 study (LIBERTY AD CHRONOS), adults with moderate-to-severe atopic dermatitis and inadequate response to topical corticosteroids were enrolled at 161 hospitals, clinics, and academic institutions in 14 countries in Europe, Asia-Pacific, and North America. Patients were randomly assigned (3:1:3) to subcutaneous dupilumab 300 mg once weekly (qw), dupilumab 300 mg every 2 weeks (q2w), or placebo via a central interactive voice/web response system, stratified by severity and global region. All three groups were given concomitant topical corticosteroids with or without topical calcineurin inhibitors where inadvisable for topical corticosteroids. Topical corticosteroids could be tapered, stopped, or restarted on the basis of disease activity. Coprimary endpoints were patients (%) achieving Investigator's Global Assessment (IGA) 0/1 and 2-point or higher improvement from baseline, and Eczema Area and Severity Index 75% improvement from baseline (EASI-75) at week 16. Week 16 efficacy and week 52 safety analyses included all randomised patients; week 52 efficacy included patients who completed treatment by US regulatory submission cutoff. This study is registered with ClinicalTrials.gov, NCT02260986.\nFINDINGS: Between Oct 3, 2014, and July 31, 2015, 740 patients were enrolled: 319 were randomly assigned to dupilumab qw plus topical corticosteroids, 106 to dupilumab q2w plus topical corticosteroids, and 315 to placebo plus topical corticosteroids. 623 (270, 89, and 264, respectively) were evaluable for week 52 efficacy. At week 16, more patients who received dupilumab plus topical corticosteroids achieved the coprimary endpoints of IGA 0/1 (39% [125 patients] who received dupilumab plus topical corticosteroids qw and 39% [41 patients] who received dupilumab q2w plus topical corticosteroids vs 12% [39 patients] who received placebo plus topical corticosteroids; p&lt;0·0001) and EASI-75 (64% [204] and 69% [73] vs 23% [73]; p&lt;0·0001). Week 52 results were similar. Adverse events were reported in 261 (83%) patients who received dupilumab qw plus topical corticosteroids, 97 (88%) patients who received dupilumab q2w, and 266 (84%) patients who received placebo, and serious adverse events in nine (3%), four (4%), and 16 (5%) patients, respectively. No significant dupilumab-induced laboratory abnormalities were noted. Injection-site reactions and conjunctivitis were more common in patients treated with dupilumab plus topical corticosteroids-treated patients than in patients treated with placebo plus topical corticosteroids.\nINTERPRETATION: Dupilumab added to standard topical corticosteroid treatment for 1 year improved atopic dermatitis signs and symptoms, with acceptable safety.\nFUNDING: Sanofi and Regeneron Pharmaceuticals Inc.","container-title":"Lancet (London, England)","DOI":"10.1016/S0140-6736(17)31191-1","ISSN":"1474-547X","issue":"10086","journalAbbreviation":"Lancet","language":"eng","page":"2287-2303","PMID":"28478972","source":"PubMed","title":"Long-term management of moderate-to-severe atopic dermatitis with dupilumab and concomitant topical corticosteroids (LIBERTY AD CHRONOS): a 1-year, randomised, double-blinded, placebo-controlled, phase 3 trial","title-short":"Long-term management of moderate-to-severe atopic dermatitis with dupilumab and concomitant topical corticosteroids (LIBERTY AD CHRONOS)","volume":"389","author":[{"family":"Blauvelt","given":"Andrew"},{"family":"Bruin-Weller","given":"Marjolein","non-dropping-particle":"de"},{"family":"Gooderham","given":"Melinda"},{"family":"Cather","given":"Jennifer C."},{"family":"Weisman","given":"Jamie"},{"family":"Pariser","given":"David"},{"family":"Simpson","given":"Eric L."},{"family":"Papp","given":"Kim A."},{"family":"Hong","given":"H. Chih-Ho"},{"family":"Rubel","given":"Diana"},{"family":"Foley","given":"Peter"},{"family":"Prens","given":"Errol"},{"family":"Griffiths","given":"Christopher E. M."},{"family":"Etoh","given":"Takafumi"},{"family":"Pinto","given":"Pedro Herranz"},{"family":"Pujol","given":"Ramon M."},{"family":"Szepietowski","given":"Jacek C."},{"family":"Ettler","given":"Karel"},{"family":"Kemény","given":"Lajos"},{"family":"Zhu","given":"Xiaoping"},{"family":"Akinlade","given":"Bolanle"},{"family":"Hultsch","given":"Thomas"},{"family":"Mastey","given":"Vera"},{"family":"Gadkari","given":"Abhijit"},{"family":"Eckert","given":"Laurent"},{"family":"Amin","given":"Nikhil"},{"family":"Graham","given":"Neil M. H."},{"family":"Pirozzi","given":"Gianluca"},{"family":"Stahl","given":"Neil"},{"family":"Yancopoulos","given":"George D."},{"family":"Shumel","given":"Brad"}],"issued":{"date-parts":[["2017",6,10]]}}}],"schema":"https://github.com/citation-style-language/schema/raw/master/csl-citation.json"} </w:instrText>
            </w:r>
            <w:r w:rsidR="00646A51">
              <w:rPr>
                <w:rFonts w:ascii="Arial" w:hAnsi="Arial" w:cs="Arial"/>
                <w:color w:val="000000"/>
                <w:sz w:val="16"/>
                <w:szCs w:val="16"/>
              </w:rPr>
              <w:fldChar w:fldCharType="separate"/>
            </w:r>
            <w:r w:rsidR="00511A83" w:rsidRPr="00511A83">
              <w:rPr>
                <w:rFonts w:ascii="Arial" w:hAnsi="Arial" w:cs="Arial"/>
                <w:sz w:val="16"/>
              </w:rPr>
              <w:t>(26)</w:t>
            </w:r>
            <w:r w:rsidR="00646A51">
              <w:rPr>
                <w:rFonts w:ascii="Arial" w:hAnsi="Arial" w:cs="Arial"/>
                <w:color w:val="000000"/>
                <w:sz w:val="16"/>
                <w:szCs w:val="16"/>
              </w:rPr>
              <w:fldChar w:fldCharType="end"/>
            </w:r>
          </w:p>
        </w:tc>
        <w:tc>
          <w:tcPr>
            <w:tcW w:w="1824" w:type="dxa"/>
            <w:gridSpan w:val="2"/>
            <w:tcBorders>
              <w:top w:val="nil"/>
              <w:left w:val="nil"/>
              <w:bottom w:val="single" w:sz="4" w:space="0" w:color="auto"/>
              <w:right w:val="single" w:sz="4" w:space="0" w:color="auto"/>
            </w:tcBorders>
            <w:shd w:val="clear" w:color="000000" w:fill="FCE4D6"/>
            <w:noWrap/>
            <w:vAlign w:val="center"/>
            <w:hideMark/>
          </w:tcPr>
          <w:p w14:paraId="32DA79F5" w14:textId="77777777" w:rsidR="00F273B2" w:rsidRDefault="00F273B2">
            <w:pPr>
              <w:jc w:val="center"/>
              <w:rPr>
                <w:rFonts w:ascii="Arial" w:hAnsi="Arial" w:cs="Arial"/>
                <w:color w:val="000000"/>
                <w:sz w:val="16"/>
                <w:szCs w:val="16"/>
              </w:rPr>
            </w:pPr>
            <w:r>
              <w:rPr>
                <w:rFonts w:ascii="Arial" w:hAnsi="Arial" w:cs="Arial"/>
                <w:color w:val="000000"/>
                <w:sz w:val="16"/>
                <w:szCs w:val="16"/>
              </w:rPr>
              <w:t>EASI 75</w:t>
            </w:r>
          </w:p>
        </w:tc>
        <w:tc>
          <w:tcPr>
            <w:tcW w:w="1672" w:type="dxa"/>
            <w:gridSpan w:val="2"/>
            <w:tcBorders>
              <w:top w:val="nil"/>
              <w:left w:val="nil"/>
              <w:bottom w:val="single" w:sz="4" w:space="0" w:color="auto"/>
              <w:right w:val="single" w:sz="4" w:space="0" w:color="auto"/>
            </w:tcBorders>
            <w:noWrap/>
            <w:vAlign w:val="center"/>
            <w:hideMark/>
          </w:tcPr>
          <w:p w14:paraId="028582DA" w14:textId="77777777" w:rsidR="00F273B2" w:rsidRDefault="00F273B2">
            <w:pPr>
              <w:jc w:val="center"/>
              <w:rPr>
                <w:rFonts w:ascii="Arial" w:hAnsi="Arial" w:cs="Arial"/>
                <w:color w:val="000000"/>
                <w:sz w:val="16"/>
                <w:szCs w:val="16"/>
              </w:rPr>
            </w:pPr>
            <w:r>
              <w:rPr>
                <w:rFonts w:ascii="Arial" w:hAnsi="Arial" w:cs="Arial"/>
                <w:color w:val="000000"/>
                <w:sz w:val="16"/>
                <w:szCs w:val="16"/>
              </w:rPr>
              <w:t>46</w:t>
            </w:r>
          </w:p>
        </w:tc>
        <w:tc>
          <w:tcPr>
            <w:tcW w:w="1641" w:type="dxa"/>
            <w:gridSpan w:val="2"/>
            <w:tcBorders>
              <w:top w:val="nil"/>
              <w:left w:val="nil"/>
              <w:bottom w:val="single" w:sz="4" w:space="0" w:color="auto"/>
              <w:right w:val="single" w:sz="4" w:space="0" w:color="auto"/>
            </w:tcBorders>
            <w:noWrap/>
            <w:vAlign w:val="center"/>
            <w:hideMark/>
          </w:tcPr>
          <w:p w14:paraId="56F98650" w14:textId="77777777" w:rsidR="00F273B2" w:rsidRDefault="00F273B2">
            <w:pPr>
              <w:jc w:val="center"/>
              <w:rPr>
                <w:rFonts w:ascii="Arial" w:hAnsi="Arial" w:cs="Arial"/>
                <w:color w:val="000000"/>
                <w:sz w:val="16"/>
                <w:szCs w:val="16"/>
              </w:rPr>
            </w:pPr>
            <w:r>
              <w:rPr>
                <w:rFonts w:ascii="Arial" w:hAnsi="Arial" w:cs="Arial"/>
                <w:color w:val="000000"/>
                <w:sz w:val="16"/>
                <w:szCs w:val="16"/>
              </w:rPr>
              <w:t>(36;56)</w:t>
            </w:r>
          </w:p>
        </w:tc>
      </w:tr>
      <w:tr w:rsidR="00F273B2" w14:paraId="61289118" w14:textId="77777777" w:rsidTr="00736CD4">
        <w:trPr>
          <w:trHeight w:val="336"/>
        </w:trPr>
        <w:tc>
          <w:tcPr>
            <w:tcW w:w="1687" w:type="dxa"/>
            <w:vMerge/>
            <w:tcBorders>
              <w:top w:val="nil"/>
              <w:left w:val="single" w:sz="4" w:space="0" w:color="auto"/>
              <w:bottom w:val="single" w:sz="4" w:space="0" w:color="000000"/>
              <w:right w:val="single" w:sz="4" w:space="0" w:color="auto"/>
            </w:tcBorders>
            <w:vAlign w:val="center"/>
            <w:hideMark/>
          </w:tcPr>
          <w:p w14:paraId="207527B7" w14:textId="77777777" w:rsidR="00F273B2" w:rsidRDefault="00F273B2">
            <w:pPr>
              <w:rPr>
                <w:rFonts w:ascii="Arial" w:hAnsi="Arial" w:cs="Arial"/>
                <w:color w:val="000000"/>
                <w:sz w:val="16"/>
                <w:szCs w:val="16"/>
              </w:rPr>
            </w:pPr>
          </w:p>
        </w:tc>
        <w:tc>
          <w:tcPr>
            <w:tcW w:w="1676" w:type="dxa"/>
            <w:vMerge/>
            <w:tcBorders>
              <w:top w:val="nil"/>
              <w:left w:val="single" w:sz="4" w:space="0" w:color="auto"/>
              <w:bottom w:val="single" w:sz="4" w:space="0" w:color="000000"/>
              <w:right w:val="single" w:sz="4" w:space="0" w:color="auto"/>
            </w:tcBorders>
            <w:vAlign w:val="center"/>
            <w:hideMark/>
          </w:tcPr>
          <w:p w14:paraId="49814D94"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FCE4D6"/>
            <w:noWrap/>
            <w:vAlign w:val="center"/>
            <w:hideMark/>
          </w:tcPr>
          <w:p w14:paraId="008A0627" w14:textId="77777777" w:rsidR="00F273B2" w:rsidRDefault="00F273B2">
            <w:pPr>
              <w:jc w:val="center"/>
              <w:rPr>
                <w:rFonts w:ascii="Arial" w:hAnsi="Arial" w:cs="Arial"/>
                <w:color w:val="000000"/>
                <w:sz w:val="16"/>
                <w:szCs w:val="16"/>
              </w:rPr>
            </w:pPr>
            <w:r>
              <w:rPr>
                <w:rFonts w:ascii="Arial" w:hAnsi="Arial" w:cs="Arial"/>
                <w:color w:val="000000"/>
                <w:sz w:val="16"/>
                <w:szCs w:val="16"/>
              </w:rPr>
              <w:t>IGA 0/1</w:t>
            </w:r>
          </w:p>
        </w:tc>
        <w:tc>
          <w:tcPr>
            <w:tcW w:w="1672" w:type="dxa"/>
            <w:gridSpan w:val="2"/>
            <w:tcBorders>
              <w:top w:val="nil"/>
              <w:left w:val="nil"/>
              <w:bottom w:val="single" w:sz="4" w:space="0" w:color="auto"/>
              <w:right w:val="single" w:sz="4" w:space="0" w:color="auto"/>
            </w:tcBorders>
            <w:noWrap/>
            <w:vAlign w:val="center"/>
            <w:hideMark/>
          </w:tcPr>
          <w:p w14:paraId="4A1AC269" w14:textId="77777777" w:rsidR="00F273B2" w:rsidRDefault="00F273B2">
            <w:pPr>
              <w:jc w:val="center"/>
              <w:rPr>
                <w:rFonts w:ascii="Arial" w:hAnsi="Arial" w:cs="Arial"/>
                <w:color w:val="000000"/>
                <w:sz w:val="16"/>
                <w:szCs w:val="16"/>
              </w:rPr>
            </w:pPr>
            <w:r>
              <w:rPr>
                <w:rFonts w:ascii="Arial" w:hAnsi="Arial" w:cs="Arial"/>
                <w:color w:val="000000"/>
                <w:sz w:val="16"/>
                <w:szCs w:val="16"/>
              </w:rPr>
              <w:t>26</w:t>
            </w:r>
          </w:p>
        </w:tc>
        <w:tc>
          <w:tcPr>
            <w:tcW w:w="1641" w:type="dxa"/>
            <w:gridSpan w:val="2"/>
            <w:tcBorders>
              <w:top w:val="nil"/>
              <w:left w:val="nil"/>
              <w:bottom w:val="single" w:sz="4" w:space="0" w:color="auto"/>
              <w:right w:val="single" w:sz="4" w:space="0" w:color="auto"/>
            </w:tcBorders>
            <w:noWrap/>
            <w:vAlign w:val="center"/>
            <w:hideMark/>
          </w:tcPr>
          <w:p w14:paraId="7FA1117B" w14:textId="77777777" w:rsidR="00F273B2" w:rsidRDefault="00F273B2">
            <w:pPr>
              <w:jc w:val="center"/>
              <w:rPr>
                <w:rFonts w:ascii="Arial" w:hAnsi="Arial" w:cs="Arial"/>
                <w:color w:val="000000"/>
                <w:sz w:val="16"/>
                <w:szCs w:val="16"/>
              </w:rPr>
            </w:pPr>
            <w:r>
              <w:rPr>
                <w:rFonts w:ascii="Arial" w:hAnsi="Arial" w:cs="Arial"/>
                <w:color w:val="000000"/>
                <w:sz w:val="16"/>
                <w:szCs w:val="16"/>
              </w:rPr>
              <w:t>(16;36)</w:t>
            </w:r>
          </w:p>
        </w:tc>
      </w:tr>
      <w:tr w:rsidR="00F273B2" w14:paraId="1BB47E7C" w14:textId="77777777" w:rsidTr="00736CD4">
        <w:trPr>
          <w:trHeight w:val="336"/>
        </w:trPr>
        <w:tc>
          <w:tcPr>
            <w:tcW w:w="1687" w:type="dxa"/>
            <w:vMerge/>
            <w:tcBorders>
              <w:top w:val="nil"/>
              <w:left w:val="single" w:sz="4" w:space="0" w:color="auto"/>
              <w:bottom w:val="single" w:sz="4" w:space="0" w:color="000000"/>
              <w:right w:val="single" w:sz="4" w:space="0" w:color="auto"/>
            </w:tcBorders>
            <w:vAlign w:val="center"/>
            <w:hideMark/>
          </w:tcPr>
          <w:p w14:paraId="6C5337D5" w14:textId="77777777" w:rsidR="00F273B2" w:rsidRDefault="00F273B2">
            <w:pPr>
              <w:rPr>
                <w:rFonts w:ascii="Arial" w:hAnsi="Arial" w:cs="Arial"/>
                <w:color w:val="000000"/>
                <w:sz w:val="16"/>
                <w:szCs w:val="16"/>
              </w:rPr>
            </w:pPr>
          </w:p>
        </w:tc>
        <w:tc>
          <w:tcPr>
            <w:tcW w:w="1676" w:type="dxa"/>
            <w:vMerge/>
            <w:tcBorders>
              <w:top w:val="nil"/>
              <w:left w:val="single" w:sz="4" w:space="0" w:color="auto"/>
              <w:bottom w:val="single" w:sz="4" w:space="0" w:color="000000"/>
              <w:right w:val="single" w:sz="4" w:space="0" w:color="auto"/>
            </w:tcBorders>
            <w:vAlign w:val="center"/>
            <w:hideMark/>
          </w:tcPr>
          <w:p w14:paraId="4F91D8B8"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FCE4D6"/>
            <w:noWrap/>
            <w:vAlign w:val="center"/>
            <w:hideMark/>
          </w:tcPr>
          <w:p w14:paraId="2933EBE1" w14:textId="77777777" w:rsidR="00F273B2" w:rsidRDefault="00F273B2">
            <w:pPr>
              <w:jc w:val="center"/>
              <w:rPr>
                <w:rFonts w:ascii="Arial" w:hAnsi="Arial" w:cs="Arial"/>
                <w:color w:val="000000"/>
                <w:sz w:val="16"/>
                <w:szCs w:val="16"/>
              </w:rPr>
            </w:pPr>
            <w:r>
              <w:rPr>
                <w:rFonts w:ascii="Arial" w:hAnsi="Arial" w:cs="Arial"/>
                <w:color w:val="000000"/>
                <w:sz w:val="16"/>
                <w:szCs w:val="16"/>
              </w:rPr>
              <w:t>PP-NRS ≥4</w:t>
            </w:r>
          </w:p>
        </w:tc>
        <w:tc>
          <w:tcPr>
            <w:tcW w:w="1672" w:type="dxa"/>
            <w:gridSpan w:val="2"/>
            <w:tcBorders>
              <w:top w:val="nil"/>
              <w:left w:val="nil"/>
              <w:bottom w:val="single" w:sz="4" w:space="0" w:color="auto"/>
              <w:right w:val="single" w:sz="4" w:space="0" w:color="auto"/>
            </w:tcBorders>
            <w:noWrap/>
            <w:vAlign w:val="center"/>
            <w:hideMark/>
          </w:tcPr>
          <w:p w14:paraId="47ECD2D5" w14:textId="77777777" w:rsidR="00F273B2" w:rsidRDefault="00F273B2">
            <w:pPr>
              <w:jc w:val="center"/>
              <w:rPr>
                <w:rFonts w:ascii="Arial" w:hAnsi="Arial" w:cs="Arial"/>
                <w:color w:val="000000"/>
                <w:sz w:val="16"/>
                <w:szCs w:val="16"/>
              </w:rPr>
            </w:pPr>
            <w:r>
              <w:rPr>
                <w:rFonts w:ascii="Arial" w:hAnsi="Arial" w:cs="Arial"/>
                <w:color w:val="000000"/>
                <w:sz w:val="16"/>
                <w:szCs w:val="16"/>
              </w:rPr>
              <w:t>39</w:t>
            </w:r>
          </w:p>
        </w:tc>
        <w:tc>
          <w:tcPr>
            <w:tcW w:w="1641" w:type="dxa"/>
            <w:gridSpan w:val="2"/>
            <w:tcBorders>
              <w:top w:val="nil"/>
              <w:left w:val="nil"/>
              <w:bottom w:val="single" w:sz="4" w:space="0" w:color="auto"/>
              <w:right w:val="single" w:sz="4" w:space="0" w:color="auto"/>
            </w:tcBorders>
            <w:noWrap/>
            <w:vAlign w:val="center"/>
            <w:hideMark/>
          </w:tcPr>
          <w:p w14:paraId="636102C7" w14:textId="77777777" w:rsidR="00F273B2" w:rsidRDefault="00F273B2">
            <w:pPr>
              <w:jc w:val="center"/>
              <w:rPr>
                <w:rFonts w:ascii="Arial" w:hAnsi="Arial" w:cs="Arial"/>
                <w:color w:val="000000"/>
                <w:sz w:val="16"/>
                <w:szCs w:val="16"/>
              </w:rPr>
            </w:pPr>
            <w:r>
              <w:rPr>
                <w:rFonts w:ascii="Arial" w:hAnsi="Arial" w:cs="Arial"/>
                <w:color w:val="000000"/>
                <w:sz w:val="16"/>
                <w:szCs w:val="16"/>
              </w:rPr>
              <w:t>(28;50)</w:t>
            </w:r>
          </w:p>
        </w:tc>
      </w:tr>
      <w:tr w:rsidR="00F273B2" w14:paraId="6307342B" w14:textId="77777777" w:rsidTr="00736CD4">
        <w:trPr>
          <w:trHeight w:val="336"/>
        </w:trPr>
        <w:tc>
          <w:tcPr>
            <w:tcW w:w="1687"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14:paraId="76652DFD" w14:textId="77777777" w:rsidR="00F273B2" w:rsidRDefault="00F273B2">
            <w:pPr>
              <w:jc w:val="center"/>
              <w:rPr>
                <w:rFonts w:ascii="Arial" w:hAnsi="Arial" w:cs="Arial"/>
                <w:color w:val="000000"/>
                <w:sz w:val="16"/>
                <w:szCs w:val="16"/>
              </w:rPr>
            </w:pPr>
            <w:r>
              <w:rPr>
                <w:rFonts w:ascii="Arial" w:hAnsi="Arial" w:cs="Arial"/>
                <w:color w:val="000000"/>
                <w:sz w:val="16"/>
                <w:szCs w:val="16"/>
              </w:rPr>
              <w:t>Upadacitinib</w:t>
            </w:r>
            <w:r>
              <w:rPr>
                <w:rFonts w:ascii="Arial" w:hAnsi="Arial" w:cs="Arial"/>
                <w:b/>
                <w:bCs/>
                <w:color w:val="000000"/>
                <w:sz w:val="16"/>
                <w:szCs w:val="16"/>
              </w:rPr>
              <w:t xml:space="preserve"> 15 mg</w:t>
            </w:r>
          </w:p>
        </w:tc>
        <w:tc>
          <w:tcPr>
            <w:tcW w:w="1676"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14:paraId="22A24609" w14:textId="77777777" w:rsidR="00F273B2" w:rsidRDefault="00F273B2">
            <w:pPr>
              <w:jc w:val="center"/>
              <w:rPr>
                <w:rFonts w:ascii="Arial" w:hAnsi="Arial" w:cs="Arial"/>
                <w:color w:val="000000"/>
                <w:sz w:val="16"/>
                <w:szCs w:val="16"/>
              </w:rPr>
            </w:pPr>
            <w:r>
              <w:rPr>
                <w:rFonts w:ascii="Arial" w:hAnsi="Arial" w:cs="Arial"/>
                <w:color w:val="000000"/>
                <w:sz w:val="16"/>
                <w:szCs w:val="16"/>
              </w:rPr>
              <w:t xml:space="preserve">AD-Up </w:t>
            </w:r>
            <w:r w:rsidR="00646A51">
              <w:rPr>
                <w:rFonts w:ascii="Arial" w:hAnsi="Arial" w:cs="Arial"/>
                <w:color w:val="000000"/>
                <w:sz w:val="16"/>
                <w:szCs w:val="16"/>
              </w:rPr>
              <w:fldChar w:fldCharType="begin"/>
            </w:r>
            <w:r w:rsidR="00511A83">
              <w:rPr>
                <w:rFonts w:ascii="Arial" w:hAnsi="Arial" w:cs="Arial"/>
                <w:color w:val="000000"/>
                <w:sz w:val="16"/>
                <w:szCs w:val="16"/>
              </w:rPr>
              <w:instrText xml:space="preserve"> ADDIN ZOTERO_ITEM CSL_CITATION {"citationID":"BaBUwDaw","properties":{"formattedCitation":"(28)","plainCitation":"(28)","noteIndex":0},"citationItems":[{"id":52,"uris":["http://zotero.org/users/18702181/items/U5WUZXVD"],"itemData":{"id":52,"type":"article-journal","abstract":"BACKGROUND: Systemic therapies are typically combined with topical corticosteroids for the management of moderate-to-severe atopic dermatitis. Upadacitinib is an oral Janus kinase (JAK) inhibitor with greater inhibitory potency for JAK1 than JAK2, JAK3, or tyrosine kinase 2 that is being tested for atopic dermatitis. We aimed to assess the efficacy and safety of upadacitinib plus topical corticosteroids compared with placebo for the treatment of moderate-to-severe atopic dermatitis.\nMETHODS: In this randomised, double-blind, placebo-controlled, phase 3 trial (AD Up) adults (aged 18-75 years) and adolescents (aged 12-17 years) with chronic atopic dermatitis that was moderate to severe (≥10% of body surface area affected, Eczema Area and Severity Index [EASI] score of ≥16, validated Investigator's Global Assessment for atopic dermatitis [vIGA-AD] score of ≥3, and weekly average Worst Pruritus Numerical Rating Scale score of ≥4 at baseline) were enrolled at 171 clinical centres across 22 countries in the Asia-Pacific region, Europe, the Middle East, North America, and Oceania. Patients were randomly assigned (1:1:1) to receive upadacitinib 15 mg, upadacitinib 30 mg, or placebo once daily, all in combination with topical corticosteroids for 16 weeks. Randomisation was done using an interactive response technology system, stratified by baseline disease severity, geographical region, and age. Study investigators, study site personnel, and patients were masked to study treatment. The coprimary endpoints were the proportion of patients who had achieved at least a 75% reduction in EASI score from baseline (EASI-75) and the proportion of patients who had achieved a vIGA-AD response (defined as a vIGA-AD score of 0 [clear] or 1 [almost clear] with ≥2 grades of improvement from baseline) at week 16. Efficacy was analysed in the intention-to-treat population and safety was analysed in all patients who received at least one dose of study drug. This study is registered with ClinicalTrials.gov, NCT03568318, and is active, but not recruiting.\nFINDINGS: Between Aug 9, 2018, and Dec 20, 2019, 901 patients were randomly assigned to receive upadacitinib 15 mg plus topical corticosteroids (n=300), upadacitinib 30 mg plus topical corticosteroids (n=297), or placebo plus topical corticosteroids (n=304). At week 16, the proportion of patients who had achieved EASI-75 was significantly higher in the upadacitinib 15 mg plus topical corticosteroid group (194 [65%] of 300 patients) and the upadacitinib 30 mg plus topical corticosteroids group (229 [77%] of 297 patients) than the placebo group (80 [26%] of 304 patients; adjusted difference in EASI-75 response rate vs placebo, 38·1% [95% CI 30·8-45·4] for the upadacitinib 15 mg group and 50·6% [43·8-57·4] for the upadacitinib 30 mg group; p&lt;0·0001 for both doses). The proportion of patients who had achieved a vIGA-AD response at week 16 was significantly higher in the upadacitinib 15 mg plus topical corticosteroid group (119 [40%] patients) and upadacitinib 30 mg plus topical corticosteroid group (174 [59%] patients) than the placebo group (33 [11%] patients; adjusted difference in vIGA-AD response vs placebo, 28·5% [22·1-34·9] for the upadacitinib 15 mg group and 47·6% [41·1-54·0] for the upadacitinib 30 mg group; p&lt;0·0001 for both doses). During the double-blind period, upadacitinib 15 and 30 mg were well tolerated in combination with topical corticosteroids. The most frequently reported treatment-emergent adverse events (≥5% in any treatment group) were acne, nasopharyngitis, upper respiratory tract infection, oral herpes, elevation of blood creatine phosphokinase levels, headache, and atopic dermatitis. The incidence of acne was higher in the upadacitinib 15 mg (30 [10%] of 300 patients) and upadacitinib 30 mg (41 [14%] of 297 patients) groups than the placebo group (six [2%] of 304 patients). The incidence of adverse events leading to discontinuation of study drug (four [1%] patients in the upadacitinib 15 mg plus topical corticosteroids group, four [1%] patients in the upadacitinib 30 mg plus topical corticosteroids group, and seven [2%] patients in the placebo plus topical corticosteroids group) and serious adverse events (seven [2%] patients, four [1%] patients, and nine [3%] patients) were similar among treatment groups. No deaths were reported in any treatment group.\nINTERPRETATION: Upadacitinib plus topical corticosteroids was well tolerated and superior to placebo plus topical corticosteroids. Upadacitinib as combination therapy had a positive benefit-risk profile in adults and adolescents with moderate-to-severe atopic dermatitis.\nFUNDING: AbbVie.","container-title":"Lancet (London, England)","DOI":"10.1016/S0140-6736(21)00589-4","ISSN":"1474-547X","issue":"10290","journalAbbreviation":"Lancet","language":"eng","page":"2169-2181","PMID":"34023009","source":"PubMed","title":"Safety and efficacy of upadacitinib in combination with topical corticosteroids in adolescents and adults with moderate-to-severe atopic dermatitis (AD Up): results from a randomised, double-blind, placebo-controlled, phase 3 trial","title-short":"Safety and efficacy of upadacitinib in combination with topical corticosteroids in adolescents and adults with moderate-to-severe atopic dermatitis (AD Up)","volume":"397","author":[{"family":"Reich","given":"Kristian"},{"family":"Teixeira","given":"Henrique D."},{"family":"Bruin-Weller","given":"Marjolein","non-dropping-particle":"de"},{"family":"Bieber","given":"Thomas"},{"family":"Soong","given":"Weily"},{"family":"Kabashima","given":"Kenji"},{"family":"Werfel","given":"Thomas"},{"family":"Zeng","given":"Jiewei"},{"family":"Huang","given":"Xiaohong"},{"family":"Hu","given":"Xiaofei"},{"family":"Hendrickson","given":"Barbara A."},{"family":"Ladizinski","given":"Barry"},{"family":"Chu","given":"Alvina D."},{"family":"Silverberg","given":"Jonathan I."}],"issued":{"date-parts":[["2021",6,5]]}}}],"schema":"https://github.com/citation-style-language/schema/raw/master/csl-citation.json"} </w:instrText>
            </w:r>
            <w:r w:rsidR="00646A51">
              <w:rPr>
                <w:rFonts w:ascii="Arial" w:hAnsi="Arial" w:cs="Arial"/>
                <w:color w:val="000000"/>
                <w:sz w:val="16"/>
                <w:szCs w:val="16"/>
              </w:rPr>
              <w:fldChar w:fldCharType="separate"/>
            </w:r>
            <w:r w:rsidR="00511A83" w:rsidRPr="00511A83">
              <w:rPr>
                <w:rFonts w:ascii="Arial" w:hAnsi="Arial" w:cs="Arial"/>
                <w:sz w:val="16"/>
              </w:rPr>
              <w:t>(28)</w:t>
            </w:r>
            <w:r w:rsidR="00646A51">
              <w:rPr>
                <w:rFonts w:ascii="Arial" w:hAnsi="Arial" w:cs="Arial"/>
                <w:color w:val="000000"/>
                <w:sz w:val="16"/>
                <w:szCs w:val="16"/>
              </w:rPr>
              <w:fldChar w:fldCharType="end"/>
            </w:r>
          </w:p>
        </w:tc>
        <w:tc>
          <w:tcPr>
            <w:tcW w:w="1824" w:type="dxa"/>
            <w:gridSpan w:val="2"/>
            <w:tcBorders>
              <w:top w:val="nil"/>
              <w:left w:val="nil"/>
              <w:bottom w:val="single" w:sz="4" w:space="0" w:color="auto"/>
              <w:right w:val="single" w:sz="4" w:space="0" w:color="auto"/>
            </w:tcBorders>
            <w:shd w:val="clear" w:color="000000" w:fill="FFE699"/>
            <w:noWrap/>
            <w:vAlign w:val="center"/>
            <w:hideMark/>
          </w:tcPr>
          <w:p w14:paraId="46659C50" w14:textId="77777777" w:rsidR="00F273B2" w:rsidRDefault="00F273B2">
            <w:pPr>
              <w:jc w:val="center"/>
              <w:rPr>
                <w:rFonts w:ascii="Arial" w:hAnsi="Arial" w:cs="Arial"/>
                <w:color w:val="000000"/>
                <w:sz w:val="16"/>
                <w:szCs w:val="16"/>
              </w:rPr>
            </w:pPr>
            <w:r>
              <w:rPr>
                <w:rFonts w:ascii="Arial" w:hAnsi="Arial" w:cs="Arial"/>
                <w:color w:val="000000"/>
                <w:sz w:val="16"/>
                <w:szCs w:val="16"/>
              </w:rPr>
              <w:t>EASI 75</w:t>
            </w:r>
          </w:p>
        </w:tc>
        <w:tc>
          <w:tcPr>
            <w:tcW w:w="1672" w:type="dxa"/>
            <w:gridSpan w:val="2"/>
            <w:tcBorders>
              <w:top w:val="nil"/>
              <w:left w:val="nil"/>
              <w:bottom w:val="single" w:sz="4" w:space="0" w:color="auto"/>
              <w:right w:val="single" w:sz="4" w:space="0" w:color="auto"/>
            </w:tcBorders>
            <w:shd w:val="clear" w:color="000000" w:fill="FFFFFF"/>
            <w:noWrap/>
            <w:vAlign w:val="center"/>
            <w:hideMark/>
          </w:tcPr>
          <w:p w14:paraId="432A891F" w14:textId="77777777" w:rsidR="00F273B2" w:rsidRDefault="00F273B2">
            <w:pPr>
              <w:jc w:val="center"/>
              <w:rPr>
                <w:rFonts w:ascii="Arial" w:hAnsi="Arial" w:cs="Arial"/>
                <w:color w:val="000000"/>
                <w:sz w:val="16"/>
                <w:szCs w:val="16"/>
              </w:rPr>
            </w:pPr>
            <w:r>
              <w:rPr>
                <w:rFonts w:ascii="Arial" w:hAnsi="Arial" w:cs="Arial"/>
                <w:color w:val="000000"/>
                <w:sz w:val="16"/>
                <w:szCs w:val="16"/>
              </w:rPr>
              <w:t>38</w:t>
            </w:r>
          </w:p>
        </w:tc>
        <w:tc>
          <w:tcPr>
            <w:tcW w:w="1641" w:type="dxa"/>
            <w:gridSpan w:val="2"/>
            <w:tcBorders>
              <w:top w:val="nil"/>
              <w:left w:val="nil"/>
              <w:bottom w:val="single" w:sz="4" w:space="0" w:color="auto"/>
              <w:right w:val="single" w:sz="4" w:space="0" w:color="auto"/>
            </w:tcBorders>
            <w:shd w:val="clear" w:color="000000" w:fill="FFFFFF"/>
            <w:noWrap/>
            <w:vAlign w:val="center"/>
            <w:hideMark/>
          </w:tcPr>
          <w:p w14:paraId="51DB3EDB" w14:textId="77777777" w:rsidR="00F273B2" w:rsidRDefault="00F273B2">
            <w:pPr>
              <w:jc w:val="center"/>
              <w:rPr>
                <w:rFonts w:ascii="Arial" w:hAnsi="Arial" w:cs="Arial"/>
                <w:color w:val="000000"/>
                <w:sz w:val="16"/>
                <w:szCs w:val="16"/>
              </w:rPr>
            </w:pPr>
            <w:r>
              <w:rPr>
                <w:rFonts w:ascii="Arial" w:hAnsi="Arial" w:cs="Arial"/>
                <w:color w:val="000000"/>
                <w:sz w:val="16"/>
                <w:szCs w:val="16"/>
              </w:rPr>
              <w:t>(31;45)</w:t>
            </w:r>
          </w:p>
        </w:tc>
      </w:tr>
      <w:tr w:rsidR="00F273B2" w14:paraId="6BA780EB" w14:textId="77777777" w:rsidTr="00736CD4">
        <w:trPr>
          <w:trHeight w:val="336"/>
        </w:trPr>
        <w:tc>
          <w:tcPr>
            <w:tcW w:w="1687" w:type="dxa"/>
            <w:vMerge/>
            <w:tcBorders>
              <w:top w:val="single" w:sz="4" w:space="0" w:color="auto"/>
              <w:left w:val="single" w:sz="4" w:space="0" w:color="auto"/>
              <w:bottom w:val="single" w:sz="4" w:space="0" w:color="000000"/>
              <w:right w:val="single" w:sz="4" w:space="0" w:color="auto"/>
            </w:tcBorders>
            <w:vAlign w:val="center"/>
            <w:hideMark/>
          </w:tcPr>
          <w:p w14:paraId="266942F1" w14:textId="77777777" w:rsidR="00F273B2" w:rsidRDefault="00F273B2">
            <w:pPr>
              <w:rPr>
                <w:rFonts w:ascii="Arial" w:hAnsi="Arial" w:cs="Arial"/>
                <w:color w:val="000000"/>
                <w:sz w:val="16"/>
                <w:szCs w:val="16"/>
              </w:rPr>
            </w:pPr>
          </w:p>
        </w:tc>
        <w:tc>
          <w:tcPr>
            <w:tcW w:w="1676" w:type="dxa"/>
            <w:vMerge/>
            <w:tcBorders>
              <w:top w:val="single" w:sz="4" w:space="0" w:color="auto"/>
              <w:left w:val="single" w:sz="4" w:space="0" w:color="auto"/>
              <w:bottom w:val="single" w:sz="4" w:space="0" w:color="000000"/>
              <w:right w:val="single" w:sz="4" w:space="0" w:color="auto"/>
            </w:tcBorders>
            <w:vAlign w:val="center"/>
            <w:hideMark/>
          </w:tcPr>
          <w:p w14:paraId="2F39F1EA"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FFE699"/>
            <w:noWrap/>
            <w:vAlign w:val="center"/>
            <w:hideMark/>
          </w:tcPr>
          <w:p w14:paraId="5D027A18" w14:textId="77777777" w:rsidR="00F273B2" w:rsidRDefault="00F273B2">
            <w:pPr>
              <w:jc w:val="center"/>
              <w:rPr>
                <w:rFonts w:ascii="Arial" w:hAnsi="Arial" w:cs="Arial"/>
                <w:color w:val="000000"/>
                <w:sz w:val="16"/>
                <w:szCs w:val="16"/>
              </w:rPr>
            </w:pPr>
            <w:r>
              <w:rPr>
                <w:rFonts w:ascii="Arial" w:hAnsi="Arial" w:cs="Arial"/>
                <w:color w:val="000000"/>
                <w:sz w:val="16"/>
                <w:szCs w:val="16"/>
              </w:rPr>
              <w:t>IGA 0/1</w:t>
            </w:r>
          </w:p>
        </w:tc>
        <w:tc>
          <w:tcPr>
            <w:tcW w:w="1672" w:type="dxa"/>
            <w:gridSpan w:val="2"/>
            <w:tcBorders>
              <w:top w:val="nil"/>
              <w:left w:val="nil"/>
              <w:bottom w:val="single" w:sz="4" w:space="0" w:color="auto"/>
              <w:right w:val="single" w:sz="4" w:space="0" w:color="auto"/>
            </w:tcBorders>
            <w:shd w:val="clear" w:color="000000" w:fill="FFFFFF"/>
            <w:noWrap/>
            <w:vAlign w:val="center"/>
            <w:hideMark/>
          </w:tcPr>
          <w:p w14:paraId="4312CDA0" w14:textId="77777777" w:rsidR="00F273B2" w:rsidRDefault="00F273B2">
            <w:pPr>
              <w:jc w:val="center"/>
              <w:rPr>
                <w:rFonts w:ascii="Arial" w:hAnsi="Arial" w:cs="Arial"/>
                <w:color w:val="000000"/>
                <w:sz w:val="16"/>
                <w:szCs w:val="16"/>
              </w:rPr>
            </w:pPr>
            <w:r>
              <w:rPr>
                <w:rFonts w:ascii="Arial" w:hAnsi="Arial" w:cs="Arial"/>
                <w:color w:val="000000"/>
                <w:sz w:val="16"/>
                <w:szCs w:val="16"/>
              </w:rPr>
              <w:t>29</w:t>
            </w:r>
          </w:p>
        </w:tc>
        <w:tc>
          <w:tcPr>
            <w:tcW w:w="1641" w:type="dxa"/>
            <w:gridSpan w:val="2"/>
            <w:tcBorders>
              <w:top w:val="nil"/>
              <w:left w:val="nil"/>
              <w:bottom w:val="single" w:sz="4" w:space="0" w:color="auto"/>
              <w:right w:val="single" w:sz="4" w:space="0" w:color="auto"/>
            </w:tcBorders>
            <w:shd w:val="clear" w:color="000000" w:fill="FFFFFF"/>
            <w:noWrap/>
            <w:vAlign w:val="center"/>
            <w:hideMark/>
          </w:tcPr>
          <w:p w14:paraId="436743F9" w14:textId="77777777" w:rsidR="00F273B2" w:rsidRDefault="00F273B2">
            <w:pPr>
              <w:jc w:val="center"/>
              <w:rPr>
                <w:rFonts w:ascii="Arial" w:hAnsi="Arial" w:cs="Arial"/>
                <w:color w:val="000000"/>
                <w:sz w:val="16"/>
                <w:szCs w:val="16"/>
              </w:rPr>
            </w:pPr>
            <w:r>
              <w:rPr>
                <w:rFonts w:ascii="Arial" w:hAnsi="Arial" w:cs="Arial"/>
                <w:color w:val="000000"/>
                <w:sz w:val="16"/>
                <w:szCs w:val="16"/>
              </w:rPr>
              <w:t>(22;35)</w:t>
            </w:r>
          </w:p>
        </w:tc>
      </w:tr>
      <w:tr w:rsidR="00F273B2" w14:paraId="23F17F44" w14:textId="77777777" w:rsidTr="00736CD4">
        <w:trPr>
          <w:trHeight w:val="336"/>
        </w:trPr>
        <w:tc>
          <w:tcPr>
            <w:tcW w:w="1687" w:type="dxa"/>
            <w:vMerge/>
            <w:tcBorders>
              <w:top w:val="single" w:sz="4" w:space="0" w:color="auto"/>
              <w:left w:val="single" w:sz="4" w:space="0" w:color="auto"/>
              <w:bottom w:val="single" w:sz="4" w:space="0" w:color="000000"/>
              <w:right w:val="single" w:sz="4" w:space="0" w:color="auto"/>
            </w:tcBorders>
            <w:vAlign w:val="center"/>
            <w:hideMark/>
          </w:tcPr>
          <w:p w14:paraId="1409B2EE" w14:textId="77777777" w:rsidR="00F273B2" w:rsidRDefault="00F273B2">
            <w:pPr>
              <w:rPr>
                <w:rFonts w:ascii="Arial" w:hAnsi="Arial" w:cs="Arial"/>
                <w:color w:val="000000"/>
                <w:sz w:val="16"/>
                <w:szCs w:val="16"/>
              </w:rPr>
            </w:pPr>
          </w:p>
        </w:tc>
        <w:tc>
          <w:tcPr>
            <w:tcW w:w="1676" w:type="dxa"/>
            <w:vMerge/>
            <w:tcBorders>
              <w:top w:val="single" w:sz="4" w:space="0" w:color="auto"/>
              <w:left w:val="single" w:sz="4" w:space="0" w:color="auto"/>
              <w:bottom w:val="single" w:sz="4" w:space="0" w:color="000000"/>
              <w:right w:val="single" w:sz="4" w:space="0" w:color="auto"/>
            </w:tcBorders>
            <w:vAlign w:val="center"/>
            <w:hideMark/>
          </w:tcPr>
          <w:p w14:paraId="53221C2B"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FFE699"/>
            <w:noWrap/>
            <w:vAlign w:val="center"/>
            <w:hideMark/>
          </w:tcPr>
          <w:p w14:paraId="5E9F70F1" w14:textId="77777777" w:rsidR="00F273B2" w:rsidRDefault="00F273B2">
            <w:pPr>
              <w:jc w:val="center"/>
              <w:rPr>
                <w:rFonts w:ascii="Arial" w:hAnsi="Arial" w:cs="Arial"/>
                <w:color w:val="000000"/>
                <w:sz w:val="16"/>
                <w:szCs w:val="16"/>
              </w:rPr>
            </w:pPr>
            <w:r>
              <w:rPr>
                <w:rFonts w:ascii="Arial" w:hAnsi="Arial" w:cs="Arial"/>
                <w:color w:val="000000"/>
                <w:sz w:val="16"/>
                <w:szCs w:val="16"/>
              </w:rPr>
              <w:t>PP-NRS ≥4</w:t>
            </w:r>
          </w:p>
        </w:tc>
        <w:tc>
          <w:tcPr>
            <w:tcW w:w="1672" w:type="dxa"/>
            <w:gridSpan w:val="2"/>
            <w:tcBorders>
              <w:top w:val="nil"/>
              <w:left w:val="nil"/>
              <w:bottom w:val="single" w:sz="4" w:space="0" w:color="auto"/>
              <w:right w:val="single" w:sz="4" w:space="0" w:color="auto"/>
            </w:tcBorders>
            <w:shd w:val="clear" w:color="000000" w:fill="FFFFFF"/>
            <w:noWrap/>
            <w:vAlign w:val="center"/>
            <w:hideMark/>
          </w:tcPr>
          <w:p w14:paraId="25BCA6CB" w14:textId="77777777" w:rsidR="00F273B2" w:rsidRDefault="00F273B2">
            <w:pPr>
              <w:jc w:val="center"/>
              <w:rPr>
                <w:rFonts w:ascii="Arial" w:hAnsi="Arial" w:cs="Arial"/>
                <w:color w:val="000000"/>
                <w:sz w:val="16"/>
                <w:szCs w:val="16"/>
              </w:rPr>
            </w:pPr>
            <w:r>
              <w:rPr>
                <w:rFonts w:ascii="Arial" w:hAnsi="Arial" w:cs="Arial"/>
                <w:color w:val="000000"/>
                <w:sz w:val="16"/>
                <w:szCs w:val="16"/>
              </w:rPr>
              <w:t>37</w:t>
            </w:r>
          </w:p>
        </w:tc>
        <w:tc>
          <w:tcPr>
            <w:tcW w:w="1641" w:type="dxa"/>
            <w:gridSpan w:val="2"/>
            <w:tcBorders>
              <w:top w:val="nil"/>
              <w:left w:val="nil"/>
              <w:bottom w:val="single" w:sz="4" w:space="0" w:color="auto"/>
              <w:right w:val="single" w:sz="4" w:space="0" w:color="auto"/>
            </w:tcBorders>
            <w:shd w:val="clear" w:color="000000" w:fill="FFFFFF"/>
            <w:noWrap/>
            <w:vAlign w:val="center"/>
            <w:hideMark/>
          </w:tcPr>
          <w:p w14:paraId="51577A09" w14:textId="77777777" w:rsidR="00F273B2" w:rsidRDefault="00F273B2">
            <w:pPr>
              <w:jc w:val="center"/>
              <w:rPr>
                <w:rFonts w:ascii="Arial" w:hAnsi="Arial" w:cs="Arial"/>
                <w:color w:val="000000"/>
                <w:sz w:val="16"/>
                <w:szCs w:val="16"/>
              </w:rPr>
            </w:pPr>
            <w:r>
              <w:rPr>
                <w:rFonts w:ascii="Arial" w:hAnsi="Arial" w:cs="Arial"/>
                <w:color w:val="000000"/>
                <w:sz w:val="16"/>
                <w:szCs w:val="16"/>
              </w:rPr>
              <w:t>(30;44)</w:t>
            </w:r>
          </w:p>
        </w:tc>
      </w:tr>
      <w:tr w:rsidR="00F273B2" w14:paraId="203A3871" w14:textId="77777777" w:rsidTr="00736CD4">
        <w:trPr>
          <w:trHeight w:val="336"/>
        </w:trPr>
        <w:tc>
          <w:tcPr>
            <w:tcW w:w="1687"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02AC1EEF" w14:textId="77777777" w:rsidR="00F273B2" w:rsidRDefault="00F273B2">
            <w:pPr>
              <w:jc w:val="center"/>
              <w:rPr>
                <w:rFonts w:ascii="Arial" w:hAnsi="Arial" w:cs="Arial"/>
                <w:color w:val="000000"/>
                <w:sz w:val="16"/>
                <w:szCs w:val="16"/>
              </w:rPr>
            </w:pPr>
            <w:r>
              <w:rPr>
                <w:rFonts w:ascii="Arial" w:hAnsi="Arial" w:cs="Arial"/>
                <w:color w:val="000000"/>
                <w:sz w:val="16"/>
                <w:szCs w:val="16"/>
              </w:rPr>
              <w:t xml:space="preserve">Upadacitinib </w:t>
            </w:r>
            <w:r>
              <w:rPr>
                <w:rFonts w:ascii="Arial" w:hAnsi="Arial" w:cs="Arial"/>
                <w:b/>
                <w:bCs/>
                <w:color w:val="000000"/>
                <w:sz w:val="16"/>
                <w:szCs w:val="16"/>
              </w:rPr>
              <w:t>30 mg</w:t>
            </w:r>
          </w:p>
        </w:tc>
        <w:tc>
          <w:tcPr>
            <w:tcW w:w="1676"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202B7864" w14:textId="77777777" w:rsidR="00F273B2" w:rsidRDefault="00F273B2">
            <w:pPr>
              <w:jc w:val="center"/>
              <w:rPr>
                <w:rFonts w:ascii="Arial" w:hAnsi="Arial" w:cs="Arial"/>
                <w:color w:val="000000"/>
                <w:sz w:val="16"/>
                <w:szCs w:val="16"/>
              </w:rPr>
            </w:pPr>
            <w:r>
              <w:rPr>
                <w:rFonts w:ascii="Arial" w:hAnsi="Arial" w:cs="Arial"/>
                <w:color w:val="000000"/>
                <w:sz w:val="16"/>
                <w:szCs w:val="16"/>
              </w:rPr>
              <w:t xml:space="preserve">AD-Up </w:t>
            </w:r>
          </w:p>
        </w:tc>
        <w:tc>
          <w:tcPr>
            <w:tcW w:w="1824" w:type="dxa"/>
            <w:gridSpan w:val="2"/>
            <w:tcBorders>
              <w:top w:val="nil"/>
              <w:left w:val="nil"/>
              <w:bottom w:val="single" w:sz="4" w:space="0" w:color="auto"/>
              <w:right w:val="single" w:sz="4" w:space="0" w:color="auto"/>
            </w:tcBorders>
            <w:shd w:val="clear" w:color="000000" w:fill="FFE699"/>
            <w:noWrap/>
            <w:vAlign w:val="center"/>
            <w:hideMark/>
          </w:tcPr>
          <w:p w14:paraId="3EB64555" w14:textId="77777777" w:rsidR="00F273B2" w:rsidRDefault="00F273B2">
            <w:pPr>
              <w:jc w:val="center"/>
              <w:rPr>
                <w:rFonts w:ascii="Arial" w:hAnsi="Arial" w:cs="Arial"/>
                <w:color w:val="000000"/>
                <w:sz w:val="16"/>
                <w:szCs w:val="16"/>
              </w:rPr>
            </w:pPr>
            <w:r>
              <w:rPr>
                <w:rFonts w:ascii="Arial" w:hAnsi="Arial" w:cs="Arial"/>
                <w:color w:val="000000"/>
                <w:sz w:val="16"/>
                <w:szCs w:val="16"/>
              </w:rPr>
              <w:t>EASI 75</w:t>
            </w:r>
          </w:p>
        </w:tc>
        <w:tc>
          <w:tcPr>
            <w:tcW w:w="1672" w:type="dxa"/>
            <w:gridSpan w:val="2"/>
            <w:tcBorders>
              <w:top w:val="nil"/>
              <w:left w:val="nil"/>
              <w:bottom w:val="single" w:sz="4" w:space="0" w:color="auto"/>
              <w:right w:val="single" w:sz="4" w:space="0" w:color="auto"/>
            </w:tcBorders>
            <w:shd w:val="clear" w:color="000000" w:fill="FFFFFF"/>
            <w:noWrap/>
            <w:vAlign w:val="center"/>
            <w:hideMark/>
          </w:tcPr>
          <w:p w14:paraId="718EB6C7" w14:textId="77777777" w:rsidR="00F273B2" w:rsidRDefault="00F273B2">
            <w:pPr>
              <w:jc w:val="center"/>
              <w:rPr>
                <w:rFonts w:ascii="Arial" w:hAnsi="Arial" w:cs="Arial"/>
                <w:color w:val="000000"/>
                <w:sz w:val="16"/>
                <w:szCs w:val="16"/>
              </w:rPr>
            </w:pPr>
            <w:r>
              <w:rPr>
                <w:rFonts w:ascii="Arial" w:hAnsi="Arial" w:cs="Arial"/>
                <w:color w:val="000000"/>
                <w:sz w:val="16"/>
                <w:szCs w:val="16"/>
              </w:rPr>
              <w:t>51</w:t>
            </w:r>
          </w:p>
        </w:tc>
        <w:tc>
          <w:tcPr>
            <w:tcW w:w="1641" w:type="dxa"/>
            <w:gridSpan w:val="2"/>
            <w:tcBorders>
              <w:top w:val="nil"/>
              <w:left w:val="nil"/>
              <w:bottom w:val="single" w:sz="4" w:space="0" w:color="auto"/>
              <w:right w:val="single" w:sz="4" w:space="0" w:color="auto"/>
            </w:tcBorders>
            <w:shd w:val="clear" w:color="000000" w:fill="FFFFFF"/>
            <w:noWrap/>
            <w:vAlign w:val="center"/>
            <w:hideMark/>
          </w:tcPr>
          <w:p w14:paraId="0B06D586" w14:textId="77777777" w:rsidR="00F273B2" w:rsidRDefault="00F273B2">
            <w:pPr>
              <w:jc w:val="center"/>
              <w:rPr>
                <w:rFonts w:ascii="Arial" w:hAnsi="Arial" w:cs="Arial"/>
                <w:color w:val="000000"/>
                <w:sz w:val="16"/>
                <w:szCs w:val="16"/>
              </w:rPr>
            </w:pPr>
            <w:r>
              <w:rPr>
                <w:rFonts w:ascii="Arial" w:hAnsi="Arial" w:cs="Arial"/>
                <w:color w:val="000000"/>
                <w:sz w:val="16"/>
                <w:szCs w:val="16"/>
              </w:rPr>
              <w:t>(44;57)</w:t>
            </w:r>
          </w:p>
        </w:tc>
      </w:tr>
      <w:tr w:rsidR="00F273B2" w14:paraId="5AD566C1" w14:textId="77777777" w:rsidTr="00736CD4">
        <w:trPr>
          <w:trHeight w:val="336"/>
        </w:trPr>
        <w:tc>
          <w:tcPr>
            <w:tcW w:w="1687" w:type="dxa"/>
            <w:vMerge/>
            <w:tcBorders>
              <w:top w:val="nil"/>
              <w:left w:val="single" w:sz="4" w:space="0" w:color="auto"/>
              <w:bottom w:val="single" w:sz="4" w:space="0" w:color="000000"/>
              <w:right w:val="single" w:sz="4" w:space="0" w:color="auto"/>
            </w:tcBorders>
            <w:vAlign w:val="center"/>
            <w:hideMark/>
          </w:tcPr>
          <w:p w14:paraId="74941AD1" w14:textId="77777777" w:rsidR="00F273B2" w:rsidRDefault="00F273B2">
            <w:pPr>
              <w:rPr>
                <w:rFonts w:ascii="Arial" w:hAnsi="Arial" w:cs="Arial"/>
                <w:color w:val="000000"/>
                <w:sz w:val="16"/>
                <w:szCs w:val="16"/>
              </w:rPr>
            </w:pPr>
          </w:p>
        </w:tc>
        <w:tc>
          <w:tcPr>
            <w:tcW w:w="1676" w:type="dxa"/>
            <w:vMerge/>
            <w:tcBorders>
              <w:top w:val="nil"/>
              <w:left w:val="single" w:sz="4" w:space="0" w:color="auto"/>
              <w:bottom w:val="single" w:sz="4" w:space="0" w:color="000000"/>
              <w:right w:val="single" w:sz="4" w:space="0" w:color="auto"/>
            </w:tcBorders>
            <w:vAlign w:val="center"/>
            <w:hideMark/>
          </w:tcPr>
          <w:p w14:paraId="70D5C6F9"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FFE699"/>
            <w:noWrap/>
            <w:vAlign w:val="center"/>
            <w:hideMark/>
          </w:tcPr>
          <w:p w14:paraId="543F32D2" w14:textId="77777777" w:rsidR="00F273B2" w:rsidRDefault="00F273B2">
            <w:pPr>
              <w:jc w:val="center"/>
              <w:rPr>
                <w:rFonts w:ascii="Arial" w:hAnsi="Arial" w:cs="Arial"/>
                <w:color w:val="000000"/>
                <w:sz w:val="16"/>
                <w:szCs w:val="16"/>
              </w:rPr>
            </w:pPr>
            <w:r>
              <w:rPr>
                <w:rFonts w:ascii="Arial" w:hAnsi="Arial" w:cs="Arial"/>
                <w:color w:val="000000"/>
                <w:sz w:val="16"/>
                <w:szCs w:val="16"/>
              </w:rPr>
              <w:t>IGA 0/1</w:t>
            </w:r>
          </w:p>
        </w:tc>
        <w:tc>
          <w:tcPr>
            <w:tcW w:w="1672" w:type="dxa"/>
            <w:gridSpan w:val="2"/>
            <w:tcBorders>
              <w:top w:val="nil"/>
              <w:left w:val="nil"/>
              <w:bottom w:val="single" w:sz="4" w:space="0" w:color="auto"/>
              <w:right w:val="single" w:sz="4" w:space="0" w:color="auto"/>
            </w:tcBorders>
            <w:shd w:val="clear" w:color="000000" w:fill="FFFFFF"/>
            <w:noWrap/>
            <w:vAlign w:val="center"/>
            <w:hideMark/>
          </w:tcPr>
          <w:p w14:paraId="178D7F94" w14:textId="77777777" w:rsidR="00F273B2" w:rsidRDefault="00F273B2">
            <w:pPr>
              <w:jc w:val="center"/>
              <w:rPr>
                <w:rFonts w:ascii="Arial" w:hAnsi="Arial" w:cs="Arial"/>
                <w:color w:val="000000"/>
                <w:sz w:val="16"/>
                <w:szCs w:val="16"/>
              </w:rPr>
            </w:pPr>
            <w:r>
              <w:rPr>
                <w:rFonts w:ascii="Arial" w:hAnsi="Arial" w:cs="Arial"/>
                <w:color w:val="000000"/>
                <w:sz w:val="16"/>
                <w:szCs w:val="16"/>
              </w:rPr>
              <w:t>48</w:t>
            </w:r>
          </w:p>
        </w:tc>
        <w:tc>
          <w:tcPr>
            <w:tcW w:w="1641" w:type="dxa"/>
            <w:gridSpan w:val="2"/>
            <w:tcBorders>
              <w:top w:val="nil"/>
              <w:left w:val="nil"/>
              <w:bottom w:val="single" w:sz="4" w:space="0" w:color="auto"/>
              <w:right w:val="single" w:sz="4" w:space="0" w:color="auto"/>
            </w:tcBorders>
            <w:shd w:val="clear" w:color="000000" w:fill="FFFFFF"/>
            <w:noWrap/>
            <w:vAlign w:val="center"/>
            <w:hideMark/>
          </w:tcPr>
          <w:p w14:paraId="2A6409B6" w14:textId="77777777" w:rsidR="00F273B2" w:rsidRDefault="00F273B2">
            <w:pPr>
              <w:jc w:val="center"/>
              <w:rPr>
                <w:rFonts w:ascii="Arial" w:hAnsi="Arial" w:cs="Arial"/>
                <w:color w:val="000000"/>
                <w:sz w:val="16"/>
                <w:szCs w:val="16"/>
              </w:rPr>
            </w:pPr>
            <w:r>
              <w:rPr>
                <w:rFonts w:ascii="Arial" w:hAnsi="Arial" w:cs="Arial"/>
                <w:color w:val="000000"/>
                <w:sz w:val="16"/>
                <w:szCs w:val="16"/>
              </w:rPr>
              <w:t>(41;54)</w:t>
            </w:r>
          </w:p>
        </w:tc>
      </w:tr>
      <w:tr w:rsidR="00F273B2" w14:paraId="25EBF7E1" w14:textId="77777777" w:rsidTr="00736CD4">
        <w:trPr>
          <w:trHeight w:val="336"/>
        </w:trPr>
        <w:tc>
          <w:tcPr>
            <w:tcW w:w="1687" w:type="dxa"/>
            <w:vMerge/>
            <w:tcBorders>
              <w:top w:val="nil"/>
              <w:left w:val="single" w:sz="4" w:space="0" w:color="auto"/>
              <w:bottom w:val="single" w:sz="4" w:space="0" w:color="000000"/>
              <w:right w:val="single" w:sz="4" w:space="0" w:color="auto"/>
            </w:tcBorders>
            <w:vAlign w:val="center"/>
            <w:hideMark/>
          </w:tcPr>
          <w:p w14:paraId="47D3D992" w14:textId="77777777" w:rsidR="00F273B2" w:rsidRDefault="00F273B2">
            <w:pPr>
              <w:rPr>
                <w:rFonts w:ascii="Arial" w:hAnsi="Arial" w:cs="Arial"/>
                <w:color w:val="000000"/>
                <w:sz w:val="16"/>
                <w:szCs w:val="16"/>
              </w:rPr>
            </w:pPr>
          </w:p>
        </w:tc>
        <w:tc>
          <w:tcPr>
            <w:tcW w:w="1676" w:type="dxa"/>
            <w:vMerge/>
            <w:tcBorders>
              <w:top w:val="nil"/>
              <w:left w:val="single" w:sz="4" w:space="0" w:color="auto"/>
              <w:bottom w:val="single" w:sz="4" w:space="0" w:color="000000"/>
              <w:right w:val="single" w:sz="4" w:space="0" w:color="auto"/>
            </w:tcBorders>
            <w:vAlign w:val="center"/>
            <w:hideMark/>
          </w:tcPr>
          <w:p w14:paraId="254E9F9D"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FFE699"/>
            <w:noWrap/>
            <w:vAlign w:val="center"/>
            <w:hideMark/>
          </w:tcPr>
          <w:p w14:paraId="544E2140" w14:textId="77777777" w:rsidR="00F273B2" w:rsidRDefault="00F273B2">
            <w:pPr>
              <w:jc w:val="center"/>
              <w:rPr>
                <w:rFonts w:ascii="Arial" w:hAnsi="Arial" w:cs="Arial"/>
                <w:color w:val="000000"/>
                <w:sz w:val="16"/>
                <w:szCs w:val="16"/>
              </w:rPr>
            </w:pPr>
            <w:r>
              <w:rPr>
                <w:rFonts w:ascii="Arial" w:hAnsi="Arial" w:cs="Arial"/>
                <w:color w:val="000000"/>
                <w:sz w:val="16"/>
                <w:szCs w:val="16"/>
              </w:rPr>
              <w:t>PP-NRS ≥4</w:t>
            </w:r>
          </w:p>
        </w:tc>
        <w:tc>
          <w:tcPr>
            <w:tcW w:w="1672" w:type="dxa"/>
            <w:gridSpan w:val="2"/>
            <w:tcBorders>
              <w:top w:val="nil"/>
              <w:left w:val="nil"/>
              <w:bottom w:val="single" w:sz="4" w:space="0" w:color="auto"/>
              <w:right w:val="single" w:sz="4" w:space="0" w:color="auto"/>
            </w:tcBorders>
            <w:shd w:val="clear" w:color="000000" w:fill="FFFFFF"/>
            <w:noWrap/>
            <w:vAlign w:val="center"/>
            <w:hideMark/>
          </w:tcPr>
          <w:p w14:paraId="545E7E93" w14:textId="77777777" w:rsidR="00F273B2" w:rsidRDefault="00F273B2">
            <w:pPr>
              <w:jc w:val="center"/>
              <w:rPr>
                <w:rFonts w:ascii="Arial" w:hAnsi="Arial" w:cs="Arial"/>
                <w:color w:val="000000"/>
                <w:sz w:val="16"/>
                <w:szCs w:val="16"/>
              </w:rPr>
            </w:pPr>
            <w:r>
              <w:rPr>
                <w:rFonts w:ascii="Arial" w:hAnsi="Arial" w:cs="Arial"/>
                <w:color w:val="000000"/>
                <w:sz w:val="16"/>
                <w:szCs w:val="16"/>
              </w:rPr>
              <w:t>49</w:t>
            </w:r>
          </w:p>
        </w:tc>
        <w:tc>
          <w:tcPr>
            <w:tcW w:w="1641" w:type="dxa"/>
            <w:gridSpan w:val="2"/>
            <w:tcBorders>
              <w:top w:val="nil"/>
              <w:left w:val="nil"/>
              <w:bottom w:val="single" w:sz="4" w:space="0" w:color="auto"/>
              <w:right w:val="single" w:sz="4" w:space="0" w:color="auto"/>
            </w:tcBorders>
            <w:shd w:val="clear" w:color="000000" w:fill="FFFFFF"/>
            <w:noWrap/>
            <w:vAlign w:val="center"/>
            <w:hideMark/>
          </w:tcPr>
          <w:p w14:paraId="482A9D93" w14:textId="77777777" w:rsidR="00F273B2" w:rsidRDefault="00F273B2">
            <w:pPr>
              <w:jc w:val="center"/>
              <w:rPr>
                <w:rFonts w:ascii="Arial" w:hAnsi="Arial" w:cs="Arial"/>
                <w:color w:val="000000"/>
                <w:sz w:val="16"/>
                <w:szCs w:val="16"/>
              </w:rPr>
            </w:pPr>
            <w:r>
              <w:rPr>
                <w:rFonts w:ascii="Arial" w:hAnsi="Arial" w:cs="Arial"/>
                <w:color w:val="000000"/>
                <w:sz w:val="16"/>
                <w:szCs w:val="16"/>
              </w:rPr>
              <w:t>(42;56)</w:t>
            </w:r>
          </w:p>
        </w:tc>
      </w:tr>
      <w:tr w:rsidR="00F273B2" w14:paraId="2925E46A" w14:textId="77777777" w:rsidTr="00736CD4">
        <w:trPr>
          <w:trHeight w:val="336"/>
        </w:trPr>
        <w:tc>
          <w:tcPr>
            <w:tcW w:w="168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689146A8" w14:textId="77777777" w:rsidR="00F273B2" w:rsidRDefault="00F273B2">
            <w:pPr>
              <w:jc w:val="center"/>
              <w:rPr>
                <w:rFonts w:ascii="Arial" w:hAnsi="Arial" w:cs="Arial"/>
                <w:color w:val="000000"/>
                <w:sz w:val="16"/>
                <w:szCs w:val="16"/>
              </w:rPr>
            </w:pPr>
            <w:r>
              <w:rPr>
                <w:rFonts w:ascii="Arial" w:hAnsi="Arial" w:cs="Arial"/>
                <w:color w:val="000000"/>
                <w:sz w:val="16"/>
                <w:szCs w:val="16"/>
              </w:rPr>
              <w:t>Barictinib</w:t>
            </w:r>
            <w:r>
              <w:rPr>
                <w:rFonts w:ascii="Arial" w:hAnsi="Arial" w:cs="Arial"/>
                <w:b/>
                <w:bCs/>
                <w:color w:val="000000"/>
                <w:sz w:val="16"/>
                <w:szCs w:val="16"/>
              </w:rPr>
              <w:t xml:space="preserve"> 2 mg</w:t>
            </w:r>
          </w:p>
        </w:tc>
        <w:tc>
          <w:tcPr>
            <w:tcW w:w="1676" w:type="dxa"/>
            <w:vMerge w:val="restart"/>
            <w:tcBorders>
              <w:top w:val="nil"/>
              <w:left w:val="single" w:sz="4" w:space="0" w:color="auto"/>
              <w:bottom w:val="single" w:sz="4" w:space="0" w:color="auto"/>
              <w:right w:val="single" w:sz="4" w:space="0" w:color="auto"/>
            </w:tcBorders>
            <w:shd w:val="clear" w:color="000000" w:fill="CCECFF"/>
            <w:vAlign w:val="center"/>
            <w:hideMark/>
          </w:tcPr>
          <w:p w14:paraId="285085A8" w14:textId="77777777" w:rsidR="00F273B2" w:rsidRDefault="00F273B2">
            <w:pPr>
              <w:jc w:val="center"/>
              <w:rPr>
                <w:rFonts w:ascii="Arial" w:hAnsi="Arial" w:cs="Arial"/>
                <w:color w:val="000000"/>
                <w:sz w:val="16"/>
                <w:szCs w:val="16"/>
              </w:rPr>
            </w:pPr>
            <w:r>
              <w:rPr>
                <w:rFonts w:ascii="Arial" w:hAnsi="Arial" w:cs="Arial"/>
                <w:color w:val="000000"/>
                <w:sz w:val="16"/>
                <w:szCs w:val="16"/>
              </w:rPr>
              <w:t xml:space="preserve">JAIY </w:t>
            </w:r>
            <w:r w:rsidR="00646A51">
              <w:rPr>
                <w:rFonts w:ascii="Arial" w:hAnsi="Arial" w:cs="Arial"/>
                <w:color w:val="000000"/>
                <w:sz w:val="16"/>
                <w:szCs w:val="16"/>
              </w:rPr>
              <w:fldChar w:fldCharType="begin"/>
            </w:r>
            <w:r w:rsidR="00511A83">
              <w:rPr>
                <w:rFonts w:ascii="Arial" w:hAnsi="Arial" w:cs="Arial"/>
                <w:color w:val="000000"/>
                <w:sz w:val="16"/>
                <w:szCs w:val="16"/>
              </w:rPr>
              <w:instrText xml:space="preserve"> ADDIN ZOTERO_ITEM CSL_CITATION {"citationID":"8lAPVXSR","properties":{"formattedCitation":"(25)","plainCitation":"(25)","noteIndex":0},"citationItems":[{"id":54,"uris":["http://zotero.org/users/18702181/items/577XWNIQ"],"itemData":{"id":54,"type":"article-journal","abstract":"This randomized clinical trial assesses the efficacy and safety of 4 mg and 2 mg of baricitinib in combination with background topical corticosteroid therapy in adults with moderate to severe AD who previously had an inadequate response to topical corticosteroid therapy.","container-title":"JAMA Dermatology","DOI":"10.1001/jamadermatol.2020.3260","ISSN":"2168-6068","issue":"12","journalAbbreviation":"JAMA Dermatol","page":"1-11","PMID":"33001140","PMCID":"PMC7527941","source":"PubMed Central","title":"Efficacy and Safety of Baricitinib Combined With Topical Corticosteroids for Treatment of Moderate to Severe Atopic Dermatitis","volume":"156","author":[{"family":"Reich","given":"Kristian"},{"family":"Kabashima","given":"Kenji"},{"family":"Peris","given":"Ketty"},{"family":"Silverberg","given":"Jonathan I."},{"family":"Eichenfield","given":"Lawrence F."},{"family":"Bieber","given":"Thomas"},{"family":"Kaszuba","given":"Aleksandra"},{"family":"Kolodsick","given":"Jill"},{"family":"Yang","given":"Fan E."},{"family":"Gamalo","given":"Margaret"},{"family":"Brinker","given":"Dennis R."},{"family":"DeLozier","given":"Amy M."},{"family":"Janes","given":"Jonathan M."},{"family":"Nunes","given":"Fabio P."},{"family":"Thyssen","given":"Jacob P."},{"family":"Simpson","given":"Eric L."}],"issued":{"date-parts":[["2020",12]]}}}],"schema":"https://github.com/citation-style-language/schema/raw/master/csl-citation.json"} </w:instrText>
            </w:r>
            <w:r w:rsidR="00646A51">
              <w:rPr>
                <w:rFonts w:ascii="Arial" w:hAnsi="Arial" w:cs="Arial"/>
                <w:color w:val="000000"/>
                <w:sz w:val="16"/>
                <w:szCs w:val="16"/>
              </w:rPr>
              <w:fldChar w:fldCharType="separate"/>
            </w:r>
            <w:r w:rsidR="00511A83" w:rsidRPr="00511A83">
              <w:rPr>
                <w:rFonts w:ascii="Arial" w:hAnsi="Arial" w:cs="Arial"/>
                <w:sz w:val="16"/>
              </w:rPr>
              <w:t>(25)</w:t>
            </w:r>
            <w:r w:rsidR="00646A51">
              <w:rPr>
                <w:rFonts w:ascii="Arial" w:hAnsi="Arial" w:cs="Arial"/>
                <w:color w:val="000000"/>
                <w:sz w:val="16"/>
                <w:szCs w:val="16"/>
              </w:rPr>
              <w:fldChar w:fldCharType="end"/>
            </w:r>
          </w:p>
        </w:tc>
        <w:tc>
          <w:tcPr>
            <w:tcW w:w="1824" w:type="dxa"/>
            <w:gridSpan w:val="2"/>
            <w:tcBorders>
              <w:top w:val="nil"/>
              <w:left w:val="nil"/>
              <w:bottom w:val="single" w:sz="4" w:space="0" w:color="auto"/>
              <w:right w:val="single" w:sz="4" w:space="0" w:color="auto"/>
            </w:tcBorders>
            <w:shd w:val="clear" w:color="000000" w:fill="CCECFF"/>
            <w:noWrap/>
            <w:vAlign w:val="center"/>
            <w:hideMark/>
          </w:tcPr>
          <w:p w14:paraId="342443B7" w14:textId="77777777" w:rsidR="00F273B2" w:rsidRDefault="00F273B2">
            <w:pPr>
              <w:jc w:val="center"/>
              <w:rPr>
                <w:rFonts w:ascii="Arial" w:hAnsi="Arial" w:cs="Arial"/>
                <w:color w:val="000000"/>
                <w:sz w:val="16"/>
                <w:szCs w:val="16"/>
              </w:rPr>
            </w:pPr>
            <w:r>
              <w:rPr>
                <w:rFonts w:ascii="Arial" w:hAnsi="Arial" w:cs="Arial"/>
                <w:color w:val="000000"/>
                <w:sz w:val="16"/>
                <w:szCs w:val="16"/>
              </w:rPr>
              <w:t>EASI 75</w:t>
            </w:r>
          </w:p>
        </w:tc>
        <w:tc>
          <w:tcPr>
            <w:tcW w:w="1672" w:type="dxa"/>
            <w:gridSpan w:val="2"/>
            <w:tcBorders>
              <w:top w:val="nil"/>
              <w:left w:val="nil"/>
              <w:bottom w:val="single" w:sz="4" w:space="0" w:color="auto"/>
              <w:right w:val="single" w:sz="4" w:space="0" w:color="auto"/>
            </w:tcBorders>
            <w:noWrap/>
            <w:vAlign w:val="center"/>
            <w:hideMark/>
          </w:tcPr>
          <w:p w14:paraId="6E469A78" w14:textId="77777777" w:rsidR="00F273B2" w:rsidRDefault="00F273B2">
            <w:pPr>
              <w:jc w:val="center"/>
              <w:rPr>
                <w:rFonts w:ascii="Arial" w:hAnsi="Arial" w:cs="Arial"/>
                <w:color w:val="000000"/>
                <w:sz w:val="16"/>
                <w:szCs w:val="16"/>
              </w:rPr>
            </w:pPr>
            <w:r>
              <w:rPr>
                <w:rFonts w:ascii="Arial" w:hAnsi="Arial" w:cs="Arial"/>
                <w:color w:val="000000"/>
                <w:sz w:val="16"/>
                <w:szCs w:val="16"/>
              </w:rPr>
              <w:t>20</w:t>
            </w:r>
          </w:p>
        </w:tc>
        <w:tc>
          <w:tcPr>
            <w:tcW w:w="1641" w:type="dxa"/>
            <w:gridSpan w:val="2"/>
            <w:tcBorders>
              <w:top w:val="nil"/>
              <w:left w:val="nil"/>
              <w:bottom w:val="single" w:sz="4" w:space="0" w:color="auto"/>
              <w:right w:val="single" w:sz="4" w:space="0" w:color="auto"/>
            </w:tcBorders>
            <w:noWrap/>
            <w:vAlign w:val="center"/>
            <w:hideMark/>
          </w:tcPr>
          <w:p w14:paraId="25A0E961" w14:textId="77777777" w:rsidR="00F273B2" w:rsidRDefault="00F273B2">
            <w:pPr>
              <w:jc w:val="center"/>
              <w:rPr>
                <w:rFonts w:ascii="Arial" w:hAnsi="Arial" w:cs="Arial"/>
                <w:color w:val="000000"/>
                <w:sz w:val="16"/>
                <w:szCs w:val="16"/>
              </w:rPr>
            </w:pPr>
            <w:r>
              <w:rPr>
                <w:rFonts w:ascii="Arial" w:hAnsi="Arial" w:cs="Arial"/>
                <w:color w:val="000000"/>
                <w:sz w:val="16"/>
                <w:szCs w:val="16"/>
              </w:rPr>
              <w:t>(8;32)</w:t>
            </w:r>
          </w:p>
        </w:tc>
      </w:tr>
      <w:tr w:rsidR="00F273B2" w14:paraId="5EE8C8AD" w14:textId="77777777" w:rsidTr="00736CD4">
        <w:trPr>
          <w:trHeight w:val="336"/>
        </w:trPr>
        <w:tc>
          <w:tcPr>
            <w:tcW w:w="1687" w:type="dxa"/>
            <w:vMerge/>
            <w:tcBorders>
              <w:top w:val="nil"/>
              <w:left w:val="single" w:sz="4" w:space="0" w:color="auto"/>
              <w:bottom w:val="single" w:sz="4" w:space="0" w:color="000000"/>
              <w:right w:val="single" w:sz="4" w:space="0" w:color="auto"/>
            </w:tcBorders>
            <w:vAlign w:val="center"/>
            <w:hideMark/>
          </w:tcPr>
          <w:p w14:paraId="2DB8767F" w14:textId="77777777" w:rsidR="00F273B2" w:rsidRDefault="00F273B2">
            <w:pPr>
              <w:rPr>
                <w:rFonts w:ascii="Arial" w:hAnsi="Arial" w:cs="Arial"/>
                <w:color w:val="000000"/>
                <w:sz w:val="16"/>
                <w:szCs w:val="16"/>
              </w:rPr>
            </w:pPr>
          </w:p>
        </w:tc>
        <w:tc>
          <w:tcPr>
            <w:tcW w:w="1676" w:type="dxa"/>
            <w:vMerge/>
            <w:tcBorders>
              <w:top w:val="nil"/>
              <w:left w:val="single" w:sz="4" w:space="0" w:color="auto"/>
              <w:bottom w:val="single" w:sz="4" w:space="0" w:color="auto"/>
              <w:right w:val="single" w:sz="4" w:space="0" w:color="auto"/>
            </w:tcBorders>
            <w:vAlign w:val="center"/>
            <w:hideMark/>
          </w:tcPr>
          <w:p w14:paraId="18A6C4A0"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CCECFF"/>
            <w:noWrap/>
            <w:vAlign w:val="center"/>
            <w:hideMark/>
          </w:tcPr>
          <w:p w14:paraId="50D1E379" w14:textId="77777777" w:rsidR="00F273B2" w:rsidRDefault="00F273B2">
            <w:pPr>
              <w:jc w:val="center"/>
              <w:rPr>
                <w:rFonts w:ascii="Arial" w:hAnsi="Arial" w:cs="Arial"/>
                <w:color w:val="000000"/>
                <w:sz w:val="16"/>
                <w:szCs w:val="16"/>
              </w:rPr>
            </w:pPr>
            <w:r>
              <w:rPr>
                <w:rFonts w:ascii="Arial" w:hAnsi="Arial" w:cs="Arial"/>
                <w:color w:val="000000"/>
                <w:sz w:val="16"/>
                <w:szCs w:val="16"/>
              </w:rPr>
              <w:t>IGA 0/1</w:t>
            </w:r>
          </w:p>
        </w:tc>
        <w:tc>
          <w:tcPr>
            <w:tcW w:w="1672" w:type="dxa"/>
            <w:gridSpan w:val="2"/>
            <w:tcBorders>
              <w:top w:val="nil"/>
              <w:left w:val="nil"/>
              <w:bottom w:val="single" w:sz="4" w:space="0" w:color="auto"/>
              <w:right w:val="single" w:sz="4" w:space="0" w:color="auto"/>
            </w:tcBorders>
            <w:noWrap/>
            <w:vAlign w:val="center"/>
            <w:hideMark/>
          </w:tcPr>
          <w:p w14:paraId="1F107F63" w14:textId="77777777" w:rsidR="00F273B2" w:rsidRDefault="00F273B2">
            <w:pPr>
              <w:jc w:val="center"/>
              <w:rPr>
                <w:rFonts w:ascii="Arial" w:hAnsi="Arial" w:cs="Arial"/>
                <w:color w:val="000000"/>
                <w:sz w:val="16"/>
                <w:szCs w:val="16"/>
              </w:rPr>
            </w:pPr>
            <w:r>
              <w:rPr>
                <w:rFonts w:ascii="Arial" w:hAnsi="Arial" w:cs="Arial"/>
                <w:color w:val="000000"/>
                <w:sz w:val="16"/>
                <w:szCs w:val="16"/>
              </w:rPr>
              <w:t>9</w:t>
            </w:r>
          </w:p>
        </w:tc>
        <w:tc>
          <w:tcPr>
            <w:tcW w:w="1641" w:type="dxa"/>
            <w:gridSpan w:val="2"/>
            <w:tcBorders>
              <w:top w:val="nil"/>
              <w:left w:val="nil"/>
              <w:bottom w:val="single" w:sz="4" w:space="0" w:color="auto"/>
              <w:right w:val="single" w:sz="4" w:space="0" w:color="auto"/>
            </w:tcBorders>
            <w:noWrap/>
            <w:vAlign w:val="center"/>
            <w:hideMark/>
          </w:tcPr>
          <w:p w14:paraId="56F3B80E" w14:textId="77777777" w:rsidR="00F273B2" w:rsidRDefault="00F273B2">
            <w:pPr>
              <w:jc w:val="center"/>
              <w:rPr>
                <w:rFonts w:ascii="Arial" w:hAnsi="Arial" w:cs="Arial"/>
                <w:color w:val="000000"/>
                <w:sz w:val="16"/>
                <w:szCs w:val="16"/>
              </w:rPr>
            </w:pPr>
            <w:r>
              <w:rPr>
                <w:rFonts w:ascii="Arial" w:hAnsi="Arial" w:cs="Arial"/>
                <w:color w:val="000000"/>
                <w:sz w:val="16"/>
                <w:szCs w:val="16"/>
              </w:rPr>
              <w:t>(-1;20)</w:t>
            </w:r>
          </w:p>
        </w:tc>
      </w:tr>
      <w:tr w:rsidR="00F273B2" w14:paraId="7221E4C1" w14:textId="77777777" w:rsidTr="00736CD4">
        <w:trPr>
          <w:trHeight w:val="336"/>
        </w:trPr>
        <w:tc>
          <w:tcPr>
            <w:tcW w:w="1687" w:type="dxa"/>
            <w:vMerge/>
            <w:tcBorders>
              <w:top w:val="nil"/>
              <w:left w:val="single" w:sz="4" w:space="0" w:color="auto"/>
              <w:bottom w:val="single" w:sz="4" w:space="0" w:color="000000"/>
              <w:right w:val="single" w:sz="4" w:space="0" w:color="auto"/>
            </w:tcBorders>
            <w:vAlign w:val="center"/>
            <w:hideMark/>
          </w:tcPr>
          <w:p w14:paraId="23677BA7" w14:textId="77777777" w:rsidR="00F273B2" w:rsidRDefault="00F273B2">
            <w:pPr>
              <w:rPr>
                <w:rFonts w:ascii="Arial" w:hAnsi="Arial" w:cs="Arial"/>
                <w:color w:val="000000"/>
                <w:sz w:val="16"/>
                <w:szCs w:val="16"/>
              </w:rPr>
            </w:pPr>
          </w:p>
        </w:tc>
        <w:tc>
          <w:tcPr>
            <w:tcW w:w="1676" w:type="dxa"/>
            <w:vMerge/>
            <w:tcBorders>
              <w:top w:val="nil"/>
              <w:left w:val="single" w:sz="4" w:space="0" w:color="auto"/>
              <w:bottom w:val="single" w:sz="4" w:space="0" w:color="auto"/>
              <w:right w:val="single" w:sz="4" w:space="0" w:color="auto"/>
            </w:tcBorders>
            <w:vAlign w:val="center"/>
            <w:hideMark/>
          </w:tcPr>
          <w:p w14:paraId="53FF713C"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CCECFF"/>
            <w:noWrap/>
            <w:vAlign w:val="center"/>
            <w:hideMark/>
          </w:tcPr>
          <w:p w14:paraId="09A7F426" w14:textId="77777777" w:rsidR="00F273B2" w:rsidRDefault="00F273B2">
            <w:pPr>
              <w:jc w:val="center"/>
              <w:rPr>
                <w:rFonts w:ascii="Arial" w:hAnsi="Arial" w:cs="Arial"/>
                <w:color w:val="000000"/>
                <w:sz w:val="16"/>
                <w:szCs w:val="16"/>
              </w:rPr>
            </w:pPr>
            <w:r>
              <w:rPr>
                <w:rFonts w:ascii="Arial" w:hAnsi="Arial" w:cs="Arial"/>
                <w:color w:val="000000"/>
                <w:sz w:val="16"/>
                <w:szCs w:val="16"/>
              </w:rPr>
              <w:t>PP-NRS ≥4</w:t>
            </w:r>
          </w:p>
        </w:tc>
        <w:tc>
          <w:tcPr>
            <w:tcW w:w="1672" w:type="dxa"/>
            <w:gridSpan w:val="2"/>
            <w:tcBorders>
              <w:top w:val="nil"/>
              <w:left w:val="nil"/>
              <w:bottom w:val="single" w:sz="4" w:space="0" w:color="auto"/>
              <w:right w:val="single" w:sz="4" w:space="0" w:color="auto"/>
            </w:tcBorders>
            <w:noWrap/>
            <w:vAlign w:val="center"/>
            <w:hideMark/>
          </w:tcPr>
          <w:p w14:paraId="0B4E181F" w14:textId="77777777" w:rsidR="00F273B2" w:rsidRDefault="00F273B2">
            <w:pPr>
              <w:jc w:val="center"/>
              <w:rPr>
                <w:rFonts w:ascii="Arial" w:hAnsi="Arial" w:cs="Arial"/>
                <w:color w:val="000000"/>
                <w:sz w:val="16"/>
                <w:szCs w:val="16"/>
              </w:rPr>
            </w:pPr>
            <w:r>
              <w:rPr>
                <w:rFonts w:ascii="Arial" w:hAnsi="Arial" w:cs="Arial"/>
                <w:color w:val="000000"/>
                <w:sz w:val="16"/>
                <w:szCs w:val="16"/>
              </w:rPr>
              <w:t>15</w:t>
            </w:r>
          </w:p>
        </w:tc>
        <w:tc>
          <w:tcPr>
            <w:tcW w:w="1641" w:type="dxa"/>
            <w:gridSpan w:val="2"/>
            <w:tcBorders>
              <w:top w:val="nil"/>
              <w:left w:val="nil"/>
              <w:bottom w:val="single" w:sz="4" w:space="0" w:color="auto"/>
              <w:right w:val="single" w:sz="4" w:space="0" w:color="auto"/>
            </w:tcBorders>
            <w:noWrap/>
            <w:vAlign w:val="center"/>
            <w:hideMark/>
          </w:tcPr>
          <w:p w14:paraId="4E000739" w14:textId="77777777" w:rsidR="00F273B2" w:rsidRDefault="00F273B2">
            <w:pPr>
              <w:jc w:val="center"/>
              <w:rPr>
                <w:rFonts w:ascii="Arial" w:hAnsi="Arial" w:cs="Arial"/>
                <w:color w:val="000000"/>
                <w:sz w:val="16"/>
                <w:szCs w:val="16"/>
              </w:rPr>
            </w:pPr>
            <w:r>
              <w:rPr>
                <w:rFonts w:ascii="Arial" w:hAnsi="Arial" w:cs="Arial"/>
                <w:color w:val="000000"/>
                <w:sz w:val="16"/>
                <w:szCs w:val="16"/>
              </w:rPr>
              <w:t>(3;26)</w:t>
            </w:r>
          </w:p>
        </w:tc>
      </w:tr>
      <w:tr w:rsidR="00F273B2" w14:paraId="15A39959" w14:textId="77777777" w:rsidTr="00736CD4">
        <w:trPr>
          <w:trHeight w:val="336"/>
        </w:trPr>
        <w:tc>
          <w:tcPr>
            <w:tcW w:w="1687" w:type="dxa"/>
            <w:vMerge w:val="restart"/>
            <w:tcBorders>
              <w:top w:val="nil"/>
              <w:left w:val="single" w:sz="4" w:space="0" w:color="auto"/>
              <w:bottom w:val="single" w:sz="4" w:space="0" w:color="000000"/>
              <w:right w:val="single" w:sz="4" w:space="0" w:color="auto"/>
            </w:tcBorders>
            <w:shd w:val="clear" w:color="000000" w:fill="CCECFF"/>
            <w:vAlign w:val="center"/>
            <w:hideMark/>
          </w:tcPr>
          <w:p w14:paraId="1951B228" w14:textId="77777777" w:rsidR="00F273B2" w:rsidRDefault="00F273B2">
            <w:pPr>
              <w:jc w:val="center"/>
              <w:rPr>
                <w:rFonts w:ascii="Arial" w:hAnsi="Arial" w:cs="Arial"/>
                <w:color w:val="000000"/>
                <w:sz w:val="16"/>
                <w:szCs w:val="16"/>
              </w:rPr>
            </w:pPr>
            <w:r>
              <w:rPr>
                <w:rFonts w:ascii="Arial" w:hAnsi="Arial" w:cs="Arial"/>
                <w:color w:val="000000"/>
                <w:sz w:val="16"/>
                <w:szCs w:val="16"/>
              </w:rPr>
              <w:t xml:space="preserve">Baricitinib </w:t>
            </w:r>
            <w:r>
              <w:rPr>
                <w:rFonts w:ascii="Arial" w:hAnsi="Arial" w:cs="Arial"/>
                <w:b/>
                <w:bCs/>
                <w:color w:val="000000"/>
                <w:sz w:val="16"/>
                <w:szCs w:val="16"/>
              </w:rPr>
              <w:t>4 mg</w:t>
            </w:r>
          </w:p>
        </w:tc>
        <w:tc>
          <w:tcPr>
            <w:tcW w:w="1676" w:type="dxa"/>
            <w:vMerge w:val="restart"/>
            <w:tcBorders>
              <w:top w:val="nil"/>
              <w:left w:val="single" w:sz="4" w:space="0" w:color="auto"/>
              <w:bottom w:val="single" w:sz="4" w:space="0" w:color="auto"/>
              <w:right w:val="single" w:sz="4" w:space="0" w:color="auto"/>
            </w:tcBorders>
            <w:shd w:val="clear" w:color="000000" w:fill="CCECFF"/>
            <w:vAlign w:val="center"/>
            <w:hideMark/>
          </w:tcPr>
          <w:p w14:paraId="6E2C6DB0" w14:textId="77777777" w:rsidR="00F273B2" w:rsidRDefault="00F273B2">
            <w:pPr>
              <w:jc w:val="center"/>
              <w:rPr>
                <w:rFonts w:ascii="Arial" w:hAnsi="Arial" w:cs="Arial"/>
                <w:color w:val="000000"/>
                <w:sz w:val="16"/>
                <w:szCs w:val="16"/>
              </w:rPr>
            </w:pPr>
            <w:r>
              <w:rPr>
                <w:rFonts w:ascii="Arial" w:hAnsi="Arial" w:cs="Arial"/>
                <w:color w:val="000000"/>
                <w:sz w:val="16"/>
                <w:szCs w:val="16"/>
              </w:rPr>
              <w:t>JAIY</w:t>
            </w:r>
          </w:p>
        </w:tc>
        <w:tc>
          <w:tcPr>
            <w:tcW w:w="1824" w:type="dxa"/>
            <w:gridSpan w:val="2"/>
            <w:tcBorders>
              <w:top w:val="nil"/>
              <w:left w:val="nil"/>
              <w:bottom w:val="single" w:sz="4" w:space="0" w:color="auto"/>
              <w:right w:val="single" w:sz="4" w:space="0" w:color="auto"/>
            </w:tcBorders>
            <w:shd w:val="clear" w:color="000000" w:fill="CCECFF"/>
            <w:noWrap/>
            <w:vAlign w:val="center"/>
            <w:hideMark/>
          </w:tcPr>
          <w:p w14:paraId="3978EBE1" w14:textId="77777777" w:rsidR="00F273B2" w:rsidRDefault="00F273B2">
            <w:pPr>
              <w:jc w:val="center"/>
              <w:rPr>
                <w:rFonts w:ascii="Arial" w:hAnsi="Arial" w:cs="Arial"/>
                <w:color w:val="000000"/>
                <w:sz w:val="16"/>
                <w:szCs w:val="16"/>
              </w:rPr>
            </w:pPr>
            <w:r>
              <w:rPr>
                <w:rFonts w:ascii="Arial" w:hAnsi="Arial" w:cs="Arial"/>
                <w:color w:val="000000"/>
                <w:sz w:val="16"/>
                <w:szCs w:val="16"/>
              </w:rPr>
              <w:t>EASI 75</w:t>
            </w:r>
          </w:p>
        </w:tc>
        <w:tc>
          <w:tcPr>
            <w:tcW w:w="1672" w:type="dxa"/>
            <w:gridSpan w:val="2"/>
            <w:tcBorders>
              <w:top w:val="nil"/>
              <w:left w:val="nil"/>
              <w:bottom w:val="single" w:sz="4" w:space="0" w:color="auto"/>
              <w:right w:val="single" w:sz="4" w:space="0" w:color="auto"/>
            </w:tcBorders>
            <w:noWrap/>
            <w:vAlign w:val="center"/>
            <w:hideMark/>
          </w:tcPr>
          <w:p w14:paraId="6EFDE2CA" w14:textId="77777777" w:rsidR="00F273B2" w:rsidRDefault="00F273B2">
            <w:pPr>
              <w:jc w:val="center"/>
              <w:rPr>
                <w:rFonts w:ascii="Arial" w:hAnsi="Arial" w:cs="Arial"/>
                <w:color w:val="000000"/>
                <w:sz w:val="16"/>
                <w:szCs w:val="16"/>
              </w:rPr>
            </w:pPr>
            <w:r>
              <w:rPr>
                <w:rFonts w:ascii="Arial" w:hAnsi="Arial" w:cs="Arial"/>
                <w:color w:val="000000"/>
                <w:sz w:val="16"/>
                <w:szCs w:val="16"/>
              </w:rPr>
              <w:t>25</w:t>
            </w:r>
          </w:p>
        </w:tc>
        <w:tc>
          <w:tcPr>
            <w:tcW w:w="1641" w:type="dxa"/>
            <w:gridSpan w:val="2"/>
            <w:tcBorders>
              <w:top w:val="nil"/>
              <w:left w:val="nil"/>
              <w:bottom w:val="single" w:sz="4" w:space="0" w:color="auto"/>
              <w:right w:val="single" w:sz="4" w:space="0" w:color="auto"/>
            </w:tcBorders>
            <w:noWrap/>
            <w:vAlign w:val="center"/>
            <w:hideMark/>
          </w:tcPr>
          <w:p w14:paraId="1CF2473C" w14:textId="77777777" w:rsidR="00F273B2" w:rsidRDefault="00F273B2">
            <w:pPr>
              <w:jc w:val="center"/>
              <w:rPr>
                <w:rFonts w:ascii="Arial" w:hAnsi="Arial" w:cs="Arial"/>
                <w:color w:val="000000"/>
                <w:sz w:val="16"/>
                <w:szCs w:val="16"/>
              </w:rPr>
            </w:pPr>
            <w:r>
              <w:rPr>
                <w:rFonts w:ascii="Arial" w:hAnsi="Arial" w:cs="Arial"/>
                <w:color w:val="000000"/>
                <w:sz w:val="16"/>
                <w:szCs w:val="16"/>
              </w:rPr>
              <w:t>(13;37)</w:t>
            </w:r>
          </w:p>
        </w:tc>
      </w:tr>
      <w:tr w:rsidR="00F273B2" w14:paraId="01944704" w14:textId="77777777" w:rsidTr="00736CD4">
        <w:trPr>
          <w:trHeight w:val="336"/>
        </w:trPr>
        <w:tc>
          <w:tcPr>
            <w:tcW w:w="1687" w:type="dxa"/>
            <w:vMerge/>
            <w:tcBorders>
              <w:top w:val="nil"/>
              <w:left w:val="single" w:sz="4" w:space="0" w:color="auto"/>
              <w:bottom w:val="single" w:sz="4" w:space="0" w:color="000000"/>
              <w:right w:val="single" w:sz="4" w:space="0" w:color="auto"/>
            </w:tcBorders>
            <w:vAlign w:val="center"/>
            <w:hideMark/>
          </w:tcPr>
          <w:p w14:paraId="403EA8EC" w14:textId="77777777" w:rsidR="00F273B2" w:rsidRDefault="00F273B2">
            <w:pPr>
              <w:rPr>
                <w:rFonts w:ascii="Arial" w:hAnsi="Arial" w:cs="Arial"/>
                <w:color w:val="000000"/>
                <w:sz w:val="16"/>
                <w:szCs w:val="16"/>
              </w:rPr>
            </w:pPr>
          </w:p>
        </w:tc>
        <w:tc>
          <w:tcPr>
            <w:tcW w:w="1676" w:type="dxa"/>
            <w:vMerge/>
            <w:tcBorders>
              <w:top w:val="nil"/>
              <w:left w:val="single" w:sz="4" w:space="0" w:color="auto"/>
              <w:bottom w:val="single" w:sz="4" w:space="0" w:color="auto"/>
              <w:right w:val="single" w:sz="4" w:space="0" w:color="auto"/>
            </w:tcBorders>
            <w:vAlign w:val="center"/>
            <w:hideMark/>
          </w:tcPr>
          <w:p w14:paraId="3EE34B6A"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CCECFF"/>
            <w:noWrap/>
            <w:vAlign w:val="center"/>
            <w:hideMark/>
          </w:tcPr>
          <w:p w14:paraId="30D0E7A4" w14:textId="77777777" w:rsidR="00F273B2" w:rsidRDefault="00F273B2">
            <w:pPr>
              <w:jc w:val="center"/>
              <w:rPr>
                <w:rFonts w:ascii="Arial" w:hAnsi="Arial" w:cs="Arial"/>
                <w:color w:val="000000"/>
                <w:sz w:val="16"/>
                <w:szCs w:val="16"/>
              </w:rPr>
            </w:pPr>
            <w:r>
              <w:rPr>
                <w:rFonts w:ascii="Arial" w:hAnsi="Arial" w:cs="Arial"/>
                <w:color w:val="000000"/>
                <w:sz w:val="16"/>
                <w:szCs w:val="16"/>
              </w:rPr>
              <w:t>IGA 0/1</w:t>
            </w:r>
          </w:p>
        </w:tc>
        <w:tc>
          <w:tcPr>
            <w:tcW w:w="1672" w:type="dxa"/>
            <w:gridSpan w:val="2"/>
            <w:tcBorders>
              <w:top w:val="nil"/>
              <w:left w:val="nil"/>
              <w:bottom w:val="single" w:sz="4" w:space="0" w:color="auto"/>
              <w:right w:val="single" w:sz="4" w:space="0" w:color="auto"/>
            </w:tcBorders>
            <w:noWrap/>
            <w:vAlign w:val="center"/>
            <w:hideMark/>
          </w:tcPr>
          <w:p w14:paraId="59535904" w14:textId="77777777" w:rsidR="00F273B2" w:rsidRDefault="00F273B2">
            <w:pPr>
              <w:jc w:val="center"/>
              <w:rPr>
                <w:rFonts w:ascii="Arial" w:hAnsi="Arial" w:cs="Arial"/>
                <w:color w:val="000000"/>
                <w:sz w:val="16"/>
                <w:szCs w:val="16"/>
              </w:rPr>
            </w:pPr>
            <w:r>
              <w:rPr>
                <w:rFonts w:ascii="Arial" w:hAnsi="Arial" w:cs="Arial"/>
                <w:color w:val="000000"/>
                <w:sz w:val="16"/>
                <w:szCs w:val="16"/>
              </w:rPr>
              <w:t>16</w:t>
            </w:r>
          </w:p>
        </w:tc>
        <w:tc>
          <w:tcPr>
            <w:tcW w:w="1641" w:type="dxa"/>
            <w:gridSpan w:val="2"/>
            <w:tcBorders>
              <w:top w:val="nil"/>
              <w:left w:val="nil"/>
              <w:bottom w:val="single" w:sz="4" w:space="0" w:color="auto"/>
              <w:right w:val="single" w:sz="4" w:space="0" w:color="auto"/>
            </w:tcBorders>
            <w:noWrap/>
            <w:vAlign w:val="center"/>
            <w:hideMark/>
          </w:tcPr>
          <w:p w14:paraId="6D8AD182" w14:textId="77777777" w:rsidR="00F273B2" w:rsidRDefault="00F273B2">
            <w:pPr>
              <w:jc w:val="center"/>
              <w:rPr>
                <w:rFonts w:ascii="Arial" w:hAnsi="Arial" w:cs="Arial"/>
                <w:color w:val="000000"/>
                <w:sz w:val="16"/>
                <w:szCs w:val="16"/>
              </w:rPr>
            </w:pPr>
            <w:r>
              <w:rPr>
                <w:rFonts w:ascii="Arial" w:hAnsi="Arial" w:cs="Arial"/>
                <w:color w:val="000000"/>
                <w:sz w:val="16"/>
                <w:szCs w:val="16"/>
              </w:rPr>
              <w:t>(5;27)</w:t>
            </w:r>
          </w:p>
        </w:tc>
      </w:tr>
      <w:tr w:rsidR="00F273B2" w14:paraId="65D0C032" w14:textId="77777777" w:rsidTr="00736CD4">
        <w:trPr>
          <w:trHeight w:val="336"/>
        </w:trPr>
        <w:tc>
          <w:tcPr>
            <w:tcW w:w="1687" w:type="dxa"/>
            <w:vMerge/>
            <w:tcBorders>
              <w:top w:val="nil"/>
              <w:left w:val="single" w:sz="4" w:space="0" w:color="auto"/>
              <w:bottom w:val="single" w:sz="4" w:space="0" w:color="000000"/>
              <w:right w:val="single" w:sz="4" w:space="0" w:color="auto"/>
            </w:tcBorders>
            <w:vAlign w:val="center"/>
            <w:hideMark/>
          </w:tcPr>
          <w:p w14:paraId="30750F63" w14:textId="77777777" w:rsidR="00F273B2" w:rsidRDefault="00F273B2">
            <w:pPr>
              <w:rPr>
                <w:rFonts w:ascii="Arial" w:hAnsi="Arial" w:cs="Arial"/>
                <w:color w:val="000000"/>
                <w:sz w:val="16"/>
                <w:szCs w:val="16"/>
              </w:rPr>
            </w:pPr>
          </w:p>
        </w:tc>
        <w:tc>
          <w:tcPr>
            <w:tcW w:w="1676" w:type="dxa"/>
            <w:vMerge/>
            <w:tcBorders>
              <w:top w:val="nil"/>
              <w:left w:val="single" w:sz="4" w:space="0" w:color="auto"/>
              <w:bottom w:val="single" w:sz="4" w:space="0" w:color="auto"/>
              <w:right w:val="single" w:sz="4" w:space="0" w:color="auto"/>
            </w:tcBorders>
            <w:vAlign w:val="center"/>
            <w:hideMark/>
          </w:tcPr>
          <w:p w14:paraId="15DC25E1" w14:textId="77777777" w:rsidR="00F273B2" w:rsidRDefault="00F273B2">
            <w:pPr>
              <w:rPr>
                <w:rFonts w:ascii="Arial" w:hAnsi="Arial" w:cs="Arial"/>
                <w:color w:val="000000"/>
                <w:sz w:val="16"/>
                <w:szCs w:val="16"/>
              </w:rPr>
            </w:pPr>
          </w:p>
        </w:tc>
        <w:tc>
          <w:tcPr>
            <w:tcW w:w="1824" w:type="dxa"/>
            <w:gridSpan w:val="2"/>
            <w:tcBorders>
              <w:top w:val="nil"/>
              <w:left w:val="nil"/>
              <w:bottom w:val="single" w:sz="4" w:space="0" w:color="auto"/>
              <w:right w:val="single" w:sz="4" w:space="0" w:color="auto"/>
            </w:tcBorders>
            <w:shd w:val="clear" w:color="000000" w:fill="CCECFF"/>
            <w:noWrap/>
            <w:vAlign w:val="center"/>
            <w:hideMark/>
          </w:tcPr>
          <w:p w14:paraId="39A5F0B5" w14:textId="77777777" w:rsidR="00F273B2" w:rsidRDefault="00F273B2">
            <w:pPr>
              <w:jc w:val="center"/>
              <w:rPr>
                <w:rFonts w:ascii="Arial" w:hAnsi="Arial" w:cs="Arial"/>
                <w:color w:val="000000"/>
                <w:sz w:val="16"/>
                <w:szCs w:val="16"/>
              </w:rPr>
            </w:pPr>
            <w:r>
              <w:rPr>
                <w:rFonts w:ascii="Arial" w:hAnsi="Arial" w:cs="Arial"/>
                <w:color w:val="000000"/>
                <w:sz w:val="16"/>
                <w:szCs w:val="16"/>
              </w:rPr>
              <w:t>PP-NRS ≥4</w:t>
            </w:r>
          </w:p>
        </w:tc>
        <w:tc>
          <w:tcPr>
            <w:tcW w:w="1672" w:type="dxa"/>
            <w:gridSpan w:val="2"/>
            <w:tcBorders>
              <w:top w:val="nil"/>
              <w:left w:val="nil"/>
              <w:bottom w:val="single" w:sz="4" w:space="0" w:color="auto"/>
              <w:right w:val="single" w:sz="4" w:space="0" w:color="auto"/>
            </w:tcBorders>
            <w:noWrap/>
            <w:vAlign w:val="center"/>
            <w:hideMark/>
          </w:tcPr>
          <w:p w14:paraId="2E102848" w14:textId="77777777" w:rsidR="00F273B2" w:rsidRDefault="00F273B2">
            <w:pPr>
              <w:jc w:val="center"/>
              <w:rPr>
                <w:rFonts w:ascii="Arial" w:hAnsi="Arial" w:cs="Arial"/>
                <w:color w:val="000000"/>
                <w:sz w:val="16"/>
                <w:szCs w:val="16"/>
              </w:rPr>
            </w:pPr>
            <w:r>
              <w:rPr>
                <w:rFonts w:ascii="Arial" w:hAnsi="Arial" w:cs="Arial"/>
                <w:color w:val="000000"/>
                <w:sz w:val="16"/>
                <w:szCs w:val="16"/>
              </w:rPr>
              <w:t>20</w:t>
            </w:r>
          </w:p>
        </w:tc>
        <w:tc>
          <w:tcPr>
            <w:tcW w:w="1641" w:type="dxa"/>
            <w:gridSpan w:val="2"/>
            <w:tcBorders>
              <w:top w:val="nil"/>
              <w:left w:val="nil"/>
              <w:bottom w:val="single" w:sz="4" w:space="0" w:color="auto"/>
              <w:right w:val="single" w:sz="4" w:space="0" w:color="auto"/>
            </w:tcBorders>
            <w:noWrap/>
            <w:vAlign w:val="center"/>
            <w:hideMark/>
          </w:tcPr>
          <w:p w14:paraId="3CE6301E" w14:textId="77777777" w:rsidR="00F273B2" w:rsidRDefault="00F273B2">
            <w:pPr>
              <w:jc w:val="center"/>
              <w:rPr>
                <w:rFonts w:ascii="Arial" w:hAnsi="Arial" w:cs="Arial"/>
                <w:color w:val="000000"/>
                <w:sz w:val="16"/>
                <w:szCs w:val="16"/>
              </w:rPr>
            </w:pPr>
            <w:r>
              <w:rPr>
                <w:rFonts w:ascii="Arial" w:hAnsi="Arial" w:cs="Arial"/>
                <w:color w:val="000000"/>
                <w:sz w:val="16"/>
                <w:szCs w:val="16"/>
              </w:rPr>
              <w:t>(9;32)</w:t>
            </w:r>
          </w:p>
        </w:tc>
      </w:tr>
      <w:tr w:rsidR="00F273B2" w14:paraId="459D8ABC" w14:textId="77777777" w:rsidTr="00736CD4">
        <w:trPr>
          <w:trHeight w:val="336"/>
        </w:trPr>
        <w:tc>
          <w:tcPr>
            <w:tcW w:w="8500" w:type="dxa"/>
            <w:gridSpan w:val="8"/>
            <w:tcBorders>
              <w:top w:val="single" w:sz="4" w:space="0" w:color="auto"/>
              <w:left w:val="single" w:sz="4" w:space="0" w:color="auto"/>
              <w:bottom w:val="single" w:sz="4" w:space="0" w:color="auto"/>
              <w:right w:val="single" w:sz="4" w:space="0" w:color="auto"/>
            </w:tcBorders>
            <w:shd w:val="clear" w:color="000000" w:fill="8FF9BF"/>
            <w:vAlign w:val="center"/>
            <w:hideMark/>
          </w:tcPr>
          <w:p w14:paraId="146A1B14" w14:textId="77777777" w:rsidR="00F273B2" w:rsidRDefault="00F273B2">
            <w:pPr>
              <w:jc w:val="center"/>
              <w:rPr>
                <w:rFonts w:ascii="Arial" w:hAnsi="Arial" w:cs="Arial"/>
                <w:b/>
                <w:bCs/>
                <w:color w:val="000000"/>
                <w:sz w:val="16"/>
                <w:szCs w:val="16"/>
              </w:rPr>
            </w:pPr>
            <w:r>
              <w:rPr>
                <w:rFonts w:ascii="Arial" w:hAnsi="Arial" w:cs="Arial"/>
                <w:b/>
                <w:bCs/>
                <w:sz w:val="16"/>
                <w:szCs w:val="16"/>
              </w:rPr>
              <w:t>Comparación</w:t>
            </w:r>
            <w:r w:rsidR="003B32FD">
              <w:rPr>
                <w:rFonts w:ascii="Arial" w:hAnsi="Arial" w:cs="Arial"/>
                <w:b/>
                <w:bCs/>
                <w:sz w:val="16"/>
                <w:szCs w:val="16"/>
              </w:rPr>
              <w:t xml:space="preserve"> DIRECTA</w:t>
            </w:r>
            <w:r w:rsidR="00DB7027">
              <w:rPr>
                <w:rFonts w:ascii="Arial" w:hAnsi="Arial" w:cs="Arial"/>
                <w:b/>
                <w:bCs/>
                <w:sz w:val="16"/>
                <w:szCs w:val="16"/>
              </w:rPr>
              <w:t xml:space="preserve">. Ensayo JADE COMPARE </w:t>
            </w:r>
            <w:r w:rsidR="00646A51">
              <w:rPr>
                <w:rFonts w:ascii="Arial" w:hAnsi="Arial" w:cs="Arial"/>
                <w:b/>
                <w:bCs/>
                <w:sz w:val="16"/>
                <w:szCs w:val="16"/>
              </w:rPr>
              <w:fldChar w:fldCharType="begin"/>
            </w:r>
            <w:r w:rsidR="00511A83">
              <w:rPr>
                <w:rFonts w:ascii="Arial" w:hAnsi="Arial" w:cs="Arial"/>
                <w:b/>
                <w:bCs/>
                <w:sz w:val="16"/>
                <w:szCs w:val="16"/>
              </w:rPr>
              <w:instrText xml:space="preserve"> ADDIN ZOTERO_ITEM CSL_CITATION {"citationID":"55GJ2E0z","properties":{"formattedCitation":"(29)","plainCitation":"(29)","noteIndex":0},"citationItems":[{"id":49,"uris":["http://zotero.org/users/18702181/items/5VN548KE"],"itemData":{"id":49,"type":"article-journal","abstract":"The oral Janus kinase 1 (JAK1) inhibitor abrocitinib, which reduces interleukin-4\nand interleukin-13 signaling, is being investigated for the treatment of atopic dermatitis.\nData from trials compar...","archive_location":"world","container-title":"New England Journal of Medicine","DOI":"10.1056/NEJMoa2019380","language":"EN","license":"Copyright © 2021 Massachusetts Medical Society. All rights reserved.","publisher":"Massachusetts Medical Society","source":"www.nejm.org","title":"Abrocitinib versus Placebo or Dupilumab for Atopic Dermatitis","URL":"https://www.nejm.org/doi/full/10.1056/NEJMoa2019380","author":[{"family":"Bieber","given":"Thomas"},{"family":"Simpson","given":"Eric L."},{"family":"Silverberg","given":"Jonathan I."},{"family":"Thaçi","given":"Diamant"},{"family":"Paul","given":"Carle"},{"family":"Pink","given":"Andrew E."},{"family":"Kataoka","given":"Yoko"},{"family":"Chu","given":"Chia-Yu"},{"family":"DiBonaventura","given":"Marco"},{"family":"Rojo","given":"Ricardo"},{"family":"Antinew","given":"Jeremias"},{"family":"Ionita","given":"Ileana"},{"family":"Sinclair","given":"Rodney"},{"family":"Forman","given":"Seth"},{"family":"Zdybski","given":"Jacek"},{"family":"Biswas","given":"Pinaki"},{"family":"Malhotra","given":"Bimal"},{"family":"Zhang","given":"Fan"},{"family":"Valdez","given":"Hernan"}],"accessed":{"date-parts":[["2025",11,18]]},"issued":{"date-parts":[["2021",3,25]]}}}],"schema":"https://github.com/citation-style-language/schema/raw/master/csl-citation.json"} </w:instrText>
            </w:r>
            <w:r w:rsidR="00646A51">
              <w:rPr>
                <w:rFonts w:ascii="Arial" w:hAnsi="Arial" w:cs="Arial"/>
                <w:b/>
                <w:bCs/>
                <w:sz w:val="16"/>
                <w:szCs w:val="16"/>
              </w:rPr>
              <w:fldChar w:fldCharType="separate"/>
            </w:r>
            <w:r w:rsidR="00511A83" w:rsidRPr="00511A83">
              <w:rPr>
                <w:rFonts w:ascii="Arial" w:hAnsi="Arial" w:cs="Arial"/>
                <w:sz w:val="16"/>
              </w:rPr>
              <w:t>(29)</w:t>
            </w:r>
            <w:r w:rsidR="00646A51">
              <w:rPr>
                <w:rFonts w:ascii="Arial" w:hAnsi="Arial" w:cs="Arial"/>
                <w:b/>
                <w:bCs/>
                <w:sz w:val="16"/>
                <w:szCs w:val="16"/>
              </w:rPr>
              <w:fldChar w:fldCharType="end"/>
            </w:r>
            <w:r>
              <w:rPr>
                <w:rFonts w:ascii="Arial" w:hAnsi="Arial" w:cs="Arial"/>
                <w:b/>
                <w:bCs/>
                <w:sz w:val="16"/>
                <w:szCs w:val="16"/>
              </w:rPr>
              <w:t xml:space="preserve"> Dupilumab-Abrocitinib 100 mg</w:t>
            </w:r>
          </w:p>
        </w:tc>
      </w:tr>
      <w:tr w:rsidR="00736CD4" w14:paraId="5743A118" w14:textId="77777777" w:rsidTr="00736CD4">
        <w:trPr>
          <w:trHeight w:val="453"/>
        </w:trPr>
        <w:tc>
          <w:tcPr>
            <w:tcW w:w="336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7E0182D" w14:textId="77777777" w:rsidR="00F273B2" w:rsidRDefault="00F273B2">
            <w:pPr>
              <w:jc w:val="center"/>
              <w:rPr>
                <w:rFonts w:ascii="Arial" w:hAnsi="Arial" w:cs="Arial"/>
                <w:color w:val="000000"/>
                <w:sz w:val="16"/>
                <w:szCs w:val="16"/>
              </w:rPr>
            </w:pPr>
            <w:r>
              <w:rPr>
                <w:rFonts w:ascii="Arial" w:hAnsi="Arial" w:cs="Arial"/>
                <w:color w:val="000000"/>
                <w:sz w:val="16"/>
                <w:szCs w:val="16"/>
              </w:rPr>
              <w:t>Variable</w:t>
            </w:r>
          </w:p>
        </w:tc>
        <w:tc>
          <w:tcPr>
            <w:tcW w:w="3496" w:type="dxa"/>
            <w:gridSpan w:val="4"/>
            <w:tcBorders>
              <w:top w:val="single" w:sz="4" w:space="0" w:color="auto"/>
              <w:left w:val="nil"/>
              <w:bottom w:val="single" w:sz="4" w:space="0" w:color="auto"/>
              <w:right w:val="single" w:sz="4" w:space="0" w:color="auto"/>
            </w:tcBorders>
            <w:shd w:val="clear" w:color="000000" w:fill="D9D9D9"/>
            <w:vAlign w:val="center"/>
            <w:hideMark/>
          </w:tcPr>
          <w:p w14:paraId="7B0C53EE" w14:textId="77777777" w:rsidR="00F273B2" w:rsidRDefault="00F273B2">
            <w:pPr>
              <w:jc w:val="center"/>
              <w:rPr>
                <w:rFonts w:ascii="Arial" w:hAnsi="Arial" w:cs="Arial"/>
                <w:color w:val="000000"/>
                <w:sz w:val="16"/>
                <w:szCs w:val="16"/>
              </w:rPr>
            </w:pPr>
            <w:r>
              <w:rPr>
                <w:rFonts w:ascii="Arial" w:hAnsi="Arial" w:cs="Arial"/>
                <w:color w:val="000000"/>
                <w:sz w:val="16"/>
                <w:szCs w:val="16"/>
                <w:lang w:val="de-DE"/>
              </w:rPr>
              <w:t>Diferencia de respuesta (IC 95%)</w:t>
            </w:r>
          </w:p>
        </w:tc>
        <w:tc>
          <w:tcPr>
            <w:tcW w:w="1641" w:type="dxa"/>
            <w:gridSpan w:val="2"/>
            <w:tcBorders>
              <w:top w:val="nil"/>
              <w:left w:val="nil"/>
              <w:bottom w:val="single" w:sz="4" w:space="0" w:color="auto"/>
              <w:right w:val="single" w:sz="4" w:space="0" w:color="auto"/>
            </w:tcBorders>
            <w:shd w:val="clear" w:color="000000" w:fill="E7E6E6"/>
            <w:noWrap/>
            <w:vAlign w:val="center"/>
            <w:hideMark/>
          </w:tcPr>
          <w:p w14:paraId="22FCCCA5" w14:textId="77777777" w:rsidR="00F273B2" w:rsidRDefault="00F273B2">
            <w:pPr>
              <w:jc w:val="center"/>
              <w:rPr>
                <w:rFonts w:ascii="Calibri" w:hAnsi="Calibri" w:cs="Calibri"/>
                <w:color w:val="000000"/>
                <w:sz w:val="22"/>
                <w:szCs w:val="22"/>
              </w:rPr>
            </w:pPr>
            <w:r>
              <w:rPr>
                <w:rFonts w:ascii="Calibri" w:hAnsi="Calibri" w:cs="Calibri"/>
                <w:color w:val="000000"/>
                <w:sz w:val="22"/>
                <w:szCs w:val="22"/>
              </w:rPr>
              <w:t>P</w:t>
            </w:r>
          </w:p>
        </w:tc>
      </w:tr>
      <w:tr w:rsidR="00ED735F" w14:paraId="2FC15780" w14:textId="77777777" w:rsidTr="006842A0">
        <w:trPr>
          <w:trHeight w:val="336"/>
        </w:trPr>
        <w:tc>
          <w:tcPr>
            <w:tcW w:w="3363" w:type="dxa"/>
            <w:gridSpan w:val="2"/>
            <w:tcBorders>
              <w:top w:val="single" w:sz="4" w:space="0" w:color="auto"/>
              <w:left w:val="single" w:sz="4" w:space="0" w:color="auto"/>
              <w:bottom w:val="single" w:sz="4" w:space="0" w:color="auto"/>
              <w:right w:val="single" w:sz="4" w:space="0" w:color="auto"/>
            </w:tcBorders>
            <w:vAlign w:val="bottom"/>
          </w:tcPr>
          <w:p w14:paraId="5887F6AD"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EASI 75</w:t>
            </w:r>
          </w:p>
        </w:tc>
        <w:tc>
          <w:tcPr>
            <w:tcW w:w="1824" w:type="dxa"/>
            <w:gridSpan w:val="2"/>
            <w:tcBorders>
              <w:top w:val="nil"/>
              <w:left w:val="nil"/>
              <w:bottom w:val="single" w:sz="4" w:space="0" w:color="auto"/>
              <w:right w:val="single" w:sz="4" w:space="0" w:color="auto"/>
            </w:tcBorders>
            <w:vAlign w:val="center"/>
          </w:tcPr>
          <w:p w14:paraId="730F2655" w14:textId="77777777" w:rsidR="00ED735F" w:rsidRDefault="00DB7027" w:rsidP="00ED735F">
            <w:pPr>
              <w:jc w:val="center"/>
              <w:rPr>
                <w:rFonts w:ascii="Arial" w:hAnsi="Arial" w:cs="Arial"/>
                <w:color w:val="000000"/>
                <w:sz w:val="16"/>
                <w:szCs w:val="16"/>
              </w:rPr>
            </w:pPr>
            <w:r>
              <w:rPr>
                <w:rFonts w:ascii="Arial" w:hAnsi="Arial" w:cs="Arial"/>
                <w:color w:val="000000"/>
                <w:sz w:val="16"/>
                <w:szCs w:val="16"/>
              </w:rPr>
              <w:t>-5,5</w:t>
            </w:r>
          </w:p>
        </w:tc>
        <w:tc>
          <w:tcPr>
            <w:tcW w:w="1672" w:type="dxa"/>
            <w:gridSpan w:val="2"/>
            <w:tcBorders>
              <w:top w:val="nil"/>
              <w:left w:val="nil"/>
              <w:bottom w:val="single" w:sz="4" w:space="0" w:color="auto"/>
              <w:right w:val="single" w:sz="4" w:space="0" w:color="auto"/>
            </w:tcBorders>
            <w:vAlign w:val="center"/>
          </w:tcPr>
          <w:p w14:paraId="273E82C4" w14:textId="77777777" w:rsidR="00ED735F" w:rsidRDefault="00DB7027" w:rsidP="00ED735F">
            <w:pPr>
              <w:jc w:val="center"/>
              <w:rPr>
                <w:rFonts w:ascii="Arial" w:hAnsi="Arial" w:cs="Arial"/>
                <w:color w:val="000000"/>
                <w:sz w:val="16"/>
                <w:szCs w:val="16"/>
              </w:rPr>
            </w:pPr>
            <w:r>
              <w:rPr>
                <w:rFonts w:ascii="Arial" w:hAnsi="Arial" w:cs="Arial"/>
                <w:color w:val="000000"/>
                <w:sz w:val="16"/>
                <w:szCs w:val="16"/>
              </w:rPr>
              <w:t>(-14;3)</w:t>
            </w:r>
          </w:p>
        </w:tc>
        <w:tc>
          <w:tcPr>
            <w:tcW w:w="1641" w:type="dxa"/>
            <w:gridSpan w:val="2"/>
            <w:tcBorders>
              <w:top w:val="nil"/>
              <w:left w:val="nil"/>
              <w:bottom w:val="single" w:sz="4" w:space="0" w:color="auto"/>
              <w:right w:val="single" w:sz="4" w:space="0" w:color="auto"/>
            </w:tcBorders>
            <w:vAlign w:val="center"/>
          </w:tcPr>
          <w:p w14:paraId="242B64A8" w14:textId="77777777" w:rsidR="00ED735F" w:rsidRDefault="00DB7027"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3AB116AA" w14:textId="77777777" w:rsidTr="006842A0">
        <w:trPr>
          <w:trHeight w:val="336"/>
        </w:trPr>
        <w:tc>
          <w:tcPr>
            <w:tcW w:w="3363" w:type="dxa"/>
            <w:gridSpan w:val="2"/>
            <w:tcBorders>
              <w:top w:val="single" w:sz="4" w:space="0" w:color="auto"/>
              <w:left w:val="single" w:sz="4" w:space="0" w:color="auto"/>
              <w:bottom w:val="single" w:sz="4" w:space="0" w:color="auto"/>
              <w:right w:val="single" w:sz="4" w:space="0" w:color="auto"/>
            </w:tcBorders>
            <w:vAlign w:val="bottom"/>
          </w:tcPr>
          <w:p w14:paraId="27469481"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IGA 0/1</w:t>
            </w:r>
          </w:p>
        </w:tc>
        <w:tc>
          <w:tcPr>
            <w:tcW w:w="1824" w:type="dxa"/>
            <w:gridSpan w:val="2"/>
            <w:tcBorders>
              <w:top w:val="nil"/>
              <w:left w:val="nil"/>
              <w:bottom w:val="single" w:sz="4" w:space="0" w:color="auto"/>
              <w:right w:val="single" w:sz="4" w:space="0" w:color="auto"/>
            </w:tcBorders>
            <w:vAlign w:val="center"/>
          </w:tcPr>
          <w:p w14:paraId="59BBEBE2" w14:textId="77777777" w:rsidR="00ED735F" w:rsidRDefault="00DB7027" w:rsidP="00ED735F">
            <w:pPr>
              <w:jc w:val="center"/>
              <w:rPr>
                <w:rFonts w:ascii="Arial" w:hAnsi="Arial" w:cs="Arial"/>
                <w:color w:val="000000"/>
                <w:sz w:val="16"/>
                <w:szCs w:val="16"/>
              </w:rPr>
            </w:pPr>
            <w:r>
              <w:rPr>
                <w:rFonts w:ascii="Arial" w:hAnsi="Arial" w:cs="Arial"/>
                <w:color w:val="000000"/>
                <w:sz w:val="16"/>
                <w:szCs w:val="16"/>
              </w:rPr>
              <w:t>-4</w:t>
            </w:r>
          </w:p>
        </w:tc>
        <w:tc>
          <w:tcPr>
            <w:tcW w:w="1672" w:type="dxa"/>
            <w:gridSpan w:val="2"/>
            <w:tcBorders>
              <w:top w:val="nil"/>
              <w:left w:val="nil"/>
              <w:bottom w:val="single" w:sz="4" w:space="0" w:color="auto"/>
              <w:right w:val="single" w:sz="4" w:space="0" w:color="auto"/>
            </w:tcBorders>
            <w:vAlign w:val="center"/>
          </w:tcPr>
          <w:p w14:paraId="195520D5" w14:textId="77777777" w:rsidR="00ED735F" w:rsidRDefault="00DB7027" w:rsidP="00ED735F">
            <w:pPr>
              <w:jc w:val="center"/>
              <w:rPr>
                <w:rFonts w:ascii="Arial" w:hAnsi="Arial" w:cs="Arial"/>
                <w:color w:val="000000"/>
                <w:sz w:val="16"/>
                <w:szCs w:val="16"/>
              </w:rPr>
            </w:pPr>
            <w:r>
              <w:rPr>
                <w:rFonts w:ascii="Arial" w:hAnsi="Arial" w:cs="Arial"/>
                <w:color w:val="000000"/>
                <w:sz w:val="16"/>
                <w:szCs w:val="16"/>
              </w:rPr>
              <w:t>(-13;5)</w:t>
            </w:r>
          </w:p>
        </w:tc>
        <w:tc>
          <w:tcPr>
            <w:tcW w:w="1641" w:type="dxa"/>
            <w:gridSpan w:val="2"/>
            <w:tcBorders>
              <w:top w:val="nil"/>
              <w:left w:val="nil"/>
              <w:bottom w:val="single" w:sz="4" w:space="0" w:color="auto"/>
              <w:right w:val="single" w:sz="4" w:space="0" w:color="auto"/>
            </w:tcBorders>
            <w:shd w:val="clear" w:color="000000" w:fill="FFFFFF"/>
            <w:vAlign w:val="center"/>
          </w:tcPr>
          <w:p w14:paraId="71D95C26" w14:textId="77777777" w:rsidR="00ED735F" w:rsidRDefault="00DB7027"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7C356F64" w14:textId="77777777" w:rsidTr="006842A0">
        <w:trPr>
          <w:trHeight w:val="336"/>
        </w:trPr>
        <w:tc>
          <w:tcPr>
            <w:tcW w:w="3363" w:type="dxa"/>
            <w:gridSpan w:val="2"/>
            <w:tcBorders>
              <w:top w:val="single" w:sz="4" w:space="0" w:color="auto"/>
              <w:left w:val="single" w:sz="4" w:space="0" w:color="auto"/>
              <w:bottom w:val="single" w:sz="4" w:space="0" w:color="auto"/>
              <w:right w:val="single" w:sz="4" w:space="0" w:color="auto"/>
            </w:tcBorders>
            <w:vAlign w:val="bottom"/>
          </w:tcPr>
          <w:p w14:paraId="36BF5126" w14:textId="77777777" w:rsidR="00ED735F" w:rsidRPr="005C5447" w:rsidRDefault="00ED735F" w:rsidP="00ED735F">
            <w:pPr>
              <w:jc w:val="center"/>
              <w:rPr>
                <w:rFonts w:ascii="Arial" w:hAnsi="Arial" w:cs="Arial"/>
                <w:color w:val="000000"/>
                <w:sz w:val="16"/>
                <w:szCs w:val="16"/>
                <w:highlight w:val="yellow"/>
              </w:rPr>
            </w:pPr>
            <w:r>
              <w:rPr>
                <w:rFonts w:ascii="Arial" w:hAnsi="Arial" w:cs="Arial"/>
                <w:color w:val="000000"/>
                <w:sz w:val="16"/>
                <w:szCs w:val="16"/>
                <w:lang w:val="sv-SE"/>
              </w:rPr>
              <w:t>PP-NRS</w:t>
            </w:r>
            <w:r>
              <w:rPr>
                <w:rFonts w:ascii="Calibri" w:hAnsi="Calibri" w:cs="Calibri"/>
                <w:color w:val="000000"/>
                <w:sz w:val="16"/>
                <w:szCs w:val="16"/>
                <w:lang w:val="sv-SE"/>
              </w:rPr>
              <w:t>≥</w:t>
            </w:r>
            <w:r>
              <w:rPr>
                <w:rFonts w:ascii="Arial" w:hAnsi="Arial" w:cs="Arial"/>
                <w:color w:val="000000"/>
                <w:sz w:val="16"/>
                <w:szCs w:val="16"/>
                <w:lang w:val="sv-SE"/>
              </w:rPr>
              <w:t>4</w:t>
            </w:r>
          </w:p>
        </w:tc>
        <w:tc>
          <w:tcPr>
            <w:tcW w:w="1824" w:type="dxa"/>
            <w:gridSpan w:val="2"/>
            <w:tcBorders>
              <w:top w:val="nil"/>
              <w:left w:val="nil"/>
              <w:bottom w:val="single" w:sz="4" w:space="0" w:color="auto"/>
              <w:right w:val="single" w:sz="4" w:space="0" w:color="auto"/>
            </w:tcBorders>
            <w:noWrap/>
            <w:vAlign w:val="center"/>
          </w:tcPr>
          <w:p w14:paraId="6498ED07" w14:textId="77777777" w:rsidR="00ED735F" w:rsidRPr="00DB7027" w:rsidRDefault="00DB7027" w:rsidP="00ED735F">
            <w:pPr>
              <w:jc w:val="center"/>
              <w:rPr>
                <w:rFonts w:ascii="Arial" w:hAnsi="Arial" w:cs="Arial"/>
                <w:color w:val="000000"/>
                <w:sz w:val="16"/>
                <w:szCs w:val="16"/>
              </w:rPr>
            </w:pPr>
            <w:r w:rsidRPr="00DB7027">
              <w:rPr>
                <w:rFonts w:ascii="Arial" w:hAnsi="Arial" w:cs="Arial"/>
                <w:color w:val="000000"/>
                <w:sz w:val="16"/>
                <w:szCs w:val="16"/>
              </w:rPr>
              <w:t>-10</w:t>
            </w:r>
          </w:p>
        </w:tc>
        <w:tc>
          <w:tcPr>
            <w:tcW w:w="1672" w:type="dxa"/>
            <w:gridSpan w:val="2"/>
            <w:tcBorders>
              <w:top w:val="nil"/>
              <w:left w:val="nil"/>
              <w:bottom w:val="single" w:sz="4" w:space="0" w:color="auto"/>
              <w:right w:val="single" w:sz="4" w:space="0" w:color="auto"/>
            </w:tcBorders>
            <w:vAlign w:val="center"/>
          </w:tcPr>
          <w:p w14:paraId="59CA17A8" w14:textId="77777777" w:rsidR="00ED735F" w:rsidRPr="00DB7027" w:rsidRDefault="00DB7027" w:rsidP="00ED735F">
            <w:pPr>
              <w:jc w:val="center"/>
              <w:rPr>
                <w:rFonts w:ascii="Arial" w:hAnsi="Arial" w:cs="Arial"/>
                <w:color w:val="000000"/>
                <w:sz w:val="16"/>
                <w:szCs w:val="16"/>
              </w:rPr>
            </w:pPr>
            <w:r w:rsidRPr="00DB7027">
              <w:rPr>
                <w:rFonts w:ascii="Arial" w:hAnsi="Arial" w:cs="Arial"/>
                <w:color w:val="000000"/>
                <w:sz w:val="16"/>
                <w:szCs w:val="16"/>
              </w:rPr>
              <w:t>(-19;-1)</w:t>
            </w:r>
          </w:p>
        </w:tc>
        <w:tc>
          <w:tcPr>
            <w:tcW w:w="1641" w:type="dxa"/>
            <w:gridSpan w:val="2"/>
            <w:tcBorders>
              <w:top w:val="nil"/>
              <w:left w:val="nil"/>
              <w:bottom w:val="single" w:sz="4" w:space="0" w:color="auto"/>
              <w:right w:val="single" w:sz="4" w:space="0" w:color="auto"/>
            </w:tcBorders>
            <w:vAlign w:val="center"/>
          </w:tcPr>
          <w:p w14:paraId="38FA7A5F" w14:textId="77777777" w:rsidR="00ED735F" w:rsidRPr="005C5447" w:rsidRDefault="00DB7027" w:rsidP="00ED735F">
            <w:pPr>
              <w:jc w:val="center"/>
              <w:rPr>
                <w:rFonts w:ascii="Arial" w:hAnsi="Arial" w:cs="Arial"/>
                <w:color w:val="000000"/>
                <w:sz w:val="16"/>
                <w:szCs w:val="16"/>
                <w:highlight w:val="yellow"/>
              </w:rPr>
            </w:pPr>
            <w:r>
              <w:rPr>
                <w:rFonts w:ascii="Arial" w:hAnsi="Arial" w:cs="Arial"/>
                <w:color w:val="000000"/>
                <w:sz w:val="16"/>
                <w:szCs w:val="16"/>
              </w:rPr>
              <w:t>P&lt;0,05</w:t>
            </w:r>
          </w:p>
        </w:tc>
      </w:tr>
      <w:tr w:rsidR="00ED735F" w14:paraId="64CECF42" w14:textId="77777777" w:rsidTr="00736CD4">
        <w:trPr>
          <w:trHeight w:val="336"/>
        </w:trPr>
        <w:tc>
          <w:tcPr>
            <w:tcW w:w="8500" w:type="dxa"/>
            <w:gridSpan w:val="8"/>
            <w:tcBorders>
              <w:top w:val="single" w:sz="4" w:space="0" w:color="auto"/>
              <w:left w:val="single" w:sz="4" w:space="0" w:color="auto"/>
              <w:bottom w:val="single" w:sz="4" w:space="0" w:color="auto"/>
              <w:right w:val="single" w:sz="4" w:space="0" w:color="auto"/>
            </w:tcBorders>
            <w:shd w:val="clear" w:color="000000" w:fill="8FF9BF"/>
            <w:vAlign w:val="center"/>
            <w:hideMark/>
          </w:tcPr>
          <w:p w14:paraId="28FF4A36" w14:textId="77777777" w:rsidR="00ED735F" w:rsidRDefault="00ED735F" w:rsidP="00ED735F">
            <w:pPr>
              <w:jc w:val="center"/>
              <w:rPr>
                <w:rFonts w:ascii="Arial" w:hAnsi="Arial" w:cs="Arial"/>
                <w:b/>
                <w:bCs/>
                <w:color w:val="000000"/>
                <w:sz w:val="16"/>
                <w:szCs w:val="16"/>
              </w:rPr>
            </w:pPr>
            <w:r>
              <w:rPr>
                <w:rFonts w:ascii="Arial" w:hAnsi="Arial" w:cs="Arial"/>
                <w:b/>
                <w:bCs/>
                <w:sz w:val="16"/>
                <w:szCs w:val="16"/>
              </w:rPr>
              <w:t xml:space="preserve">Comparación </w:t>
            </w:r>
            <w:r w:rsidR="003B32FD">
              <w:rPr>
                <w:rFonts w:ascii="Arial" w:hAnsi="Arial" w:cs="Arial"/>
                <w:b/>
                <w:bCs/>
                <w:sz w:val="16"/>
                <w:szCs w:val="16"/>
              </w:rPr>
              <w:t xml:space="preserve">DIRECTA </w:t>
            </w:r>
            <w:r w:rsidR="00DB7027">
              <w:rPr>
                <w:rFonts w:ascii="Arial" w:hAnsi="Arial" w:cs="Arial"/>
                <w:b/>
                <w:bCs/>
                <w:sz w:val="16"/>
                <w:szCs w:val="16"/>
              </w:rPr>
              <w:t xml:space="preserve">JADE COMPARE </w:t>
            </w:r>
            <w:r>
              <w:rPr>
                <w:rFonts w:ascii="Arial" w:hAnsi="Arial" w:cs="Arial"/>
                <w:b/>
                <w:bCs/>
                <w:sz w:val="16"/>
                <w:szCs w:val="16"/>
              </w:rPr>
              <w:t>Dupilumab-Abrocitinib 200 mg</w:t>
            </w:r>
          </w:p>
        </w:tc>
      </w:tr>
      <w:tr w:rsidR="00ED735F" w14:paraId="5236C76C" w14:textId="77777777" w:rsidTr="00736CD4">
        <w:trPr>
          <w:trHeight w:val="505"/>
        </w:trPr>
        <w:tc>
          <w:tcPr>
            <w:tcW w:w="336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CF2086A"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Variable</w:t>
            </w:r>
          </w:p>
        </w:tc>
        <w:tc>
          <w:tcPr>
            <w:tcW w:w="3496" w:type="dxa"/>
            <w:gridSpan w:val="4"/>
            <w:tcBorders>
              <w:top w:val="single" w:sz="4" w:space="0" w:color="auto"/>
              <w:left w:val="nil"/>
              <w:bottom w:val="single" w:sz="4" w:space="0" w:color="auto"/>
              <w:right w:val="single" w:sz="4" w:space="0" w:color="auto"/>
            </w:tcBorders>
            <w:shd w:val="clear" w:color="000000" w:fill="D9D9D9"/>
            <w:vAlign w:val="center"/>
            <w:hideMark/>
          </w:tcPr>
          <w:p w14:paraId="1C39CADD"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de-DE"/>
              </w:rPr>
              <w:t>Diferencia de respuesta (IC 95%)</w:t>
            </w:r>
          </w:p>
        </w:tc>
        <w:tc>
          <w:tcPr>
            <w:tcW w:w="1641" w:type="dxa"/>
            <w:gridSpan w:val="2"/>
            <w:tcBorders>
              <w:top w:val="nil"/>
              <w:left w:val="nil"/>
              <w:bottom w:val="single" w:sz="4" w:space="0" w:color="auto"/>
              <w:right w:val="single" w:sz="4" w:space="0" w:color="auto"/>
            </w:tcBorders>
            <w:shd w:val="clear" w:color="000000" w:fill="E7E6E6"/>
            <w:noWrap/>
            <w:vAlign w:val="center"/>
            <w:hideMark/>
          </w:tcPr>
          <w:p w14:paraId="7028399A" w14:textId="77777777" w:rsidR="00ED735F" w:rsidRDefault="00ED735F" w:rsidP="00ED735F">
            <w:pPr>
              <w:jc w:val="center"/>
              <w:rPr>
                <w:rFonts w:ascii="Calibri" w:hAnsi="Calibri" w:cs="Calibri"/>
                <w:color w:val="000000"/>
                <w:sz w:val="22"/>
                <w:szCs w:val="22"/>
              </w:rPr>
            </w:pPr>
            <w:r>
              <w:rPr>
                <w:rFonts w:ascii="Calibri" w:hAnsi="Calibri" w:cs="Calibri"/>
                <w:color w:val="000000"/>
                <w:sz w:val="22"/>
                <w:szCs w:val="22"/>
              </w:rPr>
              <w:t>P</w:t>
            </w:r>
          </w:p>
        </w:tc>
      </w:tr>
      <w:tr w:rsidR="00ED735F" w14:paraId="12701257" w14:textId="77777777" w:rsidTr="00ED735F">
        <w:trPr>
          <w:trHeight w:val="336"/>
        </w:trPr>
        <w:tc>
          <w:tcPr>
            <w:tcW w:w="3363" w:type="dxa"/>
            <w:gridSpan w:val="2"/>
            <w:tcBorders>
              <w:top w:val="single" w:sz="4" w:space="0" w:color="auto"/>
              <w:left w:val="single" w:sz="4" w:space="0" w:color="auto"/>
              <w:bottom w:val="single" w:sz="4" w:space="0" w:color="auto"/>
              <w:right w:val="single" w:sz="4" w:space="0" w:color="auto"/>
            </w:tcBorders>
            <w:vAlign w:val="bottom"/>
            <w:hideMark/>
          </w:tcPr>
          <w:p w14:paraId="1A8D6B74"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EASI 75</w:t>
            </w:r>
          </w:p>
        </w:tc>
        <w:tc>
          <w:tcPr>
            <w:tcW w:w="1824" w:type="dxa"/>
            <w:gridSpan w:val="2"/>
            <w:tcBorders>
              <w:top w:val="nil"/>
              <w:left w:val="nil"/>
              <w:bottom w:val="single" w:sz="4" w:space="0" w:color="auto"/>
              <w:right w:val="single" w:sz="4" w:space="0" w:color="auto"/>
            </w:tcBorders>
            <w:shd w:val="clear" w:color="000000" w:fill="FFFFFF"/>
            <w:vAlign w:val="bottom"/>
          </w:tcPr>
          <w:p w14:paraId="3E60063A" w14:textId="77777777" w:rsidR="00ED735F" w:rsidRDefault="00DB7027" w:rsidP="00ED735F">
            <w:pPr>
              <w:jc w:val="center"/>
              <w:rPr>
                <w:rFonts w:ascii="Arial" w:hAnsi="Arial" w:cs="Arial"/>
                <w:color w:val="000000"/>
                <w:sz w:val="16"/>
                <w:szCs w:val="16"/>
              </w:rPr>
            </w:pPr>
            <w:r>
              <w:rPr>
                <w:rFonts w:ascii="Arial" w:hAnsi="Arial" w:cs="Arial"/>
                <w:color w:val="000000"/>
                <w:sz w:val="16"/>
                <w:szCs w:val="16"/>
              </w:rPr>
              <w:t>5,5</w:t>
            </w:r>
          </w:p>
        </w:tc>
        <w:tc>
          <w:tcPr>
            <w:tcW w:w="1672" w:type="dxa"/>
            <w:gridSpan w:val="2"/>
            <w:tcBorders>
              <w:top w:val="nil"/>
              <w:left w:val="nil"/>
              <w:bottom w:val="single" w:sz="4" w:space="0" w:color="auto"/>
              <w:right w:val="single" w:sz="4" w:space="0" w:color="auto"/>
            </w:tcBorders>
            <w:shd w:val="clear" w:color="000000" w:fill="FFFFFF"/>
            <w:vAlign w:val="bottom"/>
          </w:tcPr>
          <w:p w14:paraId="04DBA4AF" w14:textId="77777777" w:rsidR="00ED735F" w:rsidRDefault="00DB7027" w:rsidP="00ED735F">
            <w:pPr>
              <w:jc w:val="center"/>
              <w:rPr>
                <w:rFonts w:ascii="Arial" w:hAnsi="Arial" w:cs="Arial"/>
                <w:color w:val="000000"/>
                <w:sz w:val="16"/>
                <w:szCs w:val="16"/>
              </w:rPr>
            </w:pPr>
            <w:r>
              <w:rPr>
                <w:rFonts w:ascii="Arial" w:hAnsi="Arial" w:cs="Arial"/>
                <w:color w:val="000000"/>
                <w:sz w:val="16"/>
                <w:szCs w:val="16"/>
              </w:rPr>
              <w:t>(-3;14)</w:t>
            </w:r>
          </w:p>
        </w:tc>
        <w:tc>
          <w:tcPr>
            <w:tcW w:w="1641" w:type="dxa"/>
            <w:gridSpan w:val="2"/>
            <w:tcBorders>
              <w:top w:val="nil"/>
              <w:left w:val="nil"/>
              <w:bottom w:val="single" w:sz="4" w:space="0" w:color="auto"/>
              <w:right w:val="single" w:sz="4" w:space="0" w:color="auto"/>
            </w:tcBorders>
            <w:shd w:val="clear" w:color="000000" w:fill="FFFFFF"/>
            <w:vAlign w:val="bottom"/>
          </w:tcPr>
          <w:p w14:paraId="7949773B" w14:textId="77777777" w:rsidR="00ED735F" w:rsidRDefault="003947BF"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0C2E694E" w14:textId="77777777" w:rsidTr="00ED735F">
        <w:trPr>
          <w:trHeight w:val="336"/>
        </w:trPr>
        <w:tc>
          <w:tcPr>
            <w:tcW w:w="3363" w:type="dxa"/>
            <w:gridSpan w:val="2"/>
            <w:tcBorders>
              <w:top w:val="single" w:sz="4" w:space="0" w:color="auto"/>
              <w:left w:val="single" w:sz="4" w:space="0" w:color="auto"/>
              <w:bottom w:val="single" w:sz="4" w:space="0" w:color="auto"/>
              <w:right w:val="single" w:sz="4" w:space="0" w:color="auto"/>
            </w:tcBorders>
            <w:vAlign w:val="bottom"/>
            <w:hideMark/>
          </w:tcPr>
          <w:p w14:paraId="707C497A"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IGA 0/1</w:t>
            </w:r>
          </w:p>
        </w:tc>
        <w:tc>
          <w:tcPr>
            <w:tcW w:w="1824" w:type="dxa"/>
            <w:gridSpan w:val="2"/>
            <w:tcBorders>
              <w:top w:val="nil"/>
              <w:left w:val="nil"/>
              <w:bottom w:val="single" w:sz="4" w:space="0" w:color="auto"/>
              <w:right w:val="single" w:sz="4" w:space="0" w:color="auto"/>
            </w:tcBorders>
            <w:shd w:val="clear" w:color="000000" w:fill="FFFFFF"/>
            <w:vAlign w:val="bottom"/>
          </w:tcPr>
          <w:p w14:paraId="6B1BBE29" w14:textId="77777777" w:rsidR="00ED735F" w:rsidRDefault="003947BF" w:rsidP="00ED735F">
            <w:pPr>
              <w:jc w:val="center"/>
              <w:rPr>
                <w:rFonts w:ascii="Arial" w:hAnsi="Arial" w:cs="Arial"/>
                <w:color w:val="000000"/>
                <w:sz w:val="16"/>
                <w:szCs w:val="16"/>
              </w:rPr>
            </w:pPr>
            <w:r>
              <w:rPr>
                <w:rFonts w:ascii="Arial" w:hAnsi="Arial" w:cs="Arial"/>
                <w:color w:val="000000"/>
                <w:sz w:val="16"/>
                <w:szCs w:val="16"/>
              </w:rPr>
              <w:t>9</w:t>
            </w:r>
          </w:p>
        </w:tc>
        <w:tc>
          <w:tcPr>
            <w:tcW w:w="1672" w:type="dxa"/>
            <w:gridSpan w:val="2"/>
            <w:tcBorders>
              <w:top w:val="nil"/>
              <w:left w:val="nil"/>
              <w:bottom w:val="single" w:sz="4" w:space="0" w:color="auto"/>
              <w:right w:val="single" w:sz="4" w:space="0" w:color="auto"/>
            </w:tcBorders>
            <w:shd w:val="clear" w:color="000000" w:fill="FFFFFF"/>
            <w:vAlign w:val="bottom"/>
          </w:tcPr>
          <w:p w14:paraId="225B1A04" w14:textId="77777777" w:rsidR="003947BF" w:rsidRDefault="003947BF" w:rsidP="003947BF">
            <w:pPr>
              <w:jc w:val="center"/>
              <w:rPr>
                <w:rFonts w:ascii="Arial" w:hAnsi="Arial" w:cs="Arial"/>
                <w:color w:val="000000"/>
                <w:sz w:val="16"/>
                <w:szCs w:val="16"/>
              </w:rPr>
            </w:pPr>
            <w:r>
              <w:rPr>
                <w:rFonts w:ascii="Arial" w:hAnsi="Arial" w:cs="Arial"/>
                <w:color w:val="000000"/>
                <w:sz w:val="16"/>
                <w:szCs w:val="16"/>
              </w:rPr>
              <w:t>(0,18)</w:t>
            </w:r>
          </w:p>
        </w:tc>
        <w:tc>
          <w:tcPr>
            <w:tcW w:w="1641" w:type="dxa"/>
            <w:gridSpan w:val="2"/>
            <w:tcBorders>
              <w:top w:val="nil"/>
              <w:left w:val="nil"/>
              <w:bottom w:val="single" w:sz="4" w:space="0" w:color="auto"/>
              <w:right w:val="single" w:sz="4" w:space="0" w:color="auto"/>
            </w:tcBorders>
            <w:shd w:val="clear" w:color="000000" w:fill="FFFFFF"/>
            <w:vAlign w:val="bottom"/>
          </w:tcPr>
          <w:p w14:paraId="1C01CD51" w14:textId="77777777" w:rsidR="00ED735F" w:rsidRDefault="003947BF"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7C562B24" w14:textId="77777777" w:rsidTr="00ED735F">
        <w:trPr>
          <w:trHeight w:val="336"/>
        </w:trPr>
        <w:tc>
          <w:tcPr>
            <w:tcW w:w="3363" w:type="dxa"/>
            <w:gridSpan w:val="2"/>
            <w:tcBorders>
              <w:top w:val="single" w:sz="4" w:space="0" w:color="auto"/>
              <w:left w:val="single" w:sz="4" w:space="0" w:color="auto"/>
              <w:bottom w:val="single" w:sz="4" w:space="0" w:color="auto"/>
              <w:right w:val="single" w:sz="4" w:space="0" w:color="auto"/>
            </w:tcBorders>
            <w:vAlign w:val="bottom"/>
            <w:hideMark/>
          </w:tcPr>
          <w:p w14:paraId="6B8A96BF"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PP-NRS</w:t>
            </w:r>
            <w:r>
              <w:rPr>
                <w:rFonts w:ascii="Calibri" w:hAnsi="Calibri" w:cs="Calibri"/>
                <w:color w:val="000000"/>
                <w:sz w:val="16"/>
                <w:szCs w:val="16"/>
                <w:lang w:val="sv-SE"/>
              </w:rPr>
              <w:t>≥</w:t>
            </w:r>
            <w:r>
              <w:rPr>
                <w:rFonts w:ascii="Arial" w:hAnsi="Arial" w:cs="Arial"/>
                <w:color w:val="000000"/>
                <w:sz w:val="16"/>
                <w:szCs w:val="16"/>
                <w:lang w:val="sv-SE"/>
              </w:rPr>
              <w:t>4</w:t>
            </w:r>
          </w:p>
        </w:tc>
        <w:tc>
          <w:tcPr>
            <w:tcW w:w="1824" w:type="dxa"/>
            <w:gridSpan w:val="2"/>
            <w:tcBorders>
              <w:top w:val="nil"/>
              <w:left w:val="nil"/>
              <w:bottom w:val="single" w:sz="4" w:space="0" w:color="auto"/>
              <w:right w:val="single" w:sz="4" w:space="0" w:color="auto"/>
            </w:tcBorders>
            <w:noWrap/>
            <w:vAlign w:val="bottom"/>
          </w:tcPr>
          <w:p w14:paraId="3EC60D2E" w14:textId="77777777" w:rsidR="00ED735F" w:rsidRDefault="003947BF" w:rsidP="00ED735F">
            <w:pPr>
              <w:jc w:val="center"/>
              <w:rPr>
                <w:rFonts w:ascii="Arial" w:hAnsi="Arial" w:cs="Arial"/>
                <w:color w:val="000000"/>
                <w:sz w:val="16"/>
                <w:szCs w:val="16"/>
              </w:rPr>
            </w:pPr>
            <w:r>
              <w:rPr>
                <w:rFonts w:ascii="Arial" w:hAnsi="Arial" w:cs="Arial"/>
                <w:color w:val="000000"/>
                <w:sz w:val="16"/>
                <w:szCs w:val="16"/>
              </w:rPr>
              <w:t>6</w:t>
            </w:r>
          </w:p>
        </w:tc>
        <w:tc>
          <w:tcPr>
            <w:tcW w:w="1672" w:type="dxa"/>
            <w:gridSpan w:val="2"/>
            <w:tcBorders>
              <w:top w:val="nil"/>
              <w:left w:val="nil"/>
              <w:bottom w:val="single" w:sz="4" w:space="0" w:color="auto"/>
              <w:right w:val="single" w:sz="4" w:space="0" w:color="auto"/>
            </w:tcBorders>
            <w:shd w:val="clear" w:color="000000" w:fill="FFFFFF"/>
            <w:vAlign w:val="bottom"/>
          </w:tcPr>
          <w:p w14:paraId="4EF477D9" w14:textId="77777777" w:rsidR="00ED735F" w:rsidRDefault="003947BF" w:rsidP="00ED735F">
            <w:pPr>
              <w:jc w:val="center"/>
              <w:rPr>
                <w:rFonts w:ascii="Arial" w:hAnsi="Arial" w:cs="Arial"/>
                <w:color w:val="000000"/>
                <w:sz w:val="16"/>
                <w:szCs w:val="16"/>
              </w:rPr>
            </w:pPr>
            <w:r>
              <w:rPr>
                <w:rFonts w:ascii="Arial" w:hAnsi="Arial" w:cs="Arial"/>
                <w:color w:val="000000"/>
                <w:sz w:val="16"/>
                <w:szCs w:val="16"/>
              </w:rPr>
              <w:t>(-3;14)</w:t>
            </w:r>
          </w:p>
        </w:tc>
        <w:tc>
          <w:tcPr>
            <w:tcW w:w="1641" w:type="dxa"/>
            <w:gridSpan w:val="2"/>
            <w:tcBorders>
              <w:top w:val="nil"/>
              <w:left w:val="nil"/>
              <w:bottom w:val="single" w:sz="4" w:space="0" w:color="auto"/>
              <w:right w:val="single" w:sz="4" w:space="0" w:color="auto"/>
            </w:tcBorders>
            <w:shd w:val="clear" w:color="000000" w:fill="FFFFFF"/>
            <w:vAlign w:val="bottom"/>
          </w:tcPr>
          <w:p w14:paraId="13A6AD61" w14:textId="77777777" w:rsidR="00ED735F" w:rsidRDefault="003947BF"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7CA70149" w14:textId="77777777" w:rsidTr="00736CD4">
        <w:trPr>
          <w:trHeight w:val="336"/>
        </w:trPr>
        <w:tc>
          <w:tcPr>
            <w:tcW w:w="8500" w:type="dxa"/>
            <w:gridSpan w:val="8"/>
            <w:tcBorders>
              <w:top w:val="single" w:sz="4" w:space="0" w:color="auto"/>
              <w:left w:val="single" w:sz="4" w:space="0" w:color="auto"/>
              <w:bottom w:val="single" w:sz="4" w:space="0" w:color="auto"/>
              <w:right w:val="single" w:sz="4" w:space="0" w:color="auto"/>
            </w:tcBorders>
            <w:shd w:val="clear" w:color="000000" w:fill="8FF9BF"/>
            <w:vAlign w:val="center"/>
            <w:hideMark/>
          </w:tcPr>
          <w:p w14:paraId="10C1FA2B" w14:textId="77777777" w:rsidR="00ED735F" w:rsidRDefault="00ED735F" w:rsidP="00ED735F">
            <w:pPr>
              <w:jc w:val="center"/>
              <w:rPr>
                <w:rFonts w:ascii="Arial" w:hAnsi="Arial" w:cs="Arial"/>
                <w:b/>
                <w:bCs/>
                <w:color w:val="000000"/>
                <w:sz w:val="16"/>
                <w:szCs w:val="16"/>
              </w:rPr>
            </w:pPr>
            <w:r>
              <w:rPr>
                <w:rFonts w:ascii="Arial" w:hAnsi="Arial" w:cs="Arial"/>
                <w:b/>
                <w:bCs/>
                <w:sz w:val="16"/>
                <w:szCs w:val="16"/>
              </w:rPr>
              <w:t>Comparación indirecta ajustada Dupilumab-Upadacitinib 15 mg</w:t>
            </w:r>
          </w:p>
        </w:tc>
      </w:tr>
      <w:tr w:rsidR="00ED735F" w14:paraId="3BAE5713" w14:textId="77777777" w:rsidTr="00736CD4">
        <w:trPr>
          <w:trHeight w:val="521"/>
        </w:trPr>
        <w:tc>
          <w:tcPr>
            <w:tcW w:w="336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DE93A2B"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Variable</w:t>
            </w:r>
          </w:p>
        </w:tc>
        <w:tc>
          <w:tcPr>
            <w:tcW w:w="3496" w:type="dxa"/>
            <w:gridSpan w:val="4"/>
            <w:tcBorders>
              <w:top w:val="single" w:sz="4" w:space="0" w:color="auto"/>
              <w:left w:val="nil"/>
              <w:bottom w:val="single" w:sz="4" w:space="0" w:color="auto"/>
              <w:right w:val="single" w:sz="4" w:space="0" w:color="auto"/>
            </w:tcBorders>
            <w:shd w:val="clear" w:color="000000" w:fill="D9D9D9"/>
            <w:vAlign w:val="center"/>
            <w:hideMark/>
          </w:tcPr>
          <w:p w14:paraId="676945C8"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de-DE"/>
              </w:rPr>
              <w:t>Diferencia de respuesta (IC 95%)</w:t>
            </w:r>
          </w:p>
        </w:tc>
        <w:tc>
          <w:tcPr>
            <w:tcW w:w="1641" w:type="dxa"/>
            <w:gridSpan w:val="2"/>
            <w:tcBorders>
              <w:top w:val="nil"/>
              <w:left w:val="nil"/>
              <w:bottom w:val="single" w:sz="4" w:space="0" w:color="auto"/>
              <w:right w:val="single" w:sz="4" w:space="0" w:color="auto"/>
            </w:tcBorders>
            <w:shd w:val="clear" w:color="000000" w:fill="E7E6E6"/>
            <w:noWrap/>
            <w:vAlign w:val="center"/>
            <w:hideMark/>
          </w:tcPr>
          <w:p w14:paraId="4CA6F268" w14:textId="77777777" w:rsidR="00ED735F" w:rsidRDefault="00ED735F" w:rsidP="00ED735F">
            <w:pPr>
              <w:jc w:val="center"/>
              <w:rPr>
                <w:rFonts w:ascii="Calibri" w:hAnsi="Calibri" w:cs="Calibri"/>
                <w:color w:val="000000"/>
                <w:sz w:val="22"/>
                <w:szCs w:val="22"/>
              </w:rPr>
            </w:pPr>
            <w:r>
              <w:rPr>
                <w:rFonts w:ascii="Calibri" w:hAnsi="Calibri" w:cs="Calibri"/>
                <w:color w:val="000000"/>
                <w:sz w:val="22"/>
                <w:szCs w:val="22"/>
              </w:rPr>
              <w:t>P</w:t>
            </w:r>
          </w:p>
        </w:tc>
      </w:tr>
      <w:tr w:rsidR="00ED735F" w14:paraId="5312CE62" w14:textId="77777777" w:rsidTr="00736CD4">
        <w:trPr>
          <w:trHeight w:val="336"/>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2A4F3ED5"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EASI 75</w:t>
            </w:r>
          </w:p>
        </w:tc>
        <w:tc>
          <w:tcPr>
            <w:tcW w:w="1824" w:type="dxa"/>
            <w:gridSpan w:val="2"/>
            <w:tcBorders>
              <w:top w:val="nil"/>
              <w:left w:val="nil"/>
              <w:bottom w:val="single" w:sz="4" w:space="0" w:color="auto"/>
              <w:right w:val="single" w:sz="4" w:space="0" w:color="auto"/>
            </w:tcBorders>
            <w:shd w:val="clear" w:color="000000" w:fill="FFFFFF"/>
            <w:vAlign w:val="center"/>
            <w:hideMark/>
          </w:tcPr>
          <w:p w14:paraId="3D2A3D6E"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-8</w:t>
            </w:r>
          </w:p>
        </w:tc>
        <w:tc>
          <w:tcPr>
            <w:tcW w:w="1672" w:type="dxa"/>
            <w:gridSpan w:val="2"/>
            <w:tcBorders>
              <w:top w:val="nil"/>
              <w:left w:val="nil"/>
              <w:bottom w:val="single" w:sz="4" w:space="0" w:color="auto"/>
              <w:right w:val="single" w:sz="4" w:space="0" w:color="auto"/>
            </w:tcBorders>
            <w:shd w:val="clear" w:color="000000" w:fill="FFFFFF"/>
            <w:vAlign w:val="center"/>
            <w:hideMark/>
          </w:tcPr>
          <w:p w14:paraId="18838CD0"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(-20;4)</w:t>
            </w:r>
          </w:p>
        </w:tc>
        <w:tc>
          <w:tcPr>
            <w:tcW w:w="1641" w:type="dxa"/>
            <w:gridSpan w:val="2"/>
            <w:tcBorders>
              <w:top w:val="nil"/>
              <w:left w:val="nil"/>
              <w:bottom w:val="single" w:sz="4" w:space="0" w:color="auto"/>
              <w:right w:val="single" w:sz="4" w:space="0" w:color="auto"/>
            </w:tcBorders>
            <w:shd w:val="clear" w:color="000000" w:fill="FFFFFF"/>
            <w:vAlign w:val="center"/>
            <w:hideMark/>
          </w:tcPr>
          <w:p w14:paraId="09BDD7F7"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00CE27D9" w14:textId="77777777" w:rsidTr="00736CD4">
        <w:trPr>
          <w:trHeight w:val="336"/>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13847386"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IGA 0/1</w:t>
            </w:r>
          </w:p>
        </w:tc>
        <w:tc>
          <w:tcPr>
            <w:tcW w:w="1824" w:type="dxa"/>
            <w:gridSpan w:val="2"/>
            <w:tcBorders>
              <w:top w:val="nil"/>
              <w:left w:val="nil"/>
              <w:bottom w:val="single" w:sz="4" w:space="0" w:color="auto"/>
              <w:right w:val="single" w:sz="4" w:space="0" w:color="auto"/>
            </w:tcBorders>
            <w:shd w:val="clear" w:color="000000" w:fill="FFFFFF"/>
            <w:vAlign w:val="center"/>
            <w:hideMark/>
          </w:tcPr>
          <w:p w14:paraId="5B50A110"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3</w:t>
            </w:r>
          </w:p>
        </w:tc>
        <w:tc>
          <w:tcPr>
            <w:tcW w:w="1672" w:type="dxa"/>
            <w:gridSpan w:val="2"/>
            <w:tcBorders>
              <w:top w:val="nil"/>
              <w:left w:val="nil"/>
              <w:bottom w:val="single" w:sz="4" w:space="0" w:color="auto"/>
              <w:right w:val="single" w:sz="4" w:space="0" w:color="auto"/>
            </w:tcBorders>
            <w:shd w:val="clear" w:color="000000" w:fill="FFFFFF"/>
            <w:vAlign w:val="center"/>
            <w:hideMark/>
          </w:tcPr>
          <w:p w14:paraId="3F3FC44B"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(-8;14)</w:t>
            </w:r>
          </w:p>
        </w:tc>
        <w:tc>
          <w:tcPr>
            <w:tcW w:w="1641" w:type="dxa"/>
            <w:gridSpan w:val="2"/>
            <w:tcBorders>
              <w:top w:val="nil"/>
              <w:left w:val="nil"/>
              <w:bottom w:val="single" w:sz="4" w:space="0" w:color="auto"/>
              <w:right w:val="single" w:sz="4" w:space="0" w:color="auto"/>
            </w:tcBorders>
            <w:shd w:val="clear" w:color="000000" w:fill="FFFFFF"/>
            <w:vAlign w:val="center"/>
            <w:hideMark/>
          </w:tcPr>
          <w:p w14:paraId="0C5A5727"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74C33350" w14:textId="77777777" w:rsidTr="00736CD4">
        <w:trPr>
          <w:trHeight w:val="336"/>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7FDB578A"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PP-NRS</w:t>
            </w:r>
            <w:r>
              <w:rPr>
                <w:rFonts w:ascii="Calibri" w:hAnsi="Calibri" w:cs="Calibri"/>
                <w:color w:val="000000"/>
                <w:sz w:val="16"/>
                <w:szCs w:val="16"/>
                <w:lang w:val="sv-SE"/>
              </w:rPr>
              <w:t>≥</w:t>
            </w:r>
            <w:r>
              <w:rPr>
                <w:rFonts w:ascii="Arial" w:hAnsi="Arial" w:cs="Arial"/>
                <w:color w:val="000000"/>
                <w:sz w:val="16"/>
                <w:szCs w:val="16"/>
                <w:lang w:val="sv-SE"/>
              </w:rPr>
              <w:t>4</w:t>
            </w:r>
          </w:p>
        </w:tc>
        <w:tc>
          <w:tcPr>
            <w:tcW w:w="1824" w:type="dxa"/>
            <w:gridSpan w:val="2"/>
            <w:tcBorders>
              <w:top w:val="nil"/>
              <w:left w:val="nil"/>
              <w:bottom w:val="single" w:sz="4" w:space="0" w:color="auto"/>
              <w:right w:val="single" w:sz="4" w:space="0" w:color="auto"/>
            </w:tcBorders>
            <w:shd w:val="clear" w:color="000000" w:fill="FFFFFF"/>
            <w:noWrap/>
            <w:vAlign w:val="center"/>
            <w:hideMark/>
          </w:tcPr>
          <w:p w14:paraId="1CBA53AE"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-2</w:t>
            </w:r>
          </w:p>
        </w:tc>
        <w:tc>
          <w:tcPr>
            <w:tcW w:w="1672" w:type="dxa"/>
            <w:gridSpan w:val="2"/>
            <w:tcBorders>
              <w:top w:val="nil"/>
              <w:left w:val="nil"/>
              <w:bottom w:val="single" w:sz="4" w:space="0" w:color="auto"/>
              <w:right w:val="single" w:sz="4" w:space="0" w:color="auto"/>
            </w:tcBorders>
            <w:shd w:val="clear" w:color="000000" w:fill="FFFFFF"/>
            <w:vAlign w:val="center"/>
            <w:hideMark/>
          </w:tcPr>
          <w:p w14:paraId="3328F3AF"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(-15;11)</w:t>
            </w:r>
          </w:p>
        </w:tc>
        <w:tc>
          <w:tcPr>
            <w:tcW w:w="1641" w:type="dxa"/>
            <w:gridSpan w:val="2"/>
            <w:tcBorders>
              <w:top w:val="nil"/>
              <w:left w:val="nil"/>
              <w:bottom w:val="single" w:sz="4" w:space="0" w:color="auto"/>
              <w:right w:val="single" w:sz="4" w:space="0" w:color="auto"/>
            </w:tcBorders>
            <w:shd w:val="clear" w:color="000000" w:fill="FFFFFF"/>
            <w:vAlign w:val="center"/>
            <w:hideMark/>
          </w:tcPr>
          <w:p w14:paraId="45194043"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7CA378E7" w14:textId="77777777" w:rsidTr="00736CD4">
        <w:trPr>
          <w:trHeight w:val="336"/>
        </w:trPr>
        <w:tc>
          <w:tcPr>
            <w:tcW w:w="8500" w:type="dxa"/>
            <w:gridSpan w:val="8"/>
            <w:tcBorders>
              <w:top w:val="single" w:sz="4" w:space="0" w:color="auto"/>
              <w:left w:val="single" w:sz="4" w:space="0" w:color="auto"/>
              <w:bottom w:val="single" w:sz="4" w:space="0" w:color="auto"/>
              <w:right w:val="single" w:sz="4" w:space="0" w:color="auto"/>
            </w:tcBorders>
            <w:shd w:val="clear" w:color="000000" w:fill="8FF9BF"/>
            <w:vAlign w:val="center"/>
            <w:hideMark/>
          </w:tcPr>
          <w:p w14:paraId="7F947041" w14:textId="77777777" w:rsidR="00ED735F" w:rsidRDefault="00ED735F" w:rsidP="00ED735F">
            <w:pPr>
              <w:jc w:val="center"/>
              <w:rPr>
                <w:rFonts w:ascii="Arial" w:hAnsi="Arial" w:cs="Arial"/>
                <w:b/>
                <w:bCs/>
                <w:color w:val="000000"/>
                <w:sz w:val="16"/>
                <w:szCs w:val="16"/>
              </w:rPr>
            </w:pPr>
            <w:r>
              <w:rPr>
                <w:rFonts w:ascii="Arial" w:hAnsi="Arial" w:cs="Arial"/>
                <w:b/>
                <w:bCs/>
                <w:sz w:val="16"/>
                <w:szCs w:val="16"/>
              </w:rPr>
              <w:t>Comparación indirecta ajustada Dupilumab-Upadacitinib 30 mg</w:t>
            </w:r>
          </w:p>
        </w:tc>
      </w:tr>
      <w:tr w:rsidR="00ED735F" w14:paraId="241F4A09" w14:textId="77777777" w:rsidTr="00736CD4">
        <w:trPr>
          <w:trHeight w:val="521"/>
        </w:trPr>
        <w:tc>
          <w:tcPr>
            <w:tcW w:w="336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6622989"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Variable</w:t>
            </w:r>
          </w:p>
        </w:tc>
        <w:tc>
          <w:tcPr>
            <w:tcW w:w="3496" w:type="dxa"/>
            <w:gridSpan w:val="4"/>
            <w:tcBorders>
              <w:top w:val="single" w:sz="4" w:space="0" w:color="auto"/>
              <w:left w:val="nil"/>
              <w:bottom w:val="single" w:sz="4" w:space="0" w:color="auto"/>
              <w:right w:val="single" w:sz="4" w:space="0" w:color="auto"/>
            </w:tcBorders>
            <w:shd w:val="clear" w:color="000000" w:fill="D9D9D9"/>
            <w:vAlign w:val="center"/>
            <w:hideMark/>
          </w:tcPr>
          <w:p w14:paraId="1EE02ABD"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de-DE"/>
              </w:rPr>
              <w:t>Diferencia de respuesta (IC 95%)</w:t>
            </w:r>
          </w:p>
        </w:tc>
        <w:tc>
          <w:tcPr>
            <w:tcW w:w="1641" w:type="dxa"/>
            <w:gridSpan w:val="2"/>
            <w:tcBorders>
              <w:top w:val="nil"/>
              <w:left w:val="nil"/>
              <w:bottom w:val="single" w:sz="4" w:space="0" w:color="auto"/>
              <w:right w:val="single" w:sz="4" w:space="0" w:color="auto"/>
            </w:tcBorders>
            <w:shd w:val="clear" w:color="000000" w:fill="E7E6E6"/>
            <w:noWrap/>
            <w:vAlign w:val="center"/>
            <w:hideMark/>
          </w:tcPr>
          <w:p w14:paraId="18D45075" w14:textId="77777777" w:rsidR="00ED735F" w:rsidRDefault="00ED735F" w:rsidP="00ED735F">
            <w:pPr>
              <w:jc w:val="center"/>
              <w:rPr>
                <w:rFonts w:ascii="Calibri" w:hAnsi="Calibri" w:cs="Calibri"/>
                <w:color w:val="000000"/>
                <w:sz w:val="22"/>
                <w:szCs w:val="22"/>
              </w:rPr>
            </w:pPr>
            <w:r>
              <w:rPr>
                <w:rFonts w:ascii="Calibri" w:hAnsi="Calibri" w:cs="Calibri"/>
                <w:color w:val="000000"/>
                <w:sz w:val="22"/>
                <w:szCs w:val="22"/>
              </w:rPr>
              <w:t>P</w:t>
            </w:r>
          </w:p>
        </w:tc>
      </w:tr>
      <w:tr w:rsidR="00ED735F" w14:paraId="4F58D4CF" w14:textId="77777777" w:rsidTr="00736CD4">
        <w:trPr>
          <w:trHeight w:val="336"/>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5F67F137"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EASI 75</w:t>
            </w:r>
          </w:p>
        </w:tc>
        <w:tc>
          <w:tcPr>
            <w:tcW w:w="1824" w:type="dxa"/>
            <w:gridSpan w:val="2"/>
            <w:tcBorders>
              <w:top w:val="nil"/>
              <w:left w:val="nil"/>
              <w:bottom w:val="single" w:sz="4" w:space="0" w:color="auto"/>
              <w:right w:val="single" w:sz="4" w:space="0" w:color="auto"/>
            </w:tcBorders>
            <w:shd w:val="clear" w:color="000000" w:fill="FFFFFF"/>
            <w:vAlign w:val="center"/>
            <w:hideMark/>
          </w:tcPr>
          <w:p w14:paraId="319DC2CB"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5</w:t>
            </w:r>
          </w:p>
        </w:tc>
        <w:tc>
          <w:tcPr>
            <w:tcW w:w="1672" w:type="dxa"/>
            <w:gridSpan w:val="2"/>
            <w:tcBorders>
              <w:top w:val="nil"/>
              <w:left w:val="nil"/>
              <w:bottom w:val="single" w:sz="4" w:space="0" w:color="auto"/>
              <w:right w:val="single" w:sz="4" w:space="0" w:color="auto"/>
            </w:tcBorders>
            <w:shd w:val="clear" w:color="000000" w:fill="FFFFFF"/>
            <w:vAlign w:val="center"/>
            <w:hideMark/>
          </w:tcPr>
          <w:p w14:paraId="0C46AA3C"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(-7;17)</w:t>
            </w:r>
          </w:p>
        </w:tc>
        <w:tc>
          <w:tcPr>
            <w:tcW w:w="1641" w:type="dxa"/>
            <w:gridSpan w:val="2"/>
            <w:tcBorders>
              <w:top w:val="nil"/>
              <w:left w:val="nil"/>
              <w:bottom w:val="single" w:sz="4" w:space="0" w:color="auto"/>
              <w:right w:val="single" w:sz="4" w:space="0" w:color="auto"/>
            </w:tcBorders>
            <w:shd w:val="clear" w:color="000000" w:fill="FFFFFF"/>
            <w:vAlign w:val="center"/>
            <w:hideMark/>
          </w:tcPr>
          <w:p w14:paraId="0DFD7406"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7169ABA0" w14:textId="77777777" w:rsidTr="00736CD4">
        <w:trPr>
          <w:trHeight w:val="336"/>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1DE8DFBE"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IGA 0/1</w:t>
            </w:r>
          </w:p>
        </w:tc>
        <w:tc>
          <w:tcPr>
            <w:tcW w:w="1824" w:type="dxa"/>
            <w:gridSpan w:val="2"/>
            <w:tcBorders>
              <w:top w:val="nil"/>
              <w:left w:val="nil"/>
              <w:bottom w:val="single" w:sz="4" w:space="0" w:color="auto"/>
              <w:right w:val="single" w:sz="4" w:space="0" w:color="auto"/>
            </w:tcBorders>
            <w:shd w:val="clear" w:color="000000" w:fill="FFFFFF"/>
            <w:vAlign w:val="center"/>
            <w:hideMark/>
          </w:tcPr>
          <w:p w14:paraId="09DC4E00"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22</w:t>
            </w:r>
          </w:p>
        </w:tc>
        <w:tc>
          <w:tcPr>
            <w:tcW w:w="1672" w:type="dxa"/>
            <w:gridSpan w:val="2"/>
            <w:tcBorders>
              <w:top w:val="nil"/>
              <w:left w:val="nil"/>
              <w:bottom w:val="single" w:sz="4" w:space="0" w:color="auto"/>
              <w:right w:val="single" w:sz="4" w:space="0" w:color="auto"/>
            </w:tcBorders>
            <w:shd w:val="clear" w:color="000000" w:fill="FFFFFF"/>
            <w:vAlign w:val="center"/>
            <w:hideMark/>
          </w:tcPr>
          <w:p w14:paraId="63A8FE89"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(10;34)</w:t>
            </w:r>
          </w:p>
        </w:tc>
        <w:tc>
          <w:tcPr>
            <w:tcW w:w="1641" w:type="dxa"/>
            <w:gridSpan w:val="2"/>
            <w:tcBorders>
              <w:top w:val="nil"/>
              <w:left w:val="nil"/>
              <w:bottom w:val="single" w:sz="4" w:space="0" w:color="auto"/>
              <w:right w:val="single" w:sz="4" w:space="0" w:color="auto"/>
            </w:tcBorders>
            <w:shd w:val="clear" w:color="000000" w:fill="FFFFFF"/>
            <w:vAlign w:val="center"/>
            <w:hideMark/>
          </w:tcPr>
          <w:p w14:paraId="6539B1DF"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p&lt;0,05</w:t>
            </w:r>
          </w:p>
        </w:tc>
      </w:tr>
      <w:tr w:rsidR="00ED735F" w14:paraId="1DA905F0" w14:textId="77777777" w:rsidTr="00736CD4">
        <w:trPr>
          <w:trHeight w:val="336"/>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7DE9FD60"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PP-NRS</w:t>
            </w:r>
            <w:r>
              <w:rPr>
                <w:rFonts w:ascii="Calibri" w:hAnsi="Calibri" w:cs="Calibri"/>
                <w:color w:val="000000"/>
                <w:sz w:val="16"/>
                <w:szCs w:val="16"/>
                <w:lang w:val="sv-SE"/>
              </w:rPr>
              <w:t>≥</w:t>
            </w:r>
            <w:r>
              <w:rPr>
                <w:rFonts w:ascii="Arial" w:hAnsi="Arial" w:cs="Arial"/>
                <w:color w:val="000000"/>
                <w:sz w:val="16"/>
                <w:szCs w:val="16"/>
                <w:lang w:val="sv-SE"/>
              </w:rPr>
              <w:t>4</w:t>
            </w:r>
          </w:p>
        </w:tc>
        <w:tc>
          <w:tcPr>
            <w:tcW w:w="1824" w:type="dxa"/>
            <w:gridSpan w:val="2"/>
            <w:tcBorders>
              <w:top w:val="nil"/>
              <w:left w:val="nil"/>
              <w:bottom w:val="single" w:sz="4" w:space="0" w:color="auto"/>
              <w:right w:val="single" w:sz="4" w:space="0" w:color="auto"/>
            </w:tcBorders>
            <w:shd w:val="clear" w:color="000000" w:fill="FFFFFF"/>
            <w:noWrap/>
            <w:vAlign w:val="center"/>
            <w:hideMark/>
          </w:tcPr>
          <w:p w14:paraId="14AA4D94"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9</w:t>
            </w:r>
          </w:p>
        </w:tc>
        <w:tc>
          <w:tcPr>
            <w:tcW w:w="1672" w:type="dxa"/>
            <w:gridSpan w:val="2"/>
            <w:tcBorders>
              <w:top w:val="nil"/>
              <w:left w:val="nil"/>
              <w:bottom w:val="single" w:sz="4" w:space="0" w:color="auto"/>
              <w:right w:val="single" w:sz="4" w:space="0" w:color="auto"/>
            </w:tcBorders>
            <w:shd w:val="clear" w:color="000000" w:fill="FFFFFF"/>
            <w:vAlign w:val="center"/>
            <w:hideMark/>
          </w:tcPr>
          <w:p w14:paraId="646EEA6D"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(-4,22)</w:t>
            </w:r>
          </w:p>
        </w:tc>
        <w:tc>
          <w:tcPr>
            <w:tcW w:w="1641" w:type="dxa"/>
            <w:gridSpan w:val="2"/>
            <w:tcBorders>
              <w:top w:val="nil"/>
              <w:left w:val="nil"/>
              <w:bottom w:val="single" w:sz="4" w:space="0" w:color="auto"/>
              <w:right w:val="single" w:sz="4" w:space="0" w:color="auto"/>
            </w:tcBorders>
            <w:shd w:val="clear" w:color="000000" w:fill="FFFFFF"/>
            <w:vAlign w:val="center"/>
            <w:hideMark/>
          </w:tcPr>
          <w:p w14:paraId="0E243244"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07192506" w14:textId="77777777" w:rsidTr="00736CD4">
        <w:trPr>
          <w:trHeight w:val="336"/>
        </w:trPr>
        <w:tc>
          <w:tcPr>
            <w:tcW w:w="8500" w:type="dxa"/>
            <w:gridSpan w:val="8"/>
            <w:tcBorders>
              <w:top w:val="single" w:sz="4" w:space="0" w:color="auto"/>
              <w:left w:val="single" w:sz="4" w:space="0" w:color="auto"/>
              <w:bottom w:val="single" w:sz="4" w:space="0" w:color="auto"/>
              <w:right w:val="single" w:sz="4" w:space="0" w:color="auto"/>
            </w:tcBorders>
            <w:shd w:val="clear" w:color="000000" w:fill="8FF9BF"/>
            <w:vAlign w:val="center"/>
            <w:hideMark/>
          </w:tcPr>
          <w:p w14:paraId="78559A9B" w14:textId="77777777" w:rsidR="00ED735F" w:rsidRDefault="00ED735F" w:rsidP="00ED735F">
            <w:pPr>
              <w:jc w:val="center"/>
              <w:rPr>
                <w:rFonts w:ascii="Arial" w:hAnsi="Arial" w:cs="Arial"/>
                <w:b/>
                <w:bCs/>
                <w:color w:val="000000"/>
                <w:sz w:val="16"/>
                <w:szCs w:val="16"/>
              </w:rPr>
            </w:pPr>
            <w:r>
              <w:rPr>
                <w:rFonts w:ascii="Arial" w:hAnsi="Arial" w:cs="Arial"/>
                <w:b/>
                <w:bCs/>
                <w:sz w:val="16"/>
                <w:szCs w:val="16"/>
              </w:rPr>
              <w:t>Comparación indirecta ajustada Dupilumab-Baricitinib 2 mg</w:t>
            </w:r>
          </w:p>
        </w:tc>
      </w:tr>
      <w:tr w:rsidR="00ED735F" w14:paraId="132289F4" w14:textId="77777777" w:rsidTr="00736CD4">
        <w:trPr>
          <w:trHeight w:val="605"/>
        </w:trPr>
        <w:tc>
          <w:tcPr>
            <w:tcW w:w="336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AADFC44"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Variable</w:t>
            </w:r>
          </w:p>
        </w:tc>
        <w:tc>
          <w:tcPr>
            <w:tcW w:w="3496" w:type="dxa"/>
            <w:gridSpan w:val="4"/>
            <w:tcBorders>
              <w:top w:val="single" w:sz="4" w:space="0" w:color="auto"/>
              <w:left w:val="nil"/>
              <w:bottom w:val="single" w:sz="4" w:space="0" w:color="auto"/>
              <w:right w:val="single" w:sz="4" w:space="0" w:color="auto"/>
            </w:tcBorders>
            <w:shd w:val="clear" w:color="000000" w:fill="D9D9D9"/>
            <w:vAlign w:val="center"/>
            <w:hideMark/>
          </w:tcPr>
          <w:p w14:paraId="2FB3B989"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de-DE"/>
              </w:rPr>
              <w:t>Diferencia de respuesta (IC 95%)</w:t>
            </w:r>
          </w:p>
        </w:tc>
        <w:tc>
          <w:tcPr>
            <w:tcW w:w="1641" w:type="dxa"/>
            <w:gridSpan w:val="2"/>
            <w:tcBorders>
              <w:top w:val="nil"/>
              <w:left w:val="nil"/>
              <w:bottom w:val="single" w:sz="4" w:space="0" w:color="auto"/>
              <w:right w:val="single" w:sz="4" w:space="0" w:color="auto"/>
            </w:tcBorders>
            <w:shd w:val="clear" w:color="000000" w:fill="E7E6E6"/>
            <w:noWrap/>
            <w:vAlign w:val="center"/>
            <w:hideMark/>
          </w:tcPr>
          <w:p w14:paraId="1CE187C6" w14:textId="77777777" w:rsidR="00ED735F" w:rsidRDefault="00ED735F" w:rsidP="00ED735F">
            <w:pPr>
              <w:jc w:val="center"/>
              <w:rPr>
                <w:rFonts w:ascii="Calibri" w:hAnsi="Calibri" w:cs="Calibri"/>
                <w:color w:val="000000"/>
                <w:sz w:val="22"/>
                <w:szCs w:val="22"/>
              </w:rPr>
            </w:pPr>
            <w:r>
              <w:rPr>
                <w:rFonts w:ascii="Calibri" w:hAnsi="Calibri" w:cs="Calibri"/>
                <w:color w:val="000000"/>
                <w:sz w:val="22"/>
                <w:szCs w:val="22"/>
              </w:rPr>
              <w:t>P</w:t>
            </w:r>
          </w:p>
        </w:tc>
      </w:tr>
      <w:tr w:rsidR="00ED735F" w14:paraId="2538DEE6" w14:textId="77777777" w:rsidTr="00736CD4">
        <w:trPr>
          <w:trHeight w:val="336"/>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2F131302"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EASI 75</w:t>
            </w:r>
          </w:p>
        </w:tc>
        <w:tc>
          <w:tcPr>
            <w:tcW w:w="1824" w:type="dxa"/>
            <w:gridSpan w:val="2"/>
            <w:tcBorders>
              <w:top w:val="nil"/>
              <w:left w:val="nil"/>
              <w:bottom w:val="single" w:sz="4" w:space="0" w:color="auto"/>
              <w:right w:val="single" w:sz="4" w:space="0" w:color="auto"/>
            </w:tcBorders>
            <w:shd w:val="clear" w:color="000000" w:fill="FFFFFF"/>
            <w:vAlign w:val="center"/>
            <w:hideMark/>
          </w:tcPr>
          <w:p w14:paraId="09CD0481"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-26</w:t>
            </w:r>
          </w:p>
        </w:tc>
        <w:tc>
          <w:tcPr>
            <w:tcW w:w="1672" w:type="dxa"/>
            <w:gridSpan w:val="2"/>
            <w:tcBorders>
              <w:top w:val="nil"/>
              <w:left w:val="nil"/>
              <w:bottom w:val="single" w:sz="4" w:space="0" w:color="auto"/>
              <w:right w:val="single" w:sz="4" w:space="0" w:color="auto"/>
            </w:tcBorders>
            <w:shd w:val="clear" w:color="000000" w:fill="FFFFFF"/>
            <w:vAlign w:val="center"/>
            <w:hideMark/>
          </w:tcPr>
          <w:p w14:paraId="19327500"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(-42;-10)</w:t>
            </w:r>
          </w:p>
        </w:tc>
        <w:tc>
          <w:tcPr>
            <w:tcW w:w="1641" w:type="dxa"/>
            <w:gridSpan w:val="2"/>
            <w:tcBorders>
              <w:top w:val="nil"/>
              <w:left w:val="nil"/>
              <w:bottom w:val="single" w:sz="4" w:space="0" w:color="auto"/>
              <w:right w:val="single" w:sz="4" w:space="0" w:color="auto"/>
            </w:tcBorders>
            <w:shd w:val="clear" w:color="000000" w:fill="FFFFFF"/>
            <w:vAlign w:val="center"/>
            <w:hideMark/>
          </w:tcPr>
          <w:p w14:paraId="3FBF33F4"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p&lt;0,05</w:t>
            </w:r>
          </w:p>
        </w:tc>
      </w:tr>
      <w:tr w:rsidR="00ED735F" w14:paraId="5DF30714" w14:textId="77777777" w:rsidTr="00736CD4">
        <w:trPr>
          <w:trHeight w:val="336"/>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11CBED6E"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IGA 0/1</w:t>
            </w:r>
          </w:p>
        </w:tc>
        <w:tc>
          <w:tcPr>
            <w:tcW w:w="1824" w:type="dxa"/>
            <w:gridSpan w:val="2"/>
            <w:tcBorders>
              <w:top w:val="nil"/>
              <w:left w:val="nil"/>
              <w:bottom w:val="single" w:sz="4" w:space="0" w:color="auto"/>
              <w:right w:val="single" w:sz="4" w:space="0" w:color="auto"/>
            </w:tcBorders>
            <w:shd w:val="clear" w:color="000000" w:fill="FFFFFF"/>
            <w:vAlign w:val="center"/>
            <w:hideMark/>
          </w:tcPr>
          <w:p w14:paraId="57606090"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-17</w:t>
            </w:r>
          </w:p>
        </w:tc>
        <w:tc>
          <w:tcPr>
            <w:tcW w:w="1672" w:type="dxa"/>
            <w:gridSpan w:val="2"/>
            <w:tcBorders>
              <w:top w:val="nil"/>
              <w:left w:val="nil"/>
              <w:bottom w:val="single" w:sz="4" w:space="0" w:color="auto"/>
              <w:right w:val="single" w:sz="4" w:space="0" w:color="auto"/>
            </w:tcBorders>
            <w:shd w:val="clear" w:color="000000" w:fill="FFFFFF"/>
            <w:vAlign w:val="center"/>
            <w:hideMark/>
          </w:tcPr>
          <w:p w14:paraId="276558B8"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(-31;-2)</w:t>
            </w:r>
          </w:p>
        </w:tc>
        <w:tc>
          <w:tcPr>
            <w:tcW w:w="1641" w:type="dxa"/>
            <w:gridSpan w:val="2"/>
            <w:tcBorders>
              <w:top w:val="nil"/>
              <w:left w:val="nil"/>
              <w:bottom w:val="single" w:sz="4" w:space="0" w:color="auto"/>
              <w:right w:val="single" w:sz="4" w:space="0" w:color="auto"/>
            </w:tcBorders>
            <w:shd w:val="clear" w:color="000000" w:fill="FFFFFF"/>
            <w:vAlign w:val="center"/>
            <w:hideMark/>
          </w:tcPr>
          <w:p w14:paraId="76094D9A"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p&lt;0,05</w:t>
            </w:r>
          </w:p>
        </w:tc>
      </w:tr>
      <w:tr w:rsidR="00ED735F" w14:paraId="0FC18C81" w14:textId="77777777" w:rsidTr="00736CD4">
        <w:trPr>
          <w:trHeight w:val="336"/>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4F63671A"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lang w:val="sv-SE"/>
              </w:rPr>
              <w:t>PP-NRS</w:t>
            </w:r>
            <w:r>
              <w:rPr>
                <w:rFonts w:ascii="Calibri" w:hAnsi="Calibri" w:cs="Calibri"/>
                <w:color w:val="000000"/>
                <w:sz w:val="16"/>
                <w:szCs w:val="16"/>
                <w:lang w:val="sv-SE"/>
              </w:rPr>
              <w:t>≥</w:t>
            </w:r>
            <w:r>
              <w:rPr>
                <w:rFonts w:ascii="Arial" w:hAnsi="Arial" w:cs="Arial"/>
                <w:color w:val="000000"/>
                <w:sz w:val="16"/>
                <w:szCs w:val="16"/>
                <w:lang w:val="sv-SE"/>
              </w:rPr>
              <w:t>4</w:t>
            </w:r>
          </w:p>
        </w:tc>
        <w:tc>
          <w:tcPr>
            <w:tcW w:w="1824" w:type="dxa"/>
            <w:gridSpan w:val="2"/>
            <w:tcBorders>
              <w:top w:val="nil"/>
              <w:left w:val="nil"/>
              <w:bottom w:val="nil"/>
              <w:right w:val="single" w:sz="4" w:space="0" w:color="auto"/>
            </w:tcBorders>
            <w:shd w:val="clear" w:color="000000" w:fill="FFFFFF"/>
            <w:noWrap/>
            <w:vAlign w:val="center"/>
            <w:hideMark/>
          </w:tcPr>
          <w:p w14:paraId="33772C4F"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-24</w:t>
            </w:r>
          </w:p>
        </w:tc>
        <w:tc>
          <w:tcPr>
            <w:tcW w:w="1672" w:type="dxa"/>
            <w:gridSpan w:val="2"/>
            <w:tcBorders>
              <w:top w:val="nil"/>
              <w:left w:val="nil"/>
              <w:bottom w:val="nil"/>
              <w:right w:val="single" w:sz="4" w:space="0" w:color="auto"/>
            </w:tcBorders>
            <w:shd w:val="clear" w:color="000000" w:fill="FFFFFF"/>
            <w:vAlign w:val="center"/>
            <w:hideMark/>
          </w:tcPr>
          <w:p w14:paraId="7DEBA0B2"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(-40;-8)</w:t>
            </w:r>
          </w:p>
        </w:tc>
        <w:tc>
          <w:tcPr>
            <w:tcW w:w="1641" w:type="dxa"/>
            <w:gridSpan w:val="2"/>
            <w:tcBorders>
              <w:top w:val="nil"/>
              <w:left w:val="nil"/>
              <w:bottom w:val="nil"/>
              <w:right w:val="single" w:sz="4" w:space="0" w:color="auto"/>
            </w:tcBorders>
            <w:shd w:val="clear" w:color="000000" w:fill="FFFFFF"/>
            <w:vAlign w:val="center"/>
            <w:hideMark/>
          </w:tcPr>
          <w:p w14:paraId="5380D03D"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p&lt;0,05</w:t>
            </w:r>
          </w:p>
        </w:tc>
      </w:tr>
      <w:tr w:rsidR="00ED735F" w14:paraId="6F22C50F" w14:textId="77777777" w:rsidTr="00736CD4">
        <w:trPr>
          <w:trHeight w:val="299"/>
        </w:trPr>
        <w:tc>
          <w:tcPr>
            <w:tcW w:w="8500" w:type="dxa"/>
            <w:gridSpan w:val="8"/>
            <w:tcBorders>
              <w:top w:val="single" w:sz="4" w:space="0" w:color="auto"/>
              <w:left w:val="single" w:sz="4" w:space="0" w:color="auto"/>
              <w:bottom w:val="single" w:sz="4" w:space="0" w:color="auto"/>
              <w:right w:val="single" w:sz="4" w:space="0" w:color="auto"/>
            </w:tcBorders>
            <w:shd w:val="clear" w:color="000000" w:fill="8FF9BF"/>
            <w:vAlign w:val="center"/>
            <w:hideMark/>
          </w:tcPr>
          <w:p w14:paraId="0F37EA43" w14:textId="77777777" w:rsidR="00ED735F" w:rsidRDefault="00ED735F" w:rsidP="00ED735F">
            <w:pPr>
              <w:jc w:val="center"/>
              <w:rPr>
                <w:rFonts w:ascii="Arial" w:hAnsi="Arial" w:cs="Arial"/>
                <w:b/>
                <w:bCs/>
                <w:color w:val="000000"/>
                <w:sz w:val="16"/>
                <w:szCs w:val="16"/>
              </w:rPr>
            </w:pPr>
            <w:r>
              <w:rPr>
                <w:rFonts w:ascii="Arial" w:hAnsi="Arial" w:cs="Arial"/>
                <w:b/>
                <w:bCs/>
                <w:color w:val="000000"/>
                <w:sz w:val="16"/>
                <w:szCs w:val="16"/>
              </w:rPr>
              <w:t>Comparación indirecta ajustada Dupilumab-Baricitinib 4 mg</w:t>
            </w:r>
          </w:p>
        </w:tc>
      </w:tr>
      <w:tr w:rsidR="00ED735F" w14:paraId="217AE329" w14:textId="77777777" w:rsidTr="00736CD4">
        <w:trPr>
          <w:trHeight w:val="464"/>
        </w:trPr>
        <w:tc>
          <w:tcPr>
            <w:tcW w:w="3397"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3EEBD8C"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Variable</w:t>
            </w:r>
          </w:p>
        </w:tc>
        <w:tc>
          <w:tcPr>
            <w:tcW w:w="3544" w:type="dxa"/>
            <w:gridSpan w:val="4"/>
            <w:tcBorders>
              <w:top w:val="single" w:sz="4" w:space="0" w:color="auto"/>
              <w:left w:val="nil"/>
              <w:bottom w:val="single" w:sz="4" w:space="0" w:color="auto"/>
              <w:right w:val="single" w:sz="4" w:space="0" w:color="auto"/>
            </w:tcBorders>
            <w:shd w:val="clear" w:color="000000" w:fill="D9D9D9"/>
            <w:vAlign w:val="center"/>
            <w:hideMark/>
          </w:tcPr>
          <w:p w14:paraId="18EA6952"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Diferencia de respuesta (IC 95%)</w:t>
            </w:r>
          </w:p>
        </w:tc>
        <w:tc>
          <w:tcPr>
            <w:tcW w:w="1559" w:type="dxa"/>
            <w:tcBorders>
              <w:top w:val="nil"/>
              <w:left w:val="nil"/>
              <w:bottom w:val="single" w:sz="4" w:space="0" w:color="auto"/>
              <w:right w:val="single" w:sz="4" w:space="0" w:color="auto"/>
            </w:tcBorders>
            <w:shd w:val="clear" w:color="000000" w:fill="E7E6E6"/>
            <w:noWrap/>
            <w:vAlign w:val="center"/>
            <w:hideMark/>
          </w:tcPr>
          <w:p w14:paraId="73D730DF" w14:textId="77777777" w:rsidR="00ED735F" w:rsidRDefault="00ED735F" w:rsidP="00ED735F">
            <w:pPr>
              <w:jc w:val="center"/>
              <w:rPr>
                <w:rFonts w:ascii="Calibri" w:hAnsi="Calibri" w:cs="Calibri"/>
                <w:color w:val="000000"/>
                <w:sz w:val="22"/>
                <w:szCs w:val="22"/>
              </w:rPr>
            </w:pPr>
            <w:r>
              <w:rPr>
                <w:rFonts w:ascii="Calibri" w:hAnsi="Calibri" w:cs="Calibri"/>
                <w:color w:val="000000"/>
                <w:sz w:val="22"/>
                <w:szCs w:val="22"/>
              </w:rPr>
              <w:t>P</w:t>
            </w:r>
          </w:p>
        </w:tc>
      </w:tr>
      <w:tr w:rsidR="00ED735F" w14:paraId="0FE24EAD" w14:textId="77777777" w:rsidTr="00736CD4">
        <w:trPr>
          <w:trHeight w:val="299"/>
        </w:trPr>
        <w:tc>
          <w:tcPr>
            <w:tcW w:w="3397" w:type="dxa"/>
            <w:gridSpan w:val="3"/>
            <w:tcBorders>
              <w:top w:val="single" w:sz="4" w:space="0" w:color="auto"/>
              <w:left w:val="single" w:sz="4" w:space="0" w:color="auto"/>
              <w:bottom w:val="single" w:sz="4" w:space="0" w:color="auto"/>
              <w:right w:val="single" w:sz="4" w:space="0" w:color="auto"/>
            </w:tcBorders>
            <w:vAlign w:val="center"/>
            <w:hideMark/>
          </w:tcPr>
          <w:p w14:paraId="02695106"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EASI 75</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1D55FE57"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-21</w:t>
            </w:r>
          </w:p>
        </w:tc>
        <w:tc>
          <w:tcPr>
            <w:tcW w:w="1701" w:type="dxa"/>
            <w:gridSpan w:val="2"/>
            <w:tcBorders>
              <w:top w:val="nil"/>
              <w:left w:val="nil"/>
              <w:bottom w:val="single" w:sz="4" w:space="0" w:color="auto"/>
              <w:right w:val="single" w:sz="4" w:space="0" w:color="auto"/>
            </w:tcBorders>
            <w:shd w:val="clear" w:color="000000" w:fill="FFFFFF"/>
            <w:vAlign w:val="center"/>
            <w:hideMark/>
          </w:tcPr>
          <w:p w14:paraId="070B1B10"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(-37;-5)</w:t>
            </w:r>
          </w:p>
        </w:tc>
        <w:tc>
          <w:tcPr>
            <w:tcW w:w="1559" w:type="dxa"/>
            <w:tcBorders>
              <w:top w:val="nil"/>
              <w:left w:val="nil"/>
              <w:bottom w:val="single" w:sz="4" w:space="0" w:color="auto"/>
              <w:right w:val="single" w:sz="4" w:space="0" w:color="auto"/>
            </w:tcBorders>
            <w:shd w:val="clear" w:color="000000" w:fill="FFFFFF"/>
            <w:vAlign w:val="center"/>
            <w:hideMark/>
          </w:tcPr>
          <w:p w14:paraId="5019FBEB"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p&lt;0,05</w:t>
            </w:r>
          </w:p>
        </w:tc>
      </w:tr>
      <w:tr w:rsidR="00ED735F" w14:paraId="05553399" w14:textId="77777777" w:rsidTr="00736CD4">
        <w:trPr>
          <w:trHeight w:val="299"/>
        </w:trPr>
        <w:tc>
          <w:tcPr>
            <w:tcW w:w="3397" w:type="dxa"/>
            <w:gridSpan w:val="3"/>
            <w:tcBorders>
              <w:top w:val="single" w:sz="4" w:space="0" w:color="auto"/>
              <w:left w:val="single" w:sz="4" w:space="0" w:color="auto"/>
              <w:bottom w:val="single" w:sz="4" w:space="0" w:color="auto"/>
              <w:right w:val="single" w:sz="4" w:space="0" w:color="auto"/>
            </w:tcBorders>
            <w:vAlign w:val="center"/>
            <w:hideMark/>
          </w:tcPr>
          <w:p w14:paraId="77F0F053"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IGA 0/1</w:t>
            </w:r>
          </w:p>
        </w:tc>
        <w:tc>
          <w:tcPr>
            <w:tcW w:w="1843" w:type="dxa"/>
            <w:gridSpan w:val="2"/>
            <w:tcBorders>
              <w:top w:val="nil"/>
              <w:left w:val="nil"/>
              <w:bottom w:val="single" w:sz="4" w:space="0" w:color="auto"/>
              <w:right w:val="single" w:sz="4" w:space="0" w:color="auto"/>
            </w:tcBorders>
            <w:shd w:val="clear" w:color="000000" w:fill="FFFFFF"/>
            <w:vAlign w:val="center"/>
            <w:hideMark/>
          </w:tcPr>
          <w:p w14:paraId="7140AA2B"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-10</w:t>
            </w:r>
          </w:p>
        </w:tc>
        <w:tc>
          <w:tcPr>
            <w:tcW w:w="1701" w:type="dxa"/>
            <w:gridSpan w:val="2"/>
            <w:tcBorders>
              <w:top w:val="nil"/>
              <w:left w:val="nil"/>
              <w:bottom w:val="single" w:sz="4" w:space="0" w:color="auto"/>
              <w:right w:val="single" w:sz="4" w:space="0" w:color="auto"/>
            </w:tcBorders>
            <w:shd w:val="clear" w:color="000000" w:fill="FFFFFF"/>
            <w:vAlign w:val="center"/>
            <w:hideMark/>
          </w:tcPr>
          <w:p w14:paraId="58CD23F0"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(-25;5)</w:t>
            </w:r>
          </w:p>
        </w:tc>
        <w:tc>
          <w:tcPr>
            <w:tcW w:w="1559" w:type="dxa"/>
            <w:tcBorders>
              <w:top w:val="nil"/>
              <w:left w:val="nil"/>
              <w:bottom w:val="single" w:sz="4" w:space="0" w:color="auto"/>
              <w:right w:val="single" w:sz="4" w:space="0" w:color="auto"/>
            </w:tcBorders>
            <w:shd w:val="clear" w:color="000000" w:fill="FFFFFF"/>
            <w:vAlign w:val="center"/>
            <w:hideMark/>
          </w:tcPr>
          <w:p w14:paraId="50E892D1"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p&gt;0,05</w:t>
            </w:r>
          </w:p>
        </w:tc>
      </w:tr>
      <w:tr w:rsidR="00ED735F" w14:paraId="7C5D172B" w14:textId="77777777" w:rsidTr="00736CD4">
        <w:trPr>
          <w:trHeight w:val="299"/>
        </w:trPr>
        <w:tc>
          <w:tcPr>
            <w:tcW w:w="3397" w:type="dxa"/>
            <w:gridSpan w:val="3"/>
            <w:tcBorders>
              <w:top w:val="single" w:sz="4" w:space="0" w:color="auto"/>
              <w:left w:val="single" w:sz="4" w:space="0" w:color="auto"/>
              <w:bottom w:val="single" w:sz="4" w:space="0" w:color="auto"/>
              <w:right w:val="single" w:sz="4" w:space="0" w:color="auto"/>
            </w:tcBorders>
            <w:vAlign w:val="center"/>
            <w:hideMark/>
          </w:tcPr>
          <w:p w14:paraId="30A915A0"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PP-NRS</w:t>
            </w:r>
            <w:r>
              <w:rPr>
                <w:rFonts w:ascii="Calibri" w:hAnsi="Calibri" w:cs="Calibri"/>
                <w:color w:val="000000"/>
                <w:sz w:val="16"/>
                <w:szCs w:val="16"/>
              </w:rPr>
              <w:t>≥</w:t>
            </w:r>
            <w:r>
              <w:rPr>
                <w:rFonts w:ascii="Arial" w:hAnsi="Arial" w:cs="Arial"/>
                <w:color w:val="000000"/>
                <w:sz w:val="16"/>
                <w:szCs w:val="16"/>
              </w:rPr>
              <w:t>4</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1AF78EF"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-19</w:t>
            </w:r>
          </w:p>
        </w:tc>
        <w:tc>
          <w:tcPr>
            <w:tcW w:w="1701" w:type="dxa"/>
            <w:gridSpan w:val="2"/>
            <w:tcBorders>
              <w:top w:val="nil"/>
              <w:left w:val="nil"/>
              <w:bottom w:val="single" w:sz="4" w:space="0" w:color="auto"/>
              <w:right w:val="single" w:sz="4" w:space="0" w:color="auto"/>
            </w:tcBorders>
            <w:shd w:val="clear" w:color="000000" w:fill="FFFFFF"/>
            <w:vAlign w:val="center"/>
            <w:hideMark/>
          </w:tcPr>
          <w:p w14:paraId="23BF528D"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(-35;3)</w:t>
            </w:r>
          </w:p>
        </w:tc>
        <w:tc>
          <w:tcPr>
            <w:tcW w:w="1559" w:type="dxa"/>
            <w:tcBorders>
              <w:top w:val="nil"/>
              <w:left w:val="nil"/>
              <w:bottom w:val="single" w:sz="4" w:space="0" w:color="auto"/>
              <w:right w:val="single" w:sz="4" w:space="0" w:color="auto"/>
            </w:tcBorders>
            <w:shd w:val="clear" w:color="000000" w:fill="FFFFFF"/>
            <w:vAlign w:val="center"/>
            <w:hideMark/>
          </w:tcPr>
          <w:p w14:paraId="7DCEAA02" w14:textId="77777777" w:rsidR="00ED735F" w:rsidRDefault="00ED735F" w:rsidP="00ED735F">
            <w:pPr>
              <w:jc w:val="center"/>
              <w:rPr>
                <w:rFonts w:ascii="Arial" w:hAnsi="Arial" w:cs="Arial"/>
                <w:color w:val="000000"/>
                <w:sz w:val="16"/>
                <w:szCs w:val="16"/>
              </w:rPr>
            </w:pPr>
            <w:r>
              <w:rPr>
                <w:rFonts w:ascii="Arial" w:hAnsi="Arial" w:cs="Arial"/>
                <w:color w:val="000000"/>
                <w:sz w:val="16"/>
                <w:szCs w:val="16"/>
              </w:rPr>
              <w:t>p&lt;0,05</w:t>
            </w:r>
          </w:p>
        </w:tc>
      </w:tr>
    </w:tbl>
    <w:p w14:paraId="1A4EC3FC" w14:textId="77777777" w:rsidR="00BC3E8E" w:rsidRDefault="00BC3E8E" w:rsidP="00F273B2"/>
    <w:p w14:paraId="5AC15BA9" w14:textId="77777777" w:rsidR="002077A1" w:rsidRDefault="00810283" w:rsidP="00F273B2">
      <w:r>
        <w:rPr>
          <w:noProof/>
        </w:rPr>
        <w:drawing>
          <wp:anchor distT="0" distB="0" distL="114300" distR="114300" simplePos="0" relativeHeight="251648000" behindDoc="0" locked="0" layoutInCell="1" allowOverlap="1" wp14:anchorId="07836A8E" wp14:editId="579B7977">
            <wp:simplePos x="0" y="0"/>
            <wp:positionH relativeFrom="column">
              <wp:posOffset>-99060</wp:posOffset>
            </wp:positionH>
            <wp:positionV relativeFrom="paragraph">
              <wp:posOffset>73660</wp:posOffset>
            </wp:positionV>
            <wp:extent cx="5553075" cy="3162300"/>
            <wp:effectExtent l="19050" t="0" r="9525" b="0"/>
            <wp:wrapTopAndBottom/>
            <wp:docPr id="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srcRect/>
                    <a:stretch>
                      <a:fillRect/>
                    </a:stretch>
                  </pic:blipFill>
                  <pic:spPr bwMode="auto">
                    <a:xfrm>
                      <a:off x="0" y="0"/>
                      <a:ext cx="5553075" cy="3162300"/>
                    </a:xfrm>
                    <a:prstGeom prst="rect">
                      <a:avLst/>
                    </a:prstGeom>
                    <a:noFill/>
                    <a:ln w="9525">
                      <a:noFill/>
                      <a:miter lim="800000"/>
                      <a:headEnd/>
                      <a:tailEnd/>
                    </a:ln>
                  </pic:spPr>
                </pic:pic>
              </a:graphicData>
            </a:graphic>
          </wp:anchor>
        </w:drawing>
      </w:r>
    </w:p>
    <w:p w14:paraId="46E63650" w14:textId="129F308E" w:rsidR="0090219F" w:rsidRPr="003B32FD" w:rsidRDefault="00E6745B" w:rsidP="003B32FD">
      <w:pPr>
        <w:tabs>
          <w:tab w:val="left" w:pos="1741"/>
        </w:tabs>
        <w:jc w:val="center"/>
        <w:rPr>
          <w:rFonts w:ascii="Arial" w:hAnsi="Arial" w:cs="Arial"/>
          <w:b/>
          <w:bCs/>
          <w:sz w:val="20"/>
          <w:szCs w:val="20"/>
        </w:rPr>
      </w:pPr>
      <w:r>
        <w:rPr>
          <w:rFonts w:ascii="Arial" w:hAnsi="Arial" w:cs="Arial"/>
          <w:b/>
          <w:bCs/>
          <w:sz w:val="20"/>
          <w:szCs w:val="20"/>
        </w:rPr>
        <w:t>Figura 6</w:t>
      </w:r>
      <w:r w:rsidR="0090219F" w:rsidRPr="003B32FD">
        <w:rPr>
          <w:rFonts w:ascii="Arial" w:hAnsi="Arial" w:cs="Arial"/>
          <w:b/>
          <w:bCs/>
          <w:sz w:val="20"/>
          <w:szCs w:val="20"/>
        </w:rPr>
        <w:t>. Resultado de la comparación indirecta de la variable EASI 75 en las distintas alternativas en combinación con TCS frente a dupilumab en combinación con TCS.</w:t>
      </w:r>
    </w:p>
    <w:p w14:paraId="08BE85B0" w14:textId="77777777" w:rsidR="0090219F" w:rsidRDefault="002077A1" w:rsidP="0090219F">
      <w:r w:rsidRPr="0090219F">
        <w:br w:type="page"/>
      </w:r>
      <w:r w:rsidR="00810283">
        <w:rPr>
          <w:noProof/>
        </w:rPr>
        <w:drawing>
          <wp:inline distT="0" distB="0" distL="0" distR="0" wp14:anchorId="028FA6B2" wp14:editId="5BFAB3AF">
            <wp:extent cx="5543550" cy="31337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a:stretch>
                      <a:fillRect/>
                    </a:stretch>
                  </pic:blipFill>
                  <pic:spPr bwMode="auto">
                    <a:xfrm>
                      <a:off x="0" y="0"/>
                      <a:ext cx="5543550" cy="3133725"/>
                    </a:xfrm>
                    <a:prstGeom prst="rect">
                      <a:avLst/>
                    </a:prstGeom>
                    <a:noFill/>
                    <a:ln w="9525">
                      <a:noFill/>
                      <a:miter lim="800000"/>
                      <a:headEnd/>
                      <a:tailEnd/>
                    </a:ln>
                  </pic:spPr>
                </pic:pic>
              </a:graphicData>
            </a:graphic>
          </wp:inline>
        </w:drawing>
      </w:r>
    </w:p>
    <w:p w14:paraId="101B76A0" w14:textId="77777777" w:rsidR="007004D7" w:rsidRPr="003B32FD" w:rsidRDefault="007004D7" w:rsidP="003B32FD">
      <w:pPr>
        <w:tabs>
          <w:tab w:val="left" w:pos="1741"/>
        </w:tabs>
        <w:jc w:val="center"/>
        <w:rPr>
          <w:rFonts w:ascii="Arial" w:hAnsi="Arial" w:cs="Arial"/>
          <w:b/>
          <w:bCs/>
          <w:sz w:val="20"/>
          <w:szCs w:val="20"/>
        </w:rPr>
      </w:pPr>
    </w:p>
    <w:p w14:paraId="08A288C2" w14:textId="0E90E450" w:rsidR="0090219F" w:rsidRPr="0090219F" w:rsidRDefault="00E6745B" w:rsidP="003B32FD">
      <w:pPr>
        <w:tabs>
          <w:tab w:val="left" w:pos="1741"/>
        </w:tabs>
        <w:jc w:val="center"/>
        <w:rPr>
          <w:rFonts w:ascii="Arial" w:hAnsi="Arial" w:cs="Arial"/>
          <w:sz w:val="20"/>
          <w:szCs w:val="20"/>
        </w:rPr>
      </w:pPr>
      <w:r>
        <w:rPr>
          <w:rFonts w:ascii="Arial" w:hAnsi="Arial" w:cs="Arial"/>
          <w:b/>
          <w:bCs/>
          <w:sz w:val="20"/>
          <w:szCs w:val="20"/>
        </w:rPr>
        <w:t>Figura 7</w:t>
      </w:r>
      <w:r w:rsidR="0090219F" w:rsidRPr="003B32FD">
        <w:rPr>
          <w:rFonts w:ascii="Arial" w:hAnsi="Arial" w:cs="Arial"/>
          <w:b/>
          <w:bCs/>
          <w:sz w:val="20"/>
          <w:szCs w:val="20"/>
        </w:rPr>
        <w:t>. Resultado de la comparación indirecta de la variable IGA en las distintas alternativas en combinación con TCS frente a dupilumab en combinación con TCS</w:t>
      </w:r>
      <w:r w:rsidR="0090219F" w:rsidRPr="0090219F">
        <w:rPr>
          <w:rFonts w:ascii="Arial" w:hAnsi="Arial" w:cs="Arial"/>
          <w:sz w:val="20"/>
          <w:szCs w:val="20"/>
        </w:rPr>
        <w:t>.</w:t>
      </w:r>
    </w:p>
    <w:p w14:paraId="5E652988" w14:textId="77777777" w:rsidR="002077A1" w:rsidRDefault="002077A1" w:rsidP="002077A1"/>
    <w:p w14:paraId="69F722F1" w14:textId="77777777" w:rsidR="002077A1" w:rsidRPr="006F6ABB" w:rsidRDefault="00810283" w:rsidP="002077A1">
      <w:r>
        <w:rPr>
          <w:noProof/>
        </w:rPr>
        <w:drawing>
          <wp:inline distT="0" distB="0" distL="0" distR="0" wp14:anchorId="3BCC232F" wp14:editId="216E8E0E">
            <wp:extent cx="5448300" cy="29241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srcRect/>
                    <a:stretch>
                      <a:fillRect/>
                    </a:stretch>
                  </pic:blipFill>
                  <pic:spPr bwMode="auto">
                    <a:xfrm>
                      <a:off x="0" y="0"/>
                      <a:ext cx="5448300" cy="2924175"/>
                    </a:xfrm>
                    <a:prstGeom prst="rect">
                      <a:avLst/>
                    </a:prstGeom>
                    <a:noFill/>
                    <a:ln w="9525">
                      <a:noFill/>
                      <a:miter lim="800000"/>
                      <a:headEnd/>
                      <a:tailEnd/>
                    </a:ln>
                  </pic:spPr>
                </pic:pic>
              </a:graphicData>
            </a:graphic>
          </wp:inline>
        </w:drawing>
      </w:r>
    </w:p>
    <w:p w14:paraId="49045DE7" w14:textId="77777777" w:rsidR="002077A1" w:rsidRPr="003B32FD" w:rsidRDefault="002077A1" w:rsidP="003B32FD">
      <w:pPr>
        <w:jc w:val="center"/>
        <w:rPr>
          <w:b/>
          <w:bCs/>
          <w:noProof/>
        </w:rPr>
      </w:pPr>
    </w:p>
    <w:p w14:paraId="47934567" w14:textId="77777777" w:rsidR="0090219F" w:rsidRPr="003B32FD" w:rsidRDefault="0090219F" w:rsidP="003B32FD">
      <w:pPr>
        <w:jc w:val="center"/>
        <w:rPr>
          <w:b/>
          <w:bCs/>
        </w:rPr>
      </w:pPr>
    </w:p>
    <w:p w14:paraId="77DA5C21" w14:textId="73A4527B" w:rsidR="0090219F" w:rsidRPr="003B32FD" w:rsidRDefault="00E6745B" w:rsidP="003B32FD">
      <w:pPr>
        <w:tabs>
          <w:tab w:val="left" w:pos="1741"/>
        </w:tabs>
        <w:jc w:val="center"/>
        <w:rPr>
          <w:rFonts w:ascii="Arial" w:hAnsi="Arial" w:cs="Arial"/>
          <w:b/>
          <w:bCs/>
          <w:sz w:val="20"/>
          <w:szCs w:val="20"/>
        </w:rPr>
      </w:pPr>
      <w:r>
        <w:rPr>
          <w:rFonts w:ascii="Arial" w:hAnsi="Arial" w:cs="Arial"/>
          <w:b/>
          <w:bCs/>
          <w:sz w:val="20"/>
          <w:szCs w:val="20"/>
        </w:rPr>
        <w:t>Figura 8</w:t>
      </w:r>
      <w:r w:rsidR="0090219F" w:rsidRPr="003B32FD">
        <w:rPr>
          <w:rFonts w:ascii="Arial" w:hAnsi="Arial" w:cs="Arial"/>
          <w:b/>
          <w:bCs/>
          <w:sz w:val="20"/>
          <w:szCs w:val="20"/>
        </w:rPr>
        <w:t>. Resultado de la comparación indirecta de la variable PP-NRS en las distintas alternativas en combinación con TCS frente a dupilumab en combinación con TCS.</w:t>
      </w:r>
    </w:p>
    <w:p w14:paraId="0F0D446B" w14:textId="77777777" w:rsidR="00DF629F" w:rsidRDefault="00DF629F" w:rsidP="00DF629F">
      <w:pPr>
        <w:rPr>
          <w:noProof/>
        </w:rPr>
      </w:pPr>
    </w:p>
    <w:p w14:paraId="0B067C0A" w14:textId="77777777" w:rsidR="00F67D3D" w:rsidRPr="003A2C87" w:rsidRDefault="00F67D3D" w:rsidP="003A2C87">
      <w:pPr>
        <w:jc w:val="both"/>
        <w:rPr>
          <w:rFonts w:ascii="Arial" w:hAnsi="Arial" w:cs="Arial"/>
          <w:bCs/>
          <w:sz w:val="20"/>
          <w:szCs w:val="20"/>
        </w:rPr>
      </w:pPr>
    </w:p>
    <w:p w14:paraId="12D143D5" w14:textId="77777777" w:rsidR="003A2C87" w:rsidRPr="003A2C87" w:rsidRDefault="003A2C87" w:rsidP="003A2C87">
      <w:pPr>
        <w:jc w:val="both"/>
        <w:rPr>
          <w:rFonts w:ascii="Arial" w:hAnsi="Arial" w:cs="Arial"/>
          <w:bCs/>
          <w:sz w:val="20"/>
          <w:szCs w:val="20"/>
        </w:rPr>
      </w:pPr>
      <w:bookmarkStart w:id="95" w:name="_Hlk215223403"/>
      <w:r w:rsidRPr="003A2C87">
        <w:rPr>
          <w:rFonts w:ascii="Arial" w:hAnsi="Arial" w:cs="Arial"/>
          <w:bCs/>
          <w:sz w:val="20"/>
          <w:szCs w:val="20"/>
        </w:rPr>
        <w:t xml:space="preserve">Dado que el ensayo de tralokinumab en combinación con TCS fue excluido de la </w:t>
      </w:r>
      <w:r w:rsidR="003B32FD">
        <w:rPr>
          <w:rFonts w:ascii="Arial" w:hAnsi="Arial" w:cs="Arial"/>
          <w:bCs/>
          <w:sz w:val="20"/>
          <w:szCs w:val="20"/>
        </w:rPr>
        <w:t xml:space="preserve">CI </w:t>
      </w:r>
      <w:r w:rsidRPr="003A2C87">
        <w:rPr>
          <w:rFonts w:ascii="Arial" w:hAnsi="Arial" w:cs="Arial"/>
          <w:bCs/>
          <w:sz w:val="20"/>
          <w:szCs w:val="20"/>
        </w:rPr>
        <w:t xml:space="preserve">previa debido al empleo de </w:t>
      </w:r>
      <w:r w:rsidR="0075635A">
        <w:rPr>
          <w:rFonts w:ascii="Arial" w:hAnsi="Arial" w:cs="Arial"/>
          <w:bCs/>
          <w:sz w:val="20"/>
          <w:szCs w:val="20"/>
        </w:rPr>
        <w:t xml:space="preserve">TCS </w:t>
      </w:r>
      <w:r w:rsidRPr="003A2C87">
        <w:rPr>
          <w:rFonts w:ascii="Arial" w:hAnsi="Arial" w:cs="Arial"/>
          <w:bCs/>
          <w:sz w:val="20"/>
          <w:szCs w:val="20"/>
        </w:rPr>
        <w:t xml:space="preserve">de alta potencia </w:t>
      </w:r>
      <w:r>
        <w:rPr>
          <w:rFonts w:ascii="Arial" w:hAnsi="Arial" w:cs="Arial"/>
          <w:bCs/>
          <w:sz w:val="20"/>
          <w:szCs w:val="20"/>
        </w:rPr>
        <w:t>(</w:t>
      </w:r>
      <w:r w:rsidRPr="003A2C87">
        <w:rPr>
          <w:rFonts w:ascii="Arial" w:hAnsi="Arial" w:cs="Arial"/>
          <w:bCs/>
          <w:sz w:val="20"/>
          <w:szCs w:val="20"/>
        </w:rPr>
        <w:t>criterio no permitido en los ensayos incluidos en la comparación inicial</w:t>
      </w:r>
      <w:r>
        <w:rPr>
          <w:rFonts w:ascii="Arial" w:hAnsi="Arial" w:cs="Arial"/>
          <w:bCs/>
          <w:sz w:val="20"/>
          <w:szCs w:val="20"/>
        </w:rPr>
        <w:t>)</w:t>
      </w:r>
      <w:r w:rsidRPr="003A2C87">
        <w:rPr>
          <w:rFonts w:ascii="Arial" w:hAnsi="Arial" w:cs="Arial"/>
          <w:bCs/>
          <w:sz w:val="20"/>
          <w:szCs w:val="20"/>
        </w:rPr>
        <w:t xml:space="preserve">, se procedió a realizar una nueva </w:t>
      </w:r>
      <w:r w:rsidR="003B32FD">
        <w:rPr>
          <w:rFonts w:ascii="Arial" w:hAnsi="Arial" w:cs="Arial"/>
          <w:bCs/>
          <w:sz w:val="20"/>
          <w:szCs w:val="20"/>
        </w:rPr>
        <w:t xml:space="preserve">CI </w:t>
      </w:r>
      <w:r w:rsidRPr="003A2C87">
        <w:rPr>
          <w:rFonts w:ascii="Arial" w:hAnsi="Arial" w:cs="Arial"/>
          <w:bCs/>
          <w:sz w:val="20"/>
          <w:szCs w:val="20"/>
        </w:rPr>
        <w:t>utilizando únicamente estudios en monoterapia</w:t>
      </w:r>
      <w:r w:rsidR="003B32FD">
        <w:rPr>
          <w:rFonts w:ascii="Arial" w:hAnsi="Arial" w:cs="Arial"/>
          <w:bCs/>
          <w:sz w:val="20"/>
          <w:szCs w:val="20"/>
        </w:rPr>
        <w:t>, comparados en la tabla 17</w:t>
      </w:r>
      <w:r w:rsidRPr="003A2C87">
        <w:rPr>
          <w:rFonts w:ascii="Arial" w:hAnsi="Arial" w:cs="Arial"/>
          <w:bCs/>
          <w:sz w:val="20"/>
          <w:szCs w:val="20"/>
        </w:rPr>
        <w:t>.</w:t>
      </w:r>
    </w:p>
    <w:p w14:paraId="0123FEB3" w14:textId="77777777" w:rsidR="003A2C87" w:rsidRPr="003A2C87" w:rsidRDefault="003A2C87" w:rsidP="003A2C87">
      <w:pPr>
        <w:jc w:val="both"/>
        <w:rPr>
          <w:rFonts w:ascii="Arial" w:hAnsi="Arial" w:cs="Arial"/>
          <w:bCs/>
          <w:sz w:val="20"/>
          <w:szCs w:val="20"/>
        </w:rPr>
      </w:pPr>
    </w:p>
    <w:p w14:paraId="5CEED4F8" w14:textId="77777777" w:rsidR="00262026" w:rsidRDefault="003A2C87" w:rsidP="003A2C87">
      <w:pPr>
        <w:jc w:val="both"/>
        <w:rPr>
          <w:rFonts w:ascii="Arial" w:hAnsi="Arial" w:cs="Arial"/>
          <w:bCs/>
          <w:sz w:val="20"/>
          <w:szCs w:val="20"/>
        </w:rPr>
      </w:pPr>
      <w:r w:rsidRPr="003A2C87">
        <w:rPr>
          <w:rFonts w:ascii="Arial" w:hAnsi="Arial" w:cs="Arial"/>
          <w:bCs/>
          <w:sz w:val="20"/>
          <w:szCs w:val="20"/>
        </w:rPr>
        <w:t>Para ello, se efectuó previamente un metanálisis</w:t>
      </w:r>
      <w:r w:rsidR="00CA7727">
        <w:rPr>
          <w:rFonts w:ascii="Arial" w:hAnsi="Arial" w:cs="Arial"/>
          <w:bCs/>
          <w:sz w:val="20"/>
          <w:szCs w:val="20"/>
        </w:rPr>
        <w:t xml:space="preserve"> (tabla 18)</w:t>
      </w:r>
      <w:r w:rsidRPr="003A2C87">
        <w:rPr>
          <w:rFonts w:ascii="Arial" w:hAnsi="Arial" w:cs="Arial"/>
          <w:bCs/>
          <w:sz w:val="20"/>
          <w:szCs w:val="20"/>
        </w:rPr>
        <w:t xml:space="preserve"> de los ensayos </w:t>
      </w:r>
      <w:r w:rsidRPr="004935C9">
        <w:rPr>
          <w:rFonts w:ascii="Arial" w:hAnsi="Arial" w:cs="Arial"/>
          <w:b/>
          <w:sz w:val="20"/>
          <w:szCs w:val="20"/>
        </w:rPr>
        <w:t xml:space="preserve">SOLO-1 y SOLO-2 </w:t>
      </w:r>
      <w:r w:rsidR="00646A51">
        <w:rPr>
          <w:rFonts w:ascii="Arial" w:hAnsi="Arial" w:cs="Arial"/>
          <w:b/>
          <w:sz w:val="20"/>
          <w:szCs w:val="20"/>
        </w:rPr>
        <w:fldChar w:fldCharType="begin"/>
      </w:r>
      <w:r w:rsidR="00511A83">
        <w:rPr>
          <w:rFonts w:ascii="Arial" w:hAnsi="Arial" w:cs="Arial"/>
          <w:b/>
          <w:sz w:val="20"/>
          <w:szCs w:val="20"/>
        </w:rPr>
        <w:instrText xml:space="preserve"> ADDIN ZOTERO_ITEM CSL_CITATION {"citationID":"j9bHLLwY","properties":{"formattedCitation":"(30)","plainCitation":"(30)","noteIndex":0},"citationItems":[{"id":64,"uris":["http://zotero.org/users/18702181/items/MBBJVXYB"],"itemData":{"id":64,"type":"article-journal","abstract":"BACKGROUND: Dupilumab, a human monoclonal antibody against interleukin-4 receptor alpha, inhibits signaling of interleukin-4 and interleukin-13, type 2 cytokines that may be important drivers of atopic or allergic diseases such as atopic dermatitis.\nMETHODS: In two randomized, placebo-controlled, phase 3 trials of identical design (SOLO 1 and SOLO 2), we enrolled adults with moderate-to-severe atopic dermatitis whose disease was inadequately controlled by topical treatment. Patients were randomly assigned in a 1:1:1 ratio to receive, for 16 weeks, subcutaneous dupilumab (300 mg) or placebo weekly or the same dose of dupilumab every other week alternating with placebo. The primary outcome was the proportion of patients who had both a score of 0 or 1 (clear or almost clear) on the Investigator's Global Assessment and a reduction of 2 points or more in that score from baseline at week 16.\nRESULTS: We enrolled 671 patients in SOLO 1 and 708 in SOLO 2. In SOLO 1, the primary outcome occurred in 85 patients (38%) who received dupilumab every other week and in 83 (37%) who received dupilumab weekly, as compared with 23 (10%) who received placebo (P&lt;0.001 for both comparisons with placebo). The results were similar in SOLO 2, with the primary outcome occurring in 84 patients (36%) who received dupilumab every other week and in 87 (36%) who received dupilumab weekly, as compared with 20 (8%) who received placebo (P&lt;0.001 for both comparisons). In addition, in the two trials, an improvement from baseline to week 16 of at least 75% on the Eczema Area and Severity Index was reported in significantly more patients who received each regimen of dupilumab than in patients who received placebo (P&lt;0.001 for all comparisons). Dupilumab was also associated with improvement in other clinical end points, including reduction in pruritus and symptoms of anxiety or depression and improvement in quality of life. Injection-site reactions and conjunctivitis were more frequent in the dupilumab groups than in the placebo groups.\nCONCLUSIONS: In two phase 3 trials of identical design involving patients with atopic dermatitis, dupilumab improved the signs and symptoms of atopic dermatitis, including pruritus, symptoms of anxiety and depression, and quality of life, as compared with placebo. Trials of longer duration are needed to assess the long-term effectiveness and safety of dupilumab. (Funded by Sanofi and Regeneron Pharmaceuticals; SOLO 1 ClinicalTrials.gov number, NCT02277743 ; SOLO 2 ClinicalTrials.gov number, NCT02277769 .).","container-title":"The New England Journal of Medicine","DOI":"10.1056/NEJMoa1610020","ISSN":"1533-4406","issue":"24","journalAbbreviation":"N Engl J Med","language":"eng","page":"2335-2348","PMID":"27690741","source":"PubMed","title":"Two Phase 3 Trials of Dupilumab versus Placebo in Atopic Dermatitis","volume":"375","author":[{"family":"Simpson","given":"Eric L."},{"family":"Bieber","given":"Thomas"},{"family":"Guttman-Yassky","given":"Emma"},{"family":"Beck","given":"Lisa A."},{"family":"Blauvelt","given":"Andrew"},{"family":"Cork","given":"Michael J."},{"family":"Silverberg","given":"Jonathan I."},{"family":"Deleuran","given":"Mette"},{"family":"Kataoka","given":"Yoko"},{"family":"Lacour","given":"Jean-Philippe"},{"family":"Kingo","given":"Külli"},{"family":"Worm","given":"Margitta"},{"family":"Poulin","given":"Yves"},{"family":"Wollenberg","given":"Andreas"},{"family":"Soo","given":"Yuhwen"},{"family":"Graham","given":"Neil M. H."},{"family":"Pirozzi","given":"Gianluca"},{"family":"Akinlade","given":"Bolanle"},{"family":"Staudinger","given":"Heribert"},{"family":"Mastey","given":"Vera"},{"family":"Eckert","given":"Laurent"},{"family":"Gadkari","given":"Abhijit"},{"family":"Stahl","given":"Neil"},{"family":"Yancopoulos","given":"George D."},{"family":"Ardeleanu","given":"Marius"},{"literal":"SOLO 1 and SOLO 2 Investigators"}],"issued":{"date-parts":[["2016",12,15]]}}}],"schema":"https://github.com/citation-style-language/schema/raw/master/csl-citation.json"} </w:instrText>
      </w:r>
      <w:r w:rsidR="00646A51">
        <w:rPr>
          <w:rFonts w:ascii="Arial" w:hAnsi="Arial" w:cs="Arial"/>
          <w:b/>
          <w:sz w:val="20"/>
          <w:szCs w:val="20"/>
        </w:rPr>
        <w:fldChar w:fldCharType="separate"/>
      </w:r>
      <w:r w:rsidR="00511A83" w:rsidRPr="00511A83">
        <w:rPr>
          <w:rFonts w:ascii="Arial" w:hAnsi="Arial" w:cs="Arial"/>
          <w:sz w:val="20"/>
        </w:rPr>
        <w:t>(30)</w:t>
      </w:r>
      <w:r w:rsidR="00646A51">
        <w:rPr>
          <w:rFonts w:ascii="Arial" w:hAnsi="Arial" w:cs="Arial"/>
          <w:b/>
          <w:sz w:val="20"/>
          <w:szCs w:val="20"/>
        </w:rPr>
        <w:fldChar w:fldCharType="end"/>
      </w:r>
      <w:r w:rsidR="004935C9">
        <w:rPr>
          <w:rFonts w:ascii="Arial" w:hAnsi="Arial" w:cs="Arial"/>
          <w:b/>
          <w:sz w:val="20"/>
          <w:szCs w:val="20"/>
        </w:rPr>
        <w:t xml:space="preserve"> </w:t>
      </w:r>
      <w:r w:rsidRPr="004935C9">
        <w:rPr>
          <w:rFonts w:ascii="Arial" w:hAnsi="Arial" w:cs="Arial"/>
          <w:b/>
          <w:sz w:val="20"/>
          <w:szCs w:val="20"/>
        </w:rPr>
        <w:t>de dupilumab y ECZTRA-1 y ECZTRA-2</w:t>
      </w:r>
      <w:r w:rsidR="004935C9">
        <w:rPr>
          <w:rFonts w:ascii="Arial" w:hAnsi="Arial" w:cs="Arial"/>
          <w:b/>
          <w:sz w:val="20"/>
          <w:szCs w:val="20"/>
        </w:rPr>
        <w:t xml:space="preserve"> </w:t>
      </w:r>
      <w:r w:rsidRPr="004935C9">
        <w:rPr>
          <w:rFonts w:ascii="Arial" w:hAnsi="Arial" w:cs="Arial"/>
          <w:b/>
          <w:sz w:val="20"/>
          <w:szCs w:val="20"/>
        </w:rPr>
        <w:t xml:space="preserve"> de tralokinumab</w:t>
      </w:r>
      <w:r w:rsidR="004935C9">
        <w:rPr>
          <w:rFonts w:ascii="Arial" w:hAnsi="Arial" w:cs="Arial"/>
          <w:b/>
          <w:sz w:val="20"/>
          <w:szCs w:val="20"/>
        </w:rPr>
        <w:t xml:space="preserve"> </w:t>
      </w:r>
      <w:bookmarkEnd w:id="95"/>
      <w:r w:rsidR="00646A51">
        <w:rPr>
          <w:rFonts w:ascii="Arial" w:hAnsi="Arial" w:cs="Arial"/>
          <w:b/>
          <w:sz w:val="20"/>
          <w:szCs w:val="20"/>
        </w:rPr>
        <w:fldChar w:fldCharType="begin"/>
      </w:r>
      <w:r w:rsidR="00511A83">
        <w:rPr>
          <w:rFonts w:ascii="Arial" w:hAnsi="Arial" w:cs="Arial"/>
          <w:b/>
          <w:sz w:val="20"/>
          <w:szCs w:val="20"/>
        </w:rPr>
        <w:instrText xml:space="preserve"> ADDIN ZOTERO_ITEM CSL_CITATION {"citationID":"WsWJ0758","properties":{"formattedCitation":"(31)","plainCitation":"(31)","noteIndex":0},"citationItems":[{"id":67,"uris":["http://zotero.org/users/18702181/items/U3EBRRHJ"],"itemData":{"id":67,"type":"article-journal","abstract":"BACKGROUND: Tralokinumab, a fully human monoclonal antibody, specifically neutralizes interleukin-13, a key cytokine driving peripheral inflammation in atopic dermatitis (AD). In phase II studies, tralokinumab combined with topical corticosteroids provided early and sustained improvements in AD signs and symptoms.\nOBJECTIVES: To evaluate the efficacy and safety of tralokinumab monotherapy in adults with moderate-to-severe AD who had an inadequate response to topical treatments.\nMETHODS: In two 52-week, randomized, double-blind, placebo-controlled, phase III trials, ECZTRA 1 and ECZTRA 2, adults with moderate-to-severe AD were randomized (3 : 1) to subcutaneous tralokinumab 300 mg every 2 weeks (Q2W) or placebo. Primary endpoints were Investigator's Global Assessment (IGA) score of 0 or 1 at week 16 and ≥ 75% improvement in Eczema Area and Severity Index (EASI 75) at week 16. Patients achieving an IGA score of 0 or 1 and/or EASI 75 with tralokinumab at week 16 were rerandomized to tralokinumab Q2W or every 4 weeks or placebo, for 36 weeks. The trials were registered with ClinicalTrials.gov: NCT03131648 and NCT03160885.\nRESULTS: At week 16, more patients who received tralokinumab vs. placebo achieved an IGA score of 0 or 1: 15·8% vs. 7·1% in ECZTRA 1 [difference 8·6%, 95% confidence interval (CI) 4·1-13·1; P = 0·002] and 22·2% vs. 10·9% in ECZTRA 2 (11·1%, 95% CI 5·8-16·4; P &lt; 0·001) and EASI 75: 25·0% vs. 12·7% (12·1%, 95% CI 6·5-17·7; P &lt; 0·001) and 33·2% vs. 11·4% (21·6%, 95% CI 15·8-27·3; P &lt; 0·001). Early improvements in pruritus, sleep interference, Dermatology Life Quality Index, SCORing Atopic Dermatitis and Patient-Oriented Eczema Measure were observed from the first postbaseline measurements. The majority of week 16 tralokinumab responders maintained response at week 52 with continued tralokinumab treatment without any rescue medication (including topical corticosteroids). Adverse events were reported in 76·4% and 61·5% of patients receiving tralokinumab in ECZTRA 1 and ECZTRA 2, respectively, and in 77·0% and 66·0% of patients receiving placebo in ECZTRA 1 and ECZTRA 2, respectively, in the 16-week initial period.\nCONCLUSIONS: Tralokinumab monotherapy was superior to placebo at 16 weeks of treatment and was well tolerated up to 52 weeks of treatment.","container-title":"The British Journal of Dermatology","DOI":"10.1111/bjd.19574","ISSN":"1365-2133","issue":"3","journalAbbreviation":"Br J Dermatol","language":"eng","page":"437-449","PMID":"33000465","PMCID":"PMC7986411","source":"PubMed","title":"Tralokinumab for moderate-to-severe atopic dermatitis: results from two 52-week, randomized, double-blind, multicentre, placebo-controlled phase III trials (ECZTRA 1 and ECZTRA 2)","title-short":"Tralokinumab for moderate-to-severe atopic dermatitis","volume":"184","author":[{"family":"Wollenberg","given":"A."},{"family":"Blauvelt","given":"A."},{"family":"Guttman-Yassky","given":"E."},{"family":"Worm","given":"M."},{"family":"Lynde","given":"C."},{"family":"Lacour","given":"J.-P."},{"family":"Spelman","given":"L."},{"family":"Katoh","given":"N."},{"family":"Saeki","given":"H."},{"family":"Poulin","given":"Y."},{"family":"Lesiak","given":"A."},{"family":"Kircik","given":"L."},{"family":"Cho","given":"S. H."},{"family":"Herranz","given":"P."},{"family":"Cork","given":"M. J."},{"family":"Peris","given":"K."},{"family":"Steffensen","given":"L. A."},{"family":"Bang","given":"B."},{"family":"Kuznetsova","given":"A."},{"family":"Jensen","given":"T. N."},{"family":"Østerdal","given":"M. L."},{"family":"Simpson","given":"E. L."},{"literal":"ECZTRA 1 and ECZTRA 2 study investigators"}],"issued":{"date-parts":[["2021",3]]}}}],"schema":"https://github.com/citation-style-language/schema/raw/master/csl-citation.json"} </w:instrText>
      </w:r>
      <w:r w:rsidR="00646A51">
        <w:rPr>
          <w:rFonts w:ascii="Arial" w:hAnsi="Arial" w:cs="Arial"/>
          <w:b/>
          <w:sz w:val="20"/>
          <w:szCs w:val="20"/>
        </w:rPr>
        <w:fldChar w:fldCharType="separate"/>
      </w:r>
      <w:r w:rsidR="00511A83" w:rsidRPr="00511A83">
        <w:rPr>
          <w:rFonts w:ascii="Arial" w:hAnsi="Arial" w:cs="Arial"/>
          <w:sz w:val="20"/>
        </w:rPr>
        <w:t>(31)</w:t>
      </w:r>
      <w:r w:rsidR="00646A51">
        <w:rPr>
          <w:rFonts w:ascii="Arial" w:hAnsi="Arial" w:cs="Arial"/>
          <w:b/>
          <w:sz w:val="20"/>
          <w:szCs w:val="20"/>
        </w:rPr>
        <w:fldChar w:fldCharType="end"/>
      </w:r>
      <w:r w:rsidR="004935C9">
        <w:rPr>
          <w:rFonts w:ascii="Arial" w:hAnsi="Arial" w:cs="Arial"/>
          <w:b/>
          <w:sz w:val="20"/>
          <w:szCs w:val="20"/>
        </w:rPr>
        <w:t xml:space="preserve"> </w:t>
      </w:r>
      <w:r w:rsidRPr="003A2C87">
        <w:rPr>
          <w:rFonts w:ascii="Arial" w:hAnsi="Arial" w:cs="Arial"/>
          <w:bCs/>
          <w:sz w:val="20"/>
          <w:szCs w:val="20"/>
        </w:rPr>
        <w:t xml:space="preserve">, con el fin de obtener estimaciones combinadas homogéneas entre ambos fármaco. Posteriormente, se llevó a cabo una </w:t>
      </w:r>
      <w:r w:rsidR="005C5447">
        <w:rPr>
          <w:rFonts w:ascii="Arial" w:hAnsi="Arial" w:cs="Arial"/>
          <w:bCs/>
          <w:sz w:val="20"/>
          <w:szCs w:val="20"/>
        </w:rPr>
        <w:t xml:space="preserve">CI </w:t>
      </w:r>
      <w:r w:rsidRPr="003A2C87">
        <w:rPr>
          <w:rFonts w:ascii="Arial" w:hAnsi="Arial" w:cs="Arial"/>
          <w:bCs/>
          <w:sz w:val="20"/>
          <w:szCs w:val="20"/>
        </w:rPr>
        <w:t>ajustada</w:t>
      </w:r>
      <w:r w:rsidR="00CA7727">
        <w:rPr>
          <w:rFonts w:ascii="Arial" w:hAnsi="Arial" w:cs="Arial"/>
          <w:bCs/>
          <w:sz w:val="20"/>
          <w:szCs w:val="20"/>
        </w:rPr>
        <w:t xml:space="preserve"> (tabla 19)</w:t>
      </w:r>
      <w:r w:rsidRPr="003A2C87">
        <w:rPr>
          <w:rFonts w:ascii="Arial" w:hAnsi="Arial" w:cs="Arial"/>
          <w:bCs/>
          <w:sz w:val="20"/>
          <w:szCs w:val="20"/>
        </w:rPr>
        <w:t>, considerando que las características metodológicas y poblacionales de los ensayos incluidos no presentan diferencias relevantes que comprometan su comparabilidad.</w:t>
      </w:r>
    </w:p>
    <w:p w14:paraId="516D13EC" w14:textId="77777777" w:rsidR="003A2C87" w:rsidRPr="00CA7727" w:rsidRDefault="003A2C87" w:rsidP="003A2C87">
      <w:pPr>
        <w:jc w:val="both"/>
        <w:rPr>
          <w:rFonts w:ascii="Arial" w:hAnsi="Arial" w:cs="Arial"/>
          <w:bCs/>
          <w:sz w:val="22"/>
          <w:szCs w:val="22"/>
        </w:rPr>
      </w:pPr>
    </w:p>
    <w:tbl>
      <w:tblPr>
        <w:tblW w:w="10134" w:type="dxa"/>
        <w:tblInd w:w="-818" w:type="dxa"/>
        <w:tblCellMar>
          <w:left w:w="70" w:type="dxa"/>
          <w:right w:w="70" w:type="dxa"/>
        </w:tblCellMar>
        <w:tblLook w:val="04A0" w:firstRow="1" w:lastRow="0" w:firstColumn="1" w:lastColumn="0" w:noHBand="0" w:noVBand="1"/>
      </w:tblPr>
      <w:tblGrid>
        <w:gridCol w:w="1388"/>
        <w:gridCol w:w="4145"/>
        <w:gridCol w:w="4601"/>
      </w:tblGrid>
      <w:tr w:rsidR="00CA7727" w:rsidRPr="00CA7727" w14:paraId="4756353F" w14:textId="77777777" w:rsidTr="00CA7727">
        <w:trPr>
          <w:trHeight w:val="319"/>
        </w:trPr>
        <w:tc>
          <w:tcPr>
            <w:tcW w:w="10134" w:type="dxa"/>
            <w:gridSpan w:val="3"/>
            <w:tcBorders>
              <w:top w:val="single" w:sz="4" w:space="0" w:color="auto"/>
              <w:left w:val="single" w:sz="4" w:space="0" w:color="auto"/>
              <w:bottom w:val="single" w:sz="4" w:space="0" w:color="auto"/>
              <w:right w:val="single" w:sz="4" w:space="0" w:color="auto"/>
            </w:tcBorders>
            <w:shd w:val="clear" w:color="auto" w:fill="CCFFCC"/>
            <w:noWrap/>
            <w:vAlign w:val="bottom"/>
          </w:tcPr>
          <w:p w14:paraId="60A22444" w14:textId="77777777" w:rsidR="003B32FD" w:rsidRPr="00CA7727" w:rsidRDefault="003B32FD">
            <w:pPr>
              <w:jc w:val="center"/>
              <w:rPr>
                <w:rFonts w:ascii="Arial" w:hAnsi="Arial" w:cs="Arial"/>
                <w:b/>
                <w:bCs/>
                <w:sz w:val="18"/>
                <w:szCs w:val="18"/>
              </w:rPr>
            </w:pPr>
            <w:r w:rsidRPr="00CA7727">
              <w:rPr>
                <w:rFonts w:ascii="Arial" w:hAnsi="Arial" w:cs="Arial"/>
                <w:b/>
                <w:bCs/>
                <w:sz w:val="18"/>
                <w:szCs w:val="18"/>
              </w:rPr>
              <w:t>Tabla 17. Comparación de ensayos de dupilumab y tralokinumab en monoterapia.</w:t>
            </w:r>
          </w:p>
        </w:tc>
      </w:tr>
      <w:tr w:rsidR="003A2C87" w14:paraId="7B2C140E" w14:textId="77777777" w:rsidTr="0087183F">
        <w:trPr>
          <w:trHeight w:val="319"/>
        </w:trPr>
        <w:tc>
          <w:tcPr>
            <w:tcW w:w="1388" w:type="dxa"/>
            <w:tcBorders>
              <w:top w:val="single" w:sz="4" w:space="0" w:color="auto"/>
              <w:left w:val="single" w:sz="4" w:space="0" w:color="auto"/>
              <w:bottom w:val="single" w:sz="4" w:space="0" w:color="auto"/>
              <w:right w:val="single" w:sz="4" w:space="0" w:color="auto"/>
            </w:tcBorders>
            <w:shd w:val="clear" w:color="auto" w:fill="EDEDED"/>
            <w:noWrap/>
            <w:vAlign w:val="bottom"/>
            <w:hideMark/>
          </w:tcPr>
          <w:p w14:paraId="514584FB" w14:textId="77777777" w:rsidR="003A2C87" w:rsidRDefault="003A2C87">
            <w:pPr>
              <w:rPr>
                <w:sz w:val="20"/>
                <w:szCs w:val="20"/>
              </w:rPr>
            </w:pPr>
          </w:p>
        </w:tc>
        <w:tc>
          <w:tcPr>
            <w:tcW w:w="4145"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30B7BE1"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DUPILUMAB</w:t>
            </w:r>
          </w:p>
        </w:tc>
        <w:tc>
          <w:tcPr>
            <w:tcW w:w="4601" w:type="dxa"/>
            <w:tcBorders>
              <w:top w:val="single" w:sz="4" w:space="0" w:color="auto"/>
              <w:left w:val="single" w:sz="4" w:space="0" w:color="auto"/>
              <w:bottom w:val="single" w:sz="4" w:space="0" w:color="auto"/>
              <w:right w:val="single" w:sz="4" w:space="0" w:color="auto"/>
            </w:tcBorders>
            <w:shd w:val="clear" w:color="000000" w:fill="99FFCC"/>
            <w:noWrap/>
            <w:vAlign w:val="center"/>
            <w:hideMark/>
          </w:tcPr>
          <w:p w14:paraId="1A9C59C1"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TRALOKINUMAB</w:t>
            </w:r>
          </w:p>
        </w:tc>
      </w:tr>
      <w:tr w:rsidR="003A2C87" w14:paraId="216DE9BD" w14:textId="77777777" w:rsidTr="003B32FD">
        <w:trPr>
          <w:trHeight w:val="319"/>
        </w:trPr>
        <w:tc>
          <w:tcPr>
            <w:tcW w:w="13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0A6035"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ENSAYO</w:t>
            </w:r>
          </w:p>
        </w:tc>
        <w:tc>
          <w:tcPr>
            <w:tcW w:w="414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A19CCA9"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SOLO-1 y SOLO-2</w:t>
            </w:r>
            <w:r w:rsidR="004935C9">
              <w:rPr>
                <w:rFonts w:ascii="Arial" w:hAnsi="Arial" w:cs="Arial"/>
                <w:b/>
                <w:bCs/>
                <w:color w:val="000000"/>
                <w:sz w:val="16"/>
                <w:szCs w:val="16"/>
              </w:rPr>
              <w:t xml:space="preserve"> </w:t>
            </w:r>
            <w:r w:rsidR="00646A51">
              <w:rPr>
                <w:rFonts w:ascii="Arial" w:hAnsi="Arial" w:cs="Arial"/>
                <w:b/>
                <w:bCs/>
                <w:color w:val="000000"/>
                <w:sz w:val="16"/>
                <w:szCs w:val="16"/>
              </w:rPr>
              <w:fldChar w:fldCharType="begin"/>
            </w:r>
            <w:r w:rsidR="00511A83">
              <w:rPr>
                <w:rFonts w:ascii="Arial" w:hAnsi="Arial" w:cs="Arial"/>
                <w:b/>
                <w:bCs/>
                <w:color w:val="000000"/>
                <w:sz w:val="16"/>
                <w:szCs w:val="16"/>
              </w:rPr>
              <w:instrText xml:space="preserve"> ADDIN ZOTERO_ITEM CSL_CITATION {"citationID":"Em1OrMve","properties":{"formattedCitation":"(30)","plainCitation":"(30)","noteIndex":0},"citationItems":[{"id":64,"uris":["http://zotero.org/users/18702181/items/MBBJVXYB"],"itemData":{"id":64,"type":"article-journal","abstract":"BACKGROUND: Dupilumab, a human monoclonal antibody against interleukin-4 receptor alpha, inhibits signaling of interleukin-4 and interleukin-13, type 2 cytokines that may be important drivers of atopic or allergic diseases such as atopic dermatitis.\nMETHODS: In two randomized, placebo-controlled, phase 3 trials of identical design (SOLO 1 and SOLO 2), we enrolled adults with moderate-to-severe atopic dermatitis whose disease was inadequately controlled by topical treatment. Patients were randomly assigned in a 1:1:1 ratio to receive, for 16 weeks, subcutaneous dupilumab (300 mg) or placebo weekly or the same dose of dupilumab every other week alternating with placebo. The primary outcome was the proportion of patients who had both a score of 0 or 1 (clear or almost clear) on the Investigator's Global Assessment and a reduction of 2 points or more in that score from baseline at week 16.\nRESULTS: We enrolled 671 patients in SOLO 1 and 708 in SOLO 2. In SOLO 1, the primary outcome occurred in 85 patients (38%) who received dupilumab every other week and in 83 (37%) who received dupilumab weekly, as compared with 23 (10%) who received placebo (P&lt;0.001 for both comparisons with placebo). The results were similar in SOLO 2, with the primary outcome occurring in 84 patients (36%) who received dupilumab every other week and in 87 (36%) who received dupilumab weekly, as compared with 20 (8%) who received placebo (P&lt;0.001 for both comparisons). In addition, in the two trials, an improvement from baseline to week 16 of at least 75% on the Eczema Area and Severity Index was reported in significantly more patients who received each regimen of dupilumab than in patients who received placebo (P&lt;0.001 for all comparisons). Dupilumab was also associated with improvement in other clinical end points, including reduction in pruritus and symptoms of anxiety or depression and improvement in quality of life. Injection-site reactions and conjunctivitis were more frequent in the dupilumab groups than in the placebo groups.\nCONCLUSIONS: In two phase 3 trials of identical design involving patients with atopic dermatitis, dupilumab improved the signs and symptoms of atopic dermatitis, including pruritus, symptoms of anxiety and depression, and quality of life, as compared with placebo. Trials of longer duration are needed to assess the long-term effectiveness and safety of dupilumab. (Funded by Sanofi and Regeneron Pharmaceuticals; SOLO 1 ClinicalTrials.gov number, NCT02277743 ; SOLO 2 ClinicalTrials.gov number, NCT02277769 .).","container-title":"The New England Journal of Medicine","DOI":"10.1056/NEJMoa1610020","ISSN":"1533-4406","issue":"24","journalAbbreviation":"N Engl J Med","language":"eng","page":"2335-2348","PMID":"27690741","source":"PubMed","title":"Two Phase 3 Trials of Dupilumab versus Placebo in Atopic Dermatitis","volume":"375","author":[{"family":"Simpson","given":"Eric L."},{"family":"Bieber","given":"Thomas"},{"family":"Guttman-Yassky","given":"Emma"},{"family":"Beck","given":"Lisa A."},{"family":"Blauvelt","given":"Andrew"},{"family":"Cork","given":"Michael J."},{"family":"Silverberg","given":"Jonathan I."},{"family":"Deleuran","given":"Mette"},{"family":"Kataoka","given":"Yoko"},{"family":"Lacour","given":"Jean-Philippe"},{"family":"Kingo","given":"Külli"},{"family":"Worm","given":"Margitta"},{"family":"Poulin","given":"Yves"},{"family":"Wollenberg","given":"Andreas"},{"family":"Soo","given":"Yuhwen"},{"family":"Graham","given":"Neil M. H."},{"family":"Pirozzi","given":"Gianluca"},{"family":"Akinlade","given":"Bolanle"},{"family":"Staudinger","given":"Heribert"},{"family":"Mastey","given":"Vera"},{"family":"Eckert","given":"Laurent"},{"family":"Gadkari","given":"Abhijit"},{"family":"Stahl","given":"Neil"},{"family":"Yancopoulos","given":"George D."},{"family":"Ardeleanu","given":"Marius"},{"literal":"SOLO 1 and SOLO 2 Investigators"}],"issued":{"date-parts":[["2016",12,15]]}}}],"schema":"https://github.com/citation-style-language/schema/raw/master/csl-citation.json"} </w:instrText>
            </w:r>
            <w:r w:rsidR="00646A51">
              <w:rPr>
                <w:rFonts w:ascii="Arial" w:hAnsi="Arial" w:cs="Arial"/>
                <w:b/>
                <w:bCs/>
                <w:color w:val="000000"/>
                <w:sz w:val="16"/>
                <w:szCs w:val="16"/>
              </w:rPr>
              <w:fldChar w:fldCharType="separate"/>
            </w:r>
            <w:r w:rsidR="00511A83" w:rsidRPr="00511A83">
              <w:rPr>
                <w:rFonts w:ascii="Arial" w:hAnsi="Arial" w:cs="Arial"/>
                <w:sz w:val="16"/>
              </w:rPr>
              <w:t>(30)</w:t>
            </w:r>
            <w:r w:rsidR="00646A51">
              <w:rPr>
                <w:rFonts w:ascii="Arial" w:hAnsi="Arial" w:cs="Arial"/>
                <w:b/>
                <w:bCs/>
                <w:color w:val="000000"/>
                <w:sz w:val="16"/>
                <w:szCs w:val="16"/>
              </w:rPr>
              <w:fldChar w:fldCharType="end"/>
            </w:r>
          </w:p>
        </w:tc>
        <w:tc>
          <w:tcPr>
            <w:tcW w:w="460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ACD4F74" w14:textId="77777777" w:rsidR="003A2C87" w:rsidRDefault="003A2C87">
            <w:pPr>
              <w:jc w:val="center"/>
              <w:rPr>
                <w:rFonts w:ascii="Arial" w:hAnsi="Arial" w:cs="Arial"/>
                <w:b/>
                <w:bCs/>
                <w:color w:val="303030"/>
                <w:sz w:val="16"/>
                <w:szCs w:val="16"/>
              </w:rPr>
            </w:pPr>
            <w:r>
              <w:rPr>
                <w:rFonts w:ascii="Arial" w:hAnsi="Arial" w:cs="Arial"/>
                <w:b/>
                <w:bCs/>
                <w:color w:val="303030"/>
                <w:sz w:val="16"/>
                <w:szCs w:val="16"/>
              </w:rPr>
              <w:t xml:space="preserve">ECZTRA 1 y 2 </w:t>
            </w:r>
            <w:r w:rsidR="00646A51">
              <w:rPr>
                <w:rFonts w:ascii="Arial" w:hAnsi="Arial" w:cs="Arial"/>
                <w:b/>
                <w:bCs/>
                <w:color w:val="303030"/>
                <w:sz w:val="16"/>
                <w:szCs w:val="16"/>
              </w:rPr>
              <w:fldChar w:fldCharType="begin"/>
            </w:r>
            <w:r w:rsidR="00511A83">
              <w:rPr>
                <w:rFonts w:ascii="Arial" w:hAnsi="Arial" w:cs="Arial"/>
                <w:b/>
                <w:bCs/>
                <w:color w:val="303030"/>
                <w:sz w:val="16"/>
                <w:szCs w:val="16"/>
              </w:rPr>
              <w:instrText xml:space="preserve"> ADDIN ZOTERO_ITEM CSL_CITATION {"citationID":"wuu9iHCM","properties":{"formattedCitation":"(31)","plainCitation":"(31)","noteIndex":0},"citationItems":[{"id":67,"uris":["http://zotero.org/users/18702181/items/U3EBRRHJ"],"itemData":{"id":67,"type":"article-journal","abstract":"BACKGROUND: Tralokinumab, a fully human monoclonal antibody, specifically neutralizes interleukin-13, a key cytokine driving peripheral inflammation in atopic dermatitis (AD). In phase II studies, tralokinumab combined with topical corticosteroids provided early and sustained improvements in AD signs and symptoms.\nOBJECTIVES: To evaluate the efficacy and safety of tralokinumab monotherapy in adults with moderate-to-severe AD who had an inadequate response to topical treatments.\nMETHODS: In two 52-week, randomized, double-blind, placebo-controlled, phase III trials, ECZTRA 1 and ECZTRA 2, adults with moderate-to-severe AD were randomized (3 : 1) to subcutaneous tralokinumab 300 mg every 2 weeks (Q2W) or placebo. Primary endpoints were Investigator's Global Assessment (IGA) score of 0 or 1 at week 16 and ≥ 75% improvement in Eczema Area and Severity Index (EASI 75) at week 16. Patients achieving an IGA score of 0 or 1 and/or EASI 75 with tralokinumab at week 16 were rerandomized to tralokinumab Q2W or every 4 weeks or placebo, for 36 weeks. The trials were registered with ClinicalTrials.gov: NCT03131648 and NCT03160885.\nRESULTS: At week 16, more patients who received tralokinumab vs. placebo achieved an IGA score of 0 or 1: 15·8% vs. 7·1% in ECZTRA 1 [difference 8·6%, 95% confidence interval (CI) 4·1-13·1; P = 0·002] and 22·2% vs. 10·9% in ECZTRA 2 (11·1%, 95% CI 5·8-16·4; P &lt; 0·001) and EASI 75: 25·0% vs. 12·7% (12·1%, 95% CI 6·5-17·7; P &lt; 0·001) and 33·2% vs. 11·4% (21·6%, 95% CI 15·8-27·3; P &lt; 0·001). Early improvements in pruritus, sleep interference, Dermatology Life Quality Index, SCORing Atopic Dermatitis and Patient-Oriented Eczema Measure were observed from the first postbaseline measurements. The majority of week 16 tralokinumab responders maintained response at week 52 with continued tralokinumab treatment without any rescue medication (including topical corticosteroids). Adverse events were reported in 76·4% and 61·5% of patients receiving tralokinumab in ECZTRA 1 and ECZTRA 2, respectively, and in 77·0% and 66·0% of patients receiving placebo in ECZTRA 1 and ECZTRA 2, respectively, in the 16-week initial period.\nCONCLUSIONS: Tralokinumab monotherapy was superior to placebo at 16 weeks of treatment and was well tolerated up to 52 weeks of treatment.","container-title":"The British Journal of Dermatology","DOI":"10.1111/bjd.19574","ISSN":"1365-2133","issue":"3","journalAbbreviation":"Br J Dermatol","language":"eng","page":"437-449","PMID":"33000465","PMCID":"PMC7986411","source":"PubMed","title":"Tralokinumab for moderate-to-severe atopic dermatitis: results from two 52-week, randomized, double-blind, multicentre, placebo-controlled phase III trials (ECZTRA 1 and ECZTRA 2)","title-short":"Tralokinumab for moderate-to-severe atopic dermatitis","volume":"184","author":[{"family":"Wollenberg","given":"A."},{"family":"Blauvelt","given":"A."},{"family":"Guttman-Yassky","given":"E."},{"family":"Worm","given":"M."},{"family":"Lynde","given":"C."},{"family":"Lacour","given":"J.-P."},{"family":"Spelman","given":"L."},{"family":"Katoh","given":"N."},{"family":"Saeki","given":"H."},{"family":"Poulin","given":"Y."},{"family":"Lesiak","given":"A."},{"family":"Kircik","given":"L."},{"family":"Cho","given":"S. H."},{"family":"Herranz","given":"P."},{"family":"Cork","given":"M. J."},{"family":"Peris","given":"K."},{"family":"Steffensen","given":"L. A."},{"family":"Bang","given":"B."},{"family":"Kuznetsova","given":"A."},{"family":"Jensen","given":"T. N."},{"family":"Østerdal","given":"M. L."},{"family":"Simpson","given":"E. L."},{"literal":"ECZTRA 1 and ECZTRA 2 study investigators"}],"issued":{"date-parts":[["2021",3]]}}}],"schema":"https://github.com/citation-style-language/schema/raw/master/csl-citation.json"} </w:instrText>
            </w:r>
            <w:r w:rsidR="00646A51">
              <w:rPr>
                <w:rFonts w:ascii="Arial" w:hAnsi="Arial" w:cs="Arial"/>
                <w:b/>
                <w:bCs/>
                <w:color w:val="303030"/>
                <w:sz w:val="16"/>
                <w:szCs w:val="16"/>
              </w:rPr>
              <w:fldChar w:fldCharType="separate"/>
            </w:r>
            <w:r w:rsidR="00511A83" w:rsidRPr="00511A83">
              <w:rPr>
                <w:rFonts w:ascii="Arial" w:hAnsi="Arial" w:cs="Arial"/>
                <w:sz w:val="16"/>
              </w:rPr>
              <w:t>(31)</w:t>
            </w:r>
            <w:r w:rsidR="00646A51">
              <w:rPr>
                <w:rFonts w:ascii="Arial" w:hAnsi="Arial" w:cs="Arial"/>
                <w:b/>
                <w:bCs/>
                <w:color w:val="303030"/>
                <w:sz w:val="16"/>
                <w:szCs w:val="16"/>
              </w:rPr>
              <w:fldChar w:fldCharType="end"/>
            </w:r>
          </w:p>
        </w:tc>
      </w:tr>
      <w:tr w:rsidR="003A2C87" w14:paraId="3B2082C9" w14:textId="77777777" w:rsidTr="003B32FD">
        <w:trPr>
          <w:trHeight w:val="684"/>
        </w:trPr>
        <w:tc>
          <w:tcPr>
            <w:tcW w:w="13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ACADE9"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DISEÑO</w:t>
            </w:r>
          </w:p>
        </w:tc>
        <w:tc>
          <w:tcPr>
            <w:tcW w:w="4145" w:type="dxa"/>
            <w:tcBorders>
              <w:top w:val="single" w:sz="4" w:space="0" w:color="auto"/>
              <w:left w:val="single" w:sz="4" w:space="0" w:color="auto"/>
              <w:bottom w:val="single" w:sz="4" w:space="0" w:color="auto"/>
              <w:right w:val="single" w:sz="4" w:space="0" w:color="auto"/>
            </w:tcBorders>
            <w:vAlign w:val="center"/>
            <w:hideMark/>
          </w:tcPr>
          <w:p w14:paraId="4B988A9A" w14:textId="77777777" w:rsidR="003A2C87" w:rsidRDefault="003A2C87">
            <w:pPr>
              <w:jc w:val="center"/>
              <w:rPr>
                <w:rFonts w:ascii="Arial" w:hAnsi="Arial" w:cs="Arial"/>
                <w:color w:val="000000"/>
                <w:sz w:val="16"/>
                <w:szCs w:val="16"/>
              </w:rPr>
            </w:pPr>
            <w:r>
              <w:rPr>
                <w:rFonts w:ascii="Arial" w:hAnsi="Arial" w:cs="Arial"/>
                <w:color w:val="000000"/>
                <w:sz w:val="16"/>
                <w:szCs w:val="16"/>
              </w:rPr>
              <w:t>Estudio fase 3 randomizado (1:1:1) doble ciego controlado con placebo, multicéntrico.</w:t>
            </w:r>
          </w:p>
        </w:tc>
        <w:tc>
          <w:tcPr>
            <w:tcW w:w="4601" w:type="dxa"/>
            <w:tcBorders>
              <w:top w:val="single" w:sz="4" w:space="0" w:color="auto"/>
              <w:left w:val="single" w:sz="4" w:space="0" w:color="auto"/>
              <w:bottom w:val="single" w:sz="4" w:space="0" w:color="auto"/>
              <w:right w:val="single" w:sz="4" w:space="0" w:color="auto"/>
            </w:tcBorders>
            <w:vAlign w:val="center"/>
            <w:hideMark/>
          </w:tcPr>
          <w:p w14:paraId="360A104F" w14:textId="77777777" w:rsidR="003A2C87" w:rsidRDefault="003A2C87">
            <w:pPr>
              <w:jc w:val="center"/>
              <w:rPr>
                <w:rFonts w:ascii="Arial" w:hAnsi="Arial" w:cs="Arial"/>
                <w:color w:val="000000"/>
                <w:sz w:val="16"/>
                <w:szCs w:val="16"/>
              </w:rPr>
            </w:pPr>
            <w:r>
              <w:rPr>
                <w:rFonts w:ascii="Arial" w:hAnsi="Arial" w:cs="Arial"/>
                <w:color w:val="000000"/>
                <w:sz w:val="16"/>
                <w:szCs w:val="16"/>
              </w:rPr>
              <w:t xml:space="preserve">Estudios de Fase 3, aleatorizados, doble ciego, controlados con placebo y de grupos paralelos. </w:t>
            </w:r>
          </w:p>
        </w:tc>
      </w:tr>
      <w:tr w:rsidR="003A2C87" w14:paraId="06AE0270" w14:textId="77777777" w:rsidTr="003B32FD">
        <w:trPr>
          <w:trHeight w:val="1597"/>
        </w:trPr>
        <w:tc>
          <w:tcPr>
            <w:tcW w:w="13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9463BEC"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BRAZOS</w:t>
            </w:r>
          </w:p>
        </w:tc>
        <w:tc>
          <w:tcPr>
            <w:tcW w:w="4145" w:type="dxa"/>
            <w:tcBorders>
              <w:top w:val="single" w:sz="4" w:space="0" w:color="auto"/>
              <w:left w:val="single" w:sz="4" w:space="0" w:color="auto"/>
              <w:bottom w:val="single" w:sz="4" w:space="0" w:color="auto"/>
              <w:right w:val="single" w:sz="4" w:space="0" w:color="auto"/>
            </w:tcBorders>
            <w:vAlign w:val="center"/>
            <w:hideMark/>
          </w:tcPr>
          <w:p w14:paraId="4675C3F2" w14:textId="77777777" w:rsidR="003A2C87" w:rsidRDefault="00D60F19">
            <w:pPr>
              <w:jc w:val="center"/>
              <w:rPr>
                <w:rFonts w:ascii="Arial" w:hAnsi="Arial" w:cs="Arial"/>
                <w:color w:val="000000"/>
                <w:sz w:val="16"/>
                <w:szCs w:val="16"/>
              </w:rPr>
            </w:pPr>
            <w:r>
              <w:rPr>
                <w:rFonts w:ascii="Arial" w:hAnsi="Arial" w:cs="Arial"/>
                <w:color w:val="000000"/>
                <w:sz w:val="16"/>
                <w:szCs w:val="16"/>
              </w:rPr>
              <w:t xml:space="preserve">D0: Dupilumab 600 mg Dm: </w:t>
            </w:r>
            <w:r w:rsidR="003A2C87">
              <w:rPr>
                <w:rFonts w:ascii="Arial" w:hAnsi="Arial" w:cs="Arial"/>
                <w:color w:val="000000"/>
                <w:sz w:val="16"/>
                <w:szCs w:val="16"/>
              </w:rPr>
              <w:t xml:space="preserve">Dupilumab 300 mg </w:t>
            </w:r>
            <w:r>
              <w:rPr>
                <w:rFonts w:ascii="Arial" w:hAnsi="Arial" w:cs="Arial"/>
                <w:color w:val="000000"/>
                <w:sz w:val="16"/>
                <w:szCs w:val="16"/>
              </w:rPr>
              <w:t xml:space="preserve">Q2W </w:t>
            </w:r>
            <w:r w:rsidR="003A2C87">
              <w:rPr>
                <w:rFonts w:ascii="Arial" w:hAnsi="Arial" w:cs="Arial"/>
                <w:color w:val="000000"/>
                <w:sz w:val="16"/>
                <w:szCs w:val="16"/>
              </w:rPr>
              <w:t xml:space="preserve">vs dupilumab 300 mg semanal vs placebo semanal </w:t>
            </w:r>
          </w:p>
        </w:tc>
        <w:tc>
          <w:tcPr>
            <w:tcW w:w="4601" w:type="dxa"/>
            <w:tcBorders>
              <w:top w:val="single" w:sz="4" w:space="0" w:color="auto"/>
              <w:left w:val="single" w:sz="4" w:space="0" w:color="auto"/>
              <w:bottom w:val="single" w:sz="4" w:space="0" w:color="auto"/>
              <w:right w:val="single" w:sz="4" w:space="0" w:color="auto"/>
            </w:tcBorders>
            <w:vAlign w:val="center"/>
            <w:hideMark/>
          </w:tcPr>
          <w:p w14:paraId="2EEAF461" w14:textId="77777777" w:rsidR="003A2C87" w:rsidRDefault="003A2C87">
            <w:pPr>
              <w:jc w:val="center"/>
              <w:rPr>
                <w:rFonts w:ascii="Arial" w:hAnsi="Arial" w:cs="Arial"/>
                <w:color w:val="000000"/>
                <w:sz w:val="16"/>
                <w:szCs w:val="16"/>
              </w:rPr>
            </w:pPr>
            <w:r>
              <w:rPr>
                <w:rFonts w:ascii="Arial" w:hAnsi="Arial" w:cs="Arial"/>
                <w:b/>
                <w:bCs/>
                <w:color w:val="000000"/>
                <w:sz w:val="16"/>
                <w:szCs w:val="16"/>
              </w:rPr>
              <w:t xml:space="preserve">Inducción </w:t>
            </w:r>
            <w:r>
              <w:rPr>
                <w:rFonts w:ascii="Arial" w:hAnsi="Arial" w:cs="Arial"/>
                <w:color w:val="000000"/>
                <w:sz w:val="16"/>
                <w:szCs w:val="16"/>
              </w:rPr>
              <w:t xml:space="preserve">(0-16 Semanas): Aleatorización 3:1. Tralokinumab 300 mg Q2W, con dosis de carga inicial de 600 mg en Semana 0.Placebo Q2W. </w:t>
            </w:r>
            <w:r>
              <w:rPr>
                <w:rFonts w:ascii="Arial" w:hAnsi="Arial" w:cs="Arial"/>
                <w:b/>
                <w:bCs/>
                <w:color w:val="000000"/>
                <w:sz w:val="16"/>
                <w:szCs w:val="16"/>
              </w:rPr>
              <w:t>Mantenimiento</w:t>
            </w:r>
            <w:r>
              <w:rPr>
                <w:rFonts w:ascii="Arial" w:hAnsi="Arial" w:cs="Arial"/>
                <w:color w:val="000000"/>
                <w:sz w:val="16"/>
                <w:szCs w:val="16"/>
              </w:rPr>
              <w:t xml:space="preserve"> (16-52 Semanas): Los respondedores clínicos a tralokinumab (IGA 0/1 o EASI 75, sin medicación de rescate en la Semana 16) fueron re-aleatorizados en proporción 2:2:1 a: Tralokinumab 300 mg Q2W.Tralokinumab 300 mg Q4W, Placebo Q2W</w:t>
            </w:r>
          </w:p>
        </w:tc>
      </w:tr>
      <w:tr w:rsidR="003A2C87" w14:paraId="4ACCF926" w14:textId="77777777" w:rsidTr="003B32FD">
        <w:trPr>
          <w:trHeight w:val="913"/>
        </w:trPr>
        <w:tc>
          <w:tcPr>
            <w:tcW w:w="13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A023F4"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PACIENTES</w:t>
            </w:r>
          </w:p>
        </w:tc>
        <w:tc>
          <w:tcPr>
            <w:tcW w:w="4145" w:type="dxa"/>
            <w:tcBorders>
              <w:top w:val="single" w:sz="4" w:space="0" w:color="auto"/>
              <w:left w:val="single" w:sz="4" w:space="0" w:color="auto"/>
              <w:bottom w:val="single" w:sz="4" w:space="0" w:color="auto"/>
              <w:right w:val="single" w:sz="4" w:space="0" w:color="auto"/>
            </w:tcBorders>
            <w:vAlign w:val="center"/>
            <w:hideMark/>
          </w:tcPr>
          <w:p w14:paraId="06903A5C" w14:textId="77777777" w:rsidR="003A2C87" w:rsidRDefault="003A2C87">
            <w:pPr>
              <w:jc w:val="center"/>
              <w:rPr>
                <w:rFonts w:ascii="Arial" w:hAnsi="Arial" w:cs="Arial"/>
                <w:color w:val="000000"/>
                <w:sz w:val="16"/>
                <w:szCs w:val="16"/>
              </w:rPr>
            </w:pPr>
            <w:r>
              <w:rPr>
                <w:rFonts w:ascii="Arial" w:hAnsi="Arial" w:cs="Arial"/>
                <w:color w:val="000000"/>
                <w:sz w:val="16"/>
                <w:szCs w:val="16"/>
              </w:rPr>
              <w:t xml:space="preserve">Edad </w:t>
            </w:r>
            <w:r>
              <w:rPr>
                <w:rFonts w:ascii="Arial" w:hAnsi="Arial" w:cs="Arial"/>
                <w:b/>
                <w:bCs/>
                <w:color w:val="000000"/>
                <w:sz w:val="16"/>
                <w:szCs w:val="16"/>
              </w:rPr>
              <w:t>≥18 años</w:t>
            </w:r>
            <w:r>
              <w:rPr>
                <w:rFonts w:ascii="Arial" w:hAnsi="Arial" w:cs="Arial"/>
                <w:color w:val="000000"/>
                <w:sz w:val="16"/>
                <w:szCs w:val="16"/>
              </w:rPr>
              <w:t>, DA desde al menos 3 años, sin respuesta a tto topico, IGA≥ 3, EASI≥16, BSA≥ 10%, NRS medio ≥3, aplicación de hidratantes previa a randomización</w:t>
            </w:r>
          </w:p>
        </w:tc>
        <w:tc>
          <w:tcPr>
            <w:tcW w:w="4601" w:type="dxa"/>
            <w:tcBorders>
              <w:top w:val="single" w:sz="4" w:space="0" w:color="auto"/>
              <w:left w:val="single" w:sz="4" w:space="0" w:color="auto"/>
              <w:bottom w:val="single" w:sz="4" w:space="0" w:color="auto"/>
              <w:right w:val="single" w:sz="4" w:space="0" w:color="auto"/>
            </w:tcBorders>
            <w:vAlign w:val="center"/>
            <w:hideMark/>
          </w:tcPr>
          <w:p w14:paraId="661B926B" w14:textId="77777777" w:rsidR="003A2C87" w:rsidRDefault="003A2C87">
            <w:pPr>
              <w:jc w:val="center"/>
              <w:rPr>
                <w:rFonts w:ascii="Arial" w:hAnsi="Arial" w:cs="Arial"/>
                <w:color w:val="000000"/>
                <w:sz w:val="16"/>
                <w:szCs w:val="16"/>
              </w:rPr>
            </w:pPr>
            <w:r>
              <w:rPr>
                <w:rFonts w:ascii="Arial" w:hAnsi="Arial" w:cs="Arial"/>
                <w:color w:val="000000"/>
                <w:sz w:val="16"/>
                <w:szCs w:val="16"/>
              </w:rPr>
              <w:t>Adultos (</w:t>
            </w:r>
            <w:r>
              <w:rPr>
                <w:rFonts w:ascii="Arial" w:hAnsi="Arial" w:cs="Arial"/>
                <w:b/>
                <w:bCs/>
                <w:color w:val="000000"/>
                <w:sz w:val="16"/>
                <w:szCs w:val="16"/>
              </w:rPr>
              <w:t xml:space="preserve">≥18 años </w:t>
            </w:r>
            <w:r>
              <w:rPr>
                <w:rFonts w:ascii="Arial" w:hAnsi="Arial" w:cs="Arial"/>
                <w:color w:val="000000"/>
                <w:sz w:val="16"/>
                <w:szCs w:val="16"/>
              </w:rPr>
              <w:t>de edad) con DA moderada a grave, candidatos para terapia sistémica. Criterios de Gravedad Basal: EASI ≥16, IGA ≥3 (en una escala de 0 a 4), BSA≥10% , y PP-NRS ≥4</w:t>
            </w:r>
          </w:p>
        </w:tc>
      </w:tr>
      <w:tr w:rsidR="003A2C87" w14:paraId="72EA7089" w14:textId="77777777" w:rsidTr="003B32FD">
        <w:trPr>
          <w:trHeight w:val="684"/>
        </w:trPr>
        <w:tc>
          <w:tcPr>
            <w:tcW w:w="13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7EFE52"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VARIABLES PRIMARIAS</w:t>
            </w:r>
          </w:p>
        </w:tc>
        <w:tc>
          <w:tcPr>
            <w:tcW w:w="4145" w:type="dxa"/>
            <w:tcBorders>
              <w:top w:val="single" w:sz="4" w:space="0" w:color="auto"/>
              <w:left w:val="single" w:sz="4" w:space="0" w:color="auto"/>
              <w:bottom w:val="single" w:sz="4" w:space="0" w:color="auto"/>
              <w:right w:val="single" w:sz="4" w:space="0" w:color="auto"/>
            </w:tcBorders>
            <w:vAlign w:val="center"/>
            <w:hideMark/>
          </w:tcPr>
          <w:p w14:paraId="06EF6FA0" w14:textId="77777777" w:rsidR="003A2C87" w:rsidRDefault="003A2C87">
            <w:pPr>
              <w:jc w:val="center"/>
              <w:rPr>
                <w:rFonts w:ascii="Arial" w:hAnsi="Arial" w:cs="Arial"/>
                <w:color w:val="000000"/>
                <w:sz w:val="16"/>
                <w:szCs w:val="16"/>
              </w:rPr>
            </w:pPr>
            <w:r>
              <w:rPr>
                <w:rFonts w:ascii="Arial" w:hAnsi="Arial" w:cs="Arial"/>
                <w:color w:val="000000"/>
                <w:sz w:val="16"/>
                <w:szCs w:val="16"/>
              </w:rPr>
              <w:t>Proporción de pacientes con IGA 0/1 y 2 o más puntos de reducción de IGA.</w:t>
            </w:r>
          </w:p>
        </w:tc>
        <w:tc>
          <w:tcPr>
            <w:tcW w:w="4601" w:type="dxa"/>
            <w:tcBorders>
              <w:top w:val="single" w:sz="4" w:space="0" w:color="auto"/>
              <w:left w:val="single" w:sz="4" w:space="0" w:color="auto"/>
              <w:bottom w:val="single" w:sz="4" w:space="0" w:color="auto"/>
              <w:right w:val="single" w:sz="4" w:space="0" w:color="auto"/>
            </w:tcBorders>
            <w:vAlign w:val="center"/>
            <w:hideMark/>
          </w:tcPr>
          <w:p w14:paraId="2A9A0CD1" w14:textId="77777777" w:rsidR="003A2C87" w:rsidRDefault="003A2C87">
            <w:pPr>
              <w:jc w:val="center"/>
              <w:rPr>
                <w:rFonts w:ascii="Arial" w:hAnsi="Arial" w:cs="Arial"/>
                <w:color w:val="000000"/>
                <w:sz w:val="16"/>
                <w:szCs w:val="16"/>
              </w:rPr>
            </w:pPr>
            <w:r>
              <w:rPr>
                <w:rFonts w:ascii="Arial" w:hAnsi="Arial" w:cs="Arial"/>
                <w:color w:val="000000"/>
                <w:sz w:val="16"/>
                <w:szCs w:val="16"/>
              </w:rPr>
              <w:t>Proporción de pacientes con IGA 0/1 y 2 o más puntos de reducción de IGA y proporción de pacientes con un 75% de mejora en el EASI en la semana 16</w:t>
            </w:r>
          </w:p>
        </w:tc>
      </w:tr>
      <w:tr w:rsidR="003A2C87" w14:paraId="02283554" w14:textId="77777777" w:rsidTr="003B32FD">
        <w:trPr>
          <w:trHeight w:val="1141"/>
        </w:trPr>
        <w:tc>
          <w:tcPr>
            <w:tcW w:w="13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6EC23F8"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VARIABLES SECUNDARIAS</w:t>
            </w:r>
          </w:p>
        </w:tc>
        <w:tc>
          <w:tcPr>
            <w:tcW w:w="4145" w:type="dxa"/>
            <w:tcBorders>
              <w:top w:val="single" w:sz="4" w:space="0" w:color="auto"/>
              <w:left w:val="single" w:sz="4" w:space="0" w:color="auto"/>
              <w:bottom w:val="single" w:sz="4" w:space="0" w:color="auto"/>
              <w:right w:val="single" w:sz="4" w:space="0" w:color="auto"/>
            </w:tcBorders>
            <w:vAlign w:val="center"/>
            <w:hideMark/>
          </w:tcPr>
          <w:p w14:paraId="4C2C9FA9" w14:textId="77777777" w:rsidR="003A2C87" w:rsidRDefault="003A2C87">
            <w:pPr>
              <w:jc w:val="center"/>
              <w:rPr>
                <w:rFonts w:ascii="Arial" w:hAnsi="Arial" w:cs="Arial"/>
                <w:color w:val="000000"/>
                <w:sz w:val="16"/>
                <w:szCs w:val="16"/>
              </w:rPr>
            </w:pPr>
            <w:r>
              <w:rPr>
                <w:rFonts w:ascii="Arial" w:hAnsi="Arial" w:cs="Arial"/>
                <w:color w:val="000000"/>
                <w:sz w:val="16"/>
                <w:szCs w:val="16"/>
              </w:rPr>
              <w:t>Proporción de pacientes que logran EASI-75 , Mejora PP-NRS≥4 puntos</w:t>
            </w:r>
          </w:p>
        </w:tc>
        <w:tc>
          <w:tcPr>
            <w:tcW w:w="4601" w:type="dxa"/>
            <w:tcBorders>
              <w:top w:val="single" w:sz="4" w:space="0" w:color="auto"/>
              <w:left w:val="single" w:sz="4" w:space="0" w:color="auto"/>
              <w:bottom w:val="single" w:sz="4" w:space="0" w:color="auto"/>
              <w:right w:val="single" w:sz="4" w:space="0" w:color="auto"/>
            </w:tcBorders>
            <w:vAlign w:val="center"/>
            <w:hideMark/>
          </w:tcPr>
          <w:p w14:paraId="66F5E392" w14:textId="77777777" w:rsidR="003A2C87" w:rsidRDefault="003A2C87">
            <w:pPr>
              <w:jc w:val="center"/>
              <w:rPr>
                <w:rFonts w:ascii="Arial" w:hAnsi="Arial" w:cs="Arial"/>
                <w:color w:val="000000"/>
                <w:sz w:val="16"/>
                <w:szCs w:val="16"/>
              </w:rPr>
            </w:pPr>
            <w:r>
              <w:rPr>
                <w:rFonts w:ascii="Arial" w:hAnsi="Arial" w:cs="Arial"/>
                <w:color w:val="000000"/>
                <w:sz w:val="16"/>
                <w:szCs w:val="16"/>
              </w:rPr>
              <w:t>En inducción (semana 16), reducción ≥4 puntos del PP_NRS</w:t>
            </w:r>
          </w:p>
        </w:tc>
      </w:tr>
      <w:tr w:rsidR="003A2C87" w14:paraId="082FB9AA" w14:textId="77777777" w:rsidTr="003B32FD">
        <w:trPr>
          <w:trHeight w:val="471"/>
        </w:trPr>
        <w:tc>
          <w:tcPr>
            <w:tcW w:w="13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929076" w14:textId="77777777" w:rsidR="003A2C87" w:rsidRDefault="003A2C87">
            <w:pPr>
              <w:jc w:val="center"/>
              <w:rPr>
                <w:rFonts w:ascii="Arial" w:hAnsi="Arial" w:cs="Arial"/>
                <w:b/>
                <w:bCs/>
                <w:color w:val="000000"/>
                <w:sz w:val="16"/>
                <w:szCs w:val="16"/>
              </w:rPr>
            </w:pPr>
            <w:r>
              <w:rPr>
                <w:rFonts w:ascii="Arial" w:hAnsi="Arial" w:cs="Arial"/>
                <w:b/>
                <w:bCs/>
                <w:color w:val="000000"/>
                <w:sz w:val="16"/>
                <w:szCs w:val="16"/>
              </w:rPr>
              <w:t>TIEMPO DE SEGUIMIENTO</w:t>
            </w:r>
          </w:p>
        </w:tc>
        <w:tc>
          <w:tcPr>
            <w:tcW w:w="4145" w:type="dxa"/>
            <w:tcBorders>
              <w:top w:val="single" w:sz="4" w:space="0" w:color="auto"/>
              <w:left w:val="single" w:sz="4" w:space="0" w:color="auto"/>
              <w:bottom w:val="single" w:sz="4" w:space="0" w:color="auto"/>
              <w:right w:val="single" w:sz="4" w:space="0" w:color="auto"/>
            </w:tcBorders>
            <w:vAlign w:val="center"/>
            <w:hideMark/>
          </w:tcPr>
          <w:p w14:paraId="20BCDA82" w14:textId="77777777" w:rsidR="003A2C87" w:rsidRDefault="003A2C87">
            <w:pPr>
              <w:jc w:val="center"/>
              <w:rPr>
                <w:rFonts w:ascii="Arial" w:hAnsi="Arial" w:cs="Arial"/>
                <w:color w:val="000000"/>
                <w:sz w:val="16"/>
                <w:szCs w:val="16"/>
              </w:rPr>
            </w:pPr>
            <w:r>
              <w:rPr>
                <w:rFonts w:ascii="Arial" w:hAnsi="Arial" w:cs="Arial"/>
                <w:color w:val="000000"/>
                <w:sz w:val="16"/>
                <w:szCs w:val="16"/>
              </w:rPr>
              <w:t xml:space="preserve">El periodo de tratamiento fue de 16 semanas más 12 de seguimiento.  </w:t>
            </w:r>
          </w:p>
        </w:tc>
        <w:tc>
          <w:tcPr>
            <w:tcW w:w="4601" w:type="dxa"/>
            <w:tcBorders>
              <w:top w:val="single" w:sz="4" w:space="0" w:color="auto"/>
              <w:left w:val="single" w:sz="4" w:space="0" w:color="auto"/>
              <w:bottom w:val="single" w:sz="4" w:space="0" w:color="auto"/>
              <w:right w:val="single" w:sz="4" w:space="0" w:color="auto"/>
            </w:tcBorders>
            <w:vAlign w:val="center"/>
            <w:hideMark/>
          </w:tcPr>
          <w:p w14:paraId="08177D54" w14:textId="77777777" w:rsidR="003A2C87" w:rsidRDefault="003A2C87">
            <w:pPr>
              <w:jc w:val="center"/>
              <w:rPr>
                <w:rFonts w:ascii="Arial" w:hAnsi="Arial" w:cs="Arial"/>
                <w:color w:val="000000"/>
                <w:sz w:val="16"/>
                <w:szCs w:val="16"/>
              </w:rPr>
            </w:pPr>
            <w:r>
              <w:rPr>
                <w:rFonts w:ascii="Arial" w:hAnsi="Arial" w:cs="Arial"/>
                <w:color w:val="000000"/>
                <w:sz w:val="16"/>
                <w:szCs w:val="16"/>
              </w:rPr>
              <w:t>Tratamiento Inicial: 16 semanas (Inducción). Período de Mantenimiento: 36 semanas (hasta la Semana 52)</w:t>
            </w:r>
          </w:p>
        </w:tc>
      </w:tr>
    </w:tbl>
    <w:p w14:paraId="29F26070" w14:textId="77777777" w:rsidR="003A2C87" w:rsidRDefault="003A2C87" w:rsidP="003A2C87">
      <w:pPr>
        <w:jc w:val="both"/>
        <w:rPr>
          <w:rFonts w:ascii="Arial" w:hAnsi="Arial" w:cs="Arial"/>
          <w:bCs/>
          <w:sz w:val="20"/>
          <w:szCs w:val="20"/>
        </w:rPr>
      </w:pPr>
    </w:p>
    <w:p w14:paraId="526A6C92" w14:textId="77777777" w:rsidR="00BE3FD6" w:rsidRDefault="00BE3FD6" w:rsidP="003A2C87">
      <w:pPr>
        <w:jc w:val="both"/>
        <w:rPr>
          <w:rFonts w:ascii="Arial" w:hAnsi="Arial" w:cs="Arial"/>
          <w:bCs/>
          <w:sz w:val="20"/>
          <w:szCs w:val="20"/>
        </w:rPr>
      </w:pPr>
    </w:p>
    <w:tbl>
      <w:tblPr>
        <w:tblW w:w="10139" w:type="dxa"/>
        <w:tblInd w:w="-818" w:type="dxa"/>
        <w:tblCellMar>
          <w:left w:w="70" w:type="dxa"/>
          <w:right w:w="70" w:type="dxa"/>
        </w:tblCellMar>
        <w:tblLook w:val="04A0" w:firstRow="1" w:lastRow="0" w:firstColumn="1" w:lastColumn="0" w:noHBand="0" w:noVBand="1"/>
      </w:tblPr>
      <w:tblGrid>
        <w:gridCol w:w="1200"/>
        <w:gridCol w:w="1110"/>
        <w:gridCol w:w="800"/>
        <w:gridCol w:w="598"/>
        <w:gridCol w:w="647"/>
        <w:gridCol w:w="1110"/>
        <w:gridCol w:w="723"/>
        <w:gridCol w:w="578"/>
        <w:gridCol w:w="720"/>
        <w:gridCol w:w="1080"/>
        <w:gridCol w:w="840"/>
        <w:gridCol w:w="733"/>
      </w:tblGrid>
      <w:tr w:rsidR="00CA7727" w14:paraId="7CF481E7" w14:textId="77777777" w:rsidTr="00BE3FD6">
        <w:trPr>
          <w:trHeight w:val="300"/>
        </w:trPr>
        <w:tc>
          <w:tcPr>
            <w:tcW w:w="10139" w:type="dxa"/>
            <w:gridSpan w:val="12"/>
            <w:tcBorders>
              <w:top w:val="single" w:sz="4" w:space="0" w:color="auto"/>
              <w:left w:val="single" w:sz="4" w:space="0" w:color="auto"/>
              <w:bottom w:val="single" w:sz="4" w:space="0" w:color="auto"/>
              <w:right w:val="single" w:sz="4" w:space="0" w:color="auto"/>
            </w:tcBorders>
            <w:shd w:val="clear" w:color="000000" w:fill="99FFCC"/>
            <w:noWrap/>
            <w:vAlign w:val="center"/>
          </w:tcPr>
          <w:p w14:paraId="57D40C9B" w14:textId="77777777" w:rsidR="00CA7727" w:rsidRPr="00CA7727" w:rsidRDefault="00CA7727" w:rsidP="00CA7727">
            <w:pPr>
              <w:jc w:val="center"/>
              <w:rPr>
                <w:rFonts w:ascii="Arial" w:hAnsi="Arial" w:cs="Arial"/>
                <w:b/>
                <w:bCs/>
                <w:sz w:val="18"/>
                <w:szCs w:val="18"/>
              </w:rPr>
            </w:pPr>
            <w:r w:rsidRPr="00CA7727">
              <w:rPr>
                <w:rFonts w:ascii="Arial" w:hAnsi="Arial" w:cs="Arial"/>
                <w:b/>
                <w:bCs/>
                <w:sz w:val="18"/>
                <w:szCs w:val="18"/>
              </w:rPr>
              <w:t>Tabla 18. Resultados metanálisis ensayos en monoterapia</w:t>
            </w:r>
          </w:p>
        </w:tc>
      </w:tr>
      <w:tr w:rsidR="00CA7727" w14:paraId="77CFF136" w14:textId="77777777" w:rsidTr="00BE3FD6">
        <w:trPr>
          <w:trHeight w:val="300"/>
        </w:trPr>
        <w:tc>
          <w:tcPr>
            <w:tcW w:w="1200" w:type="dxa"/>
            <w:tcBorders>
              <w:top w:val="nil"/>
              <w:left w:val="single" w:sz="4" w:space="0" w:color="auto"/>
              <w:bottom w:val="single" w:sz="4" w:space="0" w:color="auto"/>
              <w:right w:val="single" w:sz="4" w:space="0" w:color="auto"/>
            </w:tcBorders>
            <w:noWrap/>
            <w:vAlign w:val="center"/>
            <w:hideMark/>
          </w:tcPr>
          <w:p w14:paraId="4B2874D3"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 </w:t>
            </w:r>
          </w:p>
        </w:tc>
        <w:tc>
          <w:tcPr>
            <w:tcW w:w="3155" w:type="dxa"/>
            <w:gridSpan w:val="4"/>
            <w:tcBorders>
              <w:top w:val="single" w:sz="4" w:space="0" w:color="auto"/>
              <w:left w:val="nil"/>
              <w:bottom w:val="single" w:sz="4" w:space="0" w:color="auto"/>
              <w:right w:val="single" w:sz="4" w:space="0" w:color="auto"/>
            </w:tcBorders>
            <w:shd w:val="clear" w:color="000000" w:fill="D9E1F2"/>
            <w:noWrap/>
            <w:vAlign w:val="center"/>
            <w:hideMark/>
          </w:tcPr>
          <w:p w14:paraId="6A16B0DF"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SOLO-1</w:t>
            </w:r>
          </w:p>
        </w:tc>
        <w:tc>
          <w:tcPr>
            <w:tcW w:w="3131" w:type="dxa"/>
            <w:gridSpan w:val="4"/>
            <w:tcBorders>
              <w:top w:val="single" w:sz="4" w:space="0" w:color="auto"/>
              <w:left w:val="nil"/>
              <w:bottom w:val="single" w:sz="4" w:space="0" w:color="auto"/>
              <w:right w:val="single" w:sz="4" w:space="0" w:color="auto"/>
            </w:tcBorders>
            <w:shd w:val="clear" w:color="000000" w:fill="D9E1F2"/>
            <w:noWrap/>
            <w:vAlign w:val="center"/>
            <w:hideMark/>
          </w:tcPr>
          <w:p w14:paraId="038C3C4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SOLO-2</w:t>
            </w:r>
          </w:p>
        </w:tc>
        <w:tc>
          <w:tcPr>
            <w:tcW w:w="2653" w:type="dxa"/>
            <w:gridSpan w:val="3"/>
            <w:tcBorders>
              <w:top w:val="single" w:sz="4" w:space="0" w:color="auto"/>
              <w:left w:val="nil"/>
              <w:bottom w:val="single" w:sz="4" w:space="0" w:color="auto"/>
              <w:right w:val="single" w:sz="4" w:space="0" w:color="auto"/>
            </w:tcBorders>
            <w:shd w:val="clear" w:color="000000" w:fill="CCFFFF"/>
            <w:noWrap/>
            <w:vAlign w:val="center"/>
            <w:hideMark/>
          </w:tcPr>
          <w:p w14:paraId="35F0F411"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METANÁLISIS</w:t>
            </w:r>
          </w:p>
        </w:tc>
      </w:tr>
      <w:tr w:rsidR="00CA7727" w14:paraId="1B6096CD" w14:textId="77777777" w:rsidTr="00BE3FD6">
        <w:trPr>
          <w:trHeight w:val="450"/>
        </w:trPr>
        <w:tc>
          <w:tcPr>
            <w:tcW w:w="1200" w:type="dxa"/>
            <w:tcBorders>
              <w:top w:val="nil"/>
              <w:left w:val="single" w:sz="4" w:space="0" w:color="auto"/>
              <w:bottom w:val="single" w:sz="4" w:space="0" w:color="auto"/>
              <w:right w:val="single" w:sz="4" w:space="0" w:color="auto"/>
            </w:tcBorders>
            <w:noWrap/>
            <w:vAlign w:val="center"/>
            <w:hideMark/>
          </w:tcPr>
          <w:p w14:paraId="7F6597EE"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VARIABLES</w:t>
            </w:r>
          </w:p>
        </w:tc>
        <w:tc>
          <w:tcPr>
            <w:tcW w:w="1110" w:type="dxa"/>
            <w:tcBorders>
              <w:top w:val="nil"/>
              <w:left w:val="nil"/>
              <w:bottom w:val="single" w:sz="4" w:space="0" w:color="auto"/>
              <w:right w:val="single" w:sz="4" w:space="0" w:color="auto"/>
            </w:tcBorders>
            <w:vAlign w:val="center"/>
            <w:hideMark/>
          </w:tcPr>
          <w:p w14:paraId="77827447"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Dupilumab (N=224)</w:t>
            </w:r>
          </w:p>
        </w:tc>
        <w:tc>
          <w:tcPr>
            <w:tcW w:w="800" w:type="dxa"/>
            <w:tcBorders>
              <w:top w:val="nil"/>
              <w:left w:val="nil"/>
              <w:bottom w:val="single" w:sz="4" w:space="0" w:color="auto"/>
              <w:right w:val="single" w:sz="4" w:space="0" w:color="auto"/>
            </w:tcBorders>
            <w:vAlign w:val="center"/>
            <w:hideMark/>
          </w:tcPr>
          <w:p w14:paraId="62B3BA82"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Placebo (N=224)</w:t>
            </w:r>
          </w:p>
        </w:tc>
        <w:tc>
          <w:tcPr>
            <w:tcW w:w="598" w:type="dxa"/>
            <w:tcBorders>
              <w:top w:val="nil"/>
              <w:left w:val="nil"/>
              <w:bottom w:val="single" w:sz="4" w:space="0" w:color="auto"/>
              <w:right w:val="single" w:sz="4" w:space="0" w:color="auto"/>
            </w:tcBorders>
            <w:noWrap/>
            <w:vAlign w:val="center"/>
            <w:hideMark/>
          </w:tcPr>
          <w:p w14:paraId="2406EAAA"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RAR</w:t>
            </w:r>
          </w:p>
        </w:tc>
        <w:tc>
          <w:tcPr>
            <w:tcW w:w="647" w:type="dxa"/>
            <w:tcBorders>
              <w:top w:val="nil"/>
              <w:left w:val="nil"/>
              <w:bottom w:val="single" w:sz="4" w:space="0" w:color="auto"/>
              <w:right w:val="single" w:sz="4" w:space="0" w:color="auto"/>
            </w:tcBorders>
            <w:noWrap/>
            <w:vAlign w:val="center"/>
            <w:hideMark/>
          </w:tcPr>
          <w:p w14:paraId="386542A4"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IC 95%</w:t>
            </w:r>
          </w:p>
        </w:tc>
        <w:tc>
          <w:tcPr>
            <w:tcW w:w="1110" w:type="dxa"/>
            <w:tcBorders>
              <w:top w:val="nil"/>
              <w:left w:val="nil"/>
              <w:bottom w:val="single" w:sz="4" w:space="0" w:color="auto"/>
              <w:right w:val="single" w:sz="4" w:space="0" w:color="auto"/>
            </w:tcBorders>
            <w:vAlign w:val="center"/>
            <w:hideMark/>
          </w:tcPr>
          <w:p w14:paraId="1FBA60FA"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Dupilumab (N=233)</w:t>
            </w:r>
          </w:p>
        </w:tc>
        <w:tc>
          <w:tcPr>
            <w:tcW w:w="723" w:type="dxa"/>
            <w:tcBorders>
              <w:top w:val="nil"/>
              <w:left w:val="nil"/>
              <w:bottom w:val="single" w:sz="4" w:space="0" w:color="auto"/>
              <w:right w:val="single" w:sz="4" w:space="0" w:color="auto"/>
            </w:tcBorders>
            <w:vAlign w:val="center"/>
            <w:hideMark/>
          </w:tcPr>
          <w:p w14:paraId="4C2710AA"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Placebo (N=236)</w:t>
            </w:r>
          </w:p>
        </w:tc>
        <w:tc>
          <w:tcPr>
            <w:tcW w:w="578" w:type="dxa"/>
            <w:tcBorders>
              <w:top w:val="nil"/>
              <w:left w:val="nil"/>
              <w:bottom w:val="single" w:sz="4" w:space="0" w:color="auto"/>
              <w:right w:val="single" w:sz="4" w:space="0" w:color="auto"/>
            </w:tcBorders>
            <w:noWrap/>
            <w:vAlign w:val="center"/>
            <w:hideMark/>
          </w:tcPr>
          <w:p w14:paraId="11B72C4B"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RAR</w:t>
            </w:r>
          </w:p>
        </w:tc>
        <w:tc>
          <w:tcPr>
            <w:tcW w:w="720" w:type="dxa"/>
            <w:tcBorders>
              <w:top w:val="nil"/>
              <w:left w:val="nil"/>
              <w:bottom w:val="single" w:sz="4" w:space="0" w:color="auto"/>
              <w:right w:val="single" w:sz="4" w:space="0" w:color="auto"/>
            </w:tcBorders>
            <w:noWrap/>
            <w:vAlign w:val="center"/>
            <w:hideMark/>
          </w:tcPr>
          <w:p w14:paraId="3B2AE741"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IC 95%</w:t>
            </w:r>
          </w:p>
        </w:tc>
        <w:tc>
          <w:tcPr>
            <w:tcW w:w="1080" w:type="dxa"/>
            <w:tcBorders>
              <w:top w:val="nil"/>
              <w:left w:val="nil"/>
              <w:bottom w:val="single" w:sz="4" w:space="0" w:color="auto"/>
              <w:right w:val="single" w:sz="4" w:space="0" w:color="auto"/>
            </w:tcBorders>
            <w:vAlign w:val="center"/>
            <w:hideMark/>
          </w:tcPr>
          <w:p w14:paraId="77F67051"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VARIABLES</w:t>
            </w:r>
          </w:p>
        </w:tc>
        <w:tc>
          <w:tcPr>
            <w:tcW w:w="840" w:type="dxa"/>
            <w:tcBorders>
              <w:top w:val="nil"/>
              <w:left w:val="nil"/>
              <w:bottom w:val="single" w:sz="4" w:space="0" w:color="auto"/>
              <w:right w:val="single" w:sz="4" w:space="0" w:color="auto"/>
            </w:tcBorders>
            <w:vAlign w:val="center"/>
            <w:hideMark/>
          </w:tcPr>
          <w:p w14:paraId="443FCD1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RAR agrupado</w:t>
            </w:r>
          </w:p>
        </w:tc>
        <w:tc>
          <w:tcPr>
            <w:tcW w:w="733" w:type="dxa"/>
            <w:tcBorders>
              <w:top w:val="nil"/>
              <w:left w:val="nil"/>
              <w:bottom w:val="single" w:sz="4" w:space="0" w:color="auto"/>
              <w:right w:val="single" w:sz="4" w:space="0" w:color="auto"/>
            </w:tcBorders>
            <w:vAlign w:val="center"/>
            <w:hideMark/>
          </w:tcPr>
          <w:p w14:paraId="5EAC8469"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IC95%</w:t>
            </w:r>
          </w:p>
        </w:tc>
      </w:tr>
      <w:tr w:rsidR="00CA7727" w14:paraId="690B2C74" w14:textId="77777777" w:rsidTr="00BE3FD6">
        <w:trPr>
          <w:trHeight w:val="300"/>
        </w:trPr>
        <w:tc>
          <w:tcPr>
            <w:tcW w:w="1200" w:type="dxa"/>
            <w:tcBorders>
              <w:top w:val="nil"/>
              <w:left w:val="single" w:sz="4" w:space="0" w:color="auto"/>
              <w:bottom w:val="single" w:sz="4" w:space="0" w:color="auto"/>
              <w:right w:val="single" w:sz="4" w:space="0" w:color="auto"/>
            </w:tcBorders>
            <w:noWrap/>
            <w:vAlign w:val="center"/>
            <w:hideMark/>
          </w:tcPr>
          <w:p w14:paraId="6385E41A"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EASI75</w:t>
            </w:r>
          </w:p>
        </w:tc>
        <w:tc>
          <w:tcPr>
            <w:tcW w:w="1110" w:type="dxa"/>
            <w:tcBorders>
              <w:top w:val="nil"/>
              <w:left w:val="nil"/>
              <w:bottom w:val="single" w:sz="4" w:space="0" w:color="auto"/>
              <w:right w:val="single" w:sz="4" w:space="0" w:color="auto"/>
            </w:tcBorders>
            <w:noWrap/>
            <w:vAlign w:val="center"/>
            <w:hideMark/>
          </w:tcPr>
          <w:p w14:paraId="228CAB0A"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115</w:t>
            </w:r>
          </w:p>
        </w:tc>
        <w:tc>
          <w:tcPr>
            <w:tcW w:w="800" w:type="dxa"/>
            <w:tcBorders>
              <w:top w:val="nil"/>
              <w:left w:val="nil"/>
              <w:bottom w:val="single" w:sz="4" w:space="0" w:color="auto"/>
              <w:right w:val="single" w:sz="4" w:space="0" w:color="auto"/>
            </w:tcBorders>
            <w:noWrap/>
            <w:vAlign w:val="center"/>
            <w:hideMark/>
          </w:tcPr>
          <w:p w14:paraId="098A6033"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33</w:t>
            </w:r>
          </w:p>
        </w:tc>
        <w:tc>
          <w:tcPr>
            <w:tcW w:w="598" w:type="dxa"/>
            <w:tcBorders>
              <w:top w:val="nil"/>
              <w:left w:val="nil"/>
              <w:bottom w:val="single" w:sz="4" w:space="0" w:color="auto"/>
              <w:right w:val="single" w:sz="4" w:space="0" w:color="auto"/>
            </w:tcBorders>
            <w:noWrap/>
            <w:vAlign w:val="center"/>
            <w:hideMark/>
          </w:tcPr>
          <w:p w14:paraId="1C993588"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37</w:t>
            </w:r>
          </w:p>
        </w:tc>
        <w:tc>
          <w:tcPr>
            <w:tcW w:w="647" w:type="dxa"/>
            <w:tcBorders>
              <w:top w:val="nil"/>
              <w:left w:val="nil"/>
              <w:bottom w:val="single" w:sz="4" w:space="0" w:color="auto"/>
              <w:right w:val="single" w:sz="4" w:space="0" w:color="auto"/>
            </w:tcBorders>
            <w:noWrap/>
            <w:vAlign w:val="center"/>
            <w:hideMark/>
          </w:tcPr>
          <w:p w14:paraId="3CA7744E"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(29;45)</w:t>
            </w:r>
          </w:p>
        </w:tc>
        <w:tc>
          <w:tcPr>
            <w:tcW w:w="1110" w:type="dxa"/>
            <w:tcBorders>
              <w:top w:val="nil"/>
              <w:left w:val="nil"/>
              <w:bottom w:val="single" w:sz="4" w:space="0" w:color="auto"/>
              <w:right w:val="single" w:sz="4" w:space="0" w:color="auto"/>
            </w:tcBorders>
            <w:noWrap/>
            <w:vAlign w:val="center"/>
            <w:hideMark/>
          </w:tcPr>
          <w:p w14:paraId="7F259C43"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103</w:t>
            </w:r>
          </w:p>
        </w:tc>
        <w:tc>
          <w:tcPr>
            <w:tcW w:w="723" w:type="dxa"/>
            <w:tcBorders>
              <w:top w:val="nil"/>
              <w:left w:val="nil"/>
              <w:bottom w:val="single" w:sz="4" w:space="0" w:color="auto"/>
              <w:right w:val="single" w:sz="4" w:space="0" w:color="auto"/>
            </w:tcBorders>
            <w:noWrap/>
            <w:vAlign w:val="center"/>
            <w:hideMark/>
          </w:tcPr>
          <w:p w14:paraId="60E8C4ED"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28</w:t>
            </w:r>
          </w:p>
        </w:tc>
        <w:tc>
          <w:tcPr>
            <w:tcW w:w="578" w:type="dxa"/>
            <w:tcBorders>
              <w:top w:val="nil"/>
              <w:left w:val="nil"/>
              <w:bottom w:val="single" w:sz="4" w:space="0" w:color="auto"/>
              <w:right w:val="single" w:sz="4" w:space="0" w:color="auto"/>
            </w:tcBorders>
            <w:noWrap/>
            <w:vAlign w:val="center"/>
            <w:hideMark/>
          </w:tcPr>
          <w:p w14:paraId="5CD7AB69"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32</w:t>
            </w:r>
          </w:p>
        </w:tc>
        <w:tc>
          <w:tcPr>
            <w:tcW w:w="720" w:type="dxa"/>
            <w:tcBorders>
              <w:top w:val="nil"/>
              <w:left w:val="nil"/>
              <w:bottom w:val="single" w:sz="4" w:space="0" w:color="auto"/>
              <w:right w:val="single" w:sz="4" w:space="0" w:color="auto"/>
            </w:tcBorders>
            <w:noWrap/>
            <w:vAlign w:val="center"/>
            <w:hideMark/>
          </w:tcPr>
          <w:p w14:paraId="58D7C9E3"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(25;40)</w:t>
            </w:r>
          </w:p>
        </w:tc>
        <w:tc>
          <w:tcPr>
            <w:tcW w:w="1080" w:type="dxa"/>
            <w:tcBorders>
              <w:top w:val="nil"/>
              <w:left w:val="nil"/>
              <w:bottom w:val="single" w:sz="4" w:space="0" w:color="auto"/>
              <w:right w:val="single" w:sz="4" w:space="0" w:color="auto"/>
            </w:tcBorders>
            <w:noWrap/>
            <w:vAlign w:val="center"/>
            <w:hideMark/>
          </w:tcPr>
          <w:p w14:paraId="6968F522"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EASI75</w:t>
            </w:r>
          </w:p>
        </w:tc>
        <w:tc>
          <w:tcPr>
            <w:tcW w:w="840" w:type="dxa"/>
            <w:tcBorders>
              <w:top w:val="nil"/>
              <w:left w:val="nil"/>
              <w:bottom w:val="single" w:sz="4" w:space="0" w:color="auto"/>
              <w:right w:val="single" w:sz="4" w:space="0" w:color="auto"/>
            </w:tcBorders>
            <w:noWrap/>
            <w:vAlign w:val="center"/>
            <w:hideMark/>
          </w:tcPr>
          <w:p w14:paraId="7A911A3A"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34</w:t>
            </w:r>
          </w:p>
        </w:tc>
        <w:tc>
          <w:tcPr>
            <w:tcW w:w="733" w:type="dxa"/>
            <w:tcBorders>
              <w:top w:val="nil"/>
              <w:left w:val="nil"/>
              <w:bottom w:val="single" w:sz="4" w:space="0" w:color="auto"/>
              <w:right w:val="single" w:sz="4" w:space="0" w:color="auto"/>
            </w:tcBorders>
            <w:noWrap/>
            <w:vAlign w:val="center"/>
            <w:hideMark/>
          </w:tcPr>
          <w:p w14:paraId="2BA80D18"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(29;40)</w:t>
            </w:r>
          </w:p>
        </w:tc>
      </w:tr>
      <w:tr w:rsidR="00CA7727" w14:paraId="3DA33B84" w14:textId="77777777" w:rsidTr="00BE3FD6">
        <w:trPr>
          <w:trHeight w:val="495"/>
        </w:trPr>
        <w:tc>
          <w:tcPr>
            <w:tcW w:w="1200" w:type="dxa"/>
            <w:tcBorders>
              <w:top w:val="nil"/>
              <w:left w:val="single" w:sz="4" w:space="0" w:color="auto"/>
              <w:bottom w:val="single" w:sz="4" w:space="0" w:color="auto"/>
              <w:right w:val="single" w:sz="4" w:space="0" w:color="auto"/>
            </w:tcBorders>
            <w:noWrap/>
            <w:vAlign w:val="center"/>
            <w:hideMark/>
          </w:tcPr>
          <w:p w14:paraId="6CB55D11"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IGA 0/1</w:t>
            </w:r>
          </w:p>
        </w:tc>
        <w:tc>
          <w:tcPr>
            <w:tcW w:w="1110" w:type="dxa"/>
            <w:tcBorders>
              <w:top w:val="nil"/>
              <w:left w:val="nil"/>
              <w:bottom w:val="single" w:sz="4" w:space="0" w:color="auto"/>
              <w:right w:val="single" w:sz="4" w:space="0" w:color="auto"/>
            </w:tcBorders>
            <w:noWrap/>
            <w:vAlign w:val="center"/>
            <w:hideMark/>
          </w:tcPr>
          <w:p w14:paraId="04C049D8"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85</w:t>
            </w:r>
          </w:p>
        </w:tc>
        <w:tc>
          <w:tcPr>
            <w:tcW w:w="800" w:type="dxa"/>
            <w:tcBorders>
              <w:top w:val="nil"/>
              <w:left w:val="nil"/>
              <w:bottom w:val="single" w:sz="4" w:space="0" w:color="auto"/>
              <w:right w:val="single" w:sz="4" w:space="0" w:color="auto"/>
            </w:tcBorders>
            <w:noWrap/>
            <w:vAlign w:val="center"/>
            <w:hideMark/>
          </w:tcPr>
          <w:p w14:paraId="5FDD8FE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23</w:t>
            </w:r>
          </w:p>
        </w:tc>
        <w:tc>
          <w:tcPr>
            <w:tcW w:w="598" w:type="dxa"/>
            <w:tcBorders>
              <w:top w:val="nil"/>
              <w:left w:val="nil"/>
              <w:bottom w:val="single" w:sz="4" w:space="0" w:color="auto"/>
              <w:right w:val="single" w:sz="4" w:space="0" w:color="auto"/>
            </w:tcBorders>
            <w:noWrap/>
            <w:vAlign w:val="center"/>
            <w:hideMark/>
          </w:tcPr>
          <w:p w14:paraId="51E65FBE"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28</w:t>
            </w:r>
          </w:p>
        </w:tc>
        <w:tc>
          <w:tcPr>
            <w:tcW w:w="647" w:type="dxa"/>
            <w:tcBorders>
              <w:top w:val="nil"/>
              <w:left w:val="nil"/>
              <w:bottom w:val="single" w:sz="4" w:space="0" w:color="auto"/>
              <w:right w:val="single" w:sz="4" w:space="0" w:color="auto"/>
            </w:tcBorders>
            <w:noWrap/>
            <w:vAlign w:val="center"/>
            <w:hideMark/>
          </w:tcPr>
          <w:p w14:paraId="0DF3D92A"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(20;35)</w:t>
            </w:r>
          </w:p>
        </w:tc>
        <w:tc>
          <w:tcPr>
            <w:tcW w:w="1110" w:type="dxa"/>
            <w:tcBorders>
              <w:top w:val="nil"/>
              <w:left w:val="nil"/>
              <w:bottom w:val="single" w:sz="4" w:space="0" w:color="auto"/>
              <w:right w:val="single" w:sz="4" w:space="0" w:color="auto"/>
            </w:tcBorders>
            <w:noWrap/>
            <w:vAlign w:val="center"/>
            <w:hideMark/>
          </w:tcPr>
          <w:p w14:paraId="5EDECB44"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84</w:t>
            </w:r>
          </w:p>
        </w:tc>
        <w:tc>
          <w:tcPr>
            <w:tcW w:w="723" w:type="dxa"/>
            <w:tcBorders>
              <w:top w:val="nil"/>
              <w:left w:val="nil"/>
              <w:bottom w:val="single" w:sz="4" w:space="0" w:color="auto"/>
              <w:right w:val="single" w:sz="4" w:space="0" w:color="auto"/>
            </w:tcBorders>
            <w:noWrap/>
            <w:vAlign w:val="center"/>
            <w:hideMark/>
          </w:tcPr>
          <w:p w14:paraId="2428D39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20</w:t>
            </w:r>
          </w:p>
        </w:tc>
        <w:tc>
          <w:tcPr>
            <w:tcW w:w="578" w:type="dxa"/>
            <w:tcBorders>
              <w:top w:val="nil"/>
              <w:left w:val="nil"/>
              <w:bottom w:val="single" w:sz="4" w:space="0" w:color="auto"/>
              <w:right w:val="single" w:sz="4" w:space="0" w:color="auto"/>
            </w:tcBorders>
            <w:noWrap/>
            <w:vAlign w:val="center"/>
            <w:hideMark/>
          </w:tcPr>
          <w:p w14:paraId="4D49D9D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28</w:t>
            </w:r>
          </w:p>
        </w:tc>
        <w:tc>
          <w:tcPr>
            <w:tcW w:w="720" w:type="dxa"/>
            <w:tcBorders>
              <w:top w:val="nil"/>
              <w:left w:val="nil"/>
              <w:bottom w:val="single" w:sz="4" w:space="0" w:color="auto"/>
              <w:right w:val="single" w:sz="4" w:space="0" w:color="auto"/>
            </w:tcBorders>
            <w:noWrap/>
            <w:vAlign w:val="center"/>
            <w:hideMark/>
          </w:tcPr>
          <w:p w14:paraId="2536D75D"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(20;35)</w:t>
            </w:r>
          </w:p>
        </w:tc>
        <w:tc>
          <w:tcPr>
            <w:tcW w:w="1080" w:type="dxa"/>
            <w:tcBorders>
              <w:top w:val="nil"/>
              <w:left w:val="nil"/>
              <w:bottom w:val="single" w:sz="4" w:space="0" w:color="auto"/>
              <w:right w:val="single" w:sz="4" w:space="0" w:color="auto"/>
            </w:tcBorders>
            <w:noWrap/>
            <w:vAlign w:val="center"/>
            <w:hideMark/>
          </w:tcPr>
          <w:p w14:paraId="43F0BE7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IGA 0/1</w:t>
            </w:r>
          </w:p>
        </w:tc>
        <w:tc>
          <w:tcPr>
            <w:tcW w:w="840" w:type="dxa"/>
            <w:tcBorders>
              <w:top w:val="nil"/>
              <w:left w:val="nil"/>
              <w:bottom w:val="single" w:sz="4" w:space="0" w:color="auto"/>
              <w:right w:val="single" w:sz="4" w:space="0" w:color="auto"/>
            </w:tcBorders>
            <w:noWrap/>
            <w:vAlign w:val="center"/>
            <w:hideMark/>
          </w:tcPr>
          <w:p w14:paraId="05C881A1"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28</w:t>
            </w:r>
          </w:p>
        </w:tc>
        <w:tc>
          <w:tcPr>
            <w:tcW w:w="733" w:type="dxa"/>
            <w:tcBorders>
              <w:top w:val="nil"/>
              <w:left w:val="nil"/>
              <w:bottom w:val="single" w:sz="4" w:space="0" w:color="auto"/>
              <w:right w:val="single" w:sz="4" w:space="0" w:color="auto"/>
            </w:tcBorders>
            <w:noWrap/>
            <w:vAlign w:val="center"/>
            <w:hideMark/>
          </w:tcPr>
          <w:p w14:paraId="7821A42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(22;33)</w:t>
            </w:r>
          </w:p>
        </w:tc>
      </w:tr>
      <w:tr w:rsidR="00CA7727" w14:paraId="77DB65B2" w14:textId="77777777" w:rsidTr="00BE3FD6">
        <w:trPr>
          <w:trHeight w:val="300"/>
        </w:trPr>
        <w:tc>
          <w:tcPr>
            <w:tcW w:w="1200" w:type="dxa"/>
            <w:tcBorders>
              <w:top w:val="nil"/>
              <w:left w:val="single" w:sz="4" w:space="0" w:color="auto"/>
              <w:bottom w:val="single" w:sz="4" w:space="0" w:color="auto"/>
              <w:right w:val="single" w:sz="4" w:space="0" w:color="auto"/>
            </w:tcBorders>
            <w:noWrap/>
            <w:vAlign w:val="center"/>
            <w:hideMark/>
          </w:tcPr>
          <w:p w14:paraId="3A2F1E94"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PP-NRS</w:t>
            </w:r>
          </w:p>
        </w:tc>
        <w:tc>
          <w:tcPr>
            <w:tcW w:w="1110" w:type="dxa"/>
            <w:tcBorders>
              <w:top w:val="nil"/>
              <w:left w:val="nil"/>
              <w:bottom w:val="single" w:sz="4" w:space="0" w:color="auto"/>
              <w:right w:val="single" w:sz="4" w:space="0" w:color="auto"/>
            </w:tcBorders>
            <w:noWrap/>
            <w:vAlign w:val="center"/>
            <w:hideMark/>
          </w:tcPr>
          <w:p w14:paraId="3CB4F59F"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87</w:t>
            </w:r>
          </w:p>
        </w:tc>
        <w:tc>
          <w:tcPr>
            <w:tcW w:w="800" w:type="dxa"/>
            <w:tcBorders>
              <w:top w:val="nil"/>
              <w:left w:val="nil"/>
              <w:bottom w:val="single" w:sz="4" w:space="0" w:color="auto"/>
              <w:right w:val="single" w:sz="4" w:space="0" w:color="auto"/>
            </w:tcBorders>
            <w:noWrap/>
            <w:vAlign w:val="center"/>
            <w:hideMark/>
          </w:tcPr>
          <w:p w14:paraId="053FB725"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26</w:t>
            </w:r>
          </w:p>
        </w:tc>
        <w:tc>
          <w:tcPr>
            <w:tcW w:w="598" w:type="dxa"/>
            <w:tcBorders>
              <w:top w:val="nil"/>
              <w:left w:val="nil"/>
              <w:bottom w:val="single" w:sz="4" w:space="0" w:color="auto"/>
              <w:right w:val="single" w:sz="4" w:space="0" w:color="auto"/>
            </w:tcBorders>
            <w:noWrap/>
            <w:vAlign w:val="center"/>
            <w:hideMark/>
          </w:tcPr>
          <w:p w14:paraId="7861CCDF"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27</w:t>
            </w:r>
          </w:p>
        </w:tc>
        <w:tc>
          <w:tcPr>
            <w:tcW w:w="647" w:type="dxa"/>
            <w:tcBorders>
              <w:top w:val="nil"/>
              <w:left w:val="nil"/>
              <w:bottom w:val="single" w:sz="4" w:space="0" w:color="auto"/>
              <w:right w:val="single" w:sz="4" w:space="0" w:color="auto"/>
            </w:tcBorders>
            <w:noWrap/>
            <w:vAlign w:val="center"/>
            <w:hideMark/>
          </w:tcPr>
          <w:p w14:paraId="5AFD7D52"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(20;35)</w:t>
            </w:r>
          </w:p>
        </w:tc>
        <w:tc>
          <w:tcPr>
            <w:tcW w:w="1110" w:type="dxa"/>
            <w:tcBorders>
              <w:top w:val="nil"/>
              <w:left w:val="nil"/>
              <w:bottom w:val="single" w:sz="4" w:space="0" w:color="auto"/>
              <w:right w:val="single" w:sz="4" w:space="0" w:color="auto"/>
            </w:tcBorders>
            <w:noWrap/>
            <w:vAlign w:val="center"/>
            <w:hideMark/>
          </w:tcPr>
          <w:p w14:paraId="49BDABC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81</w:t>
            </w:r>
          </w:p>
        </w:tc>
        <w:tc>
          <w:tcPr>
            <w:tcW w:w="723" w:type="dxa"/>
            <w:tcBorders>
              <w:top w:val="nil"/>
              <w:left w:val="nil"/>
              <w:bottom w:val="single" w:sz="4" w:space="0" w:color="auto"/>
              <w:right w:val="single" w:sz="4" w:space="0" w:color="auto"/>
            </w:tcBorders>
            <w:noWrap/>
            <w:vAlign w:val="center"/>
            <w:hideMark/>
          </w:tcPr>
          <w:p w14:paraId="0C74985D"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21</w:t>
            </w:r>
          </w:p>
        </w:tc>
        <w:tc>
          <w:tcPr>
            <w:tcW w:w="578" w:type="dxa"/>
            <w:tcBorders>
              <w:top w:val="nil"/>
              <w:left w:val="nil"/>
              <w:bottom w:val="single" w:sz="4" w:space="0" w:color="auto"/>
              <w:right w:val="single" w:sz="4" w:space="0" w:color="auto"/>
            </w:tcBorders>
            <w:noWrap/>
            <w:vAlign w:val="center"/>
            <w:hideMark/>
          </w:tcPr>
          <w:p w14:paraId="7005E6C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26</w:t>
            </w:r>
          </w:p>
        </w:tc>
        <w:tc>
          <w:tcPr>
            <w:tcW w:w="720" w:type="dxa"/>
            <w:tcBorders>
              <w:top w:val="nil"/>
              <w:left w:val="nil"/>
              <w:bottom w:val="single" w:sz="4" w:space="0" w:color="auto"/>
              <w:right w:val="single" w:sz="4" w:space="0" w:color="auto"/>
            </w:tcBorders>
            <w:noWrap/>
            <w:vAlign w:val="center"/>
            <w:hideMark/>
          </w:tcPr>
          <w:p w14:paraId="2D741719"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(19;33)</w:t>
            </w:r>
          </w:p>
        </w:tc>
        <w:tc>
          <w:tcPr>
            <w:tcW w:w="1080" w:type="dxa"/>
            <w:tcBorders>
              <w:top w:val="nil"/>
              <w:left w:val="nil"/>
              <w:bottom w:val="single" w:sz="4" w:space="0" w:color="auto"/>
              <w:right w:val="single" w:sz="4" w:space="0" w:color="auto"/>
            </w:tcBorders>
            <w:noWrap/>
            <w:vAlign w:val="center"/>
            <w:hideMark/>
          </w:tcPr>
          <w:p w14:paraId="59A6DEA4"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PP-NRS</w:t>
            </w:r>
          </w:p>
        </w:tc>
        <w:tc>
          <w:tcPr>
            <w:tcW w:w="840" w:type="dxa"/>
            <w:tcBorders>
              <w:top w:val="nil"/>
              <w:left w:val="nil"/>
              <w:bottom w:val="single" w:sz="4" w:space="0" w:color="auto"/>
              <w:right w:val="single" w:sz="4" w:space="0" w:color="auto"/>
            </w:tcBorders>
            <w:noWrap/>
            <w:vAlign w:val="center"/>
            <w:hideMark/>
          </w:tcPr>
          <w:p w14:paraId="71B81B22"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27</w:t>
            </w:r>
          </w:p>
        </w:tc>
        <w:tc>
          <w:tcPr>
            <w:tcW w:w="733" w:type="dxa"/>
            <w:tcBorders>
              <w:top w:val="nil"/>
              <w:left w:val="nil"/>
              <w:bottom w:val="single" w:sz="4" w:space="0" w:color="auto"/>
              <w:right w:val="single" w:sz="4" w:space="0" w:color="auto"/>
            </w:tcBorders>
            <w:noWrap/>
            <w:vAlign w:val="center"/>
            <w:hideMark/>
          </w:tcPr>
          <w:p w14:paraId="3EF5D439"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(21;32)</w:t>
            </w:r>
          </w:p>
        </w:tc>
      </w:tr>
      <w:tr w:rsidR="00CA7727" w14:paraId="503CA02B" w14:textId="77777777" w:rsidTr="00BE3FD6">
        <w:trPr>
          <w:trHeight w:val="300"/>
        </w:trPr>
        <w:tc>
          <w:tcPr>
            <w:tcW w:w="1200" w:type="dxa"/>
            <w:tcBorders>
              <w:top w:val="nil"/>
              <w:left w:val="single" w:sz="4" w:space="0" w:color="auto"/>
              <w:bottom w:val="single" w:sz="4" w:space="0" w:color="auto"/>
              <w:right w:val="single" w:sz="4" w:space="0" w:color="auto"/>
            </w:tcBorders>
            <w:noWrap/>
            <w:vAlign w:val="bottom"/>
            <w:hideMark/>
          </w:tcPr>
          <w:p w14:paraId="36D95972" w14:textId="77777777" w:rsidR="00CA7727" w:rsidRDefault="00CA7727" w:rsidP="00CA7727">
            <w:pPr>
              <w:rPr>
                <w:rFonts w:ascii="Arial" w:hAnsi="Arial" w:cs="Arial"/>
                <w:color w:val="000000"/>
                <w:sz w:val="16"/>
                <w:szCs w:val="16"/>
              </w:rPr>
            </w:pPr>
            <w:r>
              <w:rPr>
                <w:rFonts w:ascii="Arial" w:hAnsi="Arial" w:cs="Arial"/>
                <w:color w:val="000000"/>
                <w:sz w:val="16"/>
                <w:szCs w:val="16"/>
              </w:rPr>
              <w:t> </w:t>
            </w:r>
          </w:p>
        </w:tc>
        <w:tc>
          <w:tcPr>
            <w:tcW w:w="3155" w:type="dxa"/>
            <w:gridSpan w:val="4"/>
            <w:tcBorders>
              <w:top w:val="single" w:sz="4" w:space="0" w:color="auto"/>
              <w:left w:val="nil"/>
              <w:bottom w:val="single" w:sz="4" w:space="0" w:color="auto"/>
              <w:right w:val="single" w:sz="4" w:space="0" w:color="auto"/>
            </w:tcBorders>
            <w:shd w:val="clear" w:color="000000" w:fill="F8CBAD"/>
            <w:noWrap/>
            <w:vAlign w:val="bottom"/>
            <w:hideMark/>
          </w:tcPr>
          <w:p w14:paraId="4B4946F3"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ECZTRA 1</w:t>
            </w:r>
          </w:p>
        </w:tc>
        <w:tc>
          <w:tcPr>
            <w:tcW w:w="3131" w:type="dxa"/>
            <w:gridSpan w:val="4"/>
            <w:tcBorders>
              <w:top w:val="single" w:sz="4" w:space="0" w:color="auto"/>
              <w:left w:val="nil"/>
              <w:bottom w:val="single" w:sz="4" w:space="0" w:color="auto"/>
              <w:right w:val="single" w:sz="4" w:space="0" w:color="auto"/>
            </w:tcBorders>
            <w:shd w:val="clear" w:color="000000" w:fill="F8CBAD"/>
            <w:noWrap/>
            <w:vAlign w:val="bottom"/>
            <w:hideMark/>
          </w:tcPr>
          <w:p w14:paraId="5533BEA1"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ECZTRA 2</w:t>
            </w:r>
          </w:p>
        </w:tc>
        <w:tc>
          <w:tcPr>
            <w:tcW w:w="2653" w:type="dxa"/>
            <w:gridSpan w:val="3"/>
            <w:tcBorders>
              <w:top w:val="single" w:sz="4" w:space="0" w:color="auto"/>
              <w:left w:val="nil"/>
              <w:bottom w:val="single" w:sz="4" w:space="0" w:color="auto"/>
              <w:right w:val="single" w:sz="4" w:space="0" w:color="auto"/>
            </w:tcBorders>
            <w:shd w:val="clear" w:color="000000" w:fill="CCFFFF"/>
            <w:noWrap/>
            <w:vAlign w:val="center"/>
            <w:hideMark/>
          </w:tcPr>
          <w:p w14:paraId="3D2504F9"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METANÁLISIS</w:t>
            </w:r>
          </w:p>
        </w:tc>
      </w:tr>
      <w:tr w:rsidR="00CA7727" w14:paraId="74D75886" w14:textId="77777777" w:rsidTr="00BE3FD6">
        <w:trPr>
          <w:trHeight w:val="450"/>
        </w:trPr>
        <w:tc>
          <w:tcPr>
            <w:tcW w:w="1200" w:type="dxa"/>
            <w:tcBorders>
              <w:top w:val="nil"/>
              <w:left w:val="single" w:sz="4" w:space="0" w:color="auto"/>
              <w:bottom w:val="single" w:sz="4" w:space="0" w:color="auto"/>
              <w:right w:val="single" w:sz="4" w:space="0" w:color="auto"/>
            </w:tcBorders>
            <w:vAlign w:val="center"/>
            <w:hideMark/>
          </w:tcPr>
          <w:p w14:paraId="40D9780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VARIABLES</w:t>
            </w:r>
          </w:p>
        </w:tc>
        <w:tc>
          <w:tcPr>
            <w:tcW w:w="1110" w:type="dxa"/>
            <w:tcBorders>
              <w:top w:val="nil"/>
              <w:left w:val="nil"/>
              <w:bottom w:val="single" w:sz="4" w:space="0" w:color="auto"/>
              <w:right w:val="single" w:sz="4" w:space="0" w:color="auto"/>
            </w:tcBorders>
            <w:vAlign w:val="center"/>
            <w:hideMark/>
          </w:tcPr>
          <w:p w14:paraId="71DF49CF"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Tralokinumab (N=601)</w:t>
            </w:r>
          </w:p>
        </w:tc>
        <w:tc>
          <w:tcPr>
            <w:tcW w:w="800" w:type="dxa"/>
            <w:tcBorders>
              <w:top w:val="nil"/>
              <w:left w:val="nil"/>
              <w:bottom w:val="single" w:sz="4" w:space="0" w:color="auto"/>
              <w:right w:val="single" w:sz="4" w:space="0" w:color="auto"/>
            </w:tcBorders>
            <w:vAlign w:val="center"/>
            <w:hideMark/>
          </w:tcPr>
          <w:p w14:paraId="1E1F8828"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Placebo (N=197)</w:t>
            </w:r>
          </w:p>
        </w:tc>
        <w:tc>
          <w:tcPr>
            <w:tcW w:w="598" w:type="dxa"/>
            <w:tcBorders>
              <w:top w:val="nil"/>
              <w:left w:val="nil"/>
              <w:bottom w:val="single" w:sz="4" w:space="0" w:color="auto"/>
              <w:right w:val="single" w:sz="4" w:space="0" w:color="auto"/>
            </w:tcBorders>
            <w:vAlign w:val="center"/>
            <w:hideMark/>
          </w:tcPr>
          <w:p w14:paraId="3AB7270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RAR</w:t>
            </w:r>
          </w:p>
        </w:tc>
        <w:tc>
          <w:tcPr>
            <w:tcW w:w="647" w:type="dxa"/>
            <w:tcBorders>
              <w:top w:val="nil"/>
              <w:left w:val="nil"/>
              <w:bottom w:val="single" w:sz="4" w:space="0" w:color="auto"/>
              <w:right w:val="single" w:sz="4" w:space="0" w:color="auto"/>
            </w:tcBorders>
            <w:vAlign w:val="center"/>
            <w:hideMark/>
          </w:tcPr>
          <w:p w14:paraId="1F61B9E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IC95%</w:t>
            </w:r>
          </w:p>
        </w:tc>
        <w:tc>
          <w:tcPr>
            <w:tcW w:w="1110" w:type="dxa"/>
            <w:tcBorders>
              <w:top w:val="nil"/>
              <w:left w:val="nil"/>
              <w:bottom w:val="single" w:sz="4" w:space="0" w:color="auto"/>
              <w:right w:val="single" w:sz="4" w:space="0" w:color="auto"/>
            </w:tcBorders>
            <w:vAlign w:val="center"/>
            <w:hideMark/>
          </w:tcPr>
          <w:p w14:paraId="03256B6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Tralokinumab (N=591)</w:t>
            </w:r>
          </w:p>
        </w:tc>
        <w:tc>
          <w:tcPr>
            <w:tcW w:w="723" w:type="dxa"/>
            <w:tcBorders>
              <w:top w:val="nil"/>
              <w:left w:val="nil"/>
              <w:bottom w:val="single" w:sz="4" w:space="0" w:color="auto"/>
              <w:right w:val="single" w:sz="4" w:space="0" w:color="auto"/>
            </w:tcBorders>
            <w:vAlign w:val="center"/>
            <w:hideMark/>
          </w:tcPr>
          <w:p w14:paraId="4D96D0E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Placebo (N=201)</w:t>
            </w:r>
          </w:p>
        </w:tc>
        <w:tc>
          <w:tcPr>
            <w:tcW w:w="578" w:type="dxa"/>
            <w:tcBorders>
              <w:top w:val="nil"/>
              <w:left w:val="nil"/>
              <w:bottom w:val="single" w:sz="4" w:space="0" w:color="auto"/>
              <w:right w:val="single" w:sz="4" w:space="0" w:color="auto"/>
            </w:tcBorders>
            <w:vAlign w:val="center"/>
            <w:hideMark/>
          </w:tcPr>
          <w:p w14:paraId="2DD9BA8A"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RAR</w:t>
            </w:r>
          </w:p>
        </w:tc>
        <w:tc>
          <w:tcPr>
            <w:tcW w:w="720" w:type="dxa"/>
            <w:tcBorders>
              <w:top w:val="nil"/>
              <w:left w:val="nil"/>
              <w:bottom w:val="single" w:sz="4" w:space="0" w:color="auto"/>
              <w:right w:val="single" w:sz="4" w:space="0" w:color="auto"/>
            </w:tcBorders>
            <w:vAlign w:val="center"/>
            <w:hideMark/>
          </w:tcPr>
          <w:p w14:paraId="14D61195"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IC95%</w:t>
            </w:r>
          </w:p>
        </w:tc>
        <w:tc>
          <w:tcPr>
            <w:tcW w:w="1080" w:type="dxa"/>
            <w:tcBorders>
              <w:top w:val="nil"/>
              <w:left w:val="nil"/>
              <w:bottom w:val="single" w:sz="4" w:space="0" w:color="auto"/>
              <w:right w:val="single" w:sz="4" w:space="0" w:color="auto"/>
            </w:tcBorders>
            <w:vAlign w:val="center"/>
            <w:hideMark/>
          </w:tcPr>
          <w:p w14:paraId="736D459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VARIABLES</w:t>
            </w:r>
          </w:p>
        </w:tc>
        <w:tc>
          <w:tcPr>
            <w:tcW w:w="840" w:type="dxa"/>
            <w:tcBorders>
              <w:top w:val="nil"/>
              <w:left w:val="nil"/>
              <w:bottom w:val="single" w:sz="4" w:space="0" w:color="auto"/>
              <w:right w:val="single" w:sz="4" w:space="0" w:color="auto"/>
            </w:tcBorders>
            <w:vAlign w:val="center"/>
            <w:hideMark/>
          </w:tcPr>
          <w:p w14:paraId="421472A0"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RAR agrupado</w:t>
            </w:r>
          </w:p>
        </w:tc>
        <w:tc>
          <w:tcPr>
            <w:tcW w:w="733" w:type="dxa"/>
            <w:tcBorders>
              <w:top w:val="nil"/>
              <w:left w:val="nil"/>
              <w:bottom w:val="single" w:sz="4" w:space="0" w:color="auto"/>
              <w:right w:val="single" w:sz="4" w:space="0" w:color="auto"/>
            </w:tcBorders>
            <w:vAlign w:val="center"/>
            <w:hideMark/>
          </w:tcPr>
          <w:p w14:paraId="257E2ED5"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IC95%</w:t>
            </w:r>
          </w:p>
        </w:tc>
      </w:tr>
      <w:tr w:rsidR="00CA7727" w14:paraId="18DDAB18" w14:textId="77777777" w:rsidTr="00BE3FD6">
        <w:trPr>
          <w:trHeight w:val="300"/>
        </w:trPr>
        <w:tc>
          <w:tcPr>
            <w:tcW w:w="1200" w:type="dxa"/>
            <w:tcBorders>
              <w:top w:val="nil"/>
              <w:left w:val="single" w:sz="4" w:space="0" w:color="auto"/>
              <w:bottom w:val="single" w:sz="4" w:space="0" w:color="auto"/>
              <w:right w:val="single" w:sz="4" w:space="0" w:color="auto"/>
            </w:tcBorders>
            <w:vAlign w:val="center"/>
            <w:hideMark/>
          </w:tcPr>
          <w:p w14:paraId="046C00E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EASI75</w:t>
            </w:r>
          </w:p>
        </w:tc>
        <w:tc>
          <w:tcPr>
            <w:tcW w:w="1110" w:type="dxa"/>
            <w:tcBorders>
              <w:top w:val="nil"/>
              <w:left w:val="nil"/>
              <w:bottom w:val="single" w:sz="4" w:space="0" w:color="auto"/>
              <w:right w:val="single" w:sz="4" w:space="0" w:color="auto"/>
            </w:tcBorders>
            <w:vAlign w:val="center"/>
            <w:hideMark/>
          </w:tcPr>
          <w:p w14:paraId="3E6B208A"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150</w:t>
            </w:r>
          </w:p>
        </w:tc>
        <w:tc>
          <w:tcPr>
            <w:tcW w:w="800" w:type="dxa"/>
            <w:tcBorders>
              <w:top w:val="nil"/>
              <w:left w:val="nil"/>
              <w:bottom w:val="single" w:sz="4" w:space="0" w:color="auto"/>
              <w:right w:val="single" w:sz="4" w:space="0" w:color="auto"/>
            </w:tcBorders>
            <w:vAlign w:val="center"/>
            <w:hideMark/>
          </w:tcPr>
          <w:p w14:paraId="2ECC35AF"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25</w:t>
            </w:r>
          </w:p>
        </w:tc>
        <w:tc>
          <w:tcPr>
            <w:tcW w:w="598" w:type="dxa"/>
            <w:tcBorders>
              <w:top w:val="nil"/>
              <w:left w:val="nil"/>
              <w:bottom w:val="single" w:sz="4" w:space="0" w:color="auto"/>
              <w:right w:val="single" w:sz="4" w:space="0" w:color="auto"/>
            </w:tcBorders>
            <w:vAlign w:val="center"/>
            <w:hideMark/>
          </w:tcPr>
          <w:p w14:paraId="6B34557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12</w:t>
            </w:r>
          </w:p>
        </w:tc>
        <w:tc>
          <w:tcPr>
            <w:tcW w:w="647" w:type="dxa"/>
            <w:tcBorders>
              <w:top w:val="nil"/>
              <w:left w:val="nil"/>
              <w:bottom w:val="single" w:sz="4" w:space="0" w:color="auto"/>
              <w:right w:val="single" w:sz="4" w:space="0" w:color="auto"/>
            </w:tcBorders>
            <w:vAlign w:val="center"/>
            <w:hideMark/>
          </w:tcPr>
          <w:p w14:paraId="51BF765E"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(6;18)</w:t>
            </w:r>
          </w:p>
        </w:tc>
        <w:tc>
          <w:tcPr>
            <w:tcW w:w="1110" w:type="dxa"/>
            <w:tcBorders>
              <w:top w:val="nil"/>
              <w:left w:val="nil"/>
              <w:bottom w:val="single" w:sz="4" w:space="0" w:color="auto"/>
              <w:right w:val="single" w:sz="4" w:space="0" w:color="auto"/>
            </w:tcBorders>
            <w:vAlign w:val="center"/>
            <w:hideMark/>
          </w:tcPr>
          <w:p w14:paraId="392CE092"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196</w:t>
            </w:r>
          </w:p>
        </w:tc>
        <w:tc>
          <w:tcPr>
            <w:tcW w:w="723" w:type="dxa"/>
            <w:tcBorders>
              <w:top w:val="nil"/>
              <w:left w:val="nil"/>
              <w:bottom w:val="single" w:sz="4" w:space="0" w:color="auto"/>
              <w:right w:val="single" w:sz="4" w:space="0" w:color="auto"/>
            </w:tcBorders>
            <w:vAlign w:val="center"/>
            <w:hideMark/>
          </w:tcPr>
          <w:p w14:paraId="09B01483"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23</w:t>
            </w:r>
          </w:p>
        </w:tc>
        <w:tc>
          <w:tcPr>
            <w:tcW w:w="578" w:type="dxa"/>
            <w:tcBorders>
              <w:top w:val="nil"/>
              <w:left w:val="nil"/>
              <w:bottom w:val="single" w:sz="4" w:space="0" w:color="auto"/>
              <w:right w:val="single" w:sz="4" w:space="0" w:color="auto"/>
            </w:tcBorders>
            <w:vAlign w:val="center"/>
            <w:hideMark/>
          </w:tcPr>
          <w:p w14:paraId="430FA667"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22</w:t>
            </w:r>
          </w:p>
        </w:tc>
        <w:tc>
          <w:tcPr>
            <w:tcW w:w="720" w:type="dxa"/>
            <w:tcBorders>
              <w:top w:val="nil"/>
              <w:left w:val="nil"/>
              <w:bottom w:val="single" w:sz="4" w:space="0" w:color="auto"/>
              <w:right w:val="single" w:sz="4" w:space="0" w:color="auto"/>
            </w:tcBorders>
            <w:vAlign w:val="center"/>
            <w:hideMark/>
          </w:tcPr>
          <w:p w14:paraId="4A6F9BD4"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(16;28)</w:t>
            </w:r>
          </w:p>
        </w:tc>
        <w:tc>
          <w:tcPr>
            <w:tcW w:w="1080" w:type="dxa"/>
            <w:tcBorders>
              <w:top w:val="nil"/>
              <w:left w:val="nil"/>
              <w:bottom w:val="single" w:sz="4" w:space="0" w:color="auto"/>
              <w:right w:val="single" w:sz="4" w:space="0" w:color="auto"/>
            </w:tcBorders>
            <w:noWrap/>
            <w:vAlign w:val="center"/>
            <w:hideMark/>
          </w:tcPr>
          <w:p w14:paraId="36B9E8C3"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EASI75</w:t>
            </w:r>
          </w:p>
        </w:tc>
        <w:tc>
          <w:tcPr>
            <w:tcW w:w="840" w:type="dxa"/>
            <w:tcBorders>
              <w:top w:val="nil"/>
              <w:left w:val="nil"/>
              <w:bottom w:val="single" w:sz="4" w:space="0" w:color="auto"/>
              <w:right w:val="single" w:sz="4" w:space="0" w:color="auto"/>
            </w:tcBorders>
            <w:noWrap/>
            <w:vAlign w:val="center"/>
            <w:hideMark/>
          </w:tcPr>
          <w:p w14:paraId="15234507"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17</w:t>
            </w:r>
          </w:p>
        </w:tc>
        <w:tc>
          <w:tcPr>
            <w:tcW w:w="733" w:type="dxa"/>
            <w:tcBorders>
              <w:top w:val="nil"/>
              <w:left w:val="nil"/>
              <w:bottom w:val="single" w:sz="4" w:space="0" w:color="auto"/>
              <w:right w:val="single" w:sz="4" w:space="0" w:color="auto"/>
            </w:tcBorders>
            <w:noWrap/>
            <w:vAlign w:val="center"/>
            <w:hideMark/>
          </w:tcPr>
          <w:p w14:paraId="051BDC43"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(8;26)</w:t>
            </w:r>
          </w:p>
        </w:tc>
      </w:tr>
      <w:tr w:rsidR="00CA7727" w14:paraId="08D03118" w14:textId="77777777" w:rsidTr="00BE3FD6">
        <w:trPr>
          <w:trHeight w:val="300"/>
        </w:trPr>
        <w:tc>
          <w:tcPr>
            <w:tcW w:w="1200" w:type="dxa"/>
            <w:tcBorders>
              <w:top w:val="nil"/>
              <w:left w:val="single" w:sz="4" w:space="0" w:color="auto"/>
              <w:bottom w:val="single" w:sz="4" w:space="0" w:color="auto"/>
              <w:right w:val="single" w:sz="4" w:space="0" w:color="auto"/>
            </w:tcBorders>
            <w:vAlign w:val="center"/>
            <w:hideMark/>
          </w:tcPr>
          <w:p w14:paraId="0AF96667"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IGA 0/1</w:t>
            </w:r>
          </w:p>
        </w:tc>
        <w:tc>
          <w:tcPr>
            <w:tcW w:w="1110" w:type="dxa"/>
            <w:tcBorders>
              <w:top w:val="nil"/>
              <w:left w:val="nil"/>
              <w:bottom w:val="single" w:sz="4" w:space="0" w:color="auto"/>
              <w:right w:val="single" w:sz="4" w:space="0" w:color="auto"/>
            </w:tcBorders>
            <w:vAlign w:val="center"/>
            <w:hideMark/>
          </w:tcPr>
          <w:p w14:paraId="1CDA371D"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95</w:t>
            </w:r>
          </w:p>
        </w:tc>
        <w:tc>
          <w:tcPr>
            <w:tcW w:w="800" w:type="dxa"/>
            <w:tcBorders>
              <w:top w:val="nil"/>
              <w:left w:val="nil"/>
              <w:bottom w:val="single" w:sz="4" w:space="0" w:color="auto"/>
              <w:right w:val="single" w:sz="4" w:space="0" w:color="auto"/>
            </w:tcBorders>
            <w:vAlign w:val="center"/>
            <w:hideMark/>
          </w:tcPr>
          <w:p w14:paraId="7A812820"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14</w:t>
            </w:r>
          </w:p>
        </w:tc>
        <w:tc>
          <w:tcPr>
            <w:tcW w:w="598" w:type="dxa"/>
            <w:tcBorders>
              <w:top w:val="nil"/>
              <w:left w:val="nil"/>
              <w:bottom w:val="single" w:sz="4" w:space="0" w:color="auto"/>
              <w:right w:val="single" w:sz="4" w:space="0" w:color="auto"/>
            </w:tcBorders>
            <w:vAlign w:val="center"/>
            <w:hideMark/>
          </w:tcPr>
          <w:p w14:paraId="47ED5699"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9</w:t>
            </w:r>
          </w:p>
        </w:tc>
        <w:tc>
          <w:tcPr>
            <w:tcW w:w="647" w:type="dxa"/>
            <w:tcBorders>
              <w:top w:val="nil"/>
              <w:left w:val="nil"/>
              <w:bottom w:val="single" w:sz="4" w:space="0" w:color="auto"/>
              <w:right w:val="single" w:sz="4" w:space="0" w:color="auto"/>
            </w:tcBorders>
            <w:vAlign w:val="center"/>
            <w:hideMark/>
          </w:tcPr>
          <w:p w14:paraId="772018E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(4;13)</w:t>
            </w:r>
          </w:p>
        </w:tc>
        <w:tc>
          <w:tcPr>
            <w:tcW w:w="1110" w:type="dxa"/>
            <w:tcBorders>
              <w:top w:val="nil"/>
              <w:left w:val="nil"/>
              <w:bottom w:val="single" w:sz="4" w:space="0" w:color="auto"/>
              <w:right w:val="single" w:sz="4" w:space="0" w:color="auto"/>
            </w:tcBorders>
            <w:vAlign w:val="center"/>
            <w:hideMark/>
          </w:tcPr>
          <w:p w14:paraId="25683049"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131</w:t>
            </w:r>
          </w:p>
        </w:tc>
        <w:tc>
          <w:tcPr>
            <w:tcW w:w="723" w:type="dxa"/>
            <w:tcBorders>
              <w:top w:val="nil"/>
              <w:left w:val="nil"/>
              <w:bottom w:val="single" w:sz="4" w:space="0" w:color="auto"/>
              <w:right w:val="single" w:sz="4" w:space="0" w:color="auto"/>
            </w:tcBorders>
            <w:vAlign w:val="center"/>
            <w:hideMark/>
          </w:tcPr>
          <w:p w14:paraId="29111665"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22</w:t>
            </w:r>
          </w:p>
        </w:tc>
        <w:tc>
          <w:tcPr>
            <w:tcW w:w="578" w:type="dxa"/>
            <w:tcBorders>
              <w:top w:val="nil"/>
              <w:left w:val="nil"/>
              <w:bottom w:val="single" w:sz="4" w:space="0" w:color="auto"/>
              <w:right w:val="single" w:sz="4" w:space="0" w:color="auto"/>
            </w:tcBorders>
            <w:vAlign w:val="center"/>
            <w:hideMark/>
          </w:tcPr>
          <w:p w14:paraId="0F94EB2C"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11</w:t>
            </w:r>
          </w:p>
        </w:tc>
        <w:tc>
          <w:tcPr>
            <w:tcW w:w="720" w:type="dxa"/>
            <w:tcBorders>
              <w:top w:val="nil"/>
              <w:left w:val="nil"/>
              <w:bottom w:val="single" w:sz="4" w:space="0" w:color="auto"/>
              <w:right w:val="single" w:sz="4" w:space="0" w:color="auto"/>
            </w:tcBorders>
            <w:vAlign w:val="center"/>
            <w:hideMark/>
          </w:tcPr>
          <w:p w14:paraId="5F0EBF97"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(6;17)</w:t>
            </w:r>
          </w:p>
        </w:tc>
        <w:tc>
          <w:tcPr>
            <w:tcW w:w="1080" w:type="dxa"/>
            <w:tcBorders>
              <w:top w:val="nil"/>
              <w:left w:val="nil"/>
              <w:bottom w:val="single" w:sz="4" w:space="0" w:color="auto"/>
              <w:right w:val="single" w:sz="4" w:space="0" w:color="auto"/>
            </w:tcBorders>
            <w:noWrap/>
            <w:vAlign w:val="center"/>
            <w:hideMark/>
          </w:tcPr>
          <w:p w14:paraId="53D8DE11"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IGA 0/1</w:t>
            </w:r>
          </w:p>
        </w:tc>
        <w:tc>
          <w:tcPr>
            <w:tcW w:w="840" w:type="dxa"/>
            <w:tcBorders>
              <w:top w:val="nil"/>
              <w:left w:val="nil"/>
              <w:bottom w:val="single" w:sz="4" w:space="0" w:color="auto"/>
              <w:right w:val="single" w:sz="4" w:space="0" w:color="auto"/>
            </w:tcBorders>
            <w:noWrap/>
            <w:vAlign w:val="center"/>
            <w:hideMark/>
          </w:tcPr>
          <w:p w14:paraId="41CC26B1"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10</w:t>
            </w:r>
          </w:p>
        </w:tc>
        <w:tc>
          <w:tcPr>
            <w:tcW w:w="733" w:type="dxa"/>
            <w:tcBorders>
              <w:top w:val="nil"/>
              <w:left w:val="nil"/>
              <w:bottom w:val="single" w:sz="4" w:space="0" w:color="auto"/>
              <w:right w:val="single" w:sz="4" w:space="0" w:color="auto"/>
            </w:tcBorders>
            <w:noWrap/>
            <w:vAlign w:val="center"/>
            <w:hideMark/>
          </w:tcPr>
          <w:p w14:paraId="4FF5191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(6;13)</w:t>
            </w:r>
          </w:p>
        </w:tc>
      </w:tr>
      <w:tr w:rsidR="00CA7727" w14:paraId="66AB527C" w14:textId="77777777" w:rsidTr="00BE3FD6">
        <w:trPr>
          <w:trHeight w:val="300"/>
        </w:trPr>
        <w:tc>
          <w:tcPr>
            <w:tcW w:w="1200" w:type="dxa"/>
            <w:tcBorders>
              <w:top w:val="nil"/>
              <w:left w:val="single" w:sz="4" w:space="0" w:color="auto"/>
              <w:bottom w:val="single" w:sz="4" w:space="0" w:color="auto"/>
              <w:right w:val="single" w:sz="4" w:space="0" w:color="auto"/>
            </w:tcBorders>
            <w:vAlign w:val="center"/>
            <w:hideMark/>
          </w:tcPr>
          <w:p w14:paraId="35F81FDD"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PP-NRS</w:t>
            </w:r>
          </w:p>
        </w:tc>
        <w:tc>
          <w:tcPr>
            <w:tcW w:w="1110" w:type="dxa"/>
            <w:tcBorders>
              <w:top w:val="nil"/>
              <w:left w:val="nil"/>
              <w:bottom w:val="single" w:sz="4" w:space="0" w:color="auto"/>
              <w:right w:val="single" w:sz="4" w:space="0" w:color="auto"/>
            </w:tcBorders>
            <w:vAlign w:val="center"/>
            <w:hideMark/>
          </w:tcPr>
          <w:p w14:paraId="0AEB3954"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119</w:t>
            </w:r>
          </w:p>
        </w:tc>
        <w:tc>
          <w:tcPr>
            <w:tcW w:w="800" w:type="dxa"/>
            <w:tcBorders>
              <w:top w:val="nil"/>
              <w:left w:val="nil"/>
              <w:bottom w:val="single" w:sz="4" w:space="0" w:color="auto"/>
              <w:right w:val="single" w:sz="4" w:space="0" w:color="auto"/>
            </w:tcBorders>
            <w:vAlign w:val="center"/>
            <w:hideMark/>
          </w:tcPr>
          <w:p w14:paraId="7D030F66"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20</w:t>
            </w:r>
          </w:p>
        </w:tc>
        <w:tc>
          <w:tcPr>
            <w:tcW w:w="598" w:type="dxa"/>
            <w:tcBorders>
              <w:top w:val="nil"/>
              <w:left w:val="nil"/>
              <w:bottom w:val="single" w:sz="4" w:space="0" w:color="auto"/>
              <w:right w:val="single" w:sz="4" w:space="0" w:color="auto"/>
            </w:tcBorders>
            <w:vAlign w:val="center"/>
            <w:hideMark/>
          </w:tcPr>
          <w:p w14:paraId="7972AB9F"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10</w:t>
            </w:r>
          </w:p>
        </w:tc>
        <w:tc>
          <w:tcPr>
            <w:tcW w:w="647" w:type="dxa"/>
            <w:tcBorders>
              <w:top w:val="nil"/>
              <w:left w:val="nil"/>
              <w:bottom w:val="single" w:sz="4" w:space="0" w:color="auto"/>
              <w:right w:val="single" w:sz="4" w:space="0" w:color="auto"/>
            </w:tcBorders>
            <w:vAlign w:val="center"/>
            <w:hideMark/>
          </w:tcPr>
          <w:p w14:paraId="3F2EDE6F"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(4;15)</w:t>
            </w:r>
          </w:p>
        </w:tc>
        <w:tc>
          <w:tcPr>
            <w:tcW w:w="1110" w:type="dxa"/>
            <w:tcBorders>
              <w:top w:val="nil"/>
              <w:left w:val="nil"/>
              <w:bottom w:val="single" w:sz="4" w:space="0" w:color="auto"/>
              <w:right w:val="single" w:sz="4" w:space="0" w:color="auto"/>
            </w:tcBorders>
            <w:vAlign w:val="center"/>
            <w:hideMark/>
          </w:tcPr>
          <w:p w14:paraId="041822EB"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144</w:t>
            </w:r>
          </w:p>
        </w:tc>
        <w:tc>
          <w:tcPr>
            <w:tcW w:w="723" w:type="dxa"/>
            <w:tcBorders>
              <w:top w:val="nil"/>
              <w:left w:val="nil"/>
              <w:bottom w:val="single" w:sz="4" w:space="0" w:color="auto"/>
              <w:right w:val="single" w:sz="4" w:space="0" w:color="auto"/>
            </w:tcBorders>
            <w:vAlign w:val="center"/>
            <w:hideMark/>
          </w:tcPr>
          <w:p w14:paraId="2D0035A3"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19</w:t>
            </w:r>
          </w:p>
        </w:tc>
        <w:tc>
          <w:tcPr>
            <w:tcW w:w="578" w:type="dxa"/>
            <w:tcBorders>
              <w:top w:val="nil"/>
              <w:left w:val="nil"/>
              <w:bottom w:val="single" w:sz="4" w:space="0" w:color="auto"/>
              <w:right w:val="single" w:sz="4" w:space="0" w:color="auto"/>
            </w:tcBorders>
            <w:vAlign w:val="center"/>
            <w:hideMark/>
          </w:tcPr>
          <w:p w14:paraId="7C1684C1"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15</w:t>
            </w:r>
          </w:p>
        </w:tc>
        <w:tc>
          <w:tcPr>
            <w:tcW w:w="720" w:type="dxa"/>
            <w:tcBorders>
              <w:top w:val="nil"/>
              <w:left w:val="nil"/>
              <w:bottom w:val="single" w:sz="4" w:space="0" w:color="auto"/>
              <w:right w:val="single" w:sz="4" w:space="0" w:color="auto"/>
            </w:tcBorders>
            <w:vAlign w:val="center"/>
            <w:hideMark/>
          </w:tcPr>
          <w:p w14:paraId="06EFD874"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(10;20)</w:t>
            </w:r>
          </w:p>
        </w:tc>
        <w:tc>
          <w:tcPr>
            <w:tcW w:w="1080" w:type="dxa"/>
            <w:tcBorders>
              <w:top w:val="nil"/>
              <w:left w:val="nil"/>
              <w:bottom w:val="single" w:sz="4" w:space="0" w:color="auto"/>
              <w:right w:val="single" w:sz="4" w:space="0" w:color="auto"/>
            </w:tcBorders>
            <w:noWrap/>
            <w:vAlign w:val="center"/>
            <w:hideMark/>
          </w:tcPr>
          <w:p w14:paraId="3A4F82D4"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PP-NRS</w:t>
            </w:r>
          </w:p>
        </w:tc>
        <w:tc>
          <w:tcPr>
            <w:tcW w:w="840" w:type="dxa"/>
            <w:tcBorders>
              <w:top w:val="nil"/>
              <w:left w:val="nil"/>
              <w:bottom w:val="single" w:sz="4" w:space="0" w:color="auto"/>
              <w:right w:val="single" w:sz="4" w:space="0" w:color="auto"/>
            </w:tcBorders>
            <w:noWrap/>
            <w:vAlign w:val="center"/>
            <w:hideMark/>
          </w:tcPr>
          <w:p w14:paraId="175ACAB2"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12</w:t>
            </w:r>
          </w:p>
        </w:tc>
        <w:tc>
          <w:tcPr>
            <w:tcW w:w="733" w:type="dxa"/>
            <w:tcBorders>
              <w:top w:val="nil"/>
              <w:left w:val="nil"/>
              <w:bottom w:val="single" w:sz="4" w:space="0" w:color="auto"/>
              <w:right w:val="single" w:sz="4" w:space="0" w:color="auto"/>
            </w:tcBorders>
            <w:noWrap/>
            <w:vAlign w:val="center"/>
            <w:hideMark/>
          </w:tcPr>
          <w:p w14:paraId="111ED3AD" w14:textId="77777777" w:rsidR="00CA7727" w:rsidRDefault="00CA7727" w:rsidP="00CA7727">
            <w:pPr>
              <w:jc w:val="center"/>
              <w:rPr>
                <w:rFonts w:ascii="Arial" w:hAnsi="Arial" w:cs="Arial"/>
                <w:color w:val="000000"/>
                <w:sz w:val="16"/>
                <w:szCs w:val="16"/>
              </w:rPr>
            </w:pPr>
            <w:r>
              <w:rPr>
                <w:rFonts w:ascii="Arial" w:hAnsi="Arial" w:cs="Arial"/>
                <w:color w:val="000000"/>
                <w:sz w:val="16"/>
                <w:szCs w:val="16"/>
              </w:rPr>
              <w:t>(7;17)</w:t>
            </w:r>
          </w:p>
        </w:tc>
      </w:tr>
    </w:tbl>
    <w:p w14:paraId="5588598E" w14:textId="77777777" w:rsidR="00BE3FD6" w:rsidRDefault="00BE3FD6" w:rsidP="003A2C87">
      <w:pPr>
        <w:jc w:val="both"/>
        <w:rPr>
          <w:rFonts w:ascii="Arial" w:hAnsi="Arial" w:cs="Arial"/>
          <w:bCs/>
          <w:sz w:val="20"/>
          <w:szCs w:val="20"/>
        </w:rPr>
      </w:pPr>
    </w:p>
    <w:tbl>
      <w:tblPr>
        <w:tblpPr w:leftFromText="141" w:rightFromText="141" w:vertAnchor="text" w:horzAnchor="margin" w:tblpY="116"/>
        <w:tblW w:w="8191" w:type="dxa"/>
        <w:tblCellMar>
          <w:left w:w="70" w:type="dxa"/>
          <w:right w:w="70" w:type="dxa"/>
        </w:tblCellMar>
        <w:tblLook w:val="04A0" w:firstRow="1" w:lastRow="0" w:firstColumn="1" w:lastColumn="0" w:noHBand="0" w:noVBand="1"/>
      </w:tblPr>
      <w:tblGrid>
        <w:gridCol w:w="3110"/>
        <w:gridCol w:w="1970"/>
        <w:gridCol w:w="1555"/>
        <w:gridCol w:w="1556"/>
      </w:tblGrid>
      <w:tr w:rsidR="00D60F19" w14:paraId="4012266F" w14:textId="77777777" w:rsidTr="00D60F19">
        <w:trPr>
          <w:trHeight w:val="245"/>
        </w:trPr>
        <w:tc>
          <w:tcPr>
            <w:tcW w:w="8191" w:type="dxa"/>
            <w:gridSpan w:val="4"/>
            <w:tcBorders>
              <w:top w:val="single" w:sz="4" w:space="0" w:color="auto"/>
              <w:left w:val="single" w:sz="4" w:space="0" w:color="auto"/>
              <w:bottom w:val="single" w:sz="4" w:space="0" w:color="auto"/>
              <w:right w:val="single" w:sz="4" w:space="0" w:color="auto"/>
            </w:tcBorders>
            <w:shd w:val="clear" w:color="000000" w:fill="8FF9BF"/>
            <w:vAlign w:val="center"/>
            <w:hideMark/>
          </w:tcPr>
          <w:p w14:paraId="6AE075C0" w14:textId="77777777" w:rsidR="00D60F19" w:rsidRPr="00CA7727" w:rsidRDefault="00CA7727" w:rsidP="00CA7727">
            <w:pPr>
              <w:jc w:val="center"/>
              <w:rPr>
                <w:rFonts w:ascii="Arial" w:hAnsi="Arial" w:cs="Arial"/>
                <w:b/>
                <w:sz w:val="18"/>
                <w:szCs w:val="18"/>
              </w:rPr>
            </w:pPr>
            <w:bookmarkStart w:id="96" w:name="_Hlk215223971"/>
            <w:r w:rsidRPr="00CA7727">
              <w:rPr>
                <w:rFonts w:ascii="Arial" w:hAnsi="Arial" w:cs="Arial"/>
                <w:b/>
                <w:sz w:val="18"/>
                <w:szCs w:val="18"/>
              </w:rPr>
              <w:t xml:space="preserve">Tabla 19. </w:t>
            </w:r>
            <w:r w:rsidR="00D60F19" w:rsidRPr="00CA7727">
              <w:rPr>
                <w:rFonts w:ascii="Arial" w:hAnsi="Arial" w:cs="Arial"/>
                <w:b/>
                <w:sz w:val="18"/>
                <w:szCs w:val="18"/>
              </w:rPr>
              <w:t>Comparación indirecta ajustada Dupilumab-Tralokinumab</w:t>
            </w:r>
          </w:p>
        </w:tc>
      </w:tr>
      <w:tr w:rsidR="00D60F19" w14:paraId="48EB99F6" w14:textId="77777777" w:rsidTr="00D60F19">
        <w:trPr>
          <w:trHeight w:val="404"/>
        </w:trPr>
        <w:tc>
          <w:tcPr>
            <w:tcW w:w="31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4885"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Variable</w:t>
            </w:r>
          </w:p>
        </w:tc>
        <w:tc>
          <w:tcPr>
            <w:tcW w:w="3525" w:type="dxa"/>
            <w:gridSpan w:val="2"/>
            <w:tcBorders>
              <w:top w:val="single" w:sz="4" w:space="0" w:color="auto"/>
              <w:left w:val="nil"/>
              <w:bottom w:val="single" w:sz="4" w:space="0" w:color="auto"/>
              <w:right w:val="single" w:sz="4" w:space="0" w:color="auto"/>
            </w:tcBorders>
            <w:shd w:val="clear" w:color="000000" w:fill="D9D9D9"/>
            <w:vAlign w:val="center"/>
            <w:hideMark/>
          </w:tcPr>
          <w:p w14:paraId="633FC1C6"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Diferencia de respuesta (IC 95%)</w:t>
            </w:r>
          </w:p>
        </w:tc>
        <w:tc>
          <w:tcPr>
            <w:tcW w:w="1556" w:type="dxa"/>
            <w:tcBorders>
              <w:top w:val="nil"/>
              <w:left w:val="nil"/>
              <w:bottom w:val="single" w:sz="4" w:space="0" w:color="auto"/>
              <w:right w:val="single" w:sz="4" w:space="0" w:color="auto"/>
            </w:tcBorders>
            <w:shd w:val="clear" w:color="000000" w:fill="E7E6E6"/>
            <w:noWrap/>
            <w:vAlign w:val="center"/>
            <w:hideMark/>
          </w:tcPr>
          <w:p w14:paraId="1FF9B042" w14:textId="77777777" w:rsidR="00D60F19" w:rsidRDefault="00D60F19" w:rsidP="00D60F19">
            <w:pPr>
              <w:jc w:val="center"/>
              <w:rPr>
                <w:rFonts w:ascii="Calibri" w:hAnsi="Calibri" w:cs="Calibri"/>
                <w:color w:val="000000"/>
                <w:sz w:val="22"/>
                <w:szCs w:val="22"/>
              </w:rPr>
            </w:pPr>
            <w:r>
              <w:rPr>
                <w:rFonts w:ascii="Calibri" w:hAnsi="Calibri" w:cs="Calibri"/>
                <w:color w:val="000000"/>
                <w:sz w:val="22"/>
                <w:szCs w:val="22"/>
              </w:rPr>
              <w:t>P</w:t>
            </w:r>
          </w:p>
        </w:tc>
      </w:tr>
      <w:tr w:rsidR="00D60F19" w14:paraId="36641949" w14:textId="77777777" w:rsidTr="00D60F19">
        <w:trPr>
          <w:trHeight w:val="245"/>
        </w:trPr>
        <w:tc>
          <w:tcPr>
            <w:tcW w:w="3110" w:type="dxa"/>
            <w:tcBorders>
              <w:top w:val="single" w:sz="4" w:space="0" w:color="auto"/>
              <w:left w:val="single" w:sz="4" w:space="0" w:color="auto"/>
              <w:bottom w:val="single" w:sz="4" w:space="0" w:color="auto"/>
              <w:right w:val="single" w:sz="4" w:space="0" w:color="auto"/>
            </w:tcBorders>
            <w:vAlign w:val="center"/>
            <w:hideMark/>
          </w:tcPr>
          <w:p w14:paraId="117E3EDF"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EASI 75</w:t>
            </w:r>
          </w:p>
        </w:tc>
        <w:tc>
          <w:tcPr>
            <w:tcW w:w="1970" w:type="dxa"/>
            <w:tcBorders>
              <w:top w:val="nil"/>
              <w:left w:val="nil"/>
              <w:bottom w:val="single" w:sz="4" w:space="0" w:color="auto"/>
              <w:right w:val="single" w:sz="4" w:space="0" w:color="auto"/>
            </w:tcBorders>
            <w:shd w:val="clear" w:color="000000" w:fill="FFFFFF"/>
            <w:vAlign w:val="center"/>
            <w:hideMark/>
          </w:tcPr>
          <w:p w14:paraId="333EB5F2"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-17</w:t>
            </w:r>
          </w:p>
        </w:tc>
        <w:tc>
          <w:tcPr>
            <w:tcW w:w="1555" w:type="dxa"/>
            <w:tcBorders>
              <w:top w:val="nil"/>
              <w:left w:val="nil"/>
              <w:bottom w:val="single" w:sz="4" w:space="0" w:color="auto"/>
              <w:right w:val="single" w:sz="4" w:space="0" w:color="auto"/>
            </w:tcBorders>
            <w:shd w:val="clear" w:color="000000" w:fill="FFFFFF"/>
            <w:vAlign w:val="center"/>
            <w:hideMark/>
          </w:tcPr>
          <w:p w14:paraId="07D6E2F4"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(-27</w:t>
            </w:r>
            <w:r w:rsidR="00AA6BC8">
              <w:rPr>
                <w:rFonts w:ascii="Arial" w:hAnsi="Arial" w:cs="Arial"/>
                <w:color w:val="000000"/>
                <w:sz w:val="16"/>
                <w:szCs w:val="16"/>
              </w:rPr>
              <w:t>;</w:t>
            </w:r>
            <w:r>
              <w:rPr>
                <w:rFonts w:ascii="Arial" w:hAnsi="Arial" w:cs="Arial"/>
                <w:color w:val="000000"/>
                <w:sz w:val="16"/>
                <w:szCs w:val="16"/>
              </w:rPr>
              <w:t>-6)</w:t>
            </w:r>
          </w:p>
        </w:tc>
        <w:tc>
          <w:tcPr>
            <w:tcW w:w="1556" w:type="dxa"/>
            <w:tcBorders>
              <w:top w:val="nil"/>
              <w:left w:val="nil"/>
              <w:bottom w:val="single" w:sz="4" w:space="0" w:color="auto"/>
              <w:right w:val="single" w:sz="4" w:space="0" w:color="auto"/>
            </w:tcBorders>
            <w:shd w:val="clear" w:color="000000" w:fill="FFFFFF"/>
            <w:vAlign w:val="center"/>
            <w:hideMark/>
          </w:tcPr>
          <w:p w14:paraId="59CD5C8B"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p&lt;0,05</w:t>
            </w:r>
          </w:p>
        </w:tc>
      </w:tr>
      <w:tr w:rsidR="00D60F19" w14:paraId="023BD5F0" w14:textId="77777777" w:rsidTr="00D60F19">
        <w:trPr>
          <w:trHeight w:val="245"/>
        </w:trPr>
        <w:tc>
          <w:tcPr>
            <w:tcW w:w="3110" w:type="dxa"/>
            <w:tcBorders>
              <w:top w:val="single" w:sz="4" w:space="0" w:color="auto"/>
              <w:left w:val="single" w:sz="4" w:space="0" w:color="auto"/>
              <w:bottom w:val="single" w:sz="4" w:space="0" w:color="auto"/>
              <w:right w:val="single" w:sz="4" w:space="0" w:color="auto"/>
            </w:tcBorders>
            <w:vAlign w:val="center"/>
            <w:hideMark/>
          </w:tcPr>
          <w:p w14:paraId="392AE8BA"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IGA 0/1</w:t>
            </w:r>
          </w:p>
        </w:tc>
        <w:tc>
          <w:tcPr>
            <w:tcW w:w="1970" w:type="dxa"/>
            <w:tcBorders>
              <w:top w:val="nil"/>
              <w:left w:val="nil"/>
              <w:bottom w:val="single" w:sz="4" w:space="0" w:color="auto"/>
              <w:right w:val="single" w:sz="4" w:space="0" w:color="auto"/>
            </w:tcBorders>
            <w:shd w:val="clear" w:color="000000" w:fill="FFFFFF"/>
            <w:vAlign w:val="center"/>
            <w:hideMark/>
          </w:tcPr>
          <w:p w14:paraId="3E2EEDEE"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-18</w:t>
            </w:r>
          </w:p>
        </w:tc>
        <w:tc>
          <w:tcPr>
            <w:tcW w:w="1555" w:type="dxa"/>
            <w:tcBorders>
              <w:top w:val="nil"/>
              <w:left w:val="nil"/>
              <w:bottom w:val="single" w:sz="4" w:space="0" w:color="auto"/>
              <w:right w:val="single" w:sz="4" w:space="0" w:color="auto"/>
            </w:tcBorders>
            <w:shd w:val="clear" w:color="000000" w:fill="FFFFFF"/>
            <w:vAlign w:val="center"/>
            <w:hideMark/>
          </w:tcPr>
          <w:p w14:paraId="296A8C71"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(-24</w:t>
            </w:r>
            <w:r w:rsidR="00AA6BC8">
              <w:rPr>
                <w:rFonts w:ascii="Arial" w:hAnsi="Arial" w:cs="Arial"/>
                <w:color w:val="000000"/>
                <w:sz w:val="16"/>
                <w:szCs w:val="16"/>
              </w:rPr>
              <w:t>;</w:t>
            </w:r>
            <w:r>
              <w:rPr>
                <w:rFonts w:ascii="Arial" w:hAnsi="Arial" w:cs="Arial"/>
                <w:color w:val="000000"/>
                <w:sz w:val="16"/>
                <w:szCs w:val="16"/>
              </w:rPr>
              <w:t>-11)</w:t>
            </w:r>
          </w:p>
        </w:tc>
        <w:tc>
          <w:tcPr>
            <w:tcW w:w="1556" w:type="dxa"/>
            <w:tcBorders>
              <w:top w:val="nil"/>
              <w:left w:val="nil"/>
              <w:bottom w:val="single" w:sz="4" w:space="0" w:color="auto"/>
              <w:right w:val="single" w:sz="4" w:space="0" w:color="auto"/>
            </w:tcBorders>
            <w:shd w:val="clear" w:color="000000" w:fill="FFFFFF"/>
            <w:vAlign w:val="center"/>
            <w:hideMark/>
          </w:tcPr>
          <w:p w14:paraId="779AA1BD"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p&lt;0,05</w:t>
            </w:r>
          </w:p>
        </w:tc>
      </w:tr>
      <w:tr w:rsidR="00D60F19" w14:paraId="6763D875" w14:textId="77777777" w:rsidTr="00D60F19">
        <w:trPr>
          <w:trHeight w:val="368"/>
        </w:trPr>
        <w:tc>
          <w:tcPr>
            <w:tcW w:w="3110" w:type="dxa"/>
            <w:tcBorders>
              <w:top w:val="single" w:sz="4" w:space="0" w:color="auto"/>
              <w:left w:val="single" w:sz="4" w:space="0" w:color="auto"/>
              <w:bottom w:val="single" w:sz="4" w:space="0" w:color="auto"/>
              <w:right w:val="single" w:sz="4" w:space="0" w:color="auto"/>
            </w:tcBorders>
            <w:vAlign w:val="center"/>
            <w:hideMark/>
          </w:tcPr>
          <w:p w14:paraId="4C8AF87B"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PP-NRS</w:t>
            </w:r>
            <w:r>
              <w:rPr>
                <w:rFonts w:ascii="Calibri" w:hAnsi="Calibri" w:cs="Calibri"/>
                <w:color w:val="000000"/>
                <w:sz w:val="16"/>
                <w:szCs w:val="16"/>
              </w:rPr>
              <w:t>≥</w:t>
            </w:r>
            <w:r>
              <w:rPr>
                <w:rFonts w:ascii="Arial" w:hAnsi="Arial" w:cs="Arial"/>
                <w:color w:val="000000"/>
                <w:sz w:val="16"/>
                <w:szCs w:val="16"/>
              </w:rPr>
              <w:t>4</w:t>
            </w:r>
          </w:p>
        </w:tc>
        <w:tc>
          <w:tcPr>
            <w:tcW w:w="1970" w:type="dxa"/>
            <w:tcBorders>
              <w:top w:val="nil"/>
              <w:left w:val="nil"/>
              <w:bottom w:val="single" w:sz="4" w:space="0" w:color="auto"/>
              <w:right w:val="single" w:sz="4" w:space="0" w:color="auto"/>
            </w:tcBorders>
            <w:shd w:val="clear" w:color="000000" w:fill="FFFFFF"/>
            <w:noWrap/>
            <w:vAlign w:val="center"/>
            <w:hideMark/>
          </w:tcPr>
          <w:p w14:paraId="0A6B6B8B"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-15</w:t>
            </w:r>
          </w:p>
        </w:tc>
        <w:tc>
          <w:tcPr>
            <w:tcW w:w="1555" w:type="dxa"/>
            <w:tcBorders>
              <w:top w:val="nil"/>
              <w:left w:val="nil"/>
              <w:bottom w:val="single" w:sz="4" w:space="0" w:color="auto"/>
              <w:right w:val="single" w:sz="4" w:space="0" w:color="auto"/>
            </w:tcBorders>
            <w:shd w:val="clear" w:color="000000" w:fill="FFFFFF"/>
            <w:vAlign w:val="center"/>
            <w:hideMark/>
          </w:tcPr>
          <w:p w14:paraId="56096A58"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(-22</w:t>
            </w:r>
            <w:r w:rsidR="00AA6BC8">
              <w:rPr>
                <w:rFonts w:ascii="Arial" w:hAnsi="Arial" w:cs="Arial"/>
                <w:color w:val="000000"/>
                <w:sz w:val="16"/>
                <w:szCs w:val="16"/>
              </w:rPr>
              <w:t>;</w:t>
            </w:r>
            <w:r>
              <w:rPr>
                <w:rFonts w:ascii="Arial" w:hAnsi="Arial" w:cs="Arial"/>
                <w:color w:val="000000"/>
                <w:sz w:val="16"/>
                <w:szCs w:val="16"/>
              </w:rPr>
              <w:t>-7)</w:t>
            </w:r>
          </w:p>
        </w:tc>
        <w:tc>
          <w:tcPr>
            <w:tcW w:w="1556" w:type="dxa"/>
            <w:tcBorders>
              <w:top w:val="nil"/>
              <w:left w:val="nil"/>
              <w:bottom w:val="single" w:sz="4" w:space="0" w:color="auto"/>
              <w:right w:val="single" w:sz="4" w:space="0" w:color="auto"/>
            </w:tcBorders>
            <w:shd w:val="clear" w:color="000000" w:fill="FFFFFF"/>
            <w:vAlign w:val="center"/>
            <w:hideMark/>
          </w:tcPr>
          <w:p w14:paraId="42418A4F" w14:textId="77777777" w:rsidR="00D60F19" w:rsidRDefault="00D60F19" w:rsidP="00D60F19">
            <w:pPr>
              <w:jc w:val="center"/>
              <w:rPr>
                <w:rFonts w:ascii="Arial" w:hAnsi="Arial" w:cs="Arial"/>
                <w:color w:val="000000"/>
                <w:sz w:val="16"/>
                <w:szCs w:val="16"/>
              </w:rPr>
            </w:pPr>
            <w:r>
              <w:rPr>
                <w:rFonts w:ascii="Arial" w:hAnsi="Arial" w:cs="Arial"/>
                <w:color w:val="000000"/>
                <w:sz w:val="16"/>
                <w:szCs w:val="16"/>
              </w:rPr>
              <w:t>p&lt;0,05</w:t>
            </w:r>
          </w:p>
        </w:tc>
      </w:tr>
      <w:bookmarkEnd w:id="96"/>
    </w:tbl>
    <w:p w14:paraId="7C73DF96" w14:textId="77777777" w:rsidR="00BE3FD6" w:rsidRDefault="00BE3FD6" w:rsidP="003A2C87">
      <w:pPr>
        <w:jc w:val="both"/>
        <w:rPr>
          <w:rFonts w:ascii="Arial" w:hAnsi="Arial" w:cs="Arial"/>
          <w:bCs/>
          <w:sz w:val="20"/>
          <w:szCs w:val="20"/>
        </w:rPr>
      </w:pPr>
    </w:p>
    <w:p w14:paraId="04556A97" w14:textId="77777777" w:rsidR="00BE3FD6" w:rsidRDefault="00BE3FD6" w:rsidP="003A2C87">
      <w:pPr>
        <w:jc w:val="both"/>
        <w:rPr>
          <w:rFonts w:ascii="Arial" w:hAnsi="Arial" w:cs="Arial"/>
          <w:bCs/>
          <w:sz w:val="20"/>
          <w:szCs w:val="20"/>
        </w:rPr>
      </w:pPr>
    </w:p>
    <w:p w14:paraId="2BEF65A7" w14:textId="77777777" w:rsidR="00D60F19" w:rsidRDefault="00D60F19" w:rsidP="003A2C87">
      <w:pPr>
        <w:jc w:val="both"/>
        <w:rPr>
          <w:rFonts w:ascii="Arial" w:hAnsi="Arial" w:cs="Arial"/>
          <w:bCs/>
          <w:sz w:val="20"/>
          <w:szCs w:val="20"/>
        </w:rPr>
      </w:pPr>
    </w:p>
    <w:p w14:paraId="1A1B873F" w14:textId="77777777" w:rsidR="00D60F19" w:rsidRDefault="00D60F19" w:rsidP="003A2C87">
      <w:pPr>
        <w:jc w:val="both"/>
        <w:rPr>
          <w:rFonts w:ascii="Arial" w:hAnsi="Arial" w:cs="Arial"/>
          <w:bCs/>
          <w:sz w:val="20"/>
          <w:szCs w:val="20"/>
        </w:rPr>
      </w:pPr>
    </w:p>
    <w:p w14:paraId="2D202B9E" w14:textId="77777777" w:rsidR="00BE3FD6" w:rsidRDefault="007C3E5F" w:rsidP="003A2C87">
      <w:pPr>
        <w:jc w:val="both"/>
        <w:rPr>
          <w:rFonts w:ascii="Arial" w:hAnsi="Arial" w:cs="Arial"/>
          <w:bCs/>
          <w:sz w:val="20"/>
          <w:szCs w:val="20"/>
        </w:rPr>
      </w:pPr>
      <w:bookmarkStart w:id="97" w:name="_Hlk215224100"/>
      <w:r>
        <w:rPr>
          <w:rFonts w:ascii="Arial" w:hAnsi="Arial" w:cs="Arial"/>
          <w:bCs/>
          <w:sz w:val="20"/>
          <w:szCs w:val="20"/>
        </w:rPr>
        <w:t xml:space="preserve">Para poder comparar los anticuerpos monoclonales entre </w:t>
      </w:r>
      <w:r w:rsidR="005C5447">
        <w:rPr>
          <w:rFonts w:ascii="Arial" w:hAnsi="Arial" w:cs="Arial"/>
          <w:bCs/>
          <w:sz w:val="20"/>
          <w:szCs w:val="20"/>
        </w:rPr>
        <w:t>sí</w:t>
      </w:r>
      <w:r>
        <w:rPr>
          <w:rFonts w:ascii="Arial" w:hAnsi="Arial" w:cs="Arial"/>
          <w:bCs/>
          <w:sz w:val="20"/>
          <w:szCs w:val="20"/>
        </w:rPr>
        <w:t xml:space="preserve"> y establecer un posicionamiento, se realizó una </w:t>
      </w:r>
      <w:r w:rsidR="005C5447">
        <w:rPr>
          <w:rFonts w:ascii="Arial" w:hAnsi="Arial" w:cs="Arial"/>
          <w:bCs/>
          <w:sz w:val="20"/>
          <w:szCs w:val="20"/>
        </w:rPr>
        <w:t xml:space="preserve">CI ajustada </w:t>
      </w:r>
      <w:r>
        <w:rPr>
          <w:rFonts w:ascii="Arial" w:hAnsi="Arial" w:cs="Arial"/>
          <w:bCs/>
          <w:sz w:val="20"/>
          <w:szCs w:val="20"/>
        </w:rPr>
        <w:t>entre nemolizumab y lebrikizumab</w:t>
      </w:r>
      <w:r w:rsidR="00CA7727">
        <w:rPr>
          <w:rFonts w:ascii="Arial" w:hAnsi="Arial" w:cs="Arial"/>
          <w:bCs/>
          <w:sz w:val="20"/>
          <w:szCs w:val="20"/>
        </w:rPr>
        <w:t xml:space="preserve"> (tabla 20)</w:t>
      </w:r>
      <w:r>
        <w:rPr>
          <w:rFonts w:ascii="Arial" w:hAnsi="Arial" w:cs="Arial"/>
          <w:bCs/>
          <w:sz w:val="20"/>
          <w:szCs w:val="20"/>
        </w:rPr>
        <w:t>.</w:t>
      </w:r>
    </w:p>
    <w:bookmarkEnd w:id="97"/>
    <w:p w14:paraId="46361AEC" w14:textId="77777777" w:rsidR="007C3E5F" w:rsidRDefault="007C3E5F" w:rsidP="003A2C87">
      <w:pPr>
        <w:jc w:val="both"/>
        <w:rPr>
          <w:rFonts w:ascii="Arial" w:hAnsi="Arial" w:cs="Arial"/>
          <w:bCs/>
          <w:sz w:val="20"/>
          <w:szCs w:val="20"/>
        </w:rPr>
      </w:pPr>
    </w:p>
    <w:tbl>
      <w:tblPr>
        <w:tblW w:w="10300" w:type="dxa"/>
        <w:tblInd w:w="-901" w:type="dxa"/>
        <w:tblCellMar>
          <w:left w:w="70" w:type="dxa"/>
          <w:right w:w="70" w:type="dxa"/>
        </w:tblCellMar>
        <w:tblLook w:val="04A0" w:firstRow="1" w:lastRow="0" w:firstColumn="1" w:lastColumn="0" w:noHBand="0" w:noVBand="1"/>
      </w:tblPr>
      <w:tblGrid>
        <w:gridCol w:w="2059"/>
        <w:gridCol w:w="2060"/>
        <w:gridCol w:w="2059"/>
        <w:gridCol w:w="2060"/>
        <w:gridCol w:w="2062"/>
      </w:tblGrid>
      <w:tr w:rsidR="00CA7727" w14:paraId="1D8E2648" w14:textId="77777777" w:rsidTr="0087183F">
        <w:trPr>
          <w:trHeight w:val="371"/>
        </w:trPr>
        <w:tc>
          <w:tcPr>
            <w:tcW w:w="10300" w:type="dxa"/>
            <w:gridSpan w:val="5"/>
            <w:tcBorders>
              <w:top w:val="single" w:sz="4" w:space="0" w:color="auto"/>
              <w:left w:val="single" w:sz="4" w:space="0" w:color="auto"/>
              <w:bottom w:val="single" w:sz="4" w:space="0" w:color="auto"/>
              <w:right w:val="single" w:sz="4" w:space="0" w:color="auto"/>
            </w:tcBorders>
            <w:shd w:val="clear" w:color="auto" w:fill="CCFFCC"/>
            <w:vAlign w:val="center"/>
          </w:tcPr>
          <w:p w14:paraId="24B3B75D" w14:textId="77777777" w:rsidR="00CA7727" w:rsidRDefault="00CA7727">
            <w:pPr>
              <w:jc w:val="center"/>
              <w:rPr>
                <w:rFonts w:ascii="Arial" w:hAnsi="Arial" w:cs="Arial"/>
                <w:b/>
                <w:bCs/>
                <w:color w:val="000000"/>
                <w:sz w:val="16"/>
                <w:szCs w:val="16"/>
              </w:rPr>
            </w:pPr>
            <w:r w:rsidRPr="00CA7727">
              <w:rPr>
                <w:rFonts w:ascii="Arial" w:hAnsi="Arial" w:cs="Arial"/>
                <w:b/>
                <w:bCs/>
                <w:color w:val="000000"/>
                <w:sz w:val="18"/>
                <w:szCs w:val="18"/>
              </w:rPr>
              <w:t xml:space="preserve">Tabla </w:t>
            </w:r>
            <w:r>
              <w:rPr>
                <w:rFonts w:ascii="Arial" w:hAnsi="Arial" w:cs="Arial"/>
                <w:b/>
                <w:bCs/>
                <w:color w:val="000000"/>
                <w:sz w:val="18"/>
                <w:szCs w:val="18"/>
              </w:rPr>
              <w:t>20</w:t>
            </w:r>
            <w:r w:rsidRPr="00CA7727">
              <w:rPr>
                <w:rFonts w:ascii="Arial" w:hAnsi="Arial" w:cs="Arial"/>
                <w:b/>
                <w:bCs/>
                <w:color w:val="000000"/>
                <w:sz w:val="20"/>
                <w:szCs w:val="20"/>
              </w:rPr>
              <w:t xml:space="preserve">. </w:t>
            </w:r>
            <w:r w:rsidRPr="00CA7727">
              <w:rPr>
                <w:rFonts w:ascii="Arial" w:hAnsi="Arial" w:cs="Arial"/>
                <w:b/>
                <w:bCs/>
                <w:color w:val="000000"/>
                <w:sz w:val="18"/>
                <w:szCs w:val="18"/>
              </w:rPr>
              <w:t>Resultados comparación indirecta Nemolizumab y lebrikizumab</w:t>
            </w:r>
          </w:p>
        </w:tc>
      </w:tr>
      <w:tr w:rsidR="007C3E5F" w14:paraId="040C2736" w14:textId="77777777" w:rsidTr="000710C0">
        <w:trPr>
          <w:trHeight w:val="1128"/>
        </w:trPr>
        <w:tc>
          <w:tcPr>
            <w:tcW w:w="2059"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715F542C" w14:textId="77777777" w:rsidR="007C3E5F" w:rsidRDefault="007C3E5F">
            <w:pPr>
              <w:jc w:val="center"/>
              <w:rPr>
                <w:rFonts w:ascii="Arial" w:hAnsi="Arial" w:cs="Arial"/>
                <w:b/>
                <w:bCs/>
                <w:color w:val="000000"/>
                <w:sz w:val="16"/>
                <w:szCs w:val="16"/>
              </w:rPr>
            </w:pPr>
            <w:bookmarkStart w:id="98" w:name="_Hlk215224132"/>
            <w:r>
              <w:rPr>
                <w:rFonts w:ascii="Arial" w:hAnsi="Arial" w:cs="Arial"/>
                <w:b/>
                <w:bCs/>
                <w:color w:val="000000"/>
                <w:sz w:val="16"/>
                <w:szCs w:val="16"/>
              </w:rPr>
              <w:t>Fármaco (Mecanismo)</w:t>
            </w:r>
          </w:p>
        </w:tc>
        <w:tc>
          <w:tcPr>
            <w:tcW w:w="2060" w:type="dxa"/>
            <w:tcBorders>
              <w:top w:val="single" w:sz="4" w:space="0" w:color="auto"/>
              <w:left w:val="nil"/>
              <w:bottom w:val="single" w:sz="4" w:space="0" w:color="auto"/>
              <w:right w:val="single" w:sz="4" w:space="0" w:color="auto"/>
            </w:tcBorders>
            <w:shd w:val="clear" w:color="000000" w:fill="D0CECE"/>
            <w:vAlign w:val="center"/>
            <w:hideMark/>
          </w:tcPr>
          <w:p w14:paraId="712D08C7" w14:textId="77777777" w:rsidR="007C3E5F" w:rsidRDefault="007C3E5F">
            <w:pPr>
              <w:jc w:val="center"/>
              <w:rPr>
                <w:rFonts w:ascii="Arial" w:hAnsi="Arial" w:cs="Arial"/>
                <w:b/>
                <w:bCs/>
                <w:color w:val="000000"/>
                <w:sz w:val="16"/>
                <w:szCs w:val="16"/>
              </w:rPr>
            </w:pPr>
            <w:r>
              <w:rPr>
                <w:rFonts w:ascii="Arial" w:hAnsi="Arial" w:cs="Arial"/>
                <w:b/>
                <w:bCs/>
                <w:color w:val="000000"/>
                <w:sz w:val="16"/>
                <w:szCs w:val="16"/>
              </w:rPr>
              <w:t>Ensayo</w:t>
            </w:r>
          </w:p>
        </w:tc>
        <w:tc>
          <w:tcPr>
            <w:tcW w:w="2059" w:type="dxa"/>
            <w:tcBorders>
              <w:top w:val="single" w:sz="4" w:space="0" w:color="auto"/>
              <w:left w:val="nil"/>
              <w:bottom w:val="single" w:sz="4" w:space="0" w:color="auto"/>
              <w:right w:val="single" w:sz="4" w:space="0" w:color="auto"/>
            </w:tcBorders>
            <w:shd w:val="clear" w:color="000000" w:fill="D0CECE"/>
            <w:vAlign w:val="center"/>
            <w:hideMark/>
          </w:tcPr>
          <w:p w14:paraId="67B6B09A" w14:textId="77777777" w:rsidR="007C3E5F" w:rsidRDefault="007C3E5F">
            <w:pPr>
              <w:jc w:val="center"/>
              <w:rPr>
                <w:rFonts w:ascii="Arial" w:hAnsi="Arial" w:cs="Arial"/>
                <w:b/>
                <w:bCs/>
                <w:color w:val="000000"/>
                <w:sz w:val="16"/>
                <w:szCs w:val="16"/>
              </w:rPr>
            </w:pPr>
            <w:r>
              <w:rPr>
                <w:rFonts w:ascii="Arial" w:hAnsi="Arial" w:cs="Arial"/>
                <w:b/>
                <w:bCs/>
                <w:color w:val="000000"/>
                <w:sz w:val="16"/>
                <w:szCs w:val="16"/>
              </w:rPr>
              <w:t>Variable de Respuesta (Semana 16)</w:t>
            </w:r>
          </w:p>
        </w:tc>
        <w:tc>
          <w:tcPr>
            <w:tcW w:w="2060" w:type="dxa"/>
            <w:tcBorders>
              <w:top w:val="single" w:sz="4" w:space="0" w:color="auto"/>
              <w:left w:val="nil"/>
              <w:bottom w:val="single" w:sz="4" w:space="0" w:color="auto"/>
              <w:right w:val="single" w:sz="4" w:space="0" w:color="auto"/>
            </w:tcBorders>
            <w:shd w:val="clear" w:color="000000" w:fill="D0CECE"/>
            <w:vAlign w:val="center"/>
            <w:hideMark/>
          </w:tcPr>
          <w:p w14:paraId="66A1FCF4" w14:textId="77777777" w:rsidR="007C3E5F" w:rsidRDefault="007C3E5F">
            <w:pPr>
              <w:jc w:val="center"/>
              <w:rPr>
                <w:rFonts w:ascii="Arial" w:hAnsi="Arial" w:cs="Arial"/>
                <w:b/>
                <w:bCs/>
                <w:color w:val="000000"/>
                <w:sz w:val="16"/>
                <w:szCs w:val="16"/>
              </w:rPr>
            </w:pPr>
            <w:r>
              <w:rPr>
                <w:rFonts w:ascii="Arial" w:hAnsi="Arial" w:cs="Arial"/>
                <w:b/>
                <w:bCs/>
                <w:color w:val="000000"/>
                <w:sz w:val="16"/>
                <w:szCs w:val="16"/>
              </w:rPr>
              <w:t>Diferencia de respuesta frente a placebo en la semana 16</w:t>
            </w:r>
          </w:p>
        </w:tc>
        <w:tc>
          <w:tcPr>
            <w:tcW w:w="2062" w:type="dxa"/>
            <w:tcBorders>
              <w:top w:val="single" w:sz="4" w:space="0" w:color="auto"/>
              <w:left w:val="nil"/>
              <w:bottom w:val="single" w:sz="4" w:space="0" w:color="auto"/>
              <w:right w:val="single" w:sz="4" w:space="0" w:color="auto"/>
            </w:tcBorders>
            <w:shd w:val="clear" w:color="000000" w:fill="D0CECE"/>
            <w:vAlign w:val="center"/>
            <w:hideMark/>
          </w:tcPr>
          <w:p w14:paraId="6F7203E4" w14:textId="77777777" w:rsidR="007C3E5F" w:rsidRDefault="007C3E5F">
            <w:pPr>
              <w:jc w:val="center"/>
              <w:rPr>
                <w:rFonts w:ascii="Arial" w:hAnsi="Arial" w:cs="Arial"/>
                <w:b/>
                <w:bCs/>
                <w:color w:val="000000"/>
                <w:sz w:val="16"/>
                <w:szCs w:val="16"/>
              </w:rPr>
            </w:pPr>
            <w:r>
              <w:rPr>
                <w:rFonts w:ascii="Arial" w:hAnsi="Arial" w:cs="Arial"/>
                <w:b/>
                <w:bCs/>
                <w:color w:val="000000"/>
                <w:sz w:val="16"/>
                <w:szCs w:val="16"/>
              </w:rPr>
              <w:t>IC95%</w:t>
            </w:r>
          </w:p>
        </w:tc>
      </w:tr>
      <w:tr w:rsidR="007C3E5F" w14:paraId="5E3586A3" w14:textId="77777777" w:rsidTr="000710C0">
        <w:trPr>
          <w:trHeight w:val="300"/>
        </w:trPr>
        <w:tc>
          <w:tcPr>
            <w:tcW w:w="2059" w:type="dxa"/>
            <w:vMerge w:val="restart"/>
            <w:tcBorders>
              <w:top w:val="nil"/>
              <w:left w:val="single" w:sz="4" w:space="0" w:color="auto"/>
              <w:bottom w:val="single" w:sz="4" w:space="0" w:color="000000"/>
              <w:right w:val="single" w:sz="4" w:space="0" w:color="auto"/>
            </w:tcBorders>
            <w:shd w:val="clear" w:color="000000" w:fill="F8CBAD"/>
            <w:vAlign w:val="center"/>
            <w:hideMark/>
          </w:tcPr>
          <w:p w14:paraId="6148ECF3" w14:textId="77777777" w:rsidR="007C3E5F" w:rsidRDefault="007C3E5F">
            <w:pPr>
              <w:jc w:val="center"/>
              <w:rPr>
                <w:rFonts w:ascii="Arial" w:hAnsi="Arial" w:cs="Arial"/>
                <w:color w:val="000000"/>
                <w:sz w:val="16"/>
                <w:szCs w:val="16"/>
              </w:rPr>
            </w:pPr>
            <w:r>
              <w:rPr>
                <w:rFonts w:ascii="Arial" w:hAnsi="Arial" w:cs="Arial"/>
                <w:color w:val="000000"/>
                <w:sz w:val="16"/>
                <w:szCs w:val="16"/>
              </w:rPr>
              <w:t>Nemolizumab</w:t>
            </w:r>
          </w:p>
        </w:tc>
        <w:tc>
          <w:tcPr>
            <w:tcW w:w="2060" w:type="dxa"/>
            <w:vMerge w:val="restart"/>
            <w:tcBorders>
              <w:top w:val="nil"/>
              <w:left w:val="single" w:sz="4" w:space="0" w:color="auto"/>
              <w:bottom w:val="single" w:sz="4" w:space="0" w:color="000000"/>
              <w:right w:val="single" w:sz="4" w:space="0" w:color="auto"/>
            </w:tcBorders>
            <w:shd w:val="clear" w:color="000000" w:fill="F8CBAD"/>
            <w:vAlign w:val="center"/>
            <w:hideMark/>
          </w:tcPr>
          <w:p w14:paraId="45B7182B" w14:textId="77777777" w:rsidR="007C3E5F" w:rsidRDefault="007C3E5F">
            <w:pPr>
              <w:jc w:val="center"/>
              <w:rPr>
                <w:rFonts w:ascii="Arial" w:hAnsi="Arial" w:cs="Arial"/>
                <w:color w:val="000000"/>
                <w:sz w:val="16"/>
                <w:szCs w:val="16"/>
              </w:rPr>
            </w:pPr>
            <w:r>
              <w:rPr>
                <w:rFonts w:ascii="Arial" w:hAnsi="Arial" w:cs="Arial"/>
                <w:color w:val="000000"/>
                <w:sz w:val="16"/>
                <w:szCs w:val="16"/>
              </w:rPr>
              <w:t>METANALISIS ARCADIA</w:t>
            </w:r>
          </w:p>
        </w:tc>
        <w:tc>
          <w:tcPr>
            <w:tcW w:w="2059" w:type="dxa"/>
            <w:tcBorders>
              <w:top w:val="nil"/>
              <w:left w:val="nil"/>
              <w:bottom w:val="single" w:sz="4" w:space="0" w:color="auto"/>
              <w:right w:val="single" w:sz="4" w:space="0" w:color="auto"/>
            </w:tcBorders>
            <w:shd w:val="clear" w:color="000000" w:fill="F8CBAD"/>
            <w:noWrap/>
            <w:vAlign w:val="center"/>
            <w:hideMark/>
          </w:tcPr>
          <w:p w14:paraId="1C27070F" w14:textId="77777777" w:rsidR="007C3E5F" w:rsidRDefault="007C3E5F">
            <w:pPr>
              <w:jc w:val="center"/>
              <w:rPr>
                <w:rFonts w:ascii="Arial" w:hAnsi="Arial" w:cs="Arial"/>
                <w:color w:val="000000"/>
                <w:sz w:val="16"/>
                <w:szCs w:val="16"/>
              </w:rPr>
            </w:pPr>
            <w:r>
              <w:rPr>
                <w:rFonts w:ascii="Arial" w:hAnsi="Arial" w:cs="Arial"/>
                <w:color w:val="000000"/>
                <w:sz w:val="16"/>
                <w:szCs w:val="16"/>
              </w:rPr>
              <w:t>EASI 75</w:t>
            </w:r>
          </w:p>
        </w:tc>
        <w:tc>
          <w:tcPr>
            <w:tcW w:w="2060" w:type="dxa"/>
            <w:tcBorders>
              <w:top w:val="nil"/>
              <w:left w:val="nil"/>
              <w:bottom w:val="single" w:sz="4" w:space="0" w:color="auto"/>
              <w:right w:val="single" w:sz="4" w:space="0" w:color="auto"/>
            </w:tcBorders>
            <w:noWrap/>
            <w:vAlign w:val="center"/>
            <w:hideMark/>
          </w:tcPr>
          <w:p w14:paraId="20469155" w14:textId="77777777" w:rsidR="007C3E5F" w:rsidRDefault="007C3E5F">
            <w:pPr>
              <w:jc w:val="center"/>
              <w:rPr>
                <w:rFonts w:ascii="Arial" w:hAnsi="Arial" w:cs="Arial"/>
                <w:color w:val="000000"/>
                <w:sz w:val="16"/>
                <w:szCs w:val="16"/>
              </w:rPr>
            </w:pPr>
            <w:r>
              <w:rPr>
                <w:rFonts w:ascii="Arial" w:hAnsi="Arial" w:cs="Arial"/>
                <w:color w:val="000000"/>
                <w:sz w:val="16"/>
                <w:szCs w:val="16"/>
              </w:rPr>
              <w:t>13</w:t>
            </w:r>
          </w:p>
        </w:tc>
        <w:tc>
          <w:tcPr>
            <w:tcW w:w="2062" w:type="dxa"/>
            <w:tcBorders>
              <w:top w:val="nil"/>
              <w:left w:val="nil"/>
              <w:bottom w:val="single" w:sz="4" w:space="0" w:color="auto"/>
              <w:right w:val="single" w:sz="4" w:space="0" w:color="auto"/>
            </w:tcBorders>
            <w:noWrap/>
            <w:vAlign w:val="center"/>
            <w:hideMark/>
          </w:tcPr>
          <w:p w14:paraId="4E423D46" w14:textId="77777777" w:rsidR="007C3E5F" w:rsidRDefault="007C3E5F">
            <w:pPr>
              <w:jc w:val="center"/>
              <w:rPr>
                <w:rFonts w:ascii="Arial" w:hAnsi="Arial" w:cs="Arial"/>
                <w:color w:val="000000"/>
                <w:sz w:val="16"/>
                <w:szCs w:val="16"/>
              </w:rPr>
            </w:pPr>
            <w:r>
              <w:rPr>
                <w:rFonts w:ascii="Arial" w:hAnsi="Arial" w:cs="Arial"/>
                <w:color w:val="000000"/>
                <w:sz w:val="16"/>
                <w:szCs w:val="16"/>
              </w:rPr>
              <w:t>(9;18)</w:t>
            </w:r>
          </w:p>
        </w:tc>
      </w:tr>
      <w:tr w:rsidR="007C3E5F" w14:paraId="4347D601" w14:textId="77777777" w:rsidTr="000710C0">
        <w:trPr>
          <w:trHeight w:val="300"/>
        </w:trPr>
        <w:tc>
          <w:tcPr>
            <w:tcW w:w="2059" w:type="dxa"/>
            <w:vMerge/>
            <w:tcBorders>
              <w:top w:val="nil"/>
              <w:left w:val="single" w:sz="4" w:space="0" w:color="auto"/>
              <w:bottom w:val="single" w:sz="4" w:space="0" w:color="000000"/>
              <w:right w:val="single" w:sz="4" w:space="0" w:color="auto"/>
            </w:tcBorders>
            <w:vAlign w:val="center"/>
            <w:hideMark/>
          </w:tcPr>
          <w:p w14:paraId="467AFDBF" w14:textId="77777777" w:rsidR="007C3E5F" w:rsidRDefault="007C3E5F">
            <w:pPr>
              <w:rPr>
                <w:rFonts w:ascii="Arial" w:hAnsi="Arial" w:cs="Arial"/>
                <w:color w:val="000000"/>
                <w:sz w:val="16"/>
                <w:szCs w:val="16"/>
              </w:rPr>
            </w:pPr>
          </w:p>
        </w:tc>
        <w:tc>
          <w:tcPr>
            <w:tcW w:w="2060" w:type="dxa"/>
            <w:vMerge/>
            <w:tcBorders>
              <w:top w:val="nil"/>
              <w:left w:val="single" w:sz="4" w:space="0" w:color="auto"/>
              <w:bottom w:val="single" w:sz="4" w:space="0" w:color="000000"/>
              <w:right w:val="single" w:sz="4" w:space="0" w:color="auto"/>
            </w:tcBorders>
            <w:vAlign w:val="center"/>
            <w:hideMark/>
          </w:tcPr>
          <w:p w14:paraId="77655CC1" w14:textId="77777777" w:rsidR="007C3E5F" w:rsidRDefault="007C3E5F">
            <w:pPr>
              <w:rPr>
                <w:rFonts w:ascii="Arial" w:hAnsi="Arial" w:cs="Arial"/>
                <w:color w:val="000000"/>
                <w:sz w:val="16"/>
                <w:szCs w:val="16"/>
              </w:rPr>
            </w:pPr>
          </w:p>
        </w:tc>
        <w:tc>
          <w:tcPr>
            <w:tcW w:w="2059" w:type="dxa"/>
            <w:tcBorders>
              <w:top w:val="nil"/>
              <w:left w:val="nil"/>
              <w:bottom w:val="single" w:sz="4" w:space="0" w:color="auto"/>
              <w:right w:val="single" w:sz="4" w:space="0" w:color="auto"/>
            </w:tcBorders>
            <w:shd w:val="clear" w:color="000000" w:fill="F8CBAD"/>
            <w:noWrap/>
            <w:vAlign w:val="center"/>
            <w:hideMark/>
          </w:tcPr>
          <w:p w14:paraId="06A44630" w14:textId="77777777" w:rsidR="007C3E5F" w:rsidRDefault="007C3E5F">
            <w:pPr>
              <w:jc w:val="center"/>
              <w:rPr>
                <w:rFonts w:ascii="Arial" w:hAnsi="Arial" w:cs="Arial"/>
                <w:color w:val="000000"/>
                <w:sz w:val="16"/>
                <w:szCs w:val="16"/>
              </w:rPr>
            </w:pPr>
            <w:r>
              <w:rPr>
                <w:rFonts w:ascii="Arial" w:hAnsi="Arial" w:cs="Arial"/>
                <w:color w:val="000000"/>
                <w:sz w:val="16"/>
                <w:szCs w:val="16"/>
              </w:rPr>
              <w:t>IGA 0/1</w:t>
            </w:r>
          </w:p>
        </w:tc>
        <w:tc>
          <w:tcPr>
            <w:tcW w:w="2060" w:type="dxa"/>
            <w:tcBorders>
              <w:top w:val="nil"/>
              <w:left w:val="nil"/>
              <w:bottom w:val="single" w:sz="4" w:space="0" w:color="auto"/>
              <w:right w:val="single" w:sz="4" w:space="0" w:color="auto"/>
            </w:tcBorders>
            <w:noWrap/>
            <w:vAlign w:val="center"/>
            <w:hideMark/>
          </w:tcPr>
          <w:p w14:paraId="67254C78" w14:textId="77777777" w:rsidR="007C3E5F" w:rsidRDefault="007C3E5F">
            <w:pPr>
              <w:jc w:val="center"/>
              <w:rPr>
                <w:rFonts w:ascii="Arial" w:hAnsi="Arial" w:cs="Arial"/>
                <w:color w:val="000000"/>
                <w:sz w:val="16"/>
                <w:szCs w:val="16"/>
              </w:rPr>
            </w:pPr>
            <w:r>
              <w:rPr>
                <w:rFonts w:ascii="Arial" w:hAnsi="Arial" w:cs="Arial"/>
                <w:color w:val="000000"/>
                <w:sz w:val="16"/>
                <w:szCs w:val="16"/>
              </w:rPr>
              <w:t>11</w:t>
            </w:r>
          </w:p>
        </w:tc>
        <w:tc>
          <w:tcPr>
            <w:tcW w:w="2062" w:type="dxa"/>
            <w:tcBorders>
              <w:top w:val="nil"/>
              <w:left w:val="nil"/>
              <w:bottom w:val="single" w:sz="4" w:space="0" w:color="auto"/>
              <w:right w:val="single" w:sz="4" w:space="0" w:color="auto"/>
            </w:tcBorders>
            <w:noWrap/>
            <w:vAlign w:val="center"/>
            <w:hideMark/>
          </w:tcPr>
          <w:p w14:paraId="1CF377CE" w14:textId="77777777" w:rsidR="007C3E5F" w:rsidRDefault="007C3E5F">
            <w:pPr>
              <w:jc w:val="center"/>
              <w:rPr>
                <w:rFonts w:ascii="Arial" w:hAnsi="Arial" w:cs="Arial"/>
                <w:color w:val="000000"/>
                <w:sz w:val="16"/>
                <w:szCs w:val="16"/>
              </w:rPr>
            </w:pPr>
            <w:r>
              <w:rPr>
                <w:rFonts w:ascii="Arial" w:hAnsi="Arial" w:cs="Arial"/>
                <w:color w:val="000000"/>
                <w:sz w:val="16"/>
                <w:szCs w:val="16"/>
              </w:rPr>
              <w:t>(7;16)</w:t>
            </w:r>
          </w:p>
        </w:tc>
      </w:tr>
      <w:tr w:rsidR="007C3E5F" w14:paraId="449E26FA" w14:textId="77777777" w:rsidTr="000710C0">
        <w:trPr>
          <w:trHeight w:val="300"/>
        </w:trPr>
        <w:tc>
          <w:tcPr>
            <w:tcW w:w="2059" w:type="dxa"/>
            <w:vMerge/>
            <w:tcBorders>
              <w:top w:val="nil"/>
              <w:left w:val="single" w:sz="4" w:space="0" w:color="auto"/>
              <w:bottom w:val="single" w:sz="4" w:space="0" w:color="000000"/>
              <w:right w:val="single" w:sz="4" w:space="0" w:color="auto"/>
            </w:tcBorders>
            <w:vAlign w:val="center"/>
            <w:hideMark/>
          </w:tcPr>
          <w:p w14:paraId="35E9B8BC" w14:textId="77777777" w:rsidR="007C3E5F" w:rsidRDefault="007C3E5F">
            <w:pPr>
              <w:rPr>
                <w:rFonts w:ascii="Arial" w:hAnsi="Arial" w:cs="Arial"/>
                <w:color w:val="000000"/>
                <w:sz w:val="16"/>
                <w:szCs w:val="16"/>
              </w:rPr>
            </w:pPr>
          </w:p>
        </w:tc>
        <w:tc>
          <w:tcPr>
            <w:tcW w:w="2060" w:type="dxa"/>
            <w:vMerge/>
            <w:tcBorders>
              <w:top w:val="nil"/>
              <w:left w:val="single" w:sz="4" w:space="0" w:color="auto"/>
              <w:bottom w:val="single" w:sz="4" w:space="0" w:color="000000"/>
              <w:right w:val="single" w:sz="4" w:space="0" w:color="auto"/>
            </w:tcBorders>
            <w:vAlign w:val="center"/>
            <w:hideMark/>
          </w:tcPr>
          <w:p w14:paraId="6260CC00" w14:textId="77777777" w:rsidR="007C3E5F" w:rsidRDefault="007C3E5F">
            <w:pPr>
              <w:rPr>
                <w:rFonts w:ascii="Arial" w:hAnsi="Arial" w:cs="Arial"/>
                <w:color w:val="000000"/>
                <w:sz w:val="16"/>
                <w:szCs w:val="16"/>
              </w:rPr>
            </w:pPr>
          </w:p>
        </w:tc>
        <w:tc>
          <w:tcPr>
            <w:tcW w:w="2059" w:type="dxa"/>
            <w:tcBorders>
              <w:top w:val="nil"/>
              <w:left w:val="nil"/>
              <w:bottom w:val="single" w:sz="4" w:space="0" w:color="auto"/>
              <w:right w:val="single" w:sz="4" w:space="0" w:color="auto"/>
            </w:tcBorders>
            <w:shd w:val="clear" w:color="000000" w:fill="F8CBAD"/>
            <w:noWrap/>
            <w:vAlign w:val="center"/>
            <w:hideMark/>
          </w:tcPr>
          <w:p w14:paraId="367F15AF" w14:textId="77777777" w:rsidR="007C3E5F" w:rsidRDefault="007C3E5F">
            <w:pPr>
              <w:jc w:val="center"/>
              <w:rPr>
                <w:rFonts w:ascii="Arial" w:hAnsi="Arial" w:cs="Arial"/>
                <w:color w:val="000000"/>
                <w:sz w:val="16"/>
                <w:szCs w:val="16"/>
              </w:rPr>
            </w:pPr>
            <w:r>
              <w:rPr>
                <w:rFonts w:ascii="Arial" w:hAnsi="Arial" w:cs="Arial"/>
                <w:color w:val="000000"/>
                <w:sz w:val="16"/>
                <w:szCs w:val="16"/>
              </w:rPr>
              <w:t>PP-NRS ≥4</w:t>
            </w:r>
          </w:p>
        </w:tc>
        <w:tc>
          <w:tcPr>
            <w:tcW w:w="2060" w:type="dxa"/>
            <w:tcBorders>
              <w:top w:val="nil"/>
              <w:left w:val="nil"/>
              <w:bottom w:val="single" w:sz="4" w:space="0" w:color="auto"/>
              <w:right w:val="single" w:sz="4" w:space="0" w:color="auto"/>
            </w:tcBorders>
            <w:noWrap/>
            <w:vAlign w:val="center"/>
            <w:hideMark/>
          </w:tcPr>
          <w:p w14:paraId="446FB3D0" w14:textId="77777777" w:rsidR="007C3E5F" w:rsidRDefault="007C3E5F">
            <w:pPr>
              <w:jc w:val="center"/>
              <w:rPr>
                <w:rFonts w:ascii="Arial" w:hAnsi="Arial" w:cs="Arial"/>
                <w:color w:val="000000"/>
                <w:sz w:val="16"/>
                <w:szCs w:val="16"/>
              </w:rPr>
            </w:pPr>
            <w:r>
              <w:rPr>
                <w:rFonts w:ascii="Arial" w:hAnsi="Arial" w:cs="Arial"/>
                <w:color w:val="000000"/>
                <w:sz w:val="16"/>
                <w:szCs w:val="16"/>
              </w:rPr>
              <w:t>24</w:t>
            </w:r>
          </w:p>
        </w:tc>
        <w:tc>
          <w:tcPr>
            <w:tcW w:w="2062" w:type="dxa"/>
            <w:tcBorders>
              <w:top w:val="nil"/>
              <w:left w:val="nil"/>
              <w:bottom w:val="single" w:sz="4" w:space="0" w:color="auto"/>
              <w:right w:val="single" w:sz="4" w:space="0" w:color="auto"/>
            </w:tcBorders>
            <w:noWrap/>
            <w:vAlign w:val="center"/>
            <w:hideMark/>
          </w:tcPr>
          <w:p w14:paraId="0C521938" w14:textId="77777777" w:rsidR="007C3E5F" w:rsidRDefault="007C3E5F">
            <w:pPr>
              <w:jc w:val="center"/>
              <w:rPr>
                <w:rFonts w:ascii="Arial" w:hAnsi="Arial" w:cs="Arial"/>
                <w:color w:val="000000"/>
                <w:sz w:val="16"/>
                <w:szCs w:val="16"/>
              </w:rPr>
            </w:pPr>
            <w:r>
              <w:rPr>
                <w:rFonts w:ascii="Arial" w:hAnsi="Arial" w:cs="Arial"/>
                <w:color w:val="000000"/>
                <w:sz w:val="16"/>
                <w:szCs w:val="16"/>
              </w:rPr>
              <w:t>(20;28)</w:t>
            </w:r>
          </w:p>
        </w:tc>
      </w:tr>
      <w:tr w:rsidR="007C3E5F" w14:paraId="312EE308" w14:textId="77777777" w:rsidTr="000710C0">
        <w:trPr>
          <w:trHeight w:val="300"/>
        </w:trPr>
        <w:tc>
          <w:tcPr>
            <w:tcW w:w="2059" w:type="dxa"/>
            <w:vMerge w:val="restart"/>
            <w:tcBorders>
              <w:top w:val="nil"/>
              <w:left w:val="single" w:sz="4" w:space="0" w:color="auto"/>
              <w:bottom w:val="single" w:sz="4" w:space="0" w:color="auto"/>
              <w:right w:val="single" w:sz="4" w:space="0" w:color="auto"/>
            </w:tcBorders>
            <w:shd w:val="clear" w:color="000000" w:fill="DDEBF7"/>
            <w:vAlign w:val="center"/>
            <w:hideMark/>
          </w:tcPr>
          <w:p w14:paraId="024A100D" w14:textId="77777777" w:rsidR="007C3E5F" w:rsidRDefault="007C3E5F">
            <w:pPr>
              <w:jc w:val="center"/>
              <w:rPr>
                <w:rFonts w:ascii="Arial" w:hAnsi="Arial" w:cs="Arial"/>
                <w:color w:val="000000"/>
                <w:sz w:val="16"/>
                <w:szCs w:val="16"/>
              </w:rPr>
            </w:pPr>
            <w:r>
              <w:rPr>
                <w:rFonts w:ascii="Arial" w:hAnsi="Arial" w:cs="Arial"/>
                <w:color w:val="000000"/>
                <w:sz w:val="16"/>
                <w:szCs w:val="16"/>
              </w:rPr>
              <w:t>Lebrikizumab (Anti-IL-13)</w:t>
            </w:r>
          </w:p>
        </w:tc>
        <w:tc>
          <w:tcPr>
            <w:tcW w:w="2060"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6E568448" w14:textId="77777777" w:rsidR="007C3E5F" w:rsidRDefault="007C3E5F">
            <w:pPr>
              <w:jc w:val="center"/>
              <w:rPr>
                <w:rFonts w:ascii="Arial" w:hAnsi="Arial" w:cs="Arial"/>
                <w:color w:val="000000"/>
                <w:sz w:val="16"/>
                <w:szCs w:val="16"/>
              </w:rPr>
            </w:pPr>
            <w:r>
              <w:rPr>
                <w:rFonts w:ascii="Arial" w:hAnsi="Arial" w:cs="Arial"/>
                <w:color w:val="000000"/>
                <w:sz w:val="16"/>
                <w:szCs w:val="16"/>
              </w:rPr>
              <w:t>ADHere</w:t>
            </w:r>
          </w:p>
        </w:tc>
        <w:tc>
          <w:tcPr>
            <w:tcW w:w="2059" w:type="dxa"/>
            <w:tcBorders>
              <w:top w:val="nil"/>
              <w:left w:val="nil"/>
              <w:bottom w:val="single" w:sz="4" w:space="0" w:color="auto"/>
              <w:right w:val="single" w:sz="4" w:space="0" w:color="auto"/>
            </w:tcBorders>
            <w:shd w:val="clear" w:color="000000" w:fill="DDEBF7"/>
            <w:noWrap/>
            <w:vAlign w:val="center"/>
            <w:hideMark/>
          </w:tcPr>
          <w:p w14:paraId="081DBBE4" w14:textId="77777777" w:rsidR="007C3E5F" w:rsidRDefault="007C3E5F">
            <w:pPr>
              <w:jc w:val="center"/>
              <w:rPr>
                <w:rFonts w:ascii="Arial" w:hAnsi="Arial" w:cs="Arial"/>
                <w:color w:val="000000"/>
                <w:sz w:val="16"/>
                <w:szCs w:val="16"/>
              </w:rPr>
            </w:pPr>
            <w:r>
              <w:rPr>
                <w:rFonts w:ascii="Arial" w:hAnsi="Arial" w:cs="Arial"/>
                <w:color w:val="000000"/>
                <w:sz w:val="16"/>
                <w:szCs w:val="16"/>
              </w:rPr>
              <w:t>EASI 75</w:t>
            </w:r>
          </w:p>
        </w:tc>
        <w:tc>
          <w:tcPr>
            <w:tcW w:w="2060" w:type="dxa"/>
            <w:tcBorders>
              <w:top w:val="nil"/>
              <w:left w:val="nil"/>
              <w:bottom w:val="single" w:sz="4" w:space="0" w:color="auto"/>
              <w:right w:val="single" w:sz="4" w:space="0" w:color="auto"/>
            </w:tcBorders>
            <w:noWrap/>
            <w:vAlign w:val="center"/>
            <w:hideMark/>
          </w:tcPr>
          <w:p w14:paraId="77BDDC70" w14:textId="77777777" w:rsidR="007C3E5F" w:rsidRDefault="007C3E5F">
            <w:pPr>
              <w:jc w:val="center"/>
              <w:rPr>
                <w:rFonts w:ascii="Arial" w:hAnsi="Arial" w:cs="Arial"/>
                <w:color w:val="000000"/>
                <w:sz w:val="16"/>
                <w:szCs w:val="16"/>
              </w:rPr>
            </w:pPr>
            <w:r>
              <w:rPr>
                <w:rFonts w:ascii="Arial" w:hAnsi="Arial" w:cs="Arial"/>
                <w:color w:val="000000"/>
                <w:sz w:val="16"/>
                <w:szCs w:val="16"/>
              </w:rPr>
              <w:t>26</w:t>
            </w:r>
          </w:p>
        </w:tc>
        <w:tc>
          <w:tcPr>
            <w:tcW w:w="2062" w:type="dxa"/>
            <w:tcBorders>
              <w:top w:val="nil"/>
              <w:left w:val="nil"/>
              <w:bottom w:val="single" w:sz="4" w:space="0" w:color="auto"/>
              <w:right w:val="single" w:sz="4" w:space="0" w:color="auto"/>
            </w:tcBorders>
            <w:noWrap/>
            <w:vAlign w:val="center"/>
            <w:hideMark/>
          </w:tcPr>
          <w:p w14:paraId="49BEA0E2" w14:textId="77777777" w:rsidR="007C3E5F" w:rsidRDefault="007C3E5F">
            <w:pPr>
              <w:jc w:val="center"/>
              <w:rPr>
                <w:rFonts w:ascii="Arial" w:hAnsi="Arial" w:cs="Arial"/>
                <w:color w:val="000000"/>
                <w:sz w:val="16"/>
                <w:szCs w:val="16"/>
              </w:rPr>
            </w:pPr>
            <w:r>
              <w:rPr>
                <w:rFonts w:ascii="Arial" w:hAnsi="Arial" w:cs="Arial"/>
                <w:color w:val="000000"/>
                <w:sz w:val="16"/>
                <w:szCs w:val="16"/>
              </w:rPr>
              <w:t>(12;41)</w:t>
            </w:r>
          </w:p>
        </w:tc>
      </w:tr>
      <w:tr w:rsidR="007C3E5F" w14:paraId="705A55D7" w14:textId="77777777" w:rsidTr="000710C0">
        <w:trPr>
          <w:trHeight w:val="300"/>
        </w:trPr>
        <w:tc>
          <w:tcPr>
            <w:tcW w:w="2059" w:type="dxa"/>
            <w:vMerge/>
            <w:tcBorders>
              <w:top w:val="nil"/>
              <w:left w:val="single" w:sz="4" w:space="0" w:color="auto"/>
              <w:bottom w:val="single" w:sz="4" w:space="0" w:color="auto"/>
              <w:right w:val="single" w:sz="4" w:space="0" w:color="auto"/>
            </w:tcBorders>
            <w:vAlign w:val="center"/>
            <w:hideMark/>
          </w:tcPr>
          <w:p w14:paraId="6EC87714" w14:textId="77777777" w:rsidR="007C3E5F" w:rsidRDefault="007C3E5F">
            <w:pPr>
              <w:rPr>
                <w:rFonts w:ascii="Arial" w:hAnsi="Arial" w:cs="Arial"/>
                <w:color w:val="000000"/>
                <w:sz w:val="16"/>
                <w:szCs w:val="16"/>
              </w:rPr>
            </w:pPr>
          </w:p>
        </w:tc>
        <w:tc>
          <w:tcPr>
            <w:tcW w:w="2060" w:type="dxa"/>
            <w:vMerge/>
            <w:tcBorders>
              <w:top w:val="nil"/>
              <w:left w:val="single" w:sz="4" w:space="0" w:color="auto"/>
              <w:bottom w:val="single" w:sz="4" w:space="0" w:color="auto"/>
              <w:right w:val="single" w:sz="4" w:space="0" w:color="auto"/>
            </w:tcBorders>
            <w:vAlign w:val="center"/>
            <w:hideMark/>
          </w:tcPr>
          <w:p w14:paraId="1B8D3DEB" w14:textId="77777777" w:rsidR="007C3E5F" w:rsidRDefault="007C3E5F">
            <w:pPr>
              <w:rPr>
                <w:rFonts w:ascii="Arial" w:hAnsi="Arial" w:cs="Arial"/>
                <w:color w:val="000000"/>
                <w:sz w:val="16"/>
                <w:szCs w:val="16"/>
              </w:rPr>
            </w:pPr>
          </w:p>
        </w:tc>
        <w:tc>
          <w:tcPr>
            <w:tcW w:w="2059" w:type="dxa"/>
            <w:tcBorders>
              <w:top w:val="nil"/>
              <w:left w:val="nil"/>
              <w:bottom w:val="single" w:sz="4" w:space="0" w:color="auto"/>
              <w:right w:val="single" w:sz="4" w:space="0" w:color="auto"/>
            </w:tcBorders>
            <w:shd w:val="clear" w:color="000000" w:fill="DDEBF7"/>
            <w:noWrap/>
            <w:vAlign w:val="center"/>
            <w:hideMark/>
          </w:tcPr>
          <w:p w14:paraId="148D1965" w14:textId="77777777" w:rsidR="007C3E5F" w:rsidRDefault="007C3E5F">
            <w:pPr>
              <w:jc w:val="center"/>
              <w:rPr>
                <w:rFonts w:ascii="Arial" w:hAnsi="Arial" w:cs="Arial"/>
                <w:color w:val="000000"/>
                <w:sz w:val="16"/>
                <w:szCs w:val="16"/>
              </w:rPr>
            </w:pPr>
            <w:r>
              <w:rPr>
                <w:rFonts w:ascii="Arial" w:hAnsi="Arial" w:cs="Arial"/>
                <w:color w:val="000000"/>
                <w:sz w:val="16"/>
                <w:szCs w:val="16"/>
              </w:rPr>
              <w:t>IGA 0/1</w:t>
            </w:r>
          </w:p>
        </w:tc>
        <w:tc>
          <w:tcPr>
            <w:tcW w:w="2060" w:type="dxa"/>
            <w:tcBorders>
              <w:top w:val="nil"/>
              <w:left w:val="nil"/>
              <w:bottom w:val="single" w:sz="4" w:space="0" w:color="auto"/>
              <w:right w:val="single" w:sz="4" w:space="0" w:color="auto"/>
            </w:tcBorders>
            <w:noWrap/>
            <w:vAlign w:val="center"/>
            <w:hideMark/>
          </w:tcPr>
          <w:p w14:paraId="0413F3F0" w14:textId="77777777" w:rsidR="007C3E5F" w:rsidRDefault="007C3E5F">
            <w:pPr>
              <w:jc w:val="center"/>
              <w:rPr>
                <w:rFonts w:ascii="Arial" w:hAnsi="Arial" w:cs="Arial"/>
                <w:color w:val="000000"/>
                <w:sz w:val="16"/>
                <w:szCs w:val="16"/>
              </w:rPr>
            </w:pPr>
            <w:r>
              <w:rPr>
                <w:rFonts w:ascii="Arial" w:hAnsi="Arial" w:cs="Arial"/>
                <w:color w:val="000000"/>
                <w:sz w:val="16"/>
                <w:szCs w:val="16"/>
              </w:rPr>
              <w:t>18</w:t>
            </w:r>
          </w:p>
        </w:tc>
        <w:tc>
          <w:tcPr>
            <w:tcW w:w="2062" w:type="dxa"/>
            <w:tcBorders>
              <w:top w:val="nil"/>
              <w:left w:val="nil"/>
              <w:bottom w:val="single" w:sz="4" w:space="0" w:color="auto"/>
              <w:right w:val="single" w:sz="4" w:space="0" w:color="auto"/>
            </w:tcBorders>
            <w:noWrap/>
            <w:vAlign w:val="center"/>
            <w:hideMark/>
          </w:tcPr>
          <w:p w14:paraId="0C81F32A" w14:textId="77777777" w:rsidR="007C3E5F" w:rsidRDefault="007C3E5F">
            <w:pPr>
              <w:jc w:val="center"/>
              <w:rPr>
                <w:rFonts w:ascii="Arial" w:hAnsi="Arial" w:cs="Arial"/>
                <w:color w:val="000000"/>
                <w:sz w:val="16"/>
                <w:szCs w:val="16"/>
              </w:rPr>
            </w:pPr>
            <w:r>
              <w:rPr>
                <w:rFonts w:ascii="Arial" w:hAnsi="Arial" w:cs="Arial"/>
                <w:color w:val="000000"/>
                <w:sz w:val="16"/>
                <w:szCs w:val="16"/>
              </w:rPr>
              <w:t>(5;31)</w:t>
            </w:r>
          </w:p>
        </w:tc>
      </w:tr>
      <w:tr w:rsidR="007C3E5F" w14:paraId="7079487A" w14:textId="77777777" w:rsidTr="000710C0">
        <w:trPr>
          <w:trHeight w:val="300"/>
        </w:trPr>
        <w:tc>
          <w:tcPr>
            <w:tcW w:w="2059" w:type="dxa"/>
            <w:vMerge/>
            <w:tcBorders>
              <w:top w:val="nil"/>
              <w:left w:val="single" w:sz="4" w:space="0" w:color="auto"/>
              <w:bottom w:val="single" w:sz="4" w:space="0" w:color="auto"/>
              <w:right w:val="single" w:sz="4" w:space="0" w:color="auto"/>
            </w:tcBorders>
            <w:vAlign w:val="center"/>
            <w:hideMark/>
          </w:tcPr>
          <w:p w14:paraId="549C132A" w14:textId="77777777" w:rsidR="007C3E5F" w:rsidRDefault="007C3E5F">
            <w:pPr>
              <w:rPr>
                <w:rFonts w:ascii="Arial" w:hAnsi="Arial" w:cs="Arial"/>
                <w:color w:val="000000"/>
                <w:sz w:val="16"/>
                <w:szCs w:val="16"/>
              </w:rPr>
            </w:pPr>
          </w:p>
        </w:tc>
        <w:tc>
          <w:tcPr>
            <w:tcW w:w="2060" w:type="dxa"/>
            <w:vMerge/>
            <w:tcBorders>
              <w:top w:val="nil"/>
              <w:left w:val="single" w:sz="4" w:space="0" w:color="auto"/>
              <w:bottom w:val="single" w:sz="4" w:space="0" w:color="auto"/>
              <w:right w:val="single" w:sz="4" w:space="0" w:color="auto"/>
            </w:tcBorders>
            <w:vAlign w:val="center"/>
            <w:hideMark/>
          </w:tcPr>
          <w:p w14:paraId="0298080E" w14:textId="77777777" w:rsidR="007C3E5F" w:rsidRDefault="007C3E5F">
            <w:pPr>
              <w:rPr>
                <w:rFonts w:ascii="Arial" w:hAnsi="Arial" w:cs="Arial"/>
                <w:color w:val="000000"/>
                <w:sz w:val="16"/>
                <w:szCs w:val="16"/>
              </w:rPr>
            </w:pPr>
          </w:p>
        </w:tc>
        <w:tc>
          <w:tcPr>
            <w:tcW w:w="2059" w:type="dxa"/>
            <w:tcBorders>
              <w:top w:val="nil"/>
              <w:left w:val="nil"/>
              <w:bottom w:val="single" w:sz="4" w:space="0" w:color="auto"/>
              <w:right w:val="single" w:sz="4" w:space="0" w:color="auto"/>
            </w:tcBorders>
            <w:shd w:val="clear" w:color="000000" w:fill="DDEBF7"/>
            <w:noWrap/>
            <w:vAlign w:val="center"/>
            <w:hideMark/>
          </w:tcPr>
          <w:p w14:paraId="1D79B3BD" w14:textId="77777777" w:rsidR="007C3E5F" w:rsidRDefault="007C3E5F">
            <w:pPr>
              <w:jc w:val="center"/>
              <w:rPr>
                <w:rFonts w:ascii="Arial" w:hAnsi="Arial" w:cs="Arial"/>
                <w:color w:val="000000"/>
                <w:sz w:val="16"/>
                <w:szCs w:val="16"/>
              </w:rPr>
            </w:pPr>
            <w:r>
              <w:rPr>
                <w:rFonts w:ascii="Arial" w:hAnsi="Arial" w:cs="Arial"/>
                <w:color w:val="000000"/>
                <w:sz w:val="16"/>
                <w:szCs w:val="16"/>
              </w:rPr>
              <w:t>PP-NRS ≥4</w:t>
            </w:r>
          </w:p>
        </w:tc>
        <w:tc>
          <w:tcPr>
            <w:tcW w:w="2060" w:type="dxa"/>
            <w:tcBorders>
              <w:top w:val="nil"/>
              <w:left w:val="nil"/>
              <w:bottom w:val="single" w:sz="4" w:space="0" w:color="auto"/>
              <w:right w:val="single" w:sz="4" w:space="0" w:color="auto"/>
            </w:tcBorders>
            <w:noWrap/>
            <w:vAlign w:val="center"/>
            <w:hideMark/>
          </w:tcPr>
          <w:p w14:paraId="60F12B68" w14:textId="77777777" w:rsidR="007C3E5F" w:rsidRDefault="007C3E5F">
            <w:pPr>
              <w:jc w:val="center"/>
              <w:rPr>
                <w:rFonts w:ascii="Arial" w:hAnsi="Arial" w:cs="Arial"/>
                <w:color w:val="000000"/>
                <w:sz w:val="16"/>
                <w:szCs w:val="16"/>
              </w:rPr>
            </w:pPr>
            <w:r>
              <w:rPr>
                <w:rFonts w:ascii="Arial" w:hAnsi="Arial" w:cs="Arial"/>
                <w:color w:val="000000"/>
                <w:sz w:val="16"/>
                <w:szCs w:val="16"/>
              </w:rPr>
              <w:t>19</w:t>
            </w:r>
          </w:p>
        </w:tc>
        <w:tc>
          <w:tcPr>
            <w:tcW w:w="2062" w:type="dxa"/>
            <w:tcBorders>
              <w:top w:val="nil"/>
              <w:left w:val="nil"/>
              <w:bottom w:val="single" w:sz="4" w:space="0" w:color="auto"/>
              <w:right w:val="single" w:sz="4" w:space="0" w:color="auto"/>
            </w:tcBorders>
            <w:noWrap/>
            <w:vAlign w:val="center"/>
            <w:hideMark/>
          </w:tcPr>
          <w:p w14:paraId="1F1B2C25" w14:textId="77777777" w:rsidR="007C3E5F" w:rsidRDefault="007C3E5F">
            <w:pPr>
              <w:jc w:val="center"/>
              <w:rPr>
                <w:rFonts w:ascii="Arial" w:hAnsi="Arial" w:cs="Arial"/>
                <w:color w:val="000000"/>
                <w:sz w:val="16"/>
                <w:szCs w:val="16"/>
              </w:rPr>
            </w:pPr>
            <w:r>
              <w:rPr>
                <w:rFonts w:ascii="Arial" w:hAnsi="Arial" w:cs="Arial"/>
                <w:color w:val="000000"/>
                <w:sz w:val="16"/>
                <w:szCs w:val="16"/>
              </w:rPr>
              <w:t>(4;34)</w:t>
            </w:r>
          </w:p>
        </w:tc>
      </w:tr>
      <w:tr w:rsidR="007C3E5F" w14:paraId="29A12CAC" w14:textId="77777777" w:rsidTr="000710C0">
        <w:trPr>
          <w:trHeight w:val="300"/>
        </w:trPr>
        <w:tc>
          <w:tcPr>
            <w:tcW w:w="10300" w:type="dxa"/>
            <w:gridSpan w:val="5"/>
            <w:tcBorders>
              <w:top w:val="single" w:sz="4" w:space="0" w:color="auto"/>
              <w:left w:val="single" w:sz="4" w:space="0" w:color="auto"/>
              <w:bottom w:val="single" w:sz="4" w:space="0" w:color="auto"/>
              <w:right w:val="single" w:sz="4" w:space="0" w:color="auto"/>
            </w:tcBorders>
            <w:shd w:val="clear" w:color="000000" w:fill="8FF9BF"/>
            <w:vAlign w:val="center"/>
            <w:hideMark/>
          </w:tcPr>
          <w:p w14:paraId="77DE63A2" w14:textId="77777777" w:rsidR="007C3E5F" w:rsidRDefault="007C3E5F">
            <w:pPr>
              <w:jc w:val="center"/>
              <w:rPr>
                <w:rFonts w:ascii="Arial" w:hAnsi="Arial" w:cs="Arial"/>
                <w:b/>
                <w:bCs/>
                <w:color w:val="000000"/>
                <w:sz w:val="16"/>
                <w:szCs w:val="16"/>
              </w:rPr>
            </w:pPr>
            <w:r>
              <w:rPr>
                <w:rFonts w:ascii="Arial" w:hAnsi="Arial" w:cs="Arial"/>
                <w:b/>
                <w:bCs/>
                <w:color w:val="000000"/>
                <w:sz w:val="16"/>
                <w:szCs w:val="16"/>
              </w:rPr>
              <w:t>Comparación indirecta ajustada Nemolizumab-Lebrikizumab</w:t>
            </w:r>
          </w:p>
        </w:tc>
      </w:tr>
      <w:tr w:rsidR="007C3E5F" w14:paraId="1738BCBA" w14:textId="77777777" w:rsidTr="000710C0">
        <w:trPr>
          <w:trHeight w:val="511"/>
        </w:trPr>
        <w:tc>
          <w:tcPr>
            <w:tcW w:w="411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73B8ED7" w14:textId="77777777" w:rsidR="007C3E5F" w:rsidRDefault="007C3E5F">
            <w:pPr>
              <w:jc w:val="center"/>
              <w:rPr>
                <w:rFonts w:ascii="Arial" w:hAnsi="Arial" w:cs="Arial"/>
                <w:color w:val="000000"/>
                <w:sz w:val="16"/>
                <w:szCs w:val="16"/>
              </w:rPr>
            </w:pPr>
            <w:r>
              <w:rPr>
                <w:rFonts w:ascii="Arial" w:hAnsi="Arial" w:cs="Arial"/>
                <w:color w:val="000000"/>
                <w:sz w:val="16"/>
                <w:szCs w:val="16"/>
              </w:rPr>
              <w:t>Variable</w:t>
            </w:r>
          </w:p>
        </w:tc>
        <w:tc>
          <w:tcPr>
            <w:tcW w:w="4119" w:type="dxa"/>
            <w:gridSpan w:val="2"/>
            <w:tcBorders>
              <w:top w:val="single" w:sz="4" w:space="0" w:color="auto"/>
              <w:left w:val="nil"/>
              <w:bottom w:val="single" w:sz="4" w:space="0" w:color="auto"/>
              <w:right w:val="single" w:sz="4" w:space="0" w:color="auto"/>
            </w:tcBorders>
            <w:shd w:val="clear" w:color="000000" w:fill="D9D9D9"/>
            <w:vAlign w:val="center"/>
            <w:hideMark/>
          </w:tcPr>
          <w:p w14:paraId="32E3851B" w14:textId="77777777" w:rsidR="007C3E5F" w:rsidRDefault="007C3E5F">
            <w:pPr>
              <w:jc w:val="center"/>
              <w:rPr>
                <w:rFonts w:ascii="Arial" w:hAnsi="Arial" w:cs="Arial"/>
                <w:color w:val="000000"/>
                <w:sz w:val="16"/>
                <w:szCs w:val="16"/>
              </w:rPr>
            </w:pPr>
            <w:r>
              <w:rPr>
                <w:rFonts w:ascii="Arial" w:hAnsi="Arial" w:cs="Arial"/>
                <w:color w:val="000000"/>
                <w:sz w:val="16"/>
                <w:szCs w:val="16"/>
              </w:rPr>
              <w:t>Diferencia de respuesta (IC 95%)</w:t>
            </w:r>
          </w:p>
        </w:tc>
        <w:tc>
          <w:tcPr>
            <w:tcW w:w="2062" w:type="dxa"/>
            <w:tcBorders>
              <w:top w:val="nil"/>
              <w:left w:val="nil"/>
              <w:bottom w:val="single" w:sz="4" w:space="0" w:color="auto"/>
              <w:right w:val="single" w:sz="4" w:space="0" w:color="auto"/>
            </w:tcBorders>
            <w:shd w:val="clear" w:color="000000" w:fill="E7E6E6"/>
            <w:noWrap/>
            <w:vAlign w:val="center"/>
            <w:hideMark/>
          </w:tcPr>
          <w:p w14:paraId="5D761CB9" w14:textId="77777777" w:rsidR="007C3E5F" w:rsidRDefault="007C3E5F">
            <w:pPr>
              <w:jc w:val="center"/>
              <w:rPr>
                <w:rFonts w:ascii="Calibri" w:hAnsi="Calibri" w:cs="Calibri"/>
                <w:color w:val="000000"/>
                <w:sz w:val="22"/>
                <w:szCs w:val="22"/>
              </w:rPr>
            </w:pPr>
            <w:r>
              <w:rPr>
                <w:rFonts w:ascii="Calibri" w:hAnsi="Calibri" w:cs="Calibri"/>
                <w:color w:val="000000"/>
                <w:sz w:val="22"/>
                <w:szCs w:val="22"/>
              </w:rPr>
              <w:t>P</w:t>
            </w:r>
          </w:p>
        </w:tc>
      </w:tr>
      <w:tr w:rsidR="007C3E5F" w14:paraId="07845CCD" w14:textId="77777777" w:rsidTr="000710C0">
        <w:trPr>
          <w:trHeight w:val="300"/>
        </w:trPr>
        <w:tc>
          <w:tcPr>
            <w:tcW w:w="4119" w:type="dxa"/>
            <w:gridSpan w:val="2"/>
            <w:tcBorders>
              <w:top w:val="single" w:sz="4" w:space="0" w:color="auto"/>
              <w:left w:val="single" w:sz="4" w:space="0" w:color="auto"/>
              <w:bottom w:val="single" w:sz="4" w:space="0" w:color="auto"/>
              <w:right w:val="single" w:sz="4" w:space="0" w:color="auto"/>
            </w:tcBorders>
            <w:vAlign w:val="center"/>
            <w:hideMark/>
          </w:tcPr>
          <w:p w14:paraId="76ACE50A" w14:textId="77777777" w:rsidR="007C3E5F" w:rsidRDefault="007C3E5F">
            <w:pPr>
              <w:jc w:val="center"/>
              <w:rPr>
                <w:rFonts w:ascii="Arial" w:hAnsi="Arial" w:cs="Arial"/>
                <w:color w:val="000000"/>
                <w:sz w:val="16"/>
                <w:szCs w:val="16"/>
              </w:rPr>
            </w:pPr>
            <w:r>
              <w:rPr>
                <w:rFonts w:ascii="Arial" w:hAnsi="Arial" w:cs="Arial"/>
                <w:color w:val="000000"/>
                <w:sz w:val="16"/>
                <w:szCs w:val="16"/>
              </w:rPr>
              <w:t>EASI 75</w:t>
            </w:r>
          </w:p>
        </w:tc>
        <w:tc>
          <w:tcPr>
            <w:tcW w:w="2059" w:type="dxa"/>
            <w:tcBorders>
              <w:top w:val="nil"/>
              <w:left w:val="nil"/>
              <w:bottom w:val="single" w:sz="4" w:space="0" w:color="auto"/>
              <w:right w:val="single" w:sz="4" w:space="0" w:color="auto"/>
            </w:tcBorders>
            <w:vAlign w:val="center"/>
            <w:hideMark/>
          </w:tcPr>
          <w:p w14:paraId="61DB96AF" w14:textId="77777777" w:rsidR="007C3E5F" w:rsidRDefault="007C3E5F">
            <w:pPr>
              <w:jc w:val="center"/>
              <w:rPr>
                <w:rFonts w:ascii="Arial" w:hAnsi="Arial" w:cs="Arial"/>
                <w:color w:val="000000"/>
                <w:sz w:val="16"/>
                <w:szCs w:val="16"/>
              </w:rPr>
            </w:pPr>
            <w:r>
              <w:rPr>
                <w:rFonts w:ascii="Arial" w:hAnsi="Arial" w:cs="Arial"/>
                <w:color w:val="000000"/>
                <w:sz w:val="16"/>
                <w:szCs w:val="16"/>
              </w:rPr>
              <w:t>13</w:t>
            </w:r>
          </w:p>
        </w:tc>
        <w:tc>
          <w:tcPr>
            <w:tcW w:w="2060" w:type="dxa"/>
            <w:tcBorders>
              <w:top w:val="nil"/>
              <w:left w:val="nil"/>
              <w:bottom w:val="single" w:sz="4" w:space="0" w:color="auto"/>
              <w:right w:val="single" w:sz="4" w:space="0" w:color="auto"/>
            </w:tcBorders>
            <w:vAlign w:val="center"/>
            <w:hideMark/>
          </w:tcPr>
          <w:p w14:paraId="4030A0B3" w14:textId="77777777" w:rsidR="007C3E5F" w:rsidRDefault="007C3E5F">
            <w:pPr>
              <w:jc w:val="center"/>
              <w:rPr>
                <w:rFonts w:ascii="Arial" w:hAnsi="Arial" w:cs="Arial"/>
                <w:color w:val="000000"/>
                <w:sz w:val="16"/>
                <w:szCs w:val="16"/>
              </w:rPr>
            </w:pPr>
            <w:r>
              <w:rPr>
                <w:rFonts w:ascii="Arial" w:hAnsi="Arial" w:cs="Arial"/>
                <w:color w:val="000000"/>
                <w:sz w:val="16"/>
                <w:szCs w:val="16"/>
              </w:rPr>
              <w:t>(-2;28)</w:t>
            </w:r>
          </w:p>
        </w:tc>
        <w:tc>
          <w:tcPr>
            <w:tcW w:w="2062" w:type="dxa"/>
            <w:tcBorders>
              <w:top w:val="nil"/>
              <w:left w:val="nil"/>
              <w:bottom w:val="single" w:sz="4" w:space="0" w:color="auto"/>
              <w:right w:val="single" w:sz="4" w:space="0" w:color="auto"/>
            </w:tcBorders>
            <w:shd w:val="clear" w:color="000000" w:fill="FFFFFF"/>
            <w:vAlign w:val="center"/>
            <w:hideMark/>
          </w:tcPr>
          <w:p w14:paraId="2491C6CD" w14:textId="77777777" w:rsidR="007C3E5F" w:rsidRDefault="007C3E5F">
            <w:pPr>
              <w:jc w:val="center"/>
              <w:rPr>
                <w:rFonts w:ascii="Arial" w:hAnsi="Arial" w:cs="Arial"/>
                <w:color w:val="000000"/>
                <w:sz w:val="16"/>
                <w:szCs w:val="16"/>
              </w:rPr>
            </w:pPr>
            <w:r>
              <w:rPr>
                <w:rFonts w:ascii="Arial" w:hAnsi="Arial" w:cs="Arial"/>
                <w:color w:val="000000"/>
                <w:sz w:val="16"/>
                <w:szCs w:val="16"/>
              </w:rPr>
              <w:t>p&gt;0,05</w:t>
            </w:r>
          </w:p>
        </w:tc>
      </w:tr>
      <w:tr w:rsidR="007C3E5F" w14:paraId="0890074F" w14:textId="77777777" w:rsidTr="000710C0">
        <w:trPr>
          <w:trHeight w:val="300"/>
        </w:trPr>
        <w:tc>
          <w:tcPr>
            <w:tcW w:w="4119" w:type="dxa"/>
            <w:gridSpan w:val="2"/>
            <w:tcBorders>
              <w:top w:val="single" w:sz="4" w:space="0" w:color="auto"/>
              <w:left w:val="single" w:sz="4" w:space="0" w:color="auto"/>
              <w:bottom w:val="single" w:sz="4" w:space="0" w:color="auto"/>
              <w:right w:val="single" w:sz="4" w:space="0" w:color="auto"/>
            </w:tcBorders>
            <w:vAlign w:val="center"/>
            <w:hideMark/>
          </w:tcPr>
          <w:p w14:paraId="7BE8CC08" w14:textId="77777777" w:rsidR="007C3E5F" w:rsidRDefault="007C3E5F">
            <w:pPr>
              <w:jc w:val="center"/>
              <w:rPr>
                <w:rFonts w:ascii="Arial" w:hAnsi="Arial" w:cs="Arial"/>
                <w:color w:val="000000"/>
                <w:sz w:val="16"/>
                <w:szCs w:val="16"/>
              </w:rPr>
            </w:pPr>
            <w:r>
              <w:rPr>
                <w:rFonts w:ascii="Arial" w:hAnsi="Arial" w:cs="Arial"/>
                <w:color w:val="000000"/>
                <w:sz w:val="16"/>
                <w:szCs w:val="16"/>
              </w:rPr>
              <w:t>IGA 0/1</w:t>
            </w:r>
          </w:p>
        </w:tc>
        <w:tc>
          <w:tcPr>
            <w:tcW w:w="2059" w:type="dxa"/>
            <w:tcBorders>
              <w:top w:val="nil"/>
              <w:left w:val="nil"/>
              <w:bottom w:val="single" w:sz="4" w:space="0" w:color="auto"/>
              <w:right w:val="single" w:sz="4" w:space="0" w:color="auto"/>
            </w:tcBorders>
            <w:vAlign w:val="center"/>
            <w:hideMark/>
          </w:tcPr>
          <w:p w14:paraId="2CE84B83" w14:textId="77777777" w:rsidR="007C3E5F" w:rsidRDefault="007C3E5F">
            <w:pPr>
              <w:jc w:val="center"/>
              <w:rPr>
                <w:rFonts w:ascii="Arial" w:hAnsi="Arial" w:cs="Arial"/>
                <w:color w:val="000000"/>
                <w:sz w:val="16"/>
                <w:szCs w:val="16"/>
              </w:rPr>
            </w:pPr>
            <w:r>
              <w:rPr>
                <w:rFonts w:ascii="Arial" w:hAnsi="Arial" w:cs="Arial"/>
                <w:color w:val="000000"/>
                <w:sz w:val="16"/>
                <w:szCs w:val="16"/>
              </w:rPr>
              <w:t>7</w:t>
            </w:r>
          </w:p>
        </w:tc>
        <w:tc>
          <w:tcPr>
            <w:tcW w:w="2060" w:type="dxa"/>
            <w:tcBorders>
              <w:top w:val="nil"/>
              <w:left w:val="nil"/>
              <w:bottom w:val="single" w:sz="4" w:space="0" w:color="auto"/>
              <w:right w:val="single" w:sz="4" w:space="0" w:color="auto"/>
            </w:tcBorders>
            <w:vAlign w:val="center"/>
            <w:hideMark/>
          </w:tcPr>
          <w:p w14:paraId="66A5BD20" w14:textId="77777777" w:rsidR="007C3E5F" w:rsidRDefault="007C3E5F">
            <w:pPr>
              <w:jc w:val="center"/>
              <w:rPr>
                <w:rFonts w:ascii="Arial" w:hAnsi="Arial" w:cs="Arial"/>
                <w:color w:val="000000"/>
                <w:sz w:val="16"/>
                <w:szCs w:val="16"/>
              </w:rPr>
            </w:pPr>
            <w:r>
              <w:rPr>
                <w:rFonts w:ascii="Arial" w:hAnsi="Arial" w:cs="Arial"/>
                <w:color w:val="000000"/>
                <w:sz w:val="16"/>
                <w:szCs w:val="16"/>
              </w:rPr>
              <w:t>(-6;20)</w:t>
            </w:r>
          </w:p>
        </w:tc>
        <w:tc>
          <w:tcPr>
            <w:tcW w:w="2062" w:type="dxa"/>
            <w:tcBorders>
              <w:top w:val="nil"/>
              <w:left w:val="nil"/>
              <w:bottom w:val="single" w:sz="4" w:space="0" w:color="auto"/>
              <w:right w:val="single" w:sz="4" w:space="0" w:color="auto"/>
            </w:tcBorders>
            <w:shd w:val="clear" w:color="000000" w:fill="FFFFFF"/>
            <w:vAlign w:val="center"/>
            <w:hideMark/>
          </w:tcPr>
          <w:p w14:paraId="7F555AF9" w14:textId="77777777" w:rsidR="007C3E5F" w:rsidRDefault="007C3E5F">
            <w:pPr>
              <w:jc w:val="center"/>
              <w:rPr>
                <w:rFonts w:ascii="Arial" w:hAnsi="Arial" w:cs="Arial"/>
                <w:color w:val="000000"/>
                <w:sz w:val="16"/>
                <w:szCs w:val="16"/>
              </w:rPr>
            </w:pPr>
            <w:r>
              <w:rPr>
                <w:rFonts w:ascii="Arial" w:hAnsi="Arial" w:cs="Arial"/>
                <w:color w:val="000000"/>
                <w:sz w:val="16"/>
                <w:szCs w:val="16"/>
              </w:rPr>
              <w:t>p&gt;0,05</w:t>
            </w:r>
          </w:p>
        </w:tc>
      </w:tr>
      <w:tr w:rsidR="007C3E5F" w14:paraId="53E59307" w14:textId="77777777" w:rsidTr="000710C0">
        <w:trPr>
          <w:trHeight w:val="300"/>
        </w:trPr>
        <w:tc>
          <w:tcPr>
            <w:tcW w:w="4119" w:type="dxa"/>
            <w:gridSpan w:val="2"/>
            <w:tcBorders>
              <w:top w:val="single" w:sz="4" w:space="0" w:color="auto"/>
              <w:left w:val="single" w:sz="4" w:space="0" w:color="auto"/>
              <w:bottom w:val="single" w:sz="4" w:space="0" w:color="auto"/>
              <w:right w:val="single" w:sz="4" w:space="0" w:color="auto"/>
            </w:tcBorders>
            <w:vAlign w:val="center"/>
            <w:hideMark/>
          </w:tcPr>
          <w:p w14:paraId="18751720" w14:textId="77777777" w:rsidR="007C3E5F" w:rsidRDefault="007C3E5F">
            <w:pPr>
              <w:jc w:val="center"/>
              <w:rPr>
                <w:rFonts w:ascii="Arial" w:hAnsi="Arial" w:cs="Arial"/>
                <w:color w:val="000000"/>
                <w:sz w:val="16"/>
                <w:szCs w:val="16"/>
              </w:rPr>
            </w:pPr>
            <w:r>
              <w:rPr>
                <w:rFonts w:ascii="Arial" w:hAnsi="Arial" w:cs="Arial"/>
                <w:color w:val="000000"/>
                <w:sz w:val="16"/>
                <w:szCs w:val="16"/>
              </w:rPr>
              <w:t>PP-NRS</w:t>
            </w:r>
            <w:r>
              <w:rPr>
                <w:rFonts w:ascii="Calibri" w:hAnsi="Calibri" w:cs="Calibri"/>
                <w:color w:val="000000"/>
                <w:sz w:val="16"/>
                <w:szCs w:val="16"/>
              </w:rPr>
              <w:t>≥</w:t>
            </w:r>
            <w:r>
              <w:rPr>
                <w:rFonts w:ascii="Arial" w:hAnsi="Arial" w:cs="Arial"/>
                <w:color w:val="000000"/>
                <w:sz w:val="16"/>
                <w:szCs w:val="16"/>
              </w:rPr>
              <w:t>4</w:t>
            </w:r>
          </w:p>
        </w:tc>
        <w:tc>
          <w:tcPr>
            <w:tcW w:w="2059" w:type="dxa"/>
            <w:tcBorders>
              <w:top w:val="nil"/>
              <w:left w:val="nil"/>
              <w:bottom w:val="single" w:sz="4" w:space="0" w:color="auto"/>
              <w:right w:val="single" w:sz="4" w:space="0" w:color="auto"/>
            </w:tcBorders>
            <w:vAlign w:val="center"/>
            <w:hideMark/>
          </w:tcPr>
          <w:p w14:paraId="5F04EDA8" w14:textId="77777777" w:rsidR="007C3E5F" w:rsidRDefault="007C3E5F">
            <w:pPr>
              <w:jc w:val="center"/>
              <w:rPr>
                <w:rFonts w:ascii="Arial" w:hAnsi="Arial" w:cs="Arial"/>
                <w:color w:val="000000"/>
                <w:sz w:val="16"/>
                <w:szCs w:val="16"/>
              </w:rPr>
            </w:pPr>
            <w:r>
              <w:rPr>
                <w:rFonts w:ascii="Arial" w:hAnsi="Arial" w:cs="Arial"/>
                <w:color w:val="000000"/>
                <w:sz w:val="16"/>
                <w:szCs w:val="16"/>
              </w:rPr>
              <w:t>-5</w:t>
            </w:r>
          </w:p>
        </w:tc>
        <w:tc>
          <w:tcPr>
            <w:tcW w:w="2060" w:type="dxa"/>
            <w:tcBorders>
              <w:top w:val="nil"/>
              <w:left w:val="nil"/>
              <w:bottom w:val="single" w:sz="4" w:space="0" w:color="auto"/>
              <w:right w:val="single" w:sz="4" w:space="0" w:color="auto"/>
            </w:tcBorders>
            <w:vAlign w:val="center"/>
            <w:hideMark/>
          </w:tcPr>
          <w:p w14:paraId="5B1E275D" w14:textId="77777777" w:rsidR="007C3E5F" w:rsidRDefault="007C3E5F">
            <w:pPr>
              <w:jc w:val="center"/>
              <w:rPr>
                <w:rFonts w:ascii="Arial" w:hAnsi="Arial" w:cs="Arial"/>
                <w:color w:val="000000"/>
                <w:sz w:val="16"/>
                <w:szCs w:val="16"/>
              </w:rPr>
            </w:pPr>
            <w:r>
              <w:rPr>
                <w:rFonts w:ascii="Arial" w:hAnsi="Arial" w:cs="Arial"/>
                <w:color w:val="000000"/>
                <w:sz w:val="16"/>
                <w:szCs w:val="16"/>
              </w:rPr>
              <w:t>(-20;10)</w:t>
            </w:r>
          </w:p>
        </w:tc>
        <w:tc>
          <w:tcPr>
            <w:tcW w:w="2062" w:type="dxa"/>
            <w:tcBorders>
              <w:top w:val="nil"/>
              <w:left w:val="nil"/>
              <w:bottom w:val="single" w:sz="4" w:space="0" w:color="auto"/>
              <w:right w:val="single" w:sz="4" w:space="0" w:color="auto"/>
            </w:tcBorders>
            <w:shd w:val="clear" w:color="000000" w:fill="FFFFFF"/>
            <w:vAlign w:val="center"/>
            <w:hideMark/>
          </w:tcPr>
          <w:p w14:paraId="2ED8F2C1" w14:textId="77777777" w:rsidR="007C3E5F" w:rsidRDefault="007C3E5F">
            <w:pPr>
              <w:jc w:val="center"/>
              <w:rPr>
                <w:rFonts w:ascii="Arial" w:hAnsi="Arial" w:cs="Arial"/>
                <w:color w:val="000000"/>
                <w:sz w:val="16"/>
                <w:szCs w:val="16"/>
              </w:rPr>
            </w:pPr>
            <w:r>
              <w:rPr>
                <w:rFonts w:ascii="Arial" w:hAnsi="Arial" w:cs="Arial"/>
                <w:color w:val="000000"/>
                <w:sz w:val="16"/>
                <w:szCs w:val="16"/>
              </w:rPr>
              <w:t>p&gt;0,05</w:t>
            </w:r>
          </w:p>
        </w:tc>
      </w:tr>
      <w:bookmarkEnd w:id="98"/>
    </w:tbl>
    <w:p w14:paraId="2946673C" w14:textId="77777777" w:rsidR="007C3E5F" w:rsidRDefault="007C3E5F" w:rsidP="003A2C87">
      <w:pPr>
        <w:jc w:val="both"/>
        <w:rPr>
          <w:rFonts w:ascii="Arial" w:hAnsi="Arial" w:cs="Arial"/>
          <w:bCs/>
          <w:sz w:val="20"/>
          <w:szCs w:val="20"/>
        </w:rPr>
      </w:pPr>
    </w:p>
    <w:p w14:paraId="0CF32DA9" w14:textId="77777777" w:rsidR="000710C0" w:rsidRDefault="000710C0" w:rsidP="003A2C87">
      <w:pPr>
        <w:jc w:val="both"/>
        <w:rPr>
          <w:rFonts w:ascii="Arial" w:hAnsi="Arial" w:cs="Arial"/>
          <w:bCs/>
          <w:sz w:val="20"/>
          <w:szCs w:val="20"/>
        </w:rPr>
      </w:pPr>
    </w:p>
    <w:p w14:paraId="682B5D19" w14:textId="77777777" w:rsidR="004935C9" w:rsidRDefault="000710C0" w:rsidP="000710C0">
      <w:pPr>
        <w:jc w:val="both"/>
        <w:rPr>
          <w:rFonts w:ascii="Arial" w:hAnsi="Arial" w:cs="Arial"/>
          <w:bCs/>
          <w:sz w:val="20"/>
          <w:szCs w:val="20"/>
        </w:rPr>
      </w:pPr>
      <w:bookmarkStart w:id="99" w:name="_Hlk215224327"/>
      <w:r>
        <w:rPr>
          <w:rFonts w:ascii="Arial" w:hAnsi="Arial" w:cs="Arial"/>
          <w:bCs/>
          <w:sz w:val="20"/>
          <w:szCs w:val="20"/>
        </w:rPr>
        <w:t>Además, s</w:t>
      </w:r>
      <w:r w:rsidRPr="000710C0">
        <w:rPr>
          <w:rFonts w:ascii="Arial" w:hAnsi="Arial" w:cs="Arial"/>
          <w:bCs/>
          <w:sz w:val="20"/>
          <w:szCs w:val="20"/>
        </w:rPr>
        <w:t>e realiz</w:t>
      </w:r>
      <w:r w:rsidR="004935C9">
        <w:rPr>
          <w:rFonts w:ascii="Arial" w:hAnsi="Arial" w:cs="Arial"/>
          <w:bCs/>
          <w:sz w:val="20"/>
          <w:szCs w:val="20"/>
        </w:rPr>
        <w:t>ó</w:t>
      </w:r>
      <w:r w:rsidRPr="000710C0">
        <w:rPr>
          <w:rFonts w:ascii="Arial" w:hAnsi="Arial" w:cs="Arial"/>
          <w:bCs/>
          <w:sz w:val="20"/>
          <w:szCs w:val="20"/>
        </w:rPr>
        <w:t xml:space="preserve"> una comparación indirecta entre los ensayos en monoterapia de</w:t>
      </w:r>
      <w:r w:rsidRPr="004935C9">
        <w:rPr>
          <w:rFonts w:ascii="Arial" w:hAnsi="Arial" w:cs="Arial"/>
          <w:b/>
          <w:sz w:val="20"/>
          <w:szCs w:val="20"/>
        </w:rPr>
        <w:t xml:space="preserve"> tralokinumab</w:t>
      </w:r>
      <w:r w:rsidR="004935C9">
        <w:rPr>
          <w:rFonts w:ascii="Arial" w:hAnsi="Arial" w:cs="Arial"/>
          <w:bCs/>
          <w:sz w:val="20"/>
          <w:szCs w:val="20"/>
        </w:rPr>
        <w:t xml:space="preserve"> </w:t>
      </w:r>
      <w:r w:rsidR="004935C9" w:rsidRPr="004935C9">
        <w:rPr>
          <w:rFonts w:ascii="Arial" w:hAnsi="Arial" w:cs="Arial"/>
          <w:b/>
          <w:sz w:val="20"/>
          <w:szCs w:val="20"/>
        </w:rPr>
        <w:t>ECZTRA-1 y ECZTRA-2</w:t>
      </w:r>
      <w:r w:rsidR="0048196F">
        <w:rPr>
          <w:rFonts w:ascii="Arial" w:hAnsi="Arial" w:cs="Arial"/>
          <w:b/>
          <w:sz w:val="20"/>
          <w:szCs w:val="20"/>
        </w:rPr>
        <w:t xml:space="preserve"> </w:t>
      </w:r>
      <w:r w:rsidR="00646A51">
        <w:rPr>
          <w:rFonts w:ascii="Arial" w:hAnsi="Arial" w:cs="Arial"/>
          <w:b/>
          <w:sz w:val="20"/>
          <w:szCs w:val="20"/>
        </w:rPr>
        <w:fldChar w:fldCharType="begin"/>
      </w:r>
      <w:r w:rsidR="00511A83">
        <w:rPr>
          <w:rFonts w:ascii="Arial" w:hAnsi="Arial" w:cs="Arial"/>
          <w:b/>
          <w:sz w:val="20"/>
          <w:szCs w:val="20"/>
        </w:rPr>
        <w:instrText xml:space="preserve"> ADDIN ZOTERO_ITEM CSL_CITATION {"citationID":"xesiCOb2","properties":{"formattedCitation":"(31)","plainCitation":"(31)","noteIndex":0},"citationItems":[{"id":67,"uris":["http://zotero.org/users/18702181/items/U3EBRRHJ"],"itemData":{"id":67,"type":"article-journal","abstract":"BACKGROUND: Tralokinumab, a fully human monoclonal antibody, specifically neutralizes interleukin-13, a key cytokine driving peripheral inflammation in atopic dermatitis (AD). In phase II studies, tralokinumab combined with topical corticosteroids provided early and sustained improvements in AD signs and symptoms.\nOBJECTIVES: To evaluate the efficacy and safety of tralokinumab monotherapy in adults with moderate-to-severe AD who had an inadequate response to topical treatments.\nMETHODS: In two 52-week, randomized, double-blind, placebo-controlled, phase III trials, ECZTRA 1 and ECZTRA 2, adults with moderate-to-severe AD were randomized (3 : 1) to subcutaneous tralokinumab 300 mg every 2 weeks (Q2W) or placebo. Primary endpoints were Investigator's Global Assessment (IGA) score of 0 or 1 at week 16 and ≥ 75% improvement in Eczema Area and Severity Index (EASI 75) at week 16. Patients achieving an IGA score of 0 or 1 and/or EASI 75 with tralokinumab at week 16 were rerandomized to tralokinumab Q2W or every 4 weeks or placebo, for 36 weeks. The trials were registered with ClinicalTrials.gov: NCT03131648 and NCT03160885.\nRESULTS: At week 16, more patients who received tralokinumab vs. placebo achieved an IGA score of 0 or 1: 15·8% vs. 7·1% in ECZTRA 1 [difference 8·6%, 95% confidence interval (CI) 4·1-13·1; P = 0·002] and 22·2% vs. 10·9% in ECZTRA 2 (11·1%, 95% CI 5·8-16·4; P &lt; 0·001) and EASI 75: 25·0% vs. 12·7% (12·1%, 95% CI 6·5-17·7; P &lt; 0·001) and 33·2% vs. 11·4% (21·6%, 95% CI 15·8-27·3; P &lt; 0·001). Early improvements in pruritus, sleep interference, Dermatology Life Quality Index, SCORing Atopic Dermatitis and Patient-Oriented Eczema Measure were observed from the first postbaseline measurements. The majority of week 16 tralokinumab responders maintained response at week 52 with continued tralokinumab treatment without any rescue medication (including topical corticosteroids). Adverse events were reported in 76·4% and 61·5% of patients receiving tralokinumab in ECZTRA 1 and ECZTRA 2, respectively, and in 77·0% and 66·0% of patients receiving placebo in ECZTRA 1 and ECZTRA 2, respectively, in the 16-week initial period.\nCONCLUSIONS: Tralokinumab monotherapy was superior to placebo at 16 weeks of treatment and was well tolerated up to 52 weeks of treatment.","container-title":"The British Journal of Dermatology","DOI":"10.1111/bjd.19574","ISSN":"1365-2133","issue":"3","journalAbbreviation":"Br J Dermatol","language":"eng","page":"437-449","PMID":"33000465","PMCID":"PMC7986411","source":"PubMed","title":"Tralokinumab for moderate-to-severe atopic dermatitis: results from two 52-week, randomized, double-blind, multicentre, placebo-controlled phase III trials (ECZTRA 1 and ECZTRA 2)","title-short":"Tralokinumab for moderate-to-severe atopic dermatitis","volume":"184","author":[{"family":"Wollenberg","given":"A."},{"family":"Blauvelt","given":"A."},{"family":"Guttman-Yassky","given":"E."},{"family":"Worm","given":"M."},{"family":"Lynde","given":"C."},{"family":"Lacour","given":"J.-P."},{"family":"Spelman","given":"L."},{"family":"Katoh","given":"N."},{"family":"Saeki","given":"H."},{"family":"Poulin","given":"Y."},{"family":"Lesiak","given":"A."},{"family":"Kircik","given":"L."},{"family":"Cho","given":"S. H."},{"family":"Herranz","given":"P."},{"family":"Cork","given":"M. J."},{"family":"Peris","given":"K."},{"family":"Steffensen","given":"L. A."},{"family":"Bang","given":"B."},{"family":"Kuznetsova","given":"A."},{"family":"Jensen","given":"T. N."},{"family":"Østerdal","given":"M. L."},{"family":"Simpson","given":"E. L."},{"literal":"ECZTRA 1 and ECZTRA 2 study investigators"}],"issued":{"date-parts":[["2021",3]]}}}],"schema":"https://github.com/citation-style-language/schema/raw/master/csl-citation.json"} </w:instrText>
      </w:r>
      <w:r w:rsidR="00646A51">
        <w:rPr>
          <w:rFonts w:ascii="Arial" w:hAnsi="Arial" w:cs="Arial"/>
          <w:b/>
          <w:sz w:val="20"/>
          <w:szCs w:val="20"/>
        </w:rPr>
        <w:fldChar w:fldCharType="separate"/>
      </w:r>
      <w:r w:rsidR="00511A83" w:rsidRPr="00511A83">
        <w:rPr>
          <w:rFonts w:ascii="Arial" w:hAnsi="Arial" w:cs="Arial"/>
          <w:sz w:val="20"/>
        </w:rPr>
        <w:t>(31)</w:t>
      </w:r>
      <w:r w:rsidR="00646A51">
        <w:rPr>
          <w:rFonts w:ascii="Arial" w:hAnsi="Arial" w:cs="Arial"/>
          <w:b/>
          <w:sz w:val="20"/>
          <w:szCs w:val="20"/>
        </w:rPr>
        <w:fldChar w:fldCharType="end"/>
      </w:r>
      <w:r w:rsidR="004935C9">
        <w:rPr>
          <w:rFonts w:ascii="Arial" w:hAnsi="Arial" w:cs="Arial"/>
          <w:b/>
          <w:sz w:val="20"/>
          <w:szCs w:val="20"/>
        </w:rPr>
        <w:t xml:space="preserve"> </w:t>
      </w:r>
      <w:r w:rsidRPr="000710C0">
        <w:rPr>
          <w:rFonts w:ascii="Arial" w:hAnsi="Arial" w:cs="Arial"/>
          <w:bCs/>
          <w:sz w:val="20"/>
          <w:szCs w:val="20"/>
        </w:rPr>
        <w:t>y lebrikizumab</w:t>
      </w:r>
      <w:r w:rsidR="00724CFA">
        <w:rPr>
          <w:rFonts w:ascii="Arial" w:hAnsi="Arial" w:cs="Arial"/>
          <w:bCs/>
          <w:sz w:val="20"/>
          <w:szCs w:val="20"/>
        </w:rPr>
        <w:t xml:space="preserve"> </w:t>
      </w:r>
      <w:r w:rsidR="00724CFA" w:rsidRPr="00724CFA">
        <w:rPr>
          <w:rFonts w:ascii="Arial" w:hAnsi="Arial" w:cs="Arial"/>
          <w:b/>
          <w:sz w:val="20"/>
          <w:szCs w:val="20"/>
        </w:rPr>
        <w:t>KGAB (Advocate-1) y KGAC (Advocate-2)</w:t>
      </w:r>
      <w:r w:rsidR="0048196F">
        <w:rPr>
          <w:rFonts w:ascii="Arial" w:hAnsi="Arial" w:cs="Arial"/>
          <w:b/>
          <w:sz w:val="20"/>
          <w:szCs w:val="20"/>
        </w:rPr>
        <w:t xml:space="preserve"> </w:t>
      </w:r>
      <w:r w:rsidR="00646A51">
        <w:rPr>
          <w:rFonts w:ascii="Arial" w:hAnsi="Arial" w:cs="Arial"/>
          <w:b/>
          <w:sz w:val="20"/>
          <w:szCs w:val="20"/>
        </w:rPr>
        <w:fldChar w:fldCharType="begin"/>
      </w:r>
      <w:r w:rsidR="00511A83">
        <w:rPr>
          <w:rFonts w:ascii="Arial" w:hAnsi="Arial" w:cs="Arial"/>
          <w:b/>
          <w:sz w:val="20"/>
          <w:szCs w:val="20"/>
        </w:rPr>
        <w:instrText xml:space="preserve"> ADDIN ZOTERO_ITEM CSL_CITATION {"citationID":"yx3en3eY","properties":{"formattedCitation":"(32)","plainCitation":"(32)","noteIndex":0},"citationItems":[{"id":70,"uris":["http://zotero.org/users/18702181/items/HS6AHET4"],"itemData":{"id":70,"type":"article-journal","abstract":"BACKGROUND: Lebrikizumab, a high-affinity IgG4 monoclonal antibody targeting interleukin-13, prevents the formation of the interleukin-4Rα-interleukin-13Rα1 heterodimer receptor signaling complex.\nMETHODS: We conducted two identically designed, 52-week, randomized, double-blind, placebo-controlled, phase 3 trials; both trials included a 16-week induction period and a 36-week maintenance period. Eligible patients with moderate-to-severe atopic dermatitis (adults [≥18 years of age] and adolescents [12 to &lt;18 years of age, weighing ≥40 kg]) were randomly assigned in a 2:1 ratio to receive either lebrikizumab at a dose of 250 mg (loading dose of 500 mg at baseline and week 2) or placebo, administered subcutaneously every 2 weeks. Outcomes for the induction period were assessed up to 16 weeks and are included in this report. The primary outcome was an Investigator's Global Assessment (IGA) score of 0 or 1 (indicating clear or almost clear skin; range, 0 to 4 [severe disease]) with a reduction (indicating improvement) of at least 2 points from baseline at week 16. Secondary outcomes included a 75% improvement in the Eczema Area and Severity Index score (EASI-75 response) and assessments of itch and of itch interference with sleep. Safety was also assessed.\nRESULTS: In trial 1, the primary outcome was met in 43.1% of 283 patients in the lebrikizumab group and in 12.7% of 141 patients in the placebo group (P&lt;0.001); an EASI-75 response occurred in 58.8% and 16.2%, respectively (P&lt;0.001). In trial 2, the primary outcome was met in 33.2% of 281 patients in the lebrikizumab group and in 10.8% of 146 patients in the placebo group (P&lt;0.001); an EASI-75 response occurred in 52.1% and 18.1%, respectively (P&lt;0.001). Measures of itch and itch interference with sleep indicated improvement with lebrikizumab therapy. The incidence of conjunctivitis was higher among patients who received lebrikizumab than among those who received placebo. Most adverse events during the induction period were mild or moderate in severity and did not lead to trial discontinuation.\nCONCLUSIONS: In the induction period of two phase 3 trials, 16 weeks of treatment with lebrikizumab was effective in adolescents and adults with moderate-to-severe atopic dermatitis. (Funded by Dermira; ADvocate1 and ADvocate2 ClinicalTrials.gov numbers, NCT04146363 and NCT04178967, respectively.).","container-title":"The New England Journal of Medicine","DOI":"10.1056/NEJMoa2206714","ISSN":"1533-4406","issue":"12","journalAbbreviation":"N Engl J Med","language":"eng","page":"1080-1091","PMID":"36920778","source":"PubMed","title":"Two Phase 3 Trials of Lebrikizumab for Moderate-to-Severe Atopic Dermatitis","volume":"388","author":[{"family":"Silverberg","given":"Jonathan I."},{"family":"Guttman-Yassky","given":"Emma"},{"family":"Thaçi","given":"Diamant"},{"family":"Irvine","given":"Alan D."},{"family":"Stein Gold","given":"Linda"},{"family":"Blauvelt","given":"Andrew"},{"family":"Simpson","given":"Eric L."},{"family":"Chu","given":"Chia-Yu"},{"family":"Liu","given":"Zhuqing"},{"family":"Gontijo Lima","given":"Renata"},{"family":"Pillai","given":"Sreekumar G."},{"family":"Seneschal","given":"Julien"},{"literal":"ADvocate1 and ADvocate2 Investigators"}],"issued":{"date-parts":[["2023",3,23]]}}}],"schema":"https://github.com/citation-style-language/schema/raw/master/csl-citation.json"} </w:instrText>
      </w:r>
      <w:r w:rsidR="00646A51">
        <w:rPr>
          <w:rFonts w:ascii="Arial" w:hAnsi="Arial" w:cs="Arial"/>
          <w:b/>
          <w:sz w:val="20"/>
          <w:szCs w:val="20"/>
        </w:rPr>
        <w:fldChar w:fldCharType="separate"/>
      </w:r>
      <w:r w:rsidR="00511A83" w:rsidRPr="00511A83">
        <w:rPr>
          <w:rFonts w:ascii="Arial" w:hAnsi="Arial" w:cs="Arial"/>
          <w:sz w:val="20"/>
        </w:rPr>
        <w:t>(32)</w:t>
      </w:r>
      <w:r w:rsidR="00646A51">
        <w:rPr>
          <w:rFonts w:ascii="Arial" w:hAnsi="Arial" w:cs="Arial"/>
          <w:b/>
          <w:sz w:val="20"/>
          <w:szCs w:val="20"/>
        </w:rPr>
        <w:fldChar w:fldCharType="end"/>
      </w:r>
      <w:r w:rsidRPr="00724CFA">
        <w:rPr>
          <w:rFonts w:ascii="Arial" w:hAnsi="Arial" w:cs="Arial"/>
          <w:b/>
          <w:sz w:val="20"/>
          <w:szCs w:val="20"/>
        </w:rPr>
        <w:t>,</w:t>
      </w:r>
      <w:r w:rsidRPr="000710C0">
        <w:rPr>
          <w:rFonts w:ascii="Arial" w:hAnsi="Arial" w:cs="Arial"/>
          <w:bCs/>
          <w:sz w:val="20"/>
          <w:szCs w:val="20"/>
        </w:rPr>
        <w:t xml:space="preserve"> considerando que presentan una similitud suficiente para permitir el análisis, aunque con ciertas limitaciones</w:t>
      </w:r>
      <w:r w:rsidR="00CA7727">
        <w:rPr>
          <w:rFonts w:ascii="Arial" w:hAnsi="Arial" w:cs="Arial"/>
          <w:bCs/>
          <w:sz w:val="20"/>
          <w:szCs w:val="20"/>
        </w:rPr>
        <w:t xml:space="preserve"> (tabla 22)</w:t>
      </w:r>
      <w:r w:rsidRPr="000710C0">
        <w:rPr>
          <w:rFonts w:ascii="Arial" w:hAnsi="Arial" w:cs="Arial"/>
          <w:bCs/>
          <w:sz w:val="20"/>
          <w:szCs w:val="20"/>
        </w:rPr>
        <w:t xml:space="preserve">. En los ensayos KGAB y KGAC de lebrikizumab se incluyeron adolescentes (12 a &lt;18 años), mientras que ECZTRA-1 y ECZTRA-2 de tralokinumab solo reclutaron adultos. Además, aunque ambos programas clínicos incorporaron pacientes candidatos a terapia sistémica, la proporción con uso previo de ciclosporina fue mayor en los ensayos de tralokinumab (33,9–36,4%) frente al 10,5% descrito en KGAC. Aun así, estas diferencias no se consideran suficientemente relevantes como para impedir la comparación y, por ello, </w:t>
      </w:r>
      <w:r w:rsidR="003B52CF">
        <w:rPr>
          <w:rFonts w:ascii="Arial" w:hAnsi="Arial" w:cs="Arial"/>
          <w:bCs/>
          <w:sz w:val="20"/>
          <w:szCs w:val="20"/>
        </w:rPr>
        <w:t xml:space="preserve">aun considerando la limitación, </w:t>
      </w:r>
      <w:r w:rsidRPr="000710C0">
        <w:rPr>
          <w:rFonts w:ascii="Arial" w:hAnsi="Arial" w:cs="Arial"/>
          <w:bCs/>
          <w:sz w:val="20"/>
          <w:szCs w:val="20"/>
        </w:rPr>
        <w:t>se procede al análisis indirecto</w:t>
      </w:r>
      <w:r>
        <w:rPr>
          <w:rFonts w:ascii="Arial" w:hAnsi="Arial" w:cs="Arial"/>
          <w:bCs/>
          <w:sz w:val="20"/>
          <w:szCs w:val="20"/>
        </w:rPr>
        <w:t xml:space="preserve"> ajustado</w:t>
      </w:r>
      <w:r w:rsidRPr="000710C0">
        <w:rPr>
          <w:rFonts w:ascii="Arial" w:hAnsi="Arial" w:cs="Arial"/>
          <w:bCs/>
          <w:sz w:val="20"/>
          <w:szCs w:val="20"/>
        </w:rPr>
        <w:t>.</w:t>
      </w:r>
    </w:p>
    <w:p w14:paraId="629F6478" w14:textId="77777777" w:rsidR="004935C9" w:rsidRDefault="004935C9" w:rsidP="000710C0">
      <w:pPr>
        <w:jc w:val="both"/>
        <w:rPr>
          <w:rFonts w:ascii="Arial" w:hAnsi="Arial" w:cs="Arial"/>
          <w:bCs/>
          <w:sz w:val="20"/>
          <w:szCs w:val="20"/>
        </w:rPr>
      </w:pPr>
    </w:p>
    <w:bookmarkEnd w:id="99"/>
    <w:p w14:paraId="17DE2803" w14:textId="77777777" w:rsidR="004935C9" w:rsidRDefault="004935C9" w:rsidP="000710C0">
      <w:pPr>
        <w:jc w:val="both"/>
        <w:rPr>
          <w:rFonts w:ascii="Arial" w:hAnsi="Arial" w:cs="Arial"/>
          <w:bCs/>
          <w:sz w:val="20"/>
          <w:szCs w:val="20"/>
        </w:rPr>
      </w:pPr>
      <w:r>
        <w:rPr>
          <w:rFonts w:ascii="Arial" w:hAnsi="Arial" w:cs="Arial"/>
          <w:bCs/>
          <w:sz w:val="20"/>
          <w:szCs w:val="20"/>
        </w:rPr>
        <w:t xml:space="preserve">Previamente se realizó un </w:t>
      </w:r>
      <w:r w:rsidRPr="000816DF">
        <w:rPr>
          <w:rFonts w:ascii="Arial" w:hAnsi="Arial" w:cs="Arial"/>
          <w:b/>
          <w:sz w:val="20"/>
          <w:szCs w:val="20"/>
        </w:rPr>
        <w:t>metaanálisis</w:t>
      </w:r>
      <w:r>
        <w:rPr>
          <w:rFonts w:ascii="Arial" w:hAnsi="Arial" w:cs="Arial"/>
          <w:bCs/>
          <w:sz w:val="20"/>
          <w:szCs w:val="20"/>
        </w:rPr>
        <w:t xml:space="preserve"> entre los ensayos </w:t>
      </w:r>
      <w:r w:rsidRPr="000816DF">
        <w:rPr>
          <w:rFonts w:ascii="Arial" w:hAnsi="Arial" w:cs="Arial"/>
          <w:b/>
          <w:sz w:val="20"/>
          <w:szCs w:val="20"/>
        </w:rPr>
        <w:t>KGAB y KGAC</w:t>
      </w:r>
      <w:r>
        <w:rPr>
          <w:rFonts w:ascii="Arial" w:hAnsi="Arial" w:cs="Arial"/>
          <w:bCs/>
          <w:sz w:val="20"/>
          <w:szCs w:val="20"/>
        </w:rPr>
        <w:t xml:space="preserve"> de lebrikizuma</w:t>
      </w:r>
      <w:r w:rsidR="000816DF">
        <w:rPr>
          <w:rFonts w:ascii="Arial" w:hAnsi="Arial" w:cs="Arial"/>
          <w:bCs/>
          <w:sz w:val="20"/>
          <w:szCs w:val="20"/>
        </w:rPr>
        <w:t>b con el fin de combinar los resultados de ambos ensayos</w:t>
      </w:r>
      <w:r w:rsidR="00CA7727">
        <w:rPr>
          <w:rFonts w:ascii="Arial" w:hAnsi="Arial" w:cs="Arial"/>
          <w:bCs/>
          <w:sz w:val="20"/>
          <w:szCs w:val="20"/>
        </w:rPr>
        <w:t xml:space="preserve"> (tabla 21)</w:t>
      </w:r>
      <w:r w:rsidR="000816DF">
        <w:rPr>
          <w:rFonts w:ascii="Arial" w:hAnsi="Arial" w:cs="Arial"/>
          <w:bCs/>
          <w:sz w:val="20"/>
          <w:szCs w:val="20"/>
        </w:rPr>
        <w:t xml:space="preserve">. </w:t>
      </w:r>
      <w:r>
        <w:rPr>
          <w:rFonts w:ascii="Arial" w:hAnsi="Arial" w:cs="Arial"/>
          <w:bCs/>
          <w:sz w:val="20"/>
          <w:szCs w:val="20"/>
        </w:rPr>
        <w:t xml:space="preserve"> </w:t>
      </w:r>
    </w:p>
    <w:p w14:paraId="40B1BB74" w14:textId="77777777" w:rsidR="000816DF" w:rsidRDefault="000816DF" w:rsidP="000710C0">
      <w:pPr>
        <w:jc w:val="both"/>
        <w:rPr>
          <w:rFonts w:ascii="Arial" w:hAnsi="Arial" w:cs="Arial"/>
          <w:bCs/>
          <w:sz w:val="20"/>
          <w:szCs w:val="20"/>
        </w:rPr>
      </w:pPr>
    </w:p>
    <w:tbl>
      <w:tblPr>
        <w:tblW w:w="10254" w:type="dxa"/>
        <w:tblInd w:w="-878" w:type="dxa"/>
        <w:tblCellMar>
          <w:left w:w="70" w:type="dxa"/>
          <w:right w:w="70" w:type="dxa"/>
        </w:tblCellMar>
        <w:tblLook w:val="04A0" w:firstRow="1" w:lastRow="0" w:firstColumn="1" w:lastColumn="0" w:noHBand="0" w:noVBand="1"/>
      </w:tblPr>
      <w:tblGrid>
        <w:gridCol w:w="1079"/>
        <w:gridCol w:w="1174"/>
        <w:gridCol w:w="804"/>
        <w:gridCol w:w="478"/>
        <w:gridCol w:w="650"/>
        <w:gridCol w:w="1196"/>
        <w:gridCol w:w="887"/>
        <w:gridCol w:w="478"/>
        <w:gridCol w:w="650"/>
        <w:gridCol w:w="1195"/>
        <w:gridCol w:w="918"/>
        <w:gridCol w:w="745"/>
      </w:tblGrid>
      <w:tr w:rsidR="000816DF" w14:paraId="79B5CEEA" w14:textId="77777777" w:rsidTr="00CA7727">
        <w:trPr>
          <w:trHeight w:val="330"/>
        </w:trPr>
        <w:tc>
          <w:tcPr>
            <w:tcW w:w="10254" w:type="dxa"/>
            <w:gridSpan w:val="12"/>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D712C1A" w14:textId="77777777" w:rsidR="000816DF" w:rsidRPr="00CA7727" w:rsidRDefault="00CA7727">
            <w:pPr>
              <w:jc w:val="center"/>
              <w:rPr>
                <w:rFonts w:ascii="Arial" w:hAnsi="Arial" w:cs="Arial"/>
                <w:b/>
                <w:bCs/>
                <w:color w:val="000000"/>
                <w:sz w:val="16"/>
                <w:szCs w:val="16"/>
              </w:rPr>
            </w:pPr>
            <w:r w:rsidRPr="00CA7727">
              <w:rPr>
                <w:rFonts w:ascii="Arial" w:hAnsi="Arial" w:cs="Arial"/>
                <w:b/>
                <w:bCs/>
                <w:color w:val="000000"/>
                <w:sz w:val="18"/>
                <w:szCs w:val="18"/>
              </w:rPr>
              <w:t>Tabla 21. Resultados metanálisis ensayos en monoterapia</w:t>
            </w:r>
          </w:p>
        </w:tc>
      </w:tr>
      <w:tr w:rsidR="000816DF" w14:paraId="775794A5" w14:textId="77777777" w:rsidTr="000816DF">
        <w:trPr>
          <w:trHeight w:val="300"/>
        </w:trPr>
        <w:tc>
          <w:tcPr>
            <w:tcW w:w="1079" w:type="dxa"/>
            <w:tcBorders>
              <w:top w:val="nil"/>
              <w:left w:val="single" w:sz="4" w:space="0" w:color="auto"/>
              <w:bottom w:val="single" w:sz="4" w:space="0" w:color="auto"/>
              <w:right w:val="single" w:sz="4" w:space="0" w:color="auto"/>
            </w:tcBorders>
            <w:noWrap/>
            <w:vAlign w:val="center"/>
            <w:hideMark/>
          </w:tcPr>
          <w:p w14:paraId="4ECFCF62" w14:textId="77777777" w:rsidR="000816DF" w:rsidRDefault="000816DF">
            <w:pPr>
              <w:jc w:val="center"/>
              <w:rPr>
                <w:rFonts w:ascii="Arial" w:hAnsi="Arial" w:cs="Arial"/>
                <w:color w:val="000000"/>
                <w:sz w:val="16"/>
                <w:szCs w:val="16"/>
              </w:rPr>
            </w:pPr>
            <w:r>
              <w:rPr>
                <w:rFonts w:ascii="Arial" w:hAnsi="Arial" w:cs="Arial"/>
                <w:color w:val="000000"/>
                <w:sz w:val="16"/>
                <w:szCs w:val="16"/>
              </w:rPr>
              <w:t> </w:t>
            </w:r>
          </w:p>
        </w:tc>
        <w:tc>
          <w:tcPr>
            <w:tcW w:w="3106" w:type="dxa"/>
            <w:gridSpan w:val="4"/>
            <w:tcBorders>
              <w:top w:val="single" w:sz="4" w:space="0" w:color="auto"/>
              <w:left w:val="nil"/>
              <w:bottom w:val="single" w:sz="4" w:space="0" w:color="auto"/>
              <w:right w:val="single" w:sz="4" w:space="0" w:color="auto"/>
            </w:tcBorders>
            <w:shd w:val="clear" w:color="000000" w:fill="D9E1F2"/>
            <w:noWrap/>
            <w:vAlign w:val="center"/>
            <w:hideMark/>
          </w:tcPr>
          <w:p w14:paraId="1553BD7E" w14:textId="77777777" w:rsidR="000816DF" w:rsidRDefault="000816DF">
            <w:pPr>
              <w:jc w:val="center"/>
              <w:rPr>
                <w:rFonts w:ascii="Arial" w:hAnsi="Arial" w:cs="Arial"/>
                <w:color w:val="000000"/>
                <w:sz w:val="16"/>
                <w:szCs w:val="16"/>
              </w:rPr>
            </w:pPr>
            <w:r>
              <w:rPr>
                <w:rFonts w:ascii="Arial" w:hAnsi="Arial" w:cs="Arial"/>
                <w:color w:val="000000"/>
                <w:sz w:val="16"/>
                <w:szCs w:val="16"/>
              </w:rPr>
              <w:t xml:space="preserve">KGAB (Advocate-1) </w:t>
            </w:r>
          </w:p>
        </w:tc>
        <w:tc>
          <w:tcPr>
            <w:tcW w:w="3211" w:type="dxa"/>
            <w:gridSpan w:val="4"/>
            <w:tcBorders>
              <w:top w:val="single" w:sz="4" w:space="0" w:color="auto"/>
              <w:left w:val="nil"/>
              <w:bottom w:val="single" w:sz="4" w:space="0" w:color="auto"/>
              <w:right w:val="single" w:sz="4" w:space="0" w:color="auto"/>
            </w:tcBorders>
            <w:shd w:val="clear" w:color="000000" w:fill="D9E1F2"/>
            <w:noWrap/>
            <w:vAlign w:val="center"/>
            <w:hideMark/>
          </w:tcPr>
          <w:p w14:paraId="48994AE9" w14:textId="77777777" w:rsidR="000816DF" w:rsidRDefault="000816DF">
            <w:pPr>
              <w:jc w:val="center"/>
              <w:rPr>
                <w:rFonts w:ascii="Arial" w:hAnsi="Arial" w:cs="Arial"/>
                <w:color w:val="000000"/>
                <w:sz w:val="16"/>
                <w:szCs w:val="16"/>
              </w:rPr>
            </w:pPr>
            <w:r>
              <w:rPr>
                <w:rFonts w:ascii="Arial" w:hAnsi="Arial" w:cs="Arial"/>
                <w:color w:val="000000"/>
                <w:sz w:val="16"/>
                <w:szCs w:val="16"/>
              </w:rPr>
              <w:t>KGAC (Advocate-2)</w:t>
            </w:r>
          </w:p>
        </w:tc>
        <w:tc>
          <w:tcPr>
            <w:tcW w:w="2858" w:type="dxa"/>
            <w:gridSpan w:val="3"/>
            <w:tcBorders>
              <w:top w:val="single" w:sz="4" w:space="0" w:color="auto"/>
              <w:left w:val="nil"/>
              <w:bottom w:val="single" w:sz="4" w:space="0" w:color="auto"/>
              <w:right w:val="single" w:sz="4" w:space="0" w:color="auto"/>
            </w:tcBorders>
            <w:shd w:val="clear" w:color="000000" w:fill="CCFFFF"/>
            <w:noWrap/>
            <w:vAlign w:val="center"/>
            <w:hideMark/>
          </w:tcPr>
          <w:p w14:paraId="3BDBB911" w14:textId="77777777" w:rsidR="000816DF" w:rsidRDefault="000816DF">
            <w:pPr>
              <w:jc w:val="center"/>
              <w:rPr>
                <w:rFonts w:ascii="Arial" w:hAnsi="Arial" w:cs="Arial"/>
                <w:color w:val="000000"/>
                <w:sz w:val="16"/>
                <w:szCs w:val="16"/>
              </w:rPr>
            </w:pPr>
            <w:r>
              <w:rPr>
                <w:rFonts w:ascii="Arial" w:hAnsi="Arial" w:cs="Arial"/>
                <w:color w:val="000000"/>
                <w:sz w:val="16"/>
                <w:szCs w:val="16"/>
              </w:rPr>
              <w:t>METAANALISIS</w:t>
            </w:r>
          </w:p>
        </w:tc>
      </w:tr>
      <w:tr w:rsidR="000816DF" w14:paraId="145A4628" w14:textId="77777777" w:rsidTr="000816DF">
        <w:trPr>
          <w:trHeight w:val="450"/>
        </w:trPr>
        <w:tc>
          <w:tcPr>
            <w:tcW w:w="1079" w:type="dxa"/>
            <w:tcBorders>
              <w:top w:val="nil"/>
              <w:left w:val="single" w:sz="4" w:space="0" w:color="auto"/>
              <w:bottom w:val="single" w:sz="4" w:space="0" w:color="auto"/>
              <w:right w:val="single" w:sz="4" w:space="0" w:color="auto"/>
            </w:tcBorders>
            <w:noWrap/>
            <w:vAlign w:val="center"/>
            <w:hideMark/>
          </w:tcPr>
          <w:p w14:paraId="75EE651D" w14:textId="77777777" w:rsidR="000816DF" w:rsidRDefault="000816DF">
            <w:pPr>
              <w:jc w:val="center"/>
              <w:rPr>
                <w:rFonts w:ascii="Arial" w:hAnsi="Arial" w:cs="Arial"/>
                <w:color w:val="000000"/>
                <w:sz w:val="16"/>
                <w:szCs w:val="16"/>
              </w:rPr>
            </w:pPr>
            <w:r>
              <w:rPr>
                <w:rFonts w:ascii="Arial" w:hAnsi="Arial" w:cs="Arial"/>
                <w:color w:val="000000"/>
                <w:sz w:val="16"/>
                <w:szCs w:val="16"/>
              </w:rPr>
              <w:t>VARIABLES</w:t>
            </w:r>
          </w:p>
        </w:tc>
        <w:tc>
          <w:tcPr>
            <w:tcW w:w="1174" w:type="dxa"/>
            <w:tcBorders>
              <w:top w:val="nil"/>
              <w:left w:val="nil"/>
              <w:bottom w:val="single" w:sz="4" w:space="0" w:color="auto"/>
              <w:right w:val="single" w:sz="4" w:space="0" w:color="auto"/>
            </w:tcBorders>
            <w:vAlign w:val="center"/>
            <w:hideMark/>
          </w:tcPr>
          <w:p w14:paraId="55AA0E62" w14:textId="77777777" w:rsidR="000816DF" w:rsidRDefault="000816DF">
            <w:pPr>
              <w:jc w:val="center"/>
              <w:rPr>
                <w:rFonts w:ascii="Arial" w:hAnsi="Arial" w:cs="Arial"/>
                <w:color w:val="000000"/>
                <w:sz w:val="16"/>
                <w:szCs w:val="16"/>
              </w:rPr>
            </w:pPr>
            <w:r>
              <w:rPr>
                <w:rFonts w:ascii="Arial" w:hAnsi="Arial" w:cs="Arial"/>
                <w:color w:val="000000"/>
                <w:sz w:val="16"/>
                <w:szCs w:val="16"/>
              </w:rPr>
              <w:t>Lebrikizumab (N=283)</w:t>
            </w:r>
          </w:p>
        </w:tc>
        <w:tc>
          <w:tcPr>
            <w:tcW w:w="804" w:type="dxa"/>
            <w:tcBorders>
              <w:top w:val="nil"/>
              <w:left w:val="nil"/>
              <w:bottom w:val="single" w:sz="4" w:space="0" w:color="auto"/>
              <w:right w:val="single" w:sz="4" w:space="0" w:color="auto"/>
            </w:tcBorders>
            <w:vAlign w:val="center"/>
            <w:hideMark/>
          </w:tcPr>
          <w:p w14:paraId="77F6A163" w14:textId="77777777" w:rsidR="000816DF" w:rsidRDefault="000816DF">
            <w:pPr>
              <w:jc w:val="center"/>
              <w:rPr>
                <w:rFonts w:ascii="Arial" w:hAnsi="Arial" w:cs="Arial"/>
                <w:color w:val="000000"/>
                <w:sz w:val="16"/>
                <w:szCs w:val="16"/>
              </w:rPr>
            </w:pPr>
            <w:r>
              <w:rPr>
                <w:rFonts w:ascii="Arial" w:hAnsi="Arial" w:cs="Arial"/>
                <w:color w:val="000000"/>
                <w:sz w:val="16"/>
                <w:szCs w:val="16"/>
              </w:rPr>
              <w:t>Placebo (N=141)</w:t>
            </w:r>
          </w:p>
        </w:tc>
        <w:tc>
          <w:tcPr>
            <w:tcW w:w="478" w:type="dxa"/>
            <w:tcBorders>
              <w:top w:val="nil"/>
              <w:left w:val="nil"/>
              <w:bottom w:val="single" w:sz="4" w:space="0" w:color="auto"/>
              <w:right w:val="single" w:sz="4" w:space="0" w:color="auto"/>
            </w:tcBorders>
            <w:noWrap/>
            <w:vAlign w:val="center"/>
            <w:hideMark/>
          </w:tcPr>
          <w:p w14:paraId="4B9A405C" w14:textId="77777777" w:rsidR="000816DF" w:rsidRDefault="000816DF">
            <w:pPr>
              <w:jc w:val="center"/>
              <w:rPr>
                <w:rFonts w:ascii="Arial" w:hAnsi="Arial" w:cs="Arial"/>
                <w:color w:val="000000"/>
                <w:sz w:val="16"/>
                <w:szCs w:val="16"/>
              </w:rPr>
            </w:pPr>
            <w:r>
              <w:rPr>
                <w:rFonts w:ascii="Arial" w:hAnsi="Arial" w:cs="Arial"/>
                <w:color w:val="000000"/>
                <w:sz w:val="16"/>
                <w:szCs w:val="16"/>
              </w:rPr>
              <w:t>RAR</w:t>
            </w:r>
          </w:p>
        </w:tc>
        <w:tc>
          <w:tcPr>
            <w:tcW w:w="650" w:type="dxa"/>
            <w:tcBorders>
              <w:top w:val="nil"/>
              <w:left w:val="nil"/>
              <w:bottom w:val="single" w:sz="4" w:space="0" w:color="auto"/>
              <w:right w:val="single" w:sz="4" w:space="0" w:color="auto"/>
            </w:tcBorders>
            <w:noWrap/>
            <w:vAlign w:val="center"/>
            <w:hideMark/>
          </w:tcPr>
          <w:p w14:paraId="77A3EAC0" w14:textId="77777777" w:rsidR="000816DF" w:rsidRDefault="000816DF">
            <w:pPr>
              <w:jc w:val="center"/>
              <w:rPr>
                <w:rFonts w:ascii="Arial" w:hAnsi="Arial" w:cs="Arial"/>
                <w:color w:val="000000"/>
                <w:sz w:val="16"/>
                <w:szCs w:val="16"/>
              </w:rPr>
            </w:pPr>
            <w:r>
              <w:rPr>
                <w:rFonts w:ascii="Arial" w:hAnsi="Arial" w:cs="Arial"/>
                <w:color w:val="000000"/>
                <w:sz w:val="16"/>
                <w:szCs w:val="16"/>
              </w:rPr>
              <w:t>IC 95%</w:t>
            </w:r>
          </w:p>
        </w:tc>
        <w:tc>
          <w:tcPr>
            <w:tcW w:w="1196" w:type="dxa"/>
            <w:tcBorders>
              <w:top w:val="nil"/>
              <w:left w:val="nil"/>
              <w:bottom w:val="single" w:sz="4" w:space="0" w:color="auto"/>
              <w:right w:val="single" w:sz="4" w:space="0" w:color="auto"/>
            </w:tcBorders>
            <w:vAlign w:val="center"/>
            <w:hideMark/>
          </w:tcPr>
          <w:p w14:paraId="6671C614" w14:textId="77777777" w:rsidR="000816DF" w:rsidRDefault="000816DF">
            <w:pPr>
              <w:jc w:val="center"/>
              <w:rPr>
                <w:rFonts w:ascii="Arial" w:hAnsi="Arial" w:cs="Arial"/>
                <w:color w:val="000000"/>
                <w:sz w:val="16"/>
                <w:szCs w:val="16"/>
              </w:rPr>
            </w:pPr>
            <w:r>
              <w:rPr>
                <w:rFonts w:ascii="Arial" w:hAnsi="Arial" w:cs="Arial"/>
                <w:color w:val="000000"/>
                <w:sz w:val="16"/>
                <w:szCs w:val="16"/>
              </w:rPr>
              <w:t>Lebrikizumab (N=281)</w:t>
            </w:r>
          </w:p>
        </w:tc>
        <w:tc>
          <w:tcPr>
            <w:tcW w:w="887" w:type="dxa"/>
            <w:tcBorders>
              <w:top w:val="nil"/>
              <w:left w:val="nil"/>
              <w:bottom w:val="single" w:sz="4" w:space="0" w:color="auto"/>
              <w:right w:val="single" w:sz="4" w:space="0" w:color="auto"/>
            </w:tcBorders>
            <w:vAlign w:val="center"/>
            <w:hideMark/>
          </w:tcPr>
          <w:p w14:paraId="35C8D0B2" w14:textId="77777777" w:rsidR="000816DF" w:rsidRDefault="000816DF">
            <w:pPr>
              <w:jc w:val="center"/>
              <w:rPr>
                <w:rFonts w:ascii="Arial" w:hAnsi="Arial" w:cs="Arial"/>
                <w:color w:val="000000"/>
                <w:sz w:val="16"/>
                <w:szCs w:val="16"/>
              </w:rPr>
            </w:pPr>
            <w:r>
              <w:rPr>
                <w:rFonts w:ascii="Arial" w:hAnsi="Arial" w:cs="Arial"/>
                <w:color w:val="000000"/>
                <w:sz w:val="16"/>
                <w:szCs w:val="16"/>
              </w:rPr>
              <w:t>Placebo (N=146)</w:t>
            </w:r>
          </w:p>
        </w:tc>
        <w:tc>
          <w:tcPr>
            <w:tcW w:w="478" w:type="dxa"/>
            <w:tcBorders>
              <w:top w:val="nil"/>
              <w:left w:val="nil"/>
              <w:bottom w:val="single" w:sz="4" w:space="0" w:color="auto"/>
              <w:right w:val="single" w:sz="4" w:space="0" w:color="auto"/>
            </w:tcBorders>
            <w:noWrap/>
            <w:vAlign w:val="center"/>
            <w:hideMark/>
          </w:tcPr>
          <w:p w14:paraId="73FB17ED" w14:textId="77777777" w:rsidR="000816DF" w:rsidRDefault="000816DF">
            <w:pPr>
              <w:jc w:val="center"/>
              <w:rPr>
                <w:rFonts w:ascii="Arial" w:hAnsi="Arial" w:cs="Arial"/>
                <w:color w:val="000000"/>
                <w:sz w:val="16"/>
                <w:szCs w:val="16"/>
              </w:rPr>
            </w:pPr>
            <w:r>
              <w:rPr>
                <w:rFonts w:ascii="Arial" w:hAnsi="Arial" w:cs="Arial"/>
                <w:color w:val="000000"/>
                <w:sz w:val="16"/>
                <w:szCs w:val="16"/>
              </w:rPr>
              <w:t>RAR</w:t>
            </w:r>
          </w:p>
        </w:tc>
        <w:tc>
          <w:tcPr>
            <w:tcW w:w="650" w:type="dxa"/>
            <w:tcBorders>
              <w:top w:val="nil"/>
              <w:left w:val="nil"/>
              <w:bottom w:val="single" w:sz="4" w:space="0" w:color="auto"/>
              <w:right w:val="single" w:sz="4" w:space="0" w:color="auto"/>
            </w:tcBorders>
            <w:noWrap/>
            <w:vAlign w:val="center"/>
            <w:hideMark/>
          </w:tcPr>
          <w:p w14:paraId="02D1C215" w14:textId="77777777" w:rsidR="000816DF" w:rsidRDefault="000816DF">
            <w:pPr>
              <w:jc w:val="center"/>
              <w:rPr>
                <w:rFonts w:ascii="Arial" w:hAnsi="Arial" w:cs="Arial"/>
                <w:color w:val="000000"/>
                <w:sz w:val="16"/>
                <w:szCs w:val="16"/>
              </w:rPr>
            </w:pPr>
            <w:r>
              <w:rPr>
                <w:rFonts w:ascii="Arial" w:hAnsi="Arial" w:cs="Arial"/>
                <w:color w:val="000000"/>
                <w:sz w:val="16"/>
                <w:szCs w:val="16"/>
              </w:rPr>
              <w:t>IC 95%</w:t>
            </w:r>
          </w:p>
        </w:tc>
        <w:tc>
          <w:tcPr>
            <w:tcW w:w="1195" w:type="dxa"/>
            <w:tcBorders>
              <w:top w:val="nil"/>
              <w:left w:val="nil"/>
              <w:bottom w:val="single" w:sz="4" w:space="0" w:color="auto"/>
              <w:right w:val="single" w:sz="4" w:space="0" w:color="auto"/>
            </w:tcBorders>
            <w:vAlign w:val="center"/>
            <w:hideMark/>
          </w:tcPr>
          <w:p w14:paraId="440F5128" w14:textId="77777777" w:rsidR="000816DF" w:rsidRDefault="000816DF">
            <w:pPr>
              <w:jc w:val="center"/>
              <w:rPr>
                <w:rFonts w:ascii="Arial" w:hAnsi="Arial" w:cs="Arial"/>
                <w:color w:val="000000"/>
                <w:sz w:val="16"/>
                <w:szCs w:val="16"/>
              </w:rPr>
            </w:pPr>
            <w:r>
              <w:rPr>
                <w:rFonts w:ascii="Arial" w:hAnsi="Arial" w:cs="Arial"/>
                <w:color w:val="000000"/>
                <w:sz w:val="16"/>
                <w:szCs w:val="16"/>
              </w:rPr>
              <w:t>VARIABLES</w:t>
            </w:r>
          </w:p>
        </w:tc>
        <w:tc>
          <w:tcPr>
            <w:tcW w:w="918" w:type="dxa"/>
            <w:tcBorders>
              <w:top w:val="nil"/>
              <w:left w:val="nil"/>
              <w:bottom w:val="single" w:sz="4" w:space="0" w:color="auto"/>
              <w:right w:val="single" w:sz="4" w:space="0" w:color="auto"/>
            </w:tcBorders>
            <w:vAlign w:val="center"/>
            <w:hideMark/>
          </w:tcPr>
          <w:p w14:paraId="1AA947D9" w14:textId="77777777" w:rsidR="000816DF" w:rsidRDefault="000816DF">
            <w:pPr>
              <w:jc w:val="center"/>
              <w:rPr>
                <w:rFonts w:ascii="Arial" w:hAnsi="Arial" w:cs="Arial"/>
                <w:color w:val="000000"/>
                <w:sz w:val="16"/>
                <w:szCs w:val="16"/>
              </w:rPr>
            </w:pPr>
            <w:r>
              <w:rPr>
                <w:rFonts w:ascii="Arial" w:hAnsi="Arial" w:cs="Arial"/>
                <w:color w:val="000000"/>
                <w:sz w:val="16"/>
                <w:szCs w:val="16"/>
              </w:rPr>
              <w:t>RAR agrupado</w:t>
            </w:r>
          </w:p>
        </w:tc>
        <w:tc>
          <w:tcPr>
            <w:tcW w:w="745" w:type="dxa"/>
            <w:tcBorders>
              <w:top w:val="nil"/>
              <w:left w:val="nil"/>
              <w:bottom w:val="single" w:sz="4" w:space="0" w:color="auto"/>
              <w:right w:val="single" w:sz="4" w:space="0" w:color="auto"/>
            </w:tcBorders>
            <w:vAlign w:val="center"/>
            <w:hideMark/>
          </w:tcPr>
          <w:p w14:paraId="6B3611EB" w14:textId="77777777" w:rsidR="000816DF" w:rsidRDefault="000816DF">
            <w:pPr>
              <w:jc w:val="center"/>
              <w:rPr>
                <w:rFonts w:ascii="Arial" w:hAnsi="Arial" w:cs="Arial"/>
                <w:color w:val="000000"/>
                <w:sz w:val="16"/>
                <w:szCs w:val="16"/>
              </w:rPr>
            </w:pPr>
            <w:r>
              <w:rPr>
                <w:rFonts w:ascii="Arial" w:hAnsi="Arial" w:cs="Arial"/>
                <w:color w:val="000000"/>
                <w:sz w:val="16"/>
                <w:szCs w:val="16"/>
              </w:rPr>
              <w:t>IC95%</w:t>
            </w:r>
          </w:p>
        </w:tc>
      </w:tr>
      <w:tr w:rsidR="000816DF" w14:paraId="0AAFB776" w14:textId="77777777" w:rsidTr="000816DF">
        <w:trPr>
          <w:trHeight w:val="300"/>
        </w:trPr>
        <w:tc>
          <w:tcPr>
            <w:tcW w:w="1079" w:type="dxa"/>
            <w:tcBorders>
              <w:top w:val="nil"/>
              <w:left w:val="single" w:sz="4" w:space="0" w:color="auto"/>
              <w:bottom w:val="single" w:sz="4" w:space="0" w:color="auto"/>
              <w:right w:val="single" w:sz="4" w:space="0" w:color="auto"/>
            </w:tcBorders>
            <w:noWrap/>
            <w:vAlign w:val="center"/>
            <w:hideMark/>
          </w:tcPr>
          <w:p w14:paraId="664221A7" w14:textId="77777777" w:rsidR="000816DF" w:rsidRDefault="000816DF">
            <w:pPr>
              <w:jc w:val="center"/>
              <w:rPr>
                <w:rFonts w:ascii="Arial" w:hAnsi="Arial" w:cs="Arial"/>
                <w:color w:val="000000"/>
                <w:sz w:val="16"/>
                <w:szCs w:val="16"/>
              </w:rPr>
            </w:pPr>
            <w:r>
              <w:rPr>
                <w:rFonts w:ascii="Arial" w:hAnsi="Arial" w:cs="Arial"/>
                <w:color w:val="000000"/>
                <w:sz w:val="16"/>
                <w:szCs w:val="16"/>
              </w:rPr>
              <w:t>EASI75</w:t>
            </w:r>
          </w:p>
        </w:tc>
        <w:tc>
          <w:tcPr>
            <w:tcW w:w="1174" w:type="dxa"/>
            <w:tcBorders>
              <w:top w:val="nil"/>
              <w:left w:val="nil"/>
              <w:bottom w:val="single" w:sz="4" w:space="0" w:color="auto"/>
              <w:right w:val="single" w:sz="4" w:space="0" w:color="auto"/>
            </w:tcBorders>
            <w:noWrap/>
            <w:vAlign w:val="center"/>
            <w:hideMark/>
          </w:tcPr>
          <w:p w14:paraId="1211FB8E" w14:textId="77777777" w:rsidR="000816DF" w:rsidRDefault="000816DF">
            <w:pPr>
              <w:jc w:val="center"/>
              <w:rPr>
                <w:rFonts w:ascii="Arial" w:hAnsi="Arial" w:cs="Arial"/>
                <w:color w:val="000000"/>
                <w:sz w:val="16"/>
                <w:szCs w:val="16"/>
              </w:rPr>
            </w:pPr>
            <w:r>
              <w:rPr>
                <w:rFonts w:ascii="Arial" w:hAnsi="Arial" w:cs="Arial"/>
                <w:color w:val="000000"/>
                <w:sz w:val="16"/>
                <w:szCs w:val="16"/>
              </w:rPr>
              <w:t>59</w:t>
            </w:r>
          </w:p>
        </w:tc>
        <w:tc>
          <w:tcPr>
            <w:tcW w:w="804" w:type="dxa"/>
            <w:tcBorders>
              <w:top w:val="nil"/>
              <w:left w:val="nil"/>
              <w:bottom w:val="single" w:sz="4" w:space="0" w:color="auto"/>
              <w:right w:val="single" w:sz="4" w:space="0" w:color="auto"/>
            </w:tcBorders>
            <w:noWrap/>
            <w:vAlign w:val="center"/>
            <w:hideMark/>
          </w:tcPr>
          <w:p w14:paraId="56EC420A" w14:textId="77777777" w:rsidR="000816DF" w:rsidRDefault="000816DF">
            <w:pPr>
              <w:jc w:val="center"/>
              <w:rPr>
                <w:rFonts w:ascii="Arial" w:hAnsi="Arial" w:cs="Arial"/>
                <w:color w:val="000000"/>
                <w:sz w:val="16"/>
                <w:szCs w:val="16"/>
              </w:rPr>
            </w:pPr>
            <w:r>
              <w:rPr>
                <w:rFonts w:ascii="Arial" w:hAnsi="Arial" w:cs="Arial"/>
                <w:color w:val="000000"/>
                <w:sz w:val="16"/>
                <w:szCs w:val="16"/>
              </w:rPr>
              <w:t>16</w:t>
            </w:r>
          </w:p>
        </w:tc>
        <w:tc>
          <w:tcPr>
            <w:tcW w:w="478" w:type="dxa"/>
            <w:tcBorders>
              <w:top w:val="nil"/>
              <w:left w:val="nil"/>
              <w:bottom w:val="single" w:sz="4" w:space="0" w:color="auto"/>
              <w:right w:val="single" w:sz="4" w:space="0" w:color="auto"/>
            </w:tcBorders>
            <w:noWrap/>
            <w:vAlign w:val="center"/>
            <w:hideMark/>
          </w:tcPr>
          <w:p w14:paraId="40AE501A" w14:textId="77777777" w:rsidR="000816DF" w:rsidRDefault="000816DF">
            <w:pPr>
              <w:jc w:val="center"/>
              <w:rPr>
                <w:rFonts w:ascii="Arial" w:hAnsi="Arial" w:cs="Arial"/>
                <w:color w:val="000000"/>
                <w:sz w:val="16"/>
                <w:szCs w:val="16"/>
              </w:rPr>
            </w:pPr>
            <w:r>
              <w:rPr>
                <w:rFonts w:ascii="Arial" w:hAnsi="Arial" w:cs="Arial"/>
                <w:color w:val="000000"/>
                <w:sz w:val="16"/>
                <w:szCs w:val="16"/>
              </w:rPr>
              <w:t>10</w:t>
            </w:r>
          </w:p>
        </w:tc>
        <w:tc>
          <w:tcPr>
            <w:tcW w:w="650" w:type="dxa"/>
            <w:tcBorders>
              <w:top w:val="nil"/>
              <w:left w:val="nil"/>
              <w:bottom w:val="single" w:sz="4" w:space="0" w:color="auto"/>
              <w:right w:val="single" w:sz="4" w:space="0" w:color="auto"/>
            </w:tcBorders>
            <w:noWrap/>
            <w:vAlign w:val="center"/>
            <w:hideMark/>
          </w:tcPr>
          <w:p w14:paraId="7A43C072" w14:textId="77777777" w:rsidR="000816DF" w:rsidRDefault="000816DF">
            <w:pPr>
              <w:jc w:val="center"/>
              <w:rPr>
                <w:rFonts w:ascii="Arial" w:hAnsi="Arial" w:cs="Arial"/>
                <w:color w:val="000000"/>
                <w:sz w:val="16"/>
                <w:szCs w:val="16"/>
              </w:rPr>
            </w:pPr>
            <w:r>
              <w:rPr>
                <w:rFonts w:ascii="Arial" w:hAnsi="Arial" w:cs="Arial"/>
                <w:color w:val="000000"/>
                <w:sz w:val="16"/>
                <w:szCs w:val="16"/>
              </w:rPr>
              <w:t>(2;17)</w:t>
            </w:r>
          </w:p>
        </w:tc>
        <w:tc>
          <w:tcPr>
            <w:tcW w:w="1196" w:type="dxa"/>
            <w:tcBorders>
              <w:top w:val="nil"/>
              <w:left w:val="nil"/>
              <w:bottom w:val="single" w:sz="4" w:space="0" w:color="auto"/>
              <w:right w:val="single" w:sz="4" w:space="0" w:color="auto"/>
            </w:tcBorders>
            <w:noWrap/>
            <w:vAlign w:val="center"/>
            <w:hideMark/>
          </w:tcPr>
          <w:p w14:paraId="143ACECD" w14:textId="77777777" w:rsidR="000816DF" w:rsidRDefault="000816DF">
            <w:pPr>
              <w:jc w:val="center"/>
              <w:rPr>
                <w:rFonts w:ascii="Arial" w:hAnsi="Arial" w:cs="Arial"/>
                <w:color w:val="000000"/>
                <w:sz w:val="16"/>
                <w:szCs w:val="16"/>
              </w:rPr>
            </w:pPr>
            <w:r>
              <w:rPr>
                <w:rFonts w:ascii="Arial" w:hAnsi="Arial" w:cs="Arial"/>
                <w:color w:val="000000"/>
                <w:sz w:val="16"/>
                <w:szCs w:val="16"/>
              </w:rPr>
              <w:t>52</w:t>
            </w:r>
          </w:p>
        </w:tc>
        <w:tc>
          <w:tcPr>
            <w:tcW w:w="887" w:type="dxa"/>
            <w:tcBorders>
              <w:top w:val="nil"/>
              <w:left w:val="nil"/>
              <w:bottom w:val="single" w:sz="4" w:space="0" w:color="auto"/>
              <w:right w:val="single" w:sz="4" w:space="0" w:color="auto"/>
            </w:tcBorders>
            <w:noWrap/>
            <w:vAlign w:val="center"/>
            <w:hideMark/>
          </w:tcPr>
          <w:p w14:paraId="2F1C4BD7" w14:textId="77777777" w:rsidR="000816DF" w:rsidRDefault="000816DF">
            <w:pPr>
              <w:jc w:val="center"/>
              <w:rPr>
                <w:rFonts w:ascii="Arial" w:hAnsi="Arial" w:cs="Arial"/>
                <w:color w:val="000000"/>
                <w:sz w:val="16"/>
                <w:szCs w:val="16"/>
              </w:rPr>
            </w:pPr>
            <w:r>
              <w:rPr>
                <w:rFonts w:ascii="Arial" w:hAnsi="Arial" w:cs="Arial"/>
                <w:color w:val="000000"/>
                <w:sz w:val="16"/>
                <w:szCs w:val="16"/>
              </w:rPr>
              <w:t>18</w:t>
            </w:r>
          </w:p>
        </w:tc>
        <w:tc>
          <w:tcPr>
            <w:tcW w:w="478" w:type="dxa"/>
            <w:tcBorders>
              <w:top w:val="nil"/>
              <w:left w:val="nil"/>
              <w:bottom w:val="single" w:sz="4" w:space="0" w:color="auto"/>
              <w:right w:val="single" w:sz="4" w:space="0" w:color="auto"/>
            </w:tcBorders>
            <w:noWrap/>
            <w:vAlign w:val="center"/>
            <w:hideMark/>
          </w:tcPr>
          <w:p w14:paraId="6B9647E0" w14:textId="77777777" w:rsidR="000816DF" w:rsidRDefault="000816DF">
            <w:pPr>
              <w:jc w:val="center"/>
              <w:rPr>
                <w:rFonts w:ascii="Arial" w:hAnsi="Arial" w:cs="Arial"/>
                <w:color w:val="000000"/>
                <w:sz w:val="16"/>
                <w:szCs w:val="16"/>
              </w:rPr>
            </w:pPr>
            <w:r>
              <w:rPr>
                <w:rFonts w:ascii="Arial" w:hAnsi="Arial" w:cs="Arial"/>
                <w:color w:val="000000"/>
                <w:sz w:val="16"/>
                <w:szCs w:val="16"/>
              </w:rPr>
              <w:t>6</w:t>
            </w:r>
          </w:p>
        </w:tc>
        <w:tc>
          <w:tcPr>
            <w:tcW w:w="650" w:type="dxa"/>
            <w:tcBorders>
              <w:top w:val="nil"/>
              <w:left w:val="nil"/>
              <w:bottom w:val="single" w:sz="4" w:space="0" w:color="auto"/>
              <w:right w:val="single" w:sz="4" w:space="0" w:color="auto"/>
            </w:tcBorders>
            <w:noWrap/>
            <w:vAlign w:val="center"/>
            <w:hideMark/>
          </w:tcPr>
          <w:p w14:paraId="7F50553B" w14:textId="77777777" w:rsidR="000816DF" w:rsidRDefault="000816DF">
            <w:pPr>
              <w:jc w:val="center"/>
              <w:rPr>
                <w:rFonts w:ascii="Arial" w:hAnsi="Arial" w:cs="Arial"/>
                <w:color w:val="000000"/>
                <w:sz w:val="16"/>
                <w:szCs w:val="16"/>
              </w:rPr>
            </w:pPr>
            <w:r>
              <w:rPr>
                <w:rFonts w:ascii="Arial" w:hAnsi="Arial" w:cs="Arial"/>
                <w:color w:val="000000"/>
                <w:sz w:val="16"/>
                <w:szCs w:val="16"/>
              </w:rPr>
              <w:t>(-1;13)</w:t>
            </w:r>
          </w:p>
        </w:tc>
        <w:tc>
          <w:tcPr>
            <w:tcW w:w="1195" w:type="dxa"/>
            <w:tcBorders>
              <w:top w:val="nil"/>
              <w:left w:val="nil"/>
              <w:bottom w:val="single" w:sz="4" w:space="0" w:color="auto"/>
              <w:right w:val="single" w:sz="4" w:space="0" w:color="auto"/>
            </w:tcBorders>
            <w:noWrap/>
            <w:vAlign w:val="center"/>
            <w:hideMark/>
          </w:tcPr>
          <w:p w14:paraId="47E2B830" w14:textId="77777777" w:rsidR="000816DF" w:rsidRDefault="000816DF">
            <w:pPr>
              <w:jc w:val="center"/>
              <w:rPr>
                <w:rFonts w:ascii="Arial" w:hAnsi="Arial" w:cs="Arial"/>
                <w:color w:val="000000"/>
                <w:sz w:val="16"/>
                <w:szCs w:val="16"/>
              </w:rPr>
            </w:pPr>
            <w:r>
              <w:rPr>
                <w:rFonts w:ascii="Arial" w:hAnsi="Arial" w:cs="Arial"/>
                <w:color w:val="000000"/>
                <w:sz w:val="16"/>
                <w:szCs w:val="16"/>
              </w:rPr>
              <w:t>EASI75</w:t>
            </w:r>
          </w:p>
        </w:tc>
        <w:tc>
          <w:tcPr>
            <w:tcW w:w="918" w:type="dxa"/>
            <w:tcBorders>
              <w:top w:val="nil"/>
              <w:left w:val="nil"/>
              <w:bottom w:val="single" w:sz="4" w:space="0" w:color="auto"/>
              <w:right w:val="single" w:sz="4" w:space="0" w:color="auto"/>
            </w:tcBorders>
            <w:noWrap/>
            <w:vAlign w:val="center"/>
            <w:hideMark/>
          </w:tcPr>
          <w:p w14:paraId="5FC0D7BC" w14:textId="77777777" w:rsidR="000816DF" w:rsidRDefault="000816DF">
            <w:pPr>
              <w:jc w:val="center"/>
              <w:rPr>
                <w:rFonts w:ascii="Arial" w:hAnsi="Arial" w:cs="Arial"/>
                <w:color w:val="000000"/>
                <w:sz w:val="16"/>
                <w:szCs w:val="16"/>
              </w:rPr>
            </w:pPr>
            <w:r>
              <w:rPr>
                <w:rFonts w:ascii="Arial" w:hAnsi="Arial" w:cs="Arial"/>
                <w:color w:val="000000"/>
                <w:sz w:val="16"/>
                <w:szCs w:val="16"/>
              </w:rPr>
              <w:t>8</w:t>
            </w:r>
          </w:p>
        </w:tc>
        <w:tc>
          <w:tcPr>
            <w:tcW w:w="745" w:type="dxa"/>
            <w:tcBorders>
              <w:top w:val="nil"/>
              <w:left w:val="nil"/>
              <w:bottom w:val="single" w:sz="4" w:space="0" w:color="auto"/>
              <w:right w:val="single" w:sz="4" w:space="0" w:color="auto"/>
            </w:tcBorders>
            <w:noWrap/>
            <w:vAlign w:val="center"/>
            <w:hideMark/>
          </w:tcPr>
          <w:p w14:paraId="04214063" w14:textId="77777777" w:rsidR="000816DF" w:rsidRDefault="000816DF">
            <w:pPr>
              <w:jc w:val="center"/>
              <w:rPr>
                <w:rFonts w:ascii="Arial" w:hAnsi="Arial" w:cs="Arial"/>
                <w:color w:val="000000"/>
                <w:sz w:val="16"/>
                <w:szCs w:val="16"/>
              </w:rPr>
            </w:pPr>
            <w:r>
              <w:rPr>
                <w:rFonts w:ascii="Arial" w:hAnsi="Arial" w:cs="Arial"/>
                <w:color w:val="000000"/>
                <w:sz w:val="16"/>
                <w:szCs w:val="16"/>
              </w:rPr>
              <w:t>(3;13)</w:t>
            </w:r>
          </w:p>
        </w:tc>
      </w:tr>
      <w:tr w:rsidR="000816DF" w14:paraId="25BD106F" w14:textId="77777777" w:rsidTr="000816DF">
        <w:trPr>
          <w:trHeight w:val="300"/>
        </w:trPr>
        <w:tc>
          <w:tcPr>
            <w:tcW w:w="1079" w:type="dxa"/>
            <w:tcBorders>
              <w:top w:val="nil"/>
              <w:left w:val="single" w:sz="4" w:space="0" w:color="auto"/>
              <w:bottom w:val="single" w:sz="4" w:space="0" w:color="auto"/>
              <w:right w:val="single" w:sz="4" w:space="0" w:color="auto"/>
            </w:tcBorders>
            <w:noWrap/>
            <w:vAlign w:val="center"/>
            <w:hideMark/>
          </w:tcPr>
          <w:p w14:paraId="121DE4C4" w14:textId="77777777" w:rsidR="000816DF" w:rsidRDefault="000816DF">
            <w:pPr>
              <w:jc w:val="center"/>
              <w:rPr>
                <w:rFonts w:ascii="Arial" w:hAnsi="Arial" w:cs="Arial"/>
                <w:color w:val="000000"/>
                <w:sz w:val="16"/>
                <w:szCs w:val="16"/>
              </w:rPr>
            </w:pPr>
            <w:r>
              <w:rPr>
                <w:rFonts w:ascii="Arial" w:hAnsi="Arial" w:cs="Arial"/>
                <w:color w:val="000000"/>
                <w:sz w:val="16"/>
                <w:szCs w:val="16"/>
              </w:rPr>
              <w:t>IGA 0/1</w:t>
            </w:r>
          </w:p>
        </w:tc>
        <w:tc>
          <w:tcPr>
            <w:tcW w:w="1174" w:type="dxa"/>
            <w:tcBorders>
              <w:top w:val="nil"/>
              <w:left w:val="nil"/>
              <w:bottom w:val="single" w:sz="4" w:space="0" w:color="auto"/>
              <w:right w:val="single" w:sz="4" w:space="0" w:color="auto"/>
            </w:tcBorders>
            <w:noWrap/>
            <w:vAlign w:val="center"/>
            <w:hideMark/>
          </w:tcPr>
          <w:p w14:paraId="1FDDDDD7" w14:textId="77777777" w:rsidR="000816DF" w:rsidRDefault="000816DF">
            <w:pPr>
              <w:jc w:val="center"/>
              <w:rPr>
                <w:rFonts w:ascii="Arial" w:hAnsi="Arial" w:cs="Arial"/>
                <w:color w:val="000000"/>
                <w:sz w:val="16"/>
                <w:szCs w:val="16"/>
              </w:rPr>
            </w:pPr>
            <w:r>
              <w:rPr>
                <w:rFonts w:ascii="Arial" w:hAnsi="Arial" w:cs="Arial"/>
                <w:color w:val="000000"/>
                <w:sz w:val="16"/>
                <w:szCs w:val="16"/>
              </w:rPr>
              <w:t>43</w:t>
            </w:r>
          </w:p>
        </w:tc>
        <w:tc>
          <w:tcPr>
            <w:tcW w:w="804" w:type="dxa"/>
            <w:tcBorders>
              <w:top w:val="nil"/>
              <w:left w:val="nil"/>
              <w:bottom w:val="single" w:sz="4" w:space="0" w:color="auto"/>
              <w:right w:val="single" w:sz="4" w:space="0" w:color="auto"/>
            </w:tcBorders>
            <w:noWrap/>
            <w:vAlign w:val="center"/>
            <w:hideMark/>
          </w:tcPr>
          <w:p w14:paraId="1D944225" w14:textId="77777777" w:rsidR="000816DF" w:rsidRDefault="000816DF">
            <w:pPr>
              <w:jc w:val="center"/>
              <w:rPr>
                <w:rFonts w:ascii="Arial" w:hAnsi="Arial" w:cs="Arial"/>
                <w:color w:val="000000"/>
                <w:sz w:val="16"/>
                <w:szCs w:val="16"/>
              </w:rPr>
            </w:pPr>
            <w:r>
              <w:rPr>
                <w:rFonts w:ascii="Arial" w:hAnsi="Arial" w:cs="Arial"/>
                <w:color w:val="000000"/>
                <w:sz w:val="16"/>
                <w:szCs w:val="16"/>
              </w:rPr>
              <w:t>13</w:t>
            </w:r>
          </w:p>
        </w:tc>
        <w:tc>
          <w:tcPr>
            <w:tcW w:w="478" w:type="dxa"/>
            <w:tcBorders>
              <w:top w:val="nil"/>
              <w:left w:val="nil"/>
              <w:bottom w:val="single" w:sz="4" w:space="0" w:color="auto"/>
              <w:right w:val="single" w:sz="4" w:space="0" w:color="auto"/>
            </w:tcBorders>
            <w:noWrap/>
            <w:vAlign w:val="center"/>
            <w:hideMark/>
          </w:tcPr>
          <w:p w14:paraId="5BBA5264" w14:textId="77777777" w:rsidR="000816DF" w:rsidRDefault="000816DF">
            <w:pPr>
              <w:jc w:val="center"/>
              <w:rPr>
                <w:rFonts w:ascii="Arial" w:hAnsi="Arial" w:cs="Arial"/>
                <w:color w:val="000000"/>
                <w:sz w:val="16"/>
                <w:szCs w:val="16"/>
              </w:rPr>
            </w:pPr>
            <w:r>
              <w:rPr>
                <w:rFonts w:ascii="Arial" w:hAnsi="Arial" w:cs="Arial"/>
                <w:color w:val="000000"/>
                <w:sz w:val="16"/>
                <w:szCs w:val="16"/>
              </w:rPr>
              <w:t>6</w:t>
            </w:r>
          </w:p>
        </w:tc>
        <w:tc>
          <w:tcPr>
            <w:tcW w:w="650" w:type="dxa"/>
            <w:tcBorders>
              <w:top w:val="nil"/>
              <w:left w:val="nil"/>
              <w:bottom w:val="single" w:sz="4" w:space="0" w:color="auto"/>
              <w:right w:val="single" w:sz="4" w:space="0" w:color="auto"/>
            </w:tcBorders>
            <w:noWrap/>
            <w:vAlign w:val="center"/>
            <w:hideMark/>
          </w:tcPr>
          <w:p w14:paraId="15F7B513" w14:textId="77777777" w:rsidR="000816DF" w:rsidRDefault="000816DF">
            <w:pPr>
              <w:jc w:val="center"/>
              <w:rPr>
                <w:rFonts w:ascii="Arial" w:hAnsi="Arial" w:cs="Arial"/>
                <w:color w:val="000000"/>
                <w:sz w:val="16"/>
                <w:szCs w:val="16"/>
              </w:rPr>
            </w:pPr>
            <w:r>
              <w:rPr>
                <w:rFonts w:ascii="Arial" w:hAnsi="Arial" w:cs="Arial"/>
                <w:color w:val="000000"/>
                <w:sz w:val="16"/>
                <w:szCs w:val="16"/>
              </w:rPr>
              <w:t>(0;12)</w:t>
            </w:r>
          </w:p>
        </w:tc>
        <w:tc>
          <w:tcPr>
            <w:tcW w:w="1196" w:type="dxa"/>
            <w:tcBorders>
              <w:top w:val="nil"/>
              <w:left w:val="nil"/>
              <w:bottom w:val="single" w:sz="4" w:space="0" w:color="auto"/>
              <w:right w:val="single" w:sz="4" w:space="0" w:color="auto"/>
            </w:tcBorders>
            <w:noWrap/>
            <w:vAlign w:val="center"/>
            <w:hideMark/>
          </w:tcPr>
          <w:p w14:paraId="5AEA5F36" w14:textId="77777777" w:rsidR="000816DF" w:rsidRDefault="000816DF">
            <w:pPr>
              <w:jc w:val="center"/>
              <w:rPr>
                <w:rFonts w:ascii="Arial" w:hAnsi="Arial" w:cs="Arial"/>
                <w:color w:val="000000"/>
                <w:sz w:val="16"/>
                <w:szCs w:val="16"/>
              </w:rPr>
            </w:pPr>
            <w:r>
              <w:rPr>
                <w:rFonts w:ascii="Arial" w:hAnsi="Arial" w:cs="Arial"/>
                <w:color w:val="000000"/>
                <w:sz w:val="16"/>
                <w:szCs w:val="16"/>
              </w:rPr>
              <w:t>33</w:t>
            </w:r>
          </w:p>
        </w:tc>
        <w:tc>
          <w:tcPr>
            <w:tcW w:w="887" w:type="dxa"/>
            <w:tcBorders>
              <w:top w:val="nil"/>
              <w:left w:val="nil"/>
              <w:bottom w:val="single" w:sz="4" w:space="0" w:color="auto"/>
              <w:right w:val="single" w:sz="4" w:space="0" w:color="auto"/>
            </w:tcBorders>
            <w:noWrap/>
            <w:vAlign w:val="center"/>
            <w:hideMark/>
          </w:tcPr>
          <w:p w14:paraId="6C537521" w14:textId="77777777" w:rsidR="000816DF" w:rsidRDefault="000816DF">
            <w:pPr>
              <w:jc w:val="center"/>
              <w:rPr>
                <w:rFonts w:ascii="Arial" w:hAnsi="Arial" w:cs="Arial"/>
                <w:color w:val="000000"/>
                <w:sz w:val="16"/>
                <w:szCs w:val="16"/>
              </w:rPr>
            </w:pPr>
            <w:r>
              <w:rPr>
                <w:rFonts w:ascii="Arial" w:hAnsi="Arial" w:cs="Arial"/>
                <w:color w:val="000000"/>
                <w:sz w:val="16"/>
                <w:szCs w:val="16"/>
              </w:rPr>
              <w:t>11</w:t>
            </w:r>
          </w:p>
        </w:tc>
        <w:tc>
          <w:tcPr>
            <w:tcW w:w="478" w:type="dxa"/>
            <w:tcBorders>
              <w:top w:val="nil"/>
              <w:left w:val="nil"/>
              <w:bottom w:val="single" w:sz="4" w:space="0" w:color="auto"/>
              <w:right w:val="single" w:sz="4" w:space="0" w:color="auto"/>
            </w:tcBorders>
            <w:noWrap/>
            <w:vAlign w:val="center"/>
            <w:hideMark/>
          </w:tcPr>
          <w:p w14:paraId="58C15D03" w14:textId="77777777" w:rsidR="000816DF" w:rsidRDefault="000816DF">
            <w:pPr>
              <w:jc w:val="center"/>
              <w:rPr>
                <w:rFonts w:ascii="Arial" w:hAnsi="Arial" w:cs="Arial"/>
                <w:color w:val="000000"/>
                <w:sz w:val="16"/>
                <w:szCs w:val="16"/>
              </w:rPr>
            </w:pPr>
            <w:r>
              <w:rPr>
                <w:rFonts w:ascii="Arial" w:hAnsi="Arial" w:cs="Arial"/>
                <w:color w:val="000000"/>
                <w:sz w:val="16"/>
                <w:szCs w:val="16"/>
              </w:rPr>
              <w:t>4</w:t>
            </w:r>
          </w:p>
        </w:tc>
        <w:tc>
          <w:tcPr>
            <w:tcW w:w="650" w:type="dxa"/>
            <w:tcBorders>
              <w:top w:val="nil"/>
              <w:left w:val="nil"/>
              <w:bottom w:val="single" w:sz="4" w:space="0" w:color="auto"/>
              <w:right w:val="single" w:sz="4" w:space="0" w:color="auto"/>
            </w:tcBorders>
            <w:noWrap/>
            <w:vAlign w:val="center"/>
            <w:hideMark/>
          </w:tcPr>
          <w:p w14:paraId="0D1A16D5" w14:textId="77777777" w:rsidR="000816DF" w:rsidRDefault="000816DF">
            <w:pPr>
              <w:jc w:val="center"/>
              <w:rPr>
                <w:rFonts w:ascii="Arial" w:hAnsi="Arial" w:cs="Arial"/>
                <w:color w:val="000000"/>
                <w:sz w:val="16"/>
                <w:szCs w:val="16"/>
              </w:rPr>
            </w:pPr>
            <w:r>
              <w:rPr>
                <w:rFonts w:ascii="Arial" w:hAnsi="Arial" w:cs="Arial"/>
                <w:color w:val="000000"/>
                <w:sz w:val="16"/>
                <w:szCs w:val="16"/>
              </w:rPr>
              <w:t>(-1;10)</w:t>
            </w:r>
          </w:p>
        </w:tc>
        <w:tc>
          <w:tcPr>
            <w:tcW w:w="1195" w:type="dxa"/>
            <w:tcBorders>
              <w:top w:val="nil"/>
              <w:left w:val="nil"/>
              <w:bottom w:val="single" w:sz="4" w:space="0" w:color="auto"/>
              <w:right w:val="single" w:sz="4" w:space="0" w:color="auto"/>
            </w:tcBorders>
            <w:noWrap/>
            <w:vAlign w:val="center"/>
            <w:hideMark/>
          </w:tcPr>
          <w:p w14:paraId="3CEA9B95" w14:textId="77777777" w:rsidR="000816DF" w:rsidRDefault="000816DF">
            <w:pPr>
              <w:jc w:val="center"/>
              <w:rPr>
                <w:rFonts w:ascii="Arial" w:hAnsi="Arial" w:cs="Arial"/>
                <w:color w:val="000000"/>
                <w:sz w:val="16"/>
                <w:szCs w:val="16"/>
              </w:rPr>
            </w:pPr>
            <w:r>
              <w:rPr>
                <w:rFonts w:ascii="Arial" w:hAnsi="Arial" w:cs="Arial"/>
                <w:color w:val="000000"/>
                <w:sz w:val="16"/>
                <w:szCs w:val="16"/>
              </w:rPr>
              <w:t>IGA 0/1</w:t>
            </w:r>
          </w:p>
        </w:tc>
        <w:tc>
          <w:tcPr>
            <w:tcW w:w="918" w:type="dxa"/>
            <w:tcBorders>
              <w:top w:val="nil"/>
              <w:left w:val="nil"/>
              <w:bottom w:val="single" w:sz="4" w:space="0" w:color="auto"/>
              <w:right w:val="single" w:sz="4" w:space="0" w:color="auto"/>
            </w:tcBorders>
            <w:noWrap/>
            <w:vAlign w:val="center"/>
            <w:hideMark/>
          </w:tcPr>
          <w:p w14:paraId="0F5F716F" w14:textId="77777777" w:rsidR="000816DF" w:rsidRDefault="000816DF">
            <w:pPr>
              <w:jc w:val="center"/>
              <w:rPr>
                <w:rFonts w:ascii="Arial" w:hAnsi="Arial" w:cs="Arial"/>
                <w:color w:val="000000"/>
                <w:sz w:val="16"/>
                <w:szCs w:val="16"/>
              </w:rPr>
            </w:pPr>
            <w:r>
              <w:rPr>
                <w:rFonts w:ascii="Arial" w:hAnsi="Arial" w:cs="Arial"/>
                <w:color w:val="000000"/>
                <w:sz w:val="16"/>
                <w:szCs w:val="16"/>
              </w:rPr>
              <w:t>5</w:t>
            </w:r>
          </w:p>
        </w:tc>
        <w:tc>
          <w:tcPr>
            <w:tcW w:w="745" w:type="dxa"/>
            <w:tcBorders>
              <w:top w:val="nil"/>
              <w:left w:val="nil"/>
              <w:bottom w:val="single" w:sz="4" w:space="0" w:color="auto"/>
              <w:right w:val="single" w:sz="4" w:space="0" w:color="auto"/>
            </w:tcBorders>
            <w:noWrap/>
            <w:vAlign w:val="center"/>
            <w:hideMark/>
          </w:tcPr>
          <w:p w14:paraId="5B8F5BAE" w14:textId="77777777" w:rsidR="000816DF" w:rsidRDefault="000816DF">
            <w:pPr>
              <w:jc w:val="center"/>
              <w:rPr>
                <w:rFonts w:ascii="Arial" w:hAnsi="Arial" w:cs="Arial"/>
                <w:color w:val="000000"/>
                <w:sz w:val="16"/>
                <w:szCs w:val="16"/>
              </w:rPr>
            </w:pPr>
            <w:r>
              <w:rPr>
                <w:rFonts w:ascii="Arial" w:hAnsi="Arial" w:cs="Arial"/>
                <w:color w:val="000000"/>
                <w:sz w:val="16"/>
                <w:szCs w:val="16"/>
              </w:rPr>
              <w:t>(1;9)</w:t>
            </w:r>
          </w:p>
        </w:tc>
      </w:tr>
      <w:tr w:rsidR="000816DF" w14:paraId="24CE3EB5" w14:textId="77777777" w:rsidTr="000816DF">
        <w:trPr>
          <w:trHeight w:val="300"/>
        </w:trPr>
        <w:tc>
          <w:tcPr>
            <w:tcW w:w="1079" w:type="dxa"/>
            <w:tcBorders>
              <w:top w:val="nil"/>
              <w:left w:val="single" w:sz="4" w:space="0" w:color="auto"/>
              <w:bottom w:val="single" w:sz="4" w:space="0" w:color="auto"/>
              <w:right w:val="single" w:sz="4" w:space="0" w:color="auto"/>
            </w:tcBorders>
            <w:noWrap/>
            <w:vAlign w:val="center"/>
            <w:hideMark/>
          </w:tcPr>
          <w:p w14:paraId="612C2D37" w14:textId="77777777" w:rsidR="000816DF" w:rsidRDefault="000816DF">
            <w:pPr>
              <w:jc w:val="center"/>
              <w:rPr>
                <w:rFonts w:ascii="Arial" w:hAnsi="Arial" w:cs="Arial"/>
                <w:color w:val="000000"/>
                <w:sz w:val="16"/>
                <w:szCs w:val="16"/>
              </w:rPr>
            </w:pPr>
            <w:r>
              <w:rPr>
                <w:rFonts w:ascii="Arial" w:hAnsi="Arial" w:cs="Arial"/>
                <w:color w:val="000000"/>
                <w:sz w:val="16"/>
                <w:szCs w:val="16"/>
              </w:rPr>
              <w:t>PP-NRS</w:t>
            </w:r>
          </w:p>
        </w:tc>
        <w:tc>
          <w:tcPr>
            <w:tcW w:w="1174" w:type="dxa"/>
            <w:tcBorders>
              <w:top w:val="nil"/>
              <w:left w:val="nil"/>
              <w:bottom w:val="single" w:sz="4" w:space="0" w:color="auto"/>
              <w:right w:val="single" w:sz="4" w:space="0" w:color="auto"/>
            </w:tcBorders>
            <w:noWrap/>
            <w:vAlign w:val="center"/>
            <w:hideMark/>
          </w:tcPr>
          <w:p w14:paraId="76CF8E57" w14:textId="77777777" w:rsidR="000816DF" w:rsidRDefault="000816DF">
            <w:pPr>
              <w:jc w:val="center"/>
              <w:rPr>
                <w:rFonts w:ascii="Arial" w:hAnsi="Arial" w:cs="Arial"/>
                <w:color w:val="000000"/>
                <w:sz w:val="16"/>
                <w:szCs w:val="16"/>
              </w:rPr>
            </w:pPr>
            <w:r>
              <w:rPr>
                <w:rFonts w:ascii="Arial" w:hAnsi="Arial" w:cs="Arial"/>
                <w:color w:val="000000"/>
                <w:sz w:val="16"/>
                <w:szCs w:val="16"/>
              </w:rPr>
              <w:t>46</w:t>
            </w:r>
          </w:p>
        </w:tc>
        <w:tc>
          <w:tcPr>
            <w:tcW w:w="804" w:type="dxa"/>
            <w:tcBorders>
              <w:top w:val="nil"/>
              <w:left w:val="nil"/>
              <w:bottom w:val="single" w:sz="4" w:space="0" w:color="auto"/>
              <w:right w:val="single" w:sz="4" w:space="0" w:color="auto"/>
            </w:tcBorders>
            <w:noWrap/>
            <w:vAlign w:val="center"/>
            <w:hideMark/>
          </w:tcPr>
          <w:p w14:paraId="13948702" w14:textId="77777777" w:rsidR="000816DF" w:rsidRDefault="000816DF">
            <w:pPr>
              <w:jc w:val="center"/>
              <w:rPr>
                <w:rFonts w:ascii="Arial" w:hAnsi="Arial" w:cs="Arial"/>
                <w:color w:val="000000"/>
                <w:sz w:val="16"/>
                <w:szCs w:val="16"/>
              </w:rPr>
            </w:pPr>
            <w:r>
              <w:rPr>
                <w:rFonts w:ascii="Arial" w:hAnsi="Arial" w:cs="Arial"/>
                <w:color w:val="000000"/>
                <w:sz w:val="16"/>
                <w:szCs w:val="16"/>
              </w:rPr>
              <w:t>13</w:t>
            </w:r>
          </w:p>
        </w:tc>
        <w:tc>
          <w:tcPr>
            <w:tcW w:w="478" w:type="dxa"/>
            <w:tcBorders>
              <w:top w:val="nil"/>
              <w:left w:val="nil"/>
              <w:bottom w:val="single" w:sz="4" w:space="0" w:color="auto"/>
              <w:right w:val="single" w:sz="4" w:space="0" w:color="auto"/>
            </w:tcBorders>
            <w:noWrap/>
            <w:vAlign w:val="center"/>
            <w:hideMark/>
          </w:tcPr>
          <w:p w14:paraId="440C24AE" w14:textId="77777777" w:rsidR="000816DF" w:rsidRDefault="000816DF">
            <w:pPr>
              <w:jc w:val="center"/>
              <w:rPr>
                <w:rFonts w:ascii="Arial" w:hAnsi="Arial" w:cs="Arial"/>
                <w:color w:val="000000"/>
                <w:sz w:val="16"/>
                <w:szCs w:val="16"/>
              </w:rPr>
            </w:pPr>
            <w:r>
              <w:rPr>
                <w:rFonts w:ascii="Arial" w:hAnsi="Arial" w:cs="Arial"/>
                <w:color w:val="000000"/>
                <w:sz w:val="16"/>
                <w:szCs w:val="16"/>
              </w:rPr>
              <w:t>7</w:t>
            </w:r>
          </w:p>
        </w:tc>
        <w:tc>
          <w:tcPr>
            <w:tcW w:w="650" w:type="dxa"/>
            <w:tcBorders>
              <w:top w:val="nil"/>
              <w:left w:val="nil"/>
              <w:bottom w:val="single" w:sz="4" w:space="0" w:color="auto"/>
              <w:right w:val="single" w:sz="4" w:space="0" w:color="auto"/>
            </w:tcBorders>
            <w:noWrap/>
            <w:vAlign w:val="center"/>
            <w:hideMark/>
          </w:tcPr>
          <w:p w14:paraId="20E7EF98" w14:textId="77777777" w:rsidR="000816DF" w:rsidRDefault="000816DF">
            <w:pPr>
              <w:jc w:val="center"/>
              <w:rPr>
                <w:rFonts w:ascii="Arial" w:hAnsi="Arial" w:cs="Arial"/>
                <w:color w:val="000000"/>
                <w:sz w:val="16"/>
                <w:szCs w:val="16"/>
              </w:rPr>
            </w:pPr>
            <w:r>
              <w:rPr>
                <w:rFonts w:ascii="Arial" w:hAnsi="Arial" w:cs="Arial"/>
                <w:color w:val="000000"/>
                <w:sz w:val="16"/>
                <w:szCs w:val="16"/>
              </w:rPr>
              <w:t>(1;13)</w:t>
            </w:r>
          </w:p>
        </w:tc>
        <w:tc>
          <w:tcPr>
            <w:tcW w:w="1196" w:type="dxa"/>
            <w:tcBorders>
              <w:top w:val="nil"/>
              <w:left w:val="nil"/>
              <w:bottom w:val="single" w:sz="4" w:space="0" w:color="auto"/>
              <w:right w:val="single" w:sz="4" w:space="0" w:color="auto"/>
            </w:tcBorders>
            <w:noWrap/>
            <w:vAlign w:val="center"/>
            <w:hideMark/>
          </w:tcPr>
          <w:p w14:paraId="7CDF5F86" w14:textId="77777777" w:rsidR="000816DF" w:rsidRDefault="000816DF">
            <w:pPr>
              <w:jc w:val="center"/>
              <w:rPr>
                <w:rFonts w:ascii="Arial" w:hAnsi="Arial" w:cs="Arial"/>
                <w:color w:val="000000"/>
                <w:sz w:val="16"/>
                <w:szCs w:val="16"/>
              </w:rPr>
            </w:pPr>
            <w:r>
              <w:rPr>
                <w:rFonts w:ascii="Arial" w:hAnsi="Arial" w:cs="Arial"/>
                <w:color w:val="000000"/>
                <w:sz w:val="16"/>
                <w:szCs w:val="16"/>
              </w:rPr>
              <w:t>40</w:t>
            </w:r>
          </w:p>
        </w:tc>
        <w:tc>
          <w:tcPr>
            <w:tcW w:w="887" w:type="dxa"/>
            <w:tcBorders>
              <w:top w:val="nil"/>
              <w:left w:val="nil"/>
              <w:bottom w:val="single" w:sz="4" w:space="0" w:color="auto"/>
              <w:right w:val="single" w:sz="4" w:space="0" w:color="auto"/>
            </w:tcBorders>
            <w:noWrap/>
            <w:vAlign w:val="center"/>
            <w:hideMark/>
          </w:tcPr>
          <w:p w14:paraId="2060988F" w14:textId="77777777" w:rsidR="000816DF" w:rsidRDefault="000816DF">
            <w:pPr>
              <w:jc w:val="center"/>
              <w:rPr>
                <w:rFonts w:ascii="Arial" w:hAnsi="Arial" w:cs="Arial"/>
                <w:color w:val="000000"/>
                <w:sz w:val="16"/>
                <w:szCs w:val="16"/>
              </w:rPr>
            </w:pPr>
            <w:r>
              <w:rPr>
                <w:rFonts w:ascii="Arial" w:hAnsi="Arial" w:cs="Arial"/>
                <w:color w:val="000000"/>
                <w:sz w:val="16"/>
                <w:szCs w:val="16"/>
              </w:rPr>
              <w:t>11</w:t>
            </w:r>
          </w:p>
        </w:tc>
        <w:tc>
          <w:tcPr>
            <w:tcW w:w="478" w:type="dxa"/>
            <w:tcBorders>
              <w:top w:val="nil"/>
              <w:left w:val="nil"/>
              <w:bottom w:val="single" w:sz="4" w:space="0" w:color="auto"/>
              <w:right w:val="single" w:sz="4" w:space="0" w:color="auto"/>
            </w:tcBorders>
            <w:noWrap/>
            <w:vAlign w:val="center"/>
            <w:hideMark/>
          </w:tcPr>
          <w:p w14:paraId="34C9699C" w14:textId="77777777" w:rsidR="000816DF" w:rsidRDefault="009A42AB">
            <w:pPr>
              <w:jc w:val="center"/>
              <w:rPr>
                <w:rFonts w:ascii="Arial" w:hAnsi="Arial" w:cs="Arial"/>
                <w:color w:val="000000"/>
                <w:sz w:val="16"/>
                <w:szCs w:val="16"/>
              </w:rPr>
            </w:pPr>
            <w:r>
              <w:rPr>
                <w:rFonts w:ascii="Arial" w:hAnsi="Arial" w:cs="Arial"/>
                <w:color w:val="000000"/>
                <w:sz w:val="16"/>
                <w:szCs w:val="16"/>
              </w:rPr>
              <w:t>4</w:t>
            </w:r>
          </w:p>
        </w:tc>
        <w:tc>
          <w:tcPr>
            <w:tcW w:w="650" w:type="dxa"/>
            <w:tcBorders>
              <w:top w:val="nil"/>
              <w:left w:val="nil"/>
              <w:bottom w:val="single" w:sz="4" w:space="0" w:color="auto"/>
              <w:right w:val="single" w:sz="4" w:space="0" w:color="auto"/>
            </w:tcBorders>
            <w:noWrap/>
            <w:vAlign w:val="center"/>
            <w:hideMark/>
          </w:tcPr>
          <w:p w14:paraId="2DE56056" w14:textId="77777777" w:rsidR="000816DF" w:rsidRDefault="000816DF">
            <w:pPr>
              <w:jc w:val="center"/>
              <w:rPr>
                <w:rFonts w:ascii="Arial" w:hAnsi="Arial" w:cs="Arial"/>
                <w:color w:val="000000"/>
                <w:sz w:val="16"/>
                <w:szCs w:val="16"/>
              </w:rPr>
            </w:pPr>
            <w:r>
              <w:rPr>
                <w:rFonts w:ascii="Arial" w:hAnsi="Arial" w:cs="Arial"/>
                <w:color w:val="000000"/>
                <w:sz w:val="16"/>
                <w:szCs w:val="16"/>
              </w:rPr>
              <w:t>(</w:t>
            </w:r>
            <w:r w:rsidR="009A42AB">
              <w:rPr>
                <w:rFonts w:ascii="Arial" w:hAnsi="Arial" w:cs="Arial"/>
                <w:color w:val="000000"/>
                <w:sz w:val="16"/>
                <w:szCs w:val="16"/>
              </w:rPr>
              <w:t>-1;10</w:t>
            </w:r>
            <w:r>
              <w:rPr>
                <w:rFonts w:ascii="Arial" w:hAnsi="Arial" w:cs="Arial"/>
                <w:color w:val="000000"/>
                <w:sz w:val="16"/>
                <w:szCs w:val="16"/>
              </w:rPr>
              <w:t>)</w:t>
            </w:r>
          </w:p>
        </w:tc>
        <w:tc>
          <w:tcPr>
            <w:tcW w:w="1195" w:type="dxa"/>
            <w:tcBorders>
              <w:top w:val="nil"/>
              <w:left w:val="nil"/>
              <w:bottom w:val="single" w:sz="4" w:space="0" w:color="auto"/>
              <w:right w:val="single" w:sz="4" w:space="0" w:color="auto"/>
            </w:tcBorders>
            <w:noWrap/>
            <w:vAlign w:val="center"/>
            <w:hideMark/>
          </w:tcPr>
          <w:p w14:paraId="53AD94D7" w14:textId="77777777" w:rsidR="000816DF" w:rsidRDefault="000816DF">
            <w:pPr>
              <w:jc w:val="center"/>
              <w:rPr>
                <w:rFonts w:ascii="Arial" w:hAnsi="Arial" w:cs="Arial"/>
                <w:color w:val="000000"/>
                <w:sz w:val="16"/>
                <w:szCs w:val="16"/>
              </w:rPr>
            </w:pPr>
            <w:r>
              <w:rPr>
                <w:rFonts w:ascii="Arial" w:hAnsi="Arial" w:cs="Arial"/>
                <w:color w:val="000000"/>
                <w:sz w:val="16"/>
                <w:szCs w:val="16"/>
              </w:rPr>
              <w:t>PP-NRS</w:t>
            </w:r>
          </w:p>
        </w:tc>
        <w:tc>
          <w:tcPr>
            <w:tcW w:w="918" w:type="dxa"/>
            <w:tcBorders>
              <w:top w:val="nil"/>
              <w:left w:val="nil"/>
              <w:bottom w:val="single" w:sz="4" w:space="0" w:color="auto"/>
              <w:right w:val="single" w:sz="4" w:space="0" w:color="auto"/>
            </w:tcBorders>
            <w:noWrap/>
            <w:vAlign w:val="center"/>
            <w:hideMark/>
          </w:tcPr>
          <w:p w14:paraId="4533CE87" w14:textId="77777777" w:rsidR="000816DF" w:rsidRDefault="009A42AB">
            <w:pPr>
              <w:jc w:val="center"/>
              <w:rPr>
                <w:rFonts w:ascii="Arial" w:hAnsi="Arial" w:cs="Arial"/>
                <w:color w:val="000000"/>
                <w:sz w:val="16"/>
                <w:szCs w:val="16"/>
              </w:rPr>
            </w:pPr>
            <w:r>
              <w:rPr>
                <w:rFonts w:ascii="Arial" w:hAnsi="Arial" w:cs="Arial"/>
                <w:color w:val="000000"/>
                <w:sz w:val="16"/>
                <w:szCs w:val="16"/>
              </w:rPr>
              <w:t>5</w:t>
            </w:r>
          </w:p>
        </w:tc>
        <w:tc>
          <w:tcPr>
            <w:tcW w:w="745" w:type="dxa"/>
            <w:tcBorders>
              <w:top w:val="nil"/>
              <w:left w:val="nil"/>
              <w:bottom w:val="single" w:sz="4" w:space="0" w:color="auto"/>
              <w:right w:val="single" w:sz="4" w:space="0" w:color="auto"/>
            </w:tcBorders>
            <w:noWrap/>
            <w:vAlign w:val="center"/>
            <w:hideMark/>
          </w:tcPr>
          <w:p w14:paraId="6F86E363" w14:textId="77777777" w:rsidR="000816DF" w:rsidRDefault="000816DF">
            <w:pPr>
              <w:jc w:val="center"/>
              <w:rPr>
                <w:rFonts w:ascii="Arial" w:hAnsi="Arial" w:cs="Arial"/>
                <w:color w:val="000000"/>
                <w:sz w:val="16"/>
                <w:szCs w:val="16"/>
              </w:rPr>
            </w:pPr>
            <w:r>
              <w:rPr>
                <w:rFonts w:ascii="Arial" w:hAnsi="Arial" w:cs="Arial"/>
                <w:color w:val="000000"/>
                <w:sz w:val="16"/>
                <w:szCs w:val="16"/>
              </w:rPr>
              <w:t>(</w:t>
            </w:r>
            <w:r w:rsidR="009A42AB">
              <w:rPr>
                <w:rFonts w:ascii="Arial" w:hAnsi="Arial" w:cs="Arial"/>
                <w:color w:val="000000"/>
                <w:sz w:val="16"/>
                <w:szCs w:val="16"/>
              </w:rPr>
              <w:t>-1</w:t>
            </w:r>
            <w:r>
              <w:rPr>
                <w:rFonts w:ascii="Arial" w:hAnsi="Arial" w:cs="Arial"/>
                <w:color w:val="000000"/>
                <w:sz w:val="16"/>
                <w:szCs w:val="16"/>
              </w:rPr>
              <w:t>;1</w:t>
            </w:r>
            <w:r w:rsidR="009A42AB">
              <w:rPr>
                <w:rFonts w:ascii="Arial" w:hAnsi="Arial" w:cs="Arial"/>
                <w:color w:val="000000"/>
                <w:sz w:val="16"/>
                <w:szCs w:val="16"/>
              </w:rPr>
              <w:t>0</w:t>
            </w:r>
            <w:r>
              <w:rPr>
                <w:rFonts w:ascii="Arial" w:hAnsi="Arial" w:cs="Arial"/>
                <w:color w:val="000000"/>
                <w:sz w:val="16"/>
                <w:szCs w:val="16"/>
              </w:rPr>
              <w:t>)</w:t>
            </w:r>
          </w:p>
        </w:tc>
      </w:tr>
    </w:tbl>
    <w:p w14:paraId="17487568" w14:textId="77777777" w:rsidR="000710C0" w:rsidRDefault="000710C0" w:rsidP="000710C0">
      <w:pPr>
        <w:jc w:val="both"/>
      </w:pPr>
    </w:p>
    <w:tbl>
      <w:tblPr>
        <w:tblpPr w:leftFromText="141" w:rightFromText="141" w:vertAnchor="text" w:horzAnchor="margin" w:tblpXSpec="center" w:tblpY="-10"/>
        <w:tblW w:w="10381" w:type="dxa"/>
        <w:tblCellMar>
          <w:left w:w="70" w:type="dxa"/>
          <w:right w:w="70" w:type="dxa"/>
        </w:tblCellMar>
        <w:tblLook w:val="04A0" w:firstRow="1" w:lastRow="0" w:firstColumn="1" w:lastColumn="0" w:noHBand="0" w:noVBand="1"/>
      </w:tblPr>
      <w:tblGrid>
        <w:gridCol w:w="1517"/>
        <w:gridCol w:w="4082"/>
        <w:gridCol w:w="4782"/>
      </w:tblGrid>
      <w:tr w:rsidR="00CA7727" w14:paraId="38F3B217" w14:textId="77777777" w:rsidTr="00CA7727">
        <w:trPr>
          <w:trHeight w:val="309"/>
        </w:trPr>
        <w:tc>
          <w:tcPr>
            <w:tcW w:w="10381" w:type="dxa"/>
            <w:gridSpan w:val="3"/>
            <w:tcBorders>
              <w:top w:val="single" w:sz="4" w:space="0" w:color="auto"/>
              <w:left w:val="single" w:sz="4" w:space="0" w:color="auto"/>
              <w:bottom w:val="single" w:sz="4" w:space="0" w:color="auto"/>
              <w:right w:val="single" w:sz="4" w:space="0" w:color="auto"/>
            </w:tcBorders>
            <w:shd w:val="clear" w:color="auto" w:fill="CCFFCC"/>
            <w:vAlign w:val="bottom"/>
          </w:tcPr>
          <w:p w14:paraId="51CCCD7A" w14:textId="77777777" w:rsidR="00CA7727" w:rsidRPr="00CA7727" w:rsidRDefault="00CA7727" w:rsidP="000710C0">
            <w:pPr>
              <w:jc w:val="center"/>
              <w:rPr>
                <w:rFonts w:ascii="Arial" w:hAnsi="Arial" w:cs="Arial"/>
                <w:b/>
                <w:bCs/>
                <w:color w:val="000000"/>
                <w:sz w:val="18"/>
                <w:szCs w:val="18"/>
              </w:rPr>
            </w:pPr>
            <w:r w:rsidRPr="00CA7727">
              <w:rPr>
                <w:rFonts w:ascii="Arial" w:hAnsi="Arial" w:cs="Arial"/>
                <w:b/>
                <w:bCs/>
                <w:color w:val="000000"/>
                <w:sz w:val="18"/>
                <w:szCs w:val="18"/>
              </w:rPr>
              <w:t>Tabla 22. Comparación ensayos de tralokinumab y lebrikizumab en monoterapia</w:t>
            </w:r>
          </w:p>
        </w:tc>
      </w:tr>
      <w:tr w:rsidR="000710C0" w14:paraId="6087C8F4" w14:textId="77777777" w:rsidTr="00CA7727">
        <w:trPr>
          <w:trHeight w:val="309"/>
        </w:trPr>
        <w:tc>
          <w:tcPr>
            <w:tcW w:w="1517" w:type="dxa"/>
            <w:tcBorders>
              <w:top w:val="single" w:sz="4" w:space="0" w:color="auto"/>
              <w:left w:val="single" w:sz="4" w:space="0" w:color="auto"/>
              <w:bottom w:val="single" w:sz="4" w:space="0" w:color="auto"/>
              <w:right w:val="single" w:sz="4" w:space="0" w:color="auto"/>
            </w:tcBorders>
            <w:vAlign w:val="bottom"/>
            <w:hideMark/>
          </w:tcPr>
          <w:p w14:paraId="7803DDFD" w14:textId="77777777" w:rsidR="000710C0" w:rsidRDefault="000710C0" w:rsidP="000710C0">
            <w:pPr>
              <w:rPr>
                <w:sz w:val="20"/>
                <w:szCs w:val="20"/>
              </w:rPr>
            </w:pPr>
          </w:p>
        </w:tc>
        <w:tc>
          <w:tcPr>
            <w:tcW w:w="4082" w:type="dxa"/>
            <w:tcBorders>
              <w:top w:val="single" w:sz="4" w:space="0" w:color="auto"/>
              <w:left w:val="single" w:sz="4" w:space="0" w:color="auto"/>
              <w:bottom w:val="single" w:sz="4" w:space="0" w:color="auto"/>
              <w:right w:val="single" w:sz="8" w:space="0" w:color="auto"/>
            </w:tcBorders>
            <w:shd w:val="clear" w:color="000000" w:fill="99FFCC"/>
            <w:vAlign w:val="center"/>
            <w:hideMark/>
          </w:tcPr>
          <w:p w14:paraId="4768379C" w14:textId="77777777" w:rsidR="000710C0" w:rsidRDefault="000710C0" w:rsidP="000710C0">
            <w:pPr>
              <w:jc w:val="center"/>
              <w:rPr>
                <w:rFonts w:ascii="Arial" w:hAnsi="Arial" w:cs="Arial"/>
                <w:b/>
                <w:bCs/>
                <w:color w:val="000000"/>
                <w:sz w:val="16"/>
                <w:szCs w:val="16"/>
              </w:rPr>
            </w:pPr>
            <w:r>
              <w:rPr>
                <w:rFonts w:ascii="Arial" w:hAnsi="Arial" w:cs="Arial"/>
                <w:b/>
                <w:bCs/>
                <w:color w:val="000000"/>
                <w:sz w:val="16"/>
                <w:szCs w:val="16"/>
              </w:rPr>
              <w:t>TRALOKINUMAB</w:t>
            </w:r>
          </w:p>
        </w:tc>
        <w:tc>
          <w:tcPr>
            <w:tcW w:w="4782" w:type="dxa"/>
            <w:tcBorders>
              <w:top w:val="single" w:sz="4" w:space="0" w:color="auto"/>
              <w:left w:val="nil"/>
              <w:bottom w:val="single" w:sz="4" w:space="0" w:color="auto"/>
              <w:right w:val="single" w:sz="8" w:space="0" w:color="auto"/>
            </w:tcBorders>
            <w:shd w:val="clear" w:color="000000" w:fill="F8CBAD"/>
            <w:vAlign w:val="center"/>
            <w:hideMark/>
          </w:tcPr>
          <w:p w14:paraId="042A2987" w14:textId="77777777" w:rsidR="000710C0" w:rsidRDefault="000710C0" w:rsidP="000710C0">
            <w:pPr>
              <w:jc w:val="center"/>
              <w:rPr>
                <w:rFonts w:ascii="Arial" w:hAnsi="Arial" w:cs="Arial"/>
                <w:b/>
                <w:bCs/>
                <w:color w:val="000000"/>
                <w:sz w:val="16"/>
                <w:szCs w:val="16"/>
              </w:rPr>
            </w:pPr>
            <w:r>
              <w:rPr>
                <w:rFonts w:ascii="Arial" w:hAnsi="Arial" w:cs="Arial"/>
                <w:b/>
                <w:bCs/>
                <w:color w:val="000000"/>
                <w:sz w:val="16"/>
                <w:szCs w:val="16"/>
              </w:rPr>
              <w:t>LEBRIKIZUMAB</w:t>
            </w:r>
          </w:p>
        </w:tc>
      </w:tr>
      <w:tr w:rsidR="000710C0" w14:paraId="19DBE241" w14:textId="77777777" w:rsidTr="00CA7727">
        <w:trPr>
          <w:trHeight w:val="309"/>
        </w:trPr>
        <w:tc>
          <w:tcPr>
            <w:tcW w:w="1517" w:type="dxa"/>
            <w:tcBorders>
              <w:top w:val="single" w:sz="4" w:space="0" w:color="auto"/>
              <w:left w:val="single" w:sz="8" w:space="0" w:color="auto"/>
              <w:bottom w:val="nil"/>
              <w:right w:val="single" w:sz="8" w:space="0" w:color="auto"/>
            </w:tcBorders>
            <w:shd w:val="clear" w:color="000000" w:fill="F2F2F2"/>
            <w:vAlign w:val="center"/>
            <w:hideMark/>
          </w:tcPr>
          <w:p w14:paraId="54351939" w14:textId="77777777" w:rsidR="000710C0" w:rsidRDefault="000710C0" w:rsidP="000710C0">
            <w:pPr>
              <w:jc w:val="center"/>
              <w:rPr>
                <w:rFonts w:ascii="Arial" w:hAnsi="Arial" w:cs="Arial"/>
                <w:b/>
                <w:bCs/>
                <w:color w:val="000000"/>
                <w:sz w:val="16"/>
                <w:szCs w:val="16"/>
              </w:rPr>
            </w:pPr>
            <w:r>
              <w:rPr>
                <w:rFonts w:ascii="Arial" w:hAnsi="Arial" w:cs="Arial"/>
                <w:b/>
                <w:bCs/>
                <w:color w:val="000000"/>
                <w:sz w:val="16"/>
                <w:szCs w:val="16"/>
              </w:rPr>
              <w:t>ENSAYO</w:t>
            </w:r>
          </w:p>
        </w:tc>
        <w:tc>
          <w:tcPr>
            <w:tcW w:w="4082" w:type="dxa"/>
            <w:tcBorders>
              <w:top w:val="nil"/>
              <w:left w:val="nil"/>
              <w:bottom w:val="single" w:sz="4" w:space="0" w:color="auto"/>
              <w:right w:val="single" w:sz="8" w:space="0" w:color="auto"/>
            </w:tcBorders>
            <w:shd w:val="clear" w:color="000000" w:fill="E7E6E6"/>
            <w:vAlign w:val="center"/>
            <w:hideMark/>
          </w:tcPr>
          <w:p w14:paraId="14157EB8" w14:textId="77777777" w:rsidR="000710C0" w:rsidRDefault="000710C0" w:rsidP="000710C0">
            <w:pPr>
              <w:jc w:val="center"/>
              <w:rPr>
                <w:rFonts w:ascii="Arial" w:hAnsi="Arial" w:cs="Arial"/>
                <w:b/>
                <w:bCs/>
                <w:color w:val="303030"/>
                <w:sz w:val="16"/>
                <w:szCs w:val="16"/>
              </w:rPr>
            </w:pPr>
            <w:r>
              <w:rPr>
                <w:rFonts w:ascii="Arial" w:hAnsi="Arial" w:cs="Arial"/>
                <w:b/>
                <w:bCs/>
                <w:color w:val="303030"/>
                <w:sz w:val="16"/>
                <w:szCs w:val="16"/>
              </w:rPr>
              <w:t xml:space="preserve">ECZTRA 1 y 2 </w:t>
            </w:r>
          </w:p>
        </w:tc>
        <w:tc>
          <w:tcPr>
            <w:tcW w:w="4782" w:type="dxa"/>
            <w:tcBorders>
              <w:top w:val="nil"/>
              <w:left w:val="nil"/>
              <w:bottom w:val="single" w:sz="4" w:space="0" w:color="auto"/>
              <w:right w:val="single" w:sz="8" w:space="0" w:color="auto"/>
            </w:tcBorders>
            <w:shd w:val="clear" w:color="000000" w:fill="E7E6E6"/>
            <w:vAlign w:val="center"/>
            <w:hideMark/>
          </w:tcPr>
          <w:p w14:paraId="17AB189C" w14:textId="77777777" w:rsidR="000710C0" w:rsidRDefault="000710C0" w:rsidP="000710C0">
            <w:pPr>
              <w:jc w:val="center"/>
              <w:rPr>
                <w:rFonts w:ascii="Arial" w:hAnsi="Arial" w:cs="Arial"/>
                <w:b/>
                <w:bCs/>
                <w:color w:val="303030"/>
                <w:sz w:val="16"/>
                <w:szCs w:val="16"/>
              </w:rPr>
            </w:pPr>
            <w:r>
              <w:rPr>
                <w:rFonts w:ascii="Arial" w:hAnsi="Arial" w:cs="Arial"/>
                <w:b/>
                <w:bCs/>
                <w:color w:val="303030"/>
                <w:sz w:val="16"/>
                <w:szCs w:val="16"/>
              </w:rPr>
              <w:t>KGAB (Advocate-1) y KGAC (Advocate-2)</w:t>
            </w:r>
          </w:p>
        </w:tc>
      </w:tr>
      <w:tr w:rsidR="000710C0" w14:paraId="77017192" w14:textId="77777777" w:rsidTr="000710C0">
        <w:trPr>
          <w:trHeight w:val="885"/>
        </w:trPr>
        <w:tc>
          <w:tcPr>
            <w:tcW w:w="1517" w:type="dxa"/>
            <w:tcBorders>
              <w:top w:val="single" w:sz="8" w:space="0" w:color="auto"/>
              <w:left w:val="single" w:sz="8" w:space="0" w:color="auto"/>
              <w:bottom w:val="single" w:sz="4" w:space="0" w:color="auto"/>
              <w:right w:val="single" w:sz="8" w:space="0" w:color="auto"/>
            </w:tcBorders>
            <w:shd w:val="clear" w:color="000000" w:fill="F2F2F2"/>
            <w:vAlign w:val="center"/>
            <w:hideMark/>
          </w:tcPr>
          <w:p w14:paraId="23839954" w14:textId="77777777" w:rsidR="000710C0" w:rsidRDefault="000710C0" w:rsidP="000710C0">
            <w:pPr>
              <w:jc w:val="center"/>
              <w:rPr>
                <w:rFonts w:ascii="Arial" w:hAnsi="Arial" w:cs="Arial"/>
                <w:b/>
                <w:bCs/>
                <w:color w:val="000000"/>
                <w:sz w:val="16"/>
                <w:szCs w:val="16"/>
              </w:rPr>
            </w:pPr>
            <w:r>
              <w:rPr>
                <w:rFonts w:ascii="Arial" w:hAnsi="Arial" w:cs="Arial"/>
                <w:b/>
                <w:bCs/>
                <w:color w:val="000000"/>
                <w:sz w:val="16"/>
                <w:szCs w:val="16"/>
              </w:rPr>
              <w:t>DISEÑO</w:t>
            </w:r>
          </w:p>
        </w:tc>
        <w:tc>
          <w:tcPr>
            <w:tcW w:w="4082" w:type="dxa"/>
            <w:tcBorders>
              <w:top w:val="nil"/>
              <w:left w:val="nil"/>
              <w:bottom w:val="single" w:sz="4" w:space="0" w:color="auto"/>
              <w:right w:val="single" w:sz="8" w:space="0" w:color="auto"/>
            </w:tcBorders>
            <w:vAlign w:val="center"/>
            <w:hideMark/>
          </w:tcPr>
          <w:p w14:paraId="0A9DEA75"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 xml:space="preserve">Estudios de Fase 3, aleatorizados, doble ciego, controlados con placebo y de grupos paralelos. Diseñados para evaluar tralokinumab en </w:t>
            </w:r>
            <w:r>
              <w:rPr>
                <w:rFonts w:ascii="Arial" w:hAnsi="Arial" w:cs="Arial"/>
                <w:b/>
                <w:bCs/>
                <w:color w:val="000000"/>
                <w:sz w:val="16"/>
                <w:szCs w:val="16"/>
              </w:rPr>
              <w:t xml:space="preserve">monoterapia </w:t>
            </w:r>
          </w:p>
        </w:tc>
        <w:tc>
          <w:tcPr>
            <w:tcW w:w="4782" w:type="dxa"/>
            <w:tcBorders>
              <w:top w:val="nil"/>
              <w:left w:val="nil"/>
              <w:bottom w:val="single" w:sz="4" w:space="0" w:color="auto"/>
              <w:right w:val="single" w:sz="8" w:space="0" w:color="auto"/>
            </w:tcBorders>
            <w:vAlign w:val="center"/>
            <w:hideMark/>
          </w:tcPr>
          <w:p w14:paraId="67385428"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 xml:space="preserve">Fase 3, aleatorizados (estratificado por region geografica, edad y gravedad), doble ciego, controlados con placebo y de grupos paralelos. Lebrikizumab en </w:t>
            </w:r>
            <w:r>
              <w:rPr>
                <w:rFonts w:ascii="Arial" w:hAnsi="Arial" w:cs="Arial"/>
                <w:b/>
                <w:bCs/>
                <w:color w:val="000000"/>
                <w:sz w:val="16"/>
                <w:szCs w:val="16"/>
              </w:rPr>
              <w:t>monoterapia</w:t>
            </w:r>
            <w:r>
              <w:rPr>
                <w:rFonts w:ascii="Arial" w:hAnsi="Arial" w:cs="Arial"/>
                <w:color w:val="000000"/>
                <w:sz w:val="16"/>
                <w:szCs w:val="16"/>
              </w:rPr>
              <w:t xml:space="preserve">. </w:t>
            </w:r>
          </w:p>
        </w:tc>
      </w:tr>
      <w:tr w:rsidR="000710C0" w14:paraId="3A0F7093" w14:textId="77777777" w:rsidTr="000710C0">
        <w:trPr>
          <w:trHeight w:val="1771"/>
        </w:trPr>
        <w:tc>
          <w:tcPr>
            <w:tcW w:w="1517" w:type="dxa"/>
            <w:tcBorders>
              <w:top w:val="nil"/>
              <w:left w:val="single" w:sz="8" w:space="0" w:color="auto"/>
              <w:bottom w:val="single" w:sz="4" w:space="0" w:color="auto"/>
              <w:right w:val="single" w:sz="8" w:space="0" w:color="auto"/>
            </w:tcBorders>
            <w:shd w:val="clear" w:color="000000" w:fill="F2F2F2"/>
            <w:vAlign w:val="center"/>
            <w:hideMark/>
          </w:tcPr>
          <w:p w14:paraId="0D6EF596" w14:textId="77777777" w:rsidR="000710C0" w:rsidRDefault="000710C0" w:rsidP="000710C0">
            <w:pPr>
              <w:jc w:val="center"/>
              <w:rPr>
                <w:rFonts w:ascii="Arial" w:hAnsi="Arial" w:cs="Arial"/>
                <w:b/>
                <w:bCs/>
                <w:color w:val="000000"/>
                <w:sz w:val="16"/>
                <w:szCs w:val="16"/>
              </w:rPr>
            </w:pPr>
            <w:r>
              <w:rPr>
                <w:rFonts w:ascii="Arial" w:hAnsi="Arial" w:cs="Arial"/>
                <w:b/>
                <w:bCs/>
                <w:color w:val="000000"/>
                <w:sz w:val="16"/>
                <w:szCs w:val="16"/>
              </w:rPr>
              <w:t>BRAZOS</w:t>
            </w:r>
          </w:p>
        </w:tc>
        <w:tc>
          <w:tcPr>
            <w:tcW w:w="4082" w:type="dxa"/>
            <w:tcBorders>
              <w:top w:val="nil"/>
              <w:left w:val="nil"/>
              <w:bottom w:val="single" w:sz="4" w:space="0" w:color="auto"/>
              <w:right w:val="single" w:sz="8" w:space="0" w:color="auto"/>
            </w:tcBorders>
            <w:vAlign w:val="center"/>
            <w:hideMark/>
          </w:tcPr>
          <w:p w14:paraId="74D04598" w14:textId="77777777" w:rsidR="000710C0" w:rsidRDefault="000710C0" w:rsidP="000710C0">
            <w:pPr>
              <w:jc w:val="center"/>
              <w:rPr>
                <w:rFonts w:ascii="Arial" w:hAnsi="Arial" w:cs="Arial"/>
                <w:color w:val="000000"/>
                <w:sz w:val="16"/>
                <w:szCs w:val="16"/>
              </w:rPr>
            </w:pPr>
            <w:r>
              <w:rPr>
                <w:rFonts w:ascii="Arial" w:hAnsi="Arial" w:cs="Arial"/>
                <w:b/>
                <w:bCs/>
                <w:color w:val="000000"/>
                <w:sz w:val="16"/>
                <w:szCs w:val="16"/>
              </w:rPr>
              <w:t xml:space="preserve">Inducción </w:t>
            </w:r>
            <w:r>
              <w:rPr>
                <w:rFonts w:ascii="Arial" w:hAnsi="Arial" w:cs="Arial"/>
                <w:color w:val="000000"/>
                <w:sz w:val="16"/>
                <w:szCs w:val="16"/>
              </w:rPr>
              <w:t xml:space="preserve">(0-16 Semanas): Aleatorización 3:1. Tralokinumab 300 mg Q2W, con dosis de carga inicial de 600 mg en Semana 0.Placebo Q2W. </w:t>
            </w:r>
            <w:r>
              <w:rPr>
                <w:rFonts w:ascii="Arial" w:hAnsi="Arial" w:cs="Arial"/>
                <w:b/>
                <w:bCs/>
                <w:color w:val="000000"/>
                <w:sz w:val="16"/>
                <w:szCs w:val="16"/>
              </w:rPr>
              <w:t>Mantenimiento</w:t>
            </w:r>
            <w:r>
              <w:rPr>
                <w:rFonts w:ascii="Arial" w:hAnsi="Arial" w:cs="Arial"/>
                <w:color w:val="000000"/>
                <w:sz w:val="16"/>
                <w:szCs w:val="16"/>
              </w:rPr>
              <w:t xml:space="preserve"> (16-52 Semanas): Los respondedores clínicos a tralokinumab (IGA 0/1 o EASI 75, sin medicación de rescate en la Semana 16) fueron re-aleatorizados en proporción 2:2:1 a: Tralokinumab 300 mg Q2W.Tralokinumab 300 mg Q4W, Placebo Q2W</w:t>
            </w:r>
          </w:p>
        </w:tc>
        <w:tc>
          <w:tcPr>
            <w:tcW w:w="4782" w:type="dxa"/>
            <w:tcBorders>
              <w:top w:val="nil"/>
              <w:left w:val="nil"/>
              <w:bottom w:val="single" w:sz="4" w:space="0" w:color="auto"/>
              <w:right w:val="single" w:sz="8" w:space="0" w:color="auto"/>
            </w:tcBorders>
            <w:vAlign w:val="center"/>
            <w:hideMark/>
          </w:tcPr>
          <w:p w14:paraId="750ACAB5" w14:textId="77777777" w:rsidR="000710C0" w:rsidRDefault="000710C0" w:rsidP="000710C0">
            <w:pPr>
              <w:jc w:val="center"/>
              <w:rPr>
                <w:rFonts w:ascii="Arial" w:hAnsi="Arial" w:cs="Arial"/>
                <w:color w:val="000000"/>
                <w:sz w:val="16"/>
                <w:szCs w:val="16"/>
              </w:rPr>
            </w:pPr>
            <w:r>
              <w:rPr>
                <w:rFonts w:ascii="Arial" w:hAnsi="Arial" w:cs="Arial"/>
                <w:b/>
                <w:bCs/>
                <w:color w:val="000000"/>
                <w:sz w:val="16"/>
                <w:szCs w:val="16"/>
              </w:rPr>
              <w:t>Induccion</w:t>
            </w:r>
            <w:r>
              <w:rPr>
                <w:rFonts w:ascii="Arial" w:hAnsi="Arial" w:cs="Arial"/>
                <w:color w:val="000000"/>
                <w:sz w:val="16"/>
                <w:szCs w:val="16"/>
              </w:rPr>
              <w:t xml:space="preserve">: Lebrikizumab (2:1): 500 mg carga semana 0 y 2, seguidos de 250 mg Q2W hasta la Semana 14 vs Placebo administrado Q2W. </w:t>
            </w:r>
            <w:r>
              <w:rPr>
                <w:rFonts w:ascii="Arial" w:hAnsi="Arial" w:cs="Arial"/>
                <w:b/>
                <w:bCs/>
                <w:color w:val="000000"/>
                <w:sz w:val="16"/>
                <w:szCs w:val="16"/>
              </w:rPr>
              <w:t>Mantenimiento:</w:t>
            </w:r>
            <w:r>
              <w:rPr>
                <w:rFonts w:ascii="Arial" w:hAnsi="Arial" w:cs="Arial"/>
                <w:color w:val="000000"/>
                <w:sz w:val="16"/>
                <w:szCs w:val="16"/>
              </w:rPr>
              <w:t xml:space="preserve"> Si IGA 0–1 o EASI-75 sin terapia de rescate: periodo ciego, lebrikizumab cada 2 o 4 semanas, o placebo; Si NO IGA 0–1 ni EASI-75, usaron rescate, o no mantuvieron EASI-50:  lebrikizumab abierto cada 2 semanas.</w:t>
            </w:r>
          </w:p>
        </w:tc>
      </w:tr>
      <w:tr w:rsidR="000710C0" w14:paraId="76F5DD0D" w14:textId="77777777" w:rsidTr="000710C0">
        <w:trPr>
          <w:trHeight w:val="1328"/>
        </w:trPr>
        <w:tc>
          <w:tcPr>
            <w:tcW w:w="1517" w:type="dxa"/>
            <w:tcBorders>
              <w:top w:val="nil"/>
              <w:left w:val="single" w:sz="8" w:space="0" w:color="auto"/>
              <w:bottom w:val="single" w:sz="4" w:space="0" w:color="auto"/>
              <w:right w:val="single" w:sz="8" w:space="0" w:color="auto"/>
            </w:tcBorders>
            <w:shd w:val="clear" w:color="000000" w:fill="F2F2F2"/>
            <w:vAlign w:val="center"/>
            <w:hideMark/>
          </w:tcPr>
          <w:p w14:paraId="7D5E83C0" w14:textId="77777777" w:rsidR="000710C0" w:rsidRDefault="000710C0" w:rsidP="000710C0">
            <w:pPr>
              <w:jc w:val="center"/>
              <w:rPr>
                <w:rFonts w:ascii="Arial" w:hAnsi="Arial" w:cs="Arial"/>
                <w:b/>
                <w:bCs/>
                <w:color w:val="000000"/>
                <w:sz w:val="16"/>
                <w:szCs w:val="16"/>
              </w:rPr>
            </w:pPr>
            <w:r>
              <w:rPr>
                <w:rFonts w:ascii="Arial" w:hAnsi="Arial" w:cs="Arial"/>
                <w:b/>
                <w:bCs/>
                <w:color w:val="000000"/>
                <w:sz w:val="16"/>
                <w:szCs w:val="16"/>
              </w:rPr>
              <w:t>PACIENTES</w:t>
            </w:r>
          </w:p>
        </w:tc>
        <w:tc>
          <w:tcPr>
            <w:tcW w:w="4082" w:type="dxa"/>
            <w:tcBorders>
              <w:top w:val="nil"/>
              <w:left w:val="nil"/>
              <w:bottom w:val="single" w:sz="4" w:space="0" w:color="auto"/>
              <w:right w:val="single" w:sz="8" w:space="0" w:color="auto"/>
            </w:tcBorders>
            <w:vAlign w:val="center"/>
            <w:hideMark/>
          </w:tcPr>
          <w:p w14:paraId="2DF1607A"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Adultos (</w:t>
            </w:r>
            <w:r>
              <w:rPr>
                <w:rFonts w:ascii="Arial" w:hAnsi="Arial" w:cs="Arial"/>
                <w:b/>
                <w:bCs/>
                <w:color w:val="000000"/>
                <w:sz w:val="16"/>
                <w:szCs w:val="16"/>
              </w:rPr>
              <w:t xml:space="preserve">≥18 años </w:t>
            </w:r>
            <w:r>
              <w:rPr>
                <w:rFonts w:ascii="Arial" w:hAnsi="Arial" w:cs="Arial"/>
                <w:color w:val="000000"/>
                <w:sz w:val="16"/>
                <w:szCs w:val="16"/>
              </w:rPr>
              <w:t>de edad) con DA moderada a grave, candidatos para terapia sistémica. Criterios de Gravedad Basal: EASI ≥16, IGA ≥3 (en una escala de 0 a 4), BSA≥10% , y PP-NRS ≥4</w:t>
            </w:r>
          </w:p>
        </w:tc>
        <w:tc>
          <w:tcPr>
            <w:tcW w:w="4782" w:type="dxa"/>
            <w:tcBorders>
              <w:top w:val="nil"/>
              <w:left w:val="nil"/>
              <w:bottom w:val="single" w:sz="4" w:space="0" w:color="auto"/>
              <w:right w:val="single" w:sz="8" w:space="0" w:color="auto"/>
            </w:tcBorders>
            <w:vAlign w:val="center"/>
            <w:hideMark/>
          </w:tcPr>
          <w:p w14:paraId="200EE863"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 xml:space="preserve">Adolescentes y adultos </w:t>
            </w:r>
            <w:r>
              <w:rPr>
                <w:rFonts w:ascii="Arial" w:hAnsi="Arial" w:cs="Arial"/>
                <w:b/>
                <w:bCs/>
                <w:color w:val="000000"/>
                <w:sz w:val="16"/>
                <w:szCs w:val="16"/>
              </w:rPr>
              <w:t xml:space="preserve">≥12 años </w:t>
            </w:r>
            <w:r>
              <w:rPr>
                <w:rFonts w:ascii="Arial" w:hAnsi="Arial" w:cs="Arial"/>
                <w:color w:val="000000"/>
                <w:sz w:val="16"/>
                <w:szCs w:val="16"/>
              </w:rPr>
              <w:t xml:space="preserve">con ≥40 kg, diagnosticados de DA crónica desde hacía al menos un año. En la visita basal debían presentar enfermedad moderada o grave (IGA ≥ 3), EASI ≥ 16 y BSA≥10% y falta de respuesta a tratamiento </w:t>
            </w:r>
            <w:r w:rsidR="00BD3FF1">
              <w:rPr>
                <w:rFonts w:ascii="Arial" w:hAnsi="Arial" w:cs="Arial"/>
                <w:color w:val="000000"/>
                <w:sz w:val="16"/>
                <w:szCs w:val="16"/>
              </w:rPr>
              <w:t>tópicos</w:t>
            </w:r>
            <w:r>
              <w:rPr>
                <w:rFonts w:ascii="Arial" w:hAnsi="Arial" w:cs="Arial"/>
                <w:color w:val="000000"/>
                <w:sz w:val="16"/>
                <w:szCs w:val="16"/>
              </w:rPr>
              <w:t>.</w:t>
            </w:r>
          </w:p>
        </w:tc>
      </w:tr>
      <w:tr w:rsidR="000710C0" w14:paraId="1691930A" w14:textId="77777777" w:rsidTr="000710C0">
        <w:trPr>
          <w:trHeight w:val="885"/>
        </w:trPr>
        <w:tc>
          <w:tcPr>
            <w:tcW w:w="1517" w:type="dxa"/>
            <w:tcBorders>
              <w:top w:val="nil"/>
              <w:left w:val="single" w:sz="8" w:space="0" w:color="auto"/>
              <w:bottom w:val="single" w:sz="4" w:space="0" w:color="auto"/>
              <w:right w:val="single" w:sz="8" w:space="0" w:color="auto"/>
            </w:tcBorders>
            <w:shd w:val="clear" w:color="000000" w:fill="F2F2F2"/>
            <w:vAlign w:val="center"/>
            <w:hideMark/>
          </w:tcPr>
          <w:p w14:paraId="512E39AD" w14:textId="77777777" w:rsidR="000710C0" w:rsidRDefault="000710C0" w:rsidP="000710C0">
            <w:pPr>
              <w:jc w:val="center"/>
              <w:rPr>
                <w:rFonts w:ascii="Arial" w:hAnsi="Arial" w:cs="Arial"/>
                <w:b/>
                <w:bCs/>
                <w:color w:val="000000"/>
                <w:sz w:val="16"/>
                <w:szCs w:val="16"/>
              </w:rPr>
            </w:pPr>
            <w:r>
              <w:rPr>
                <w:rFonts w:ascii="Arial" w:hAnsi="Arial" w:cs="Arial"/>
                <w:b/>
                <w:bCs/>
                <w:color w:val="000000"/>
                <w:sz w:val="16"/>
                <w:szCs w:val="16"/>
              </w:rPr>
              <w:t>VARIABLES PRIMARIAS</w:t>
            </w:r>
          </w:p>
        </w:tc>
        <w:tc>
          <w:tcPr>
            <w:tcW w:w="4082" w:type="dxa"/>
            <w:tcBorders>
              <w:top w:val="nil"/>
              <w:left w:val="nil"/>
              <w:bottom w:val="single" w:sz="4" w:space="0" w:color="auto"/>
              <w:right w:val="single" w:sz="8" w:space="0" w:color="auto"/>
            </w:tcBorders>
            <w:vAlign w:val="center"/>
            <w:hideMark/>
          </w:tcPr>
          <w:p w14:paraId="756788B9"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Proporción de pacientes con IGA 0/1 y 2 o más puntos de reducción de IGA y proporción de pacientes con un 75% de mejora en el EASI en la semana 16</w:t>
            </w:r>
          </w:p>
        </w:tc>
        <w:tc>
          <w:tcPr>
            <w:tcW w:w="4782" w:type="dxa"/>
            <w:tcBorders>
              <w:top w:val="nil"/>
              <w:left w:val="nil"/>
              <w:bottom w:val="single" w:sz="4" w:space="0" w:color="auto"/>
              <w:right w:val="single" w:sz="8" w:space="0" w:color="auto"/>
            </w:tcBorders>
            <w:vAlign w:val="center"/>
            <w:hideMark/>
          </w:tcPr>
          <w:p w14:paraId="1FF50A1C"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Proporción de pacientes con IGA 0/1 y 2 o más puntos de reducción de IGA</w:t>
            </w:r>
            <w:r w:rsidR="00BD3FF1">
              <w:rPr>
                <w:rFonts w:ascii="Arial" w:hAnsi="Arial" w:cs="Arial"/>
                <w:color w:val="000000"/>
                <w:sz w:val="16"/>
                <w:szCs w:val="16"/>
              </w:rPr>
              <w:t xml:space="preserve"> y p</w:t>
            </w:r>
            <w:r>
              <w:rPr>
                <w:rFonts w:ascii="Arial" w:hAnsi="Arial" w:cs="Arial"/>
                <w:color w:val="000000"/>
                <w:sz w:val="16"/>
                <w:szCs w:val="16"/>
              </w:rPr>
              <w:t>roporción de pacientes con un 75% de mejora en el EASI en la semana 16</w:t>
            </w:r>
          </w:p>
        </w:tc>
      </w:tr>
      <w:tr w:rsidR="000710C0" w14:paraId="61F7B74F" w14:textId="77777777" w:rsidTr="000710C0">
        <w:trPr>
          <w:trHeight w:val="2214"/>
        </w:trPr>
        <w:tc>
          <w:tcPr>
            <w:tcW w:w="1517" w:type="dxa"/>
            <w:tcBorders>
              <w:top w:val="nil"/>
              <w:left w:val="single" w:sz="8" w:space="0" w:color="auto"/>
              <w:bottom w:val="single" w:sz="4" w:space="0" w:color="auto"/>
              <w:right w:val="single" w:sz="8" w:space="0" w:color="auto"/>
            </w:tcBorders>
            <w:shd w:val="clear" w:color="000000" w:fill="F2F2F2"/>
            <w:vAlign w:val="center"/>
            <w:hideMark/>
          </w:tcPr>
          <w:p w14:paraId="69C2A951" w14:textId="77777777" w:rsidR="000710C0" w:rsidRDefault="000710C0" w:rsidP="000710C0">
            <w:pPr>
              <w:jc w:val="center"/>
              <w:rPr>
                <w:rFonts w:ascii="Arial" w:hAnsi="Arial" w:cs="Arial"/>
                <w:b/>
                <w:bCs/>
                <w:color w:val="000000"/>
                <w:sz w:val="16"/>
                <w:szCs w:val="16"/>
              </w:rPr>
            </w:pPr>
            <w:r>
              <w:rPr>
                <w:rFonts w:ascii="Arial" w:hAnsi="Arial" w:cs="Arial"/>
                <w:b/>
                <w:bCs/>
                <w:color w:val="000000"/>
                <w:sz w:val="16"/>
                <w:szCs w:val="16"/>
              </w:rPr>
              <w:t>VARIABLES SECUNDARIAS</w:t>
            </w:r>
          </w:p>
        </w:tc>
        <w:tc>
          <w:tcPr>
            <w:tcW w:w="4082" w:type="dxa"/>
            <w:tcBorders>
              <w:top w:val="nil"/>
              <w:left w:val="nil"/>
              <w:bottom w:val="single" w:sz="4" w:space="0" w:color="auto"/>
              <w:right w:val="single" w:sz="8" w:space="0" w:color="auto"/>
            </w:tcBorders>
            <w:vAlign w:val="center"/>
            <w:hideMark/>
          </w:tcPr>
          <w:p w14:paraId="6BE67B97"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En inducción (semana 16), reducción ≥4 puntos del PP_NRS, y cambios desde la línea base en SCORAD y DLQI; en mantenimiento (semana 52) se evaluó IGA 0/1 y EASI-75 entre los respondedores de semana 16. Otras variables secundarias fueron cambio en S</w:t>
            </w:r>
            <w:r w:rsidR="00BD3FF1">
              <w:rPr>
                <w:rFonts w:ascii="Arial" w:hAnsi="Arial" w:cs="Arial"/>
                <w:color w:val="000000"/>
                <w:sz w:val="16"/>
                <w:szCs w:val="16"/>
              </w:rPr>
              <w:t>D-</w:t>
            </w:r>
            <w:r>
              <w:rPr>
                <w:rFonts w:ascii="Arial" w:hAnsi="Arial" w:cs="Arial"/>
                <w:color w:val="000000"/>
                <w:sz w:val="16"/>
                <w:szCs w:val="16"/>
              </w:rPr>
              <w:t xml:space="preserve"> NRS, EASI-90, POEM y SF-36.</w:t>
            </w:r>
          </w:p>
        </w:tc>
        <w:tc>
          <w:tcPr>
            <w:tcW w:w="4782" w:type="dxa"/>
            <w:tcBorders>
              <w:top w:val="nil"/>
              <w:left w:val="nil"/>
              <w:bottom w:val="single" w:sz="4" w:space="0" w:color="auto"/>
              <w:right w:val="single" w:sz="8" w:space="0" w:color="auto"/>
            </w:tcBorders>
            <w:vAlign w:val="center"/>
            <w:hideMark/>
          </w:tcPr>
          <w:p w14:paraId="042030AB"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 xml:space="preserve">Pacientes con EASI90 (sem16) porcentaje de cambio en el EASI y PP-NRS comparado con el basal, </w:t>
            </w:r>
            <w:r w:rsidR="00BD3FF1">
              <w:rPr>
                <w:rFonts w:ascii="Arial" w:hAnsi="Arial" w:cs="Arial"/>
                <w:color w:val="000000"/>
                <w:sz w:val="16"/>
                <w:szCs w:val="16"/>
              </w:rPr>
              <w:t>Proporción</w:t>
            </w:r>
            <w:r>
              <w:rPr>
                <w:rFonts w:ascii="Arial" w:hAnsi="Arial" w:cs="Arial"/>
                <w:color w:val="000000"/>
                <w:sz w:val="16"/>
                <w:szCs w:val="16"/>
              </w:rPr>
              <w:t xml:space="preserve"> de pacientes con mejora PP-NRS≥4 puntos, cambio en DLQI con respecto al basal, </w:t>
            </w:r>
            <w:r w:rsidR="00BD3FF1">
              <w:rPr>
                <w:rFonts w:ascii="Arial" w:hAnsi="Arial" w:cs="Arial"/>
                <w:color w:val="000000"/>
                <w:sz w:val="16"/>
                <w:szCs w:val="16"/>
              </w:rPr>
              <w:t>proporción</w:t>
            </w:r>
            <w:r>
              <w:rPr>
                <w:rFonts w:ascii="Arial" w:hAnsi="Arial" w:cs="Arial"/>
                <w:color w:val="000000"/>
                <w:sz w:val="16"/>
                <w:szCs w:val="16"/>
              </w:rPr>
              <w:t xml:space="preserve"> de pacientes con DLQI basal ≥4 puntos que mejora en 4 puntos en la semana 16, Cambio en el valor basal de pérdida de sueño en la semana 16. Porcentaje de pacientes ≥ 2 puntos de pérdida de </w:t>
            </w:r>
            <w:r w:rsidR="00BD3FF1">
              <w:rPr>
                <w:rFonts w:ascii="Arial" w:hAnsi="Arial" w:cs="Arial"/>
                <w:color w:val="000000"/>
                <w:sz w:val="16"/>
                <w:szCs w:val="16"/>
              </w:rPr>
              <w:t>sueño</w:t>
            </w:r>
            <w:r>
              <w:rPr>
                <w:rFonts w:ascii="Arial" w:hAnsi="Arial" w:cs="Arial"/>
                <w:color w:val="000000"/>
                <w:sz w:val="16"/>
                <w:szCs w:val="16"/>
              </w:rPr>
              <w:t xml:space="preserve"> basal que logran una reducción ≥ 2 puntos en la semana 16.</w:t>
            </w:r>
          </w:p>
        </w:tc>
      </w:tr>
      <w:tr w:rsidR="000710C0" w14:paraId="23E6750A" w14:textId="77777777" w:rsidTr="000710C0">
        <w:trPr>
          <w:trHeight w:val="679"/>
        </w:trPr>
        <w:tc>
          <w:tcPr>
            <w:tcW w:w="1517" w:type="dxa"/>
            <w:tcBorders>
              <w:top w:val="nil"/>
              <w:left w:val="single" w:sz="8" w:space="0" w:color="auto"/>
              <w:bottom w:val="single" w:sz="8" w:space="0" w:color="auto"/>
              <w:right w:val="single" w:sz="8" w:space="0" w:color="auto"/>
            </w:tcBorders>
            <w:shd w:val="clear" w:color="000000" w:fill="F2F2F2"/>
            <w:vAlign w:val="center"/>
            <w:hideMark/>
          </w:tcPr>
          <w:p w14:paraId="77402B76" w14:textId="77777777" w:rsidR="000710C0" w:rsidRDefault="000710C0" w:rsidP="000710C0">
            <w:pPr>
              <w:jc w:val="center"/>
              <w:rPr>
                <w:rFonts w:ascii="Arial" w:hAnsi="Arial" w:cs="Arial"/>
                <w:b/>
                <w:bCs/>
                <w:color w:val="000000"/>
                <w:sz w:val="16"/>
                <w:szCs w:val="16"/>
              </w:rPr>
            </w:pPr>
            <w:r>
              <w:rPr>
                <w:rFonts w:ascii="Arial" w:hAnsi="Arial" w:cs="Arial"/>
                <w:b/>
                <w:bCs/>
                <w:color w:val="000000"/>
                <w:sz w:val="16"/>
                <w:szCs w:val="16"/>
              </w:rPr>
              <w:t>TIEMPO DE SEGUIMIENTO</w:t>
            </w:r>
          </w:p>
        </w:tc>
        <w:tc>
          <w:tcPr>
            <w:tcW w:w="4082" w:type="dxa"/>
            <w:tcBorders>
              <w:top w:val="nil"/>
              <w:left w:val="nil"/>
              <w:bottom w:val="single" w:sz="8" w:space="0" w:color="auto"/>
              <w:right w:val="single" w:sz="8" w:space="0" w:color="auto"/>
            </w:tcBorders>
            <w:vAlign w:val="center"/>
            <w:hideMark/>
          </w:tcPr>
          <w:p w14:paraId="73D03EEE"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Tratamiento Inicial: 16 semanas (Inducción). Período de Mantenimiento: 36 semanas (hasta la Semana 52)</w:t>
            </w:r>
          </w:p>
        </w:tc>
        <w:tc>
          <w:tcPr>
            <w:tcW w:w="4782" w:type="dxa"/>
            <w:tcBorders>
              <w:top w:val="nil"/>
              <w:left w:val="nil"/>
              <w:bottom w:val="single" w:sz="8" w:space="0" w:color="auto"/>
              <w:right w:val="single" w:sz="8" w:space="0" w:color="auto"/>
            </w:tcBorders>
            <w:vAlign w:val="center"/>
            <w:hideMark/>
          </w:tcPr>
          <w:p w14:paraId="170B346A" w14:textId="77777777" w:rsidR="000710C0" w:rsidRDefault="000710C0" w:rsidP="000710C0">
            <w:pPr>
              <w:jc w:val="center"/>
              <w:rPr>
                <w:rFonts w:ascii="Arial" w:hAnsi="Arial" w:cs="Arial"/>
                <w:color w:val="000000"/>
                <w:sz w:val="16"/>
                <w:szCs w:val="16"/>
              </w:rPr>
            </w:pPr>
            <w:r>
              <w:rPr>
                <w:rFonts w:ascii="Arial" w:hAnsi="Arial" w:cs="Arial"/>
                <w:color w:val="000000"/>
                <w:sz w:val="16"/>
                <w:szCs w:val="16"/>
              </w:rPr>
              <w:t>Consistieron en un Período de Inducción de 16 semanas seguido de un Período de Mantenimiento de 36 semanas (hasta la Semana 52)</w:t>
            </w:r>
          </w:p>
        </w:tc>
      </w:tr>
    </w:tbl>
    <w:p w14:paraId="5B24D2C1" w14:textId="77777777" w:rsidR="007D0036" w:rsidRPr="007D0036" w:rsidRDefault="007D0036" w:rsidP="007D0036">
      <w:pPr>
        <w:rPr>
          <w:vanish/>
        </w:rPr>
      </w:pPr>
    </w:p>
    <w:tbl>
      <w:tblPr>
        <w:tblW w:w="8762" w:type="dxa"/>
        <w:tblInd w:w="75" w:type="dxa"/>
        <w:tblCellMar>
          <w:left w:w="70" w:type="dxa"/>
          <w:right w:w="70" w:type="dxa"/>
        </w:tblCellMar>
        <w:tblLook w:val="04A0" w:firstRow="1" w:lastRow="0" w:firstColumn="1" w:lastColumn="0" w:noHBand="0" w:noVBand="1"/>
      </w:tblPr>
      <w:tblGrid>
        <w:gridCol w:w="1758"/>
        <w:gridCol w:w="1624"/>
        <w:gridCol w:w="1672"/>
        <w:gridCol w:w="2035"/>
        <w:gridCol w:w="1673"/>
      </w:tblGrid>
      <w:tr w:rsidR="00CA7727" w14:paraId="1A01D024" w14:textId="77777777" w:rsidTr="0087183F">
        <w:trPr>
          <w:trHeight w:val="448"/>
        </w:trPr>
        <w:tc>
          <w:tcPr>
            <w:tcW w:w="8762" w:type="dxa"/>
            <w:gridSpan w:val="5"/>
            <w:tcBorders>
              <w:top w:val="single" w:sz="4" w:space="0" w:color="auto"/>
              <w:left w:val="single" w:sz="4" w:space="0" w:color="auto"/>
              <w:bottom w:val="single" w:sz="4" w:space="0" w:color="auto"/>
              <w:right w:val="single" w:sz="4" w:space="0" w:color="auto"/>
            </w:tcBorders>
            <w:shd w:val="clear" w:color="auto" w:fill="CCFFCC"/>
            <w:vAlign w:val="center"/>
          </w:tcPr>
          <w:p w14:paraId="2EB612F3" w14:textId="77777777" w:rsidR="00CA7727" w:rsidRDefault="00CA7727">
            <w:pPr>
              <w:jc w:val="center"/>
              <w:rPr>
                <w:rFonts w:ascii="Arial" w:hAnsi="Arial" w:cs="Arial"/>
                <w:b/>
                <w:bCs/>
                <w:color w:val="000000"/>
                <w:sz w:val="16"/>
                <w:szCs w:val="16"/>
              </w:rPr>
            </w:pPr>
            <w:r>
              <w:rPr>
                <w:rFonts w:ascii="Arial" w:hAnsi="Arial" w:cs="Arial"/>
                <w:b/>
                <w:bCs/>
                <w:color w:val="000000"/>
                <w:sz w:val="16"/>
                <w:szCs w:val="16"/>
              </w:rPr>
              <w:t>Tabla 23. Comparación indirecta ajustada Lebrikizumab y Tralokinumab</w:t>
            </w:r>
          </w:p>
        </w:tc>
      </w:tr>
      <w:tr w:rsidR="00252DED" w14:paraId="263ECD6C" w14:textId="77777777" w:rsidTr="00CA7727">
        <w:trPr>
          <w:trHeight w:val="776"/>
        </w:trPr>
        <w:tc>
          <w:tcPr>
            <w:tcW w:w="175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29AC314" w14:textId="77777777" w:rsidR="00252DED" w:rsidRDefault="00252DED">
            <w:pPr>
              <w:jc w:val="center"/>
              <w:rPr>
                <w:rFonts w:ascii="Arial" w:hAnsi="Arial" w:cs="Arial"/>
                <w:b/>
                <w:bCs/>
                <w:color w:val="000000"/>
                <w:sz w:val="16"/>
                <w:szCs w:val="16"/>
              </w:rPr>
            </w:pPr>
            <w:bookmarkStart w:id="100" w:name="_Hlk215224404"/>
            <w:r>
              <w:rPr>
                <w:rFonts w:ascii="Arial" w:hAnsi="Arial" w:cs="Arial"/>
                <w:b/>
                <w:bCs/>
                <w:color w:val="000000"/>
                <w:sz w:val="16"/>
                <w:szCs w:val="16"/>
              </w:rPr>
              <w:t>Fármaco (Mecanismo)</w:t>
            </w:r>
          </w:p>
        </w:tc>
        <w:tc>
          <w:tcPr>
            <w:tcW w:w="1624" w:type="dxa"/>
            <w:tcBorders>
              <w:top w:val="single" w:sz="4" w:space="0" w:color="auto"/>
              <w:left w:val="nil"/>
              <w:bottom w:val="single" w:sz="4" w:space="0" w:color="auto"/>
              <w:right w:val="single" w:sz="4" w:space="0" w:color="auto"/>
            </w:tcBorders>
            <w:shd w:val="clear" w:color="000000" w:fill="D0CECE"/>
            <w:vAlign w:val="center"/>
            <w:hideMark/>
          </w:tcPr>
          <w:p w14:paraId="163AB37B" w14:textId="77777777" w:rsidR="00252DED" w:rsidRDefault="00252DED">
            <w:pPr>
              <w:jc w:val="center"/>
              <w:rPr>
                <w:rFonts w:ascii="Arial" w:hAnsi="Arial" w:cs="Arial"/>
                <w:b/>
                <w:bCs/>
                <w:color w:val="000000"/>
                <w:sz w:val="16"/>
                <w:szCs w:val="16"/>
              </w:rPr>
            </w:pPr>
            <w:r>
              <w:rPr>
                <w:rFonts w:ascii="Arial" w:hAnsi="Arial" w:cs="Arial"/>
                <w:b/>
                <w:bCs/>
                <w:color w:val="000000"/>
                <w:sz w:val="16"/>
                <w:szCs w:val="16"/>
              </w:rPr>
              <w:t>Ensayo</w:t>
            </w:r>
          </w:p>
        </w:tc>
        <w:tc>
          <w:tcPr>
            <w:tcW w:w="1672" w:type="dxa"/>
            <w:tcBorders>
              <w:top w:val="single" w:sz="4" w:space="0" w:color="auto"/>
              <w:left w:val="nil"/>
              <w:bottom w:val="single" w:sz="4" w:space="0" w:color="auto"/>
              <w:right w:val="single" w:sz="4" w:space="0" w:color="auto"/>
            </w:tcBorders>
            <w:shd w:val="clear" w:color="000000" w:fill="D0CECE"/>
            <w:vAlign w:val="center"/>
            <w:hideMark/>
          </w:tcPr>
          <w:p w14:paraId="650427A9" w14:textId="77777777" w:rsidR="00252DED" w:rsidRDefault="00252DED">
            <w:pPr>
              <w:jc w:val="center"/>
              <w:rPr>
                <w:rFonts w:ascii="Arial" w:hAnsi="Arial" w:cs="Arial"/>
                <w:b/>
                <w:bCs/>
                <w:color w:val="000000"/>
                <w:sz w:val="16"/>
                <w:szCs w:val="16"/>
              </w:rPr>
            </w:pPr>
            <w:r>
              <w:rPr>
                <w:rFonts w:ascii="Arial" w:hAnsi="Arial" w:cs="Arial"/>
                <w:b/>
                <w:bCs/>
                <w:color w:val="000000"/>
                <w:sz w:val="16"/>
                <w:szCs w:val="16"/>
              </w:rPr>
              <w:t>Variable de Respuesta (Semana 16)</w:t>
            </w:r>
          </w:p>
        </w:tc>
        <w:tc>
          <w:tcPr>
            <w:tcW w:w="2035" w:type="dxa"/>
            <w:tcBorders>
              <w:top w:val="single" w:sz="4" w:space="0" w:color="auto"/>
              <w:left w:val="nil"/>
              <w:bottom w:val="single" w:sz="4" w:space="0" w:color="auto"/>
              <w:right w:val="single" w:sz="4" w:space="0" w:color="auto"/>
            </w:tcBorders>
            <w:shd w:val="clear" w:color="000000" w:fill="D0CECE"/>
            <w:vAlign w:val="center"/>
            <w:hideMark/>
          </w:tcPr>
          <w:p w14:paraId="6B725E27" w14:textId="77777777" w:rsidR="00252DED" w:rsidRDefault="00252DED">
            <w:pPr>
              <w:jc w:val="center"/>
              <w:rPr>
                <w:rFonts w:ascii="Arial" w:hAnsi="Arial" w:cs="Arial"/>
                <w:b/>
                <w:bCs/>
                <w:color w:val="000000"/>
                <w:sz w:val="16"/>
                <w:szCs w:val="16"/>
              </w:rPr>
            </w:pPr>
            <w:r>
              <w:rPr>
                <w:rFonts w:ascii="Arial" w:hAnsi="Arial" w:cs="Arial"/>
                <w:b/>
                <w:bCs/>
                <w:color w:val="000000"/>
                <w:sz w:val="16"/>
                <w:szCs w:val="16"/>
              </w:rPr>
              <w:t>Diferencia de respuesta frente a placebo en la semana 16</w:t>
            </w:r>
          </w:p>
        </w:tc>
        <w:tc>
          <w:tcPr>
            <w:tcW w:w="1673" w:type="dxa"/>
            <w:tcBorders>
              <w:top w:val="single" w:sz="4" w:space="0" w:color="auto"/>
              <w:left w:val="nil"/>
              <w:bottom w:val="single" w:sz="4" w:space="0" w:color="auto"/>
              <w:right w:val="single" w:sz="4" w:space="0" w:color="auto"/>
            </w:tcBorders>
            <w:shd w:val="clear" w:color="000000" w:fill="D0CECE"/>
            <w:vAlign w:val="center"/>
            <w:hideMark/>
          </w:tcPr>
          <w:p w14:paraId="1D92DD41" w14:textId="77777777" w:rsidR="00252DED" w:rsidRDefault="00252DED">
            <w:pPr>
              <w:jc w:val="center"/>
              <w:rPr>
                <w:rFonts w:ascii="Arial" w:hAnsi="Arial" w:cs="Arial"/>
                <w:b/>
                <w:bCs/>
                <w:color w:val="000000"/>
                <w:sz w:val="16"/>
                <w:szCs w:val="16"/>
              </w:rPr>
            </w:pPr>
            <w:r>
              <w:rPr>
                <w:rFonts w:ascii="Arial" w:hAnsi="Arial" w:cs="Arial"/>
                <w:b/>
                <w:bCs/>
                <w:color w:val="000000"/>
                <w:sz w:val="16"/>
                <w:szCs w:val="16"/>
              </w:rPr>
              <w:t>IC95%</w:t>
            </w:r>
          </w:p>
        </w:tc>
      </w:tr>
      <w:tr w:rsidR="00252DED" w14:paraId="6C028C57" w14:textId="77777777" w:rsidTr="00CA7727">
        <w:trPr>
          <w:trHeight w:val="228"/>
        </w:trPr>
        <w:tc>
          <w:tcPr>
            <w:tcW w:w="1758" w:type="dxa"/>
            <w:vMerge w:val="restart"/>
            <w:tcBorders>
              <w:top w:val="nil"/>
              <w:left w:val="single" w:sz="4" w:space="0" w:color="auto"/>
              <w:bottom w:val="single" w:sz="4" w:space="0" w:color="auto"/>
              <w:right w:val="single" w:sz="4" w:space="0" w:color="auto"/>
            </w:tcBorders>
            <w:shd w:val="clear" w:color="000000" w:fill="DDEBF7"/>
            <w:vAlign w:val="center"/>
            <w:hideMark/>
          </w:tcPr>
          <w:p w14:paraId="525B74A9"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Lebrikizumab (Anti-IL-13)</w:t>
            </w:r>
          </w:p>
        </w:tc>
        <w:tc>
          <w:tcPr>
            <w:tcW w:w="1624" w:type="dxa"/>
            <w:vMerge w:val="restart"/>
            <w:tcBorders>
              <w:top w:val="nil"/>
              <w:left w:val="single" w:sz="4" w:space="0" w:color="auto"/>
              <w:bottom w:val="single" w:sz="4" w:space="0" w:color="auto"/>
              <w:right w:val="single" w:sz="4" w:space="0" w:color="auto"/>
            </w:tcBorders>
            <w:shd w:val="clear" w:color="000000" w:fill="DDEBF7"/>
            <w:vAlign w:val="center"/>
            <w:hideMark/>
          </w:tcPr>
          <w:p w14:paraId="19975BBA"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Metaanálisis KGAB y KGAC</w:t>
            </w:r>
          </w:p>
        </w:tc>
        <w:tc>
          <w:tcPr>
            <w:tcW w:w="1672" w:type="dxa"/>
            <w:tcBorders>
              <w:top w:val="nil"/>
              <w:left w:val="nil"/>
              <w:bottom w:val="single" w:sz="4" w:space="0" w:color="auto"/>
              <w:right w:val="single" w:sz="4" w:space="0" w:color="auto"/>
            </w:tcBorders>
            <w:shd w:val="clear" w:color="000000" w:fill="DDEBF7"/>
            <w:noWrap/>
            <w:vAlign w:val="center"/>
            <w:hideMark/>
          </w:tcPr>
          <w:p w14:paraId="5EA6AA5D"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EASI 75</w:t>
            </w:r>
          </w:p>
        </w:tc>
        <w:tc>
          <w:tcPr>
            <w:tcW w:w="2035" w:type="dxa"/>
            <w:tcBorders>
              <w:top w:val="nil"/>
              <w:left w:val="nil"/>
              <w:bottom w:val="single" w:sz="4" w:space="0" w:color="auto"/>
              <w:right w:val="single" w:sz="4" w:space="0" w:color="auto"/>
            </w:tcBorders>
            <w:noWrap/>
            <w:vAlign w:val="center"/>
            <w:hideMark/>
          </w:tcPr>
          <w:p w14:paraId="3AE289AD" w14:textId="77777777" w:rsidR="00252DED" w:rsidRDefault="00252DED">
            <w:pPr>
              <w:jc w:val="center"/>
              <w:rPr>
                <w:rFonts w:ascii="Arial" w:hAnsi="Arial" w:cs="Arial"/>
                <w:color w:val="000000"/>
                <w:sz w:val="16"/>
                <w:szCs w:val="16"/>
              </w:rPr>
            </w:pPr>
            <w:r>
              <w:rPr>
                <w:rFonts w:ascii="Arial" w:hAnsi="Arial" w:cs="Arial"/>
                <w:color w:val="000000"/>
                <w:sz w:val="16"/>
                <w:szCs w:val="16"/>
              </w:rPr>
              <w:t>8</w:t>
            </w:r>
          </w:p>
        </w:tc>
        <w:tc>
          <w:tcPr>
            <w:tcW w:w="1673" w:type="dxa"/>
            <w:tcBorders>
              <w:top w:val="nil"/>
              <w:left w:val="nil"/>
              <w:bottom w:val="single" w:sz="4" w:space="0" w:color="auto"/>
              <w:right w:val="single" w:sz="4" w:space="0" w:color="auto"/>
            </w:tcBorders>
            <w:noWrap/>
            <w:vAlign w:val="center"/>
            <w:hideMark/>
          </w:tcPr>
          <w:p w14:paraId="1FC88E29" w14:textId="77777777" w:rsidR="00252DED" w:rsidRDefault="00252DED">
            <w:pPr>
              <w:jc w:val="center"/>
              <w:rPr>
                <w:rFonts w:ascii="Arial" w:hAnsi="Arial" w:cs="Arial"/>
                <w:color w:val="000000"/>
                <w:sz w:val="16"/>
                <w:szCs w:val="16"/>
              </w:rPr>
            </w:pPr>
            <w:r>
              <w:rPr>
                <w:rFonts w:ascii="Arial" w:hAnsi="Arial" w:cs="Arial"/>
                <w:color w:val="000000"/>
                <w:sz w:val="16"/>
                <w:szCs w:val="16"/>
              </w:rPr>
              <w:t>(3;13)</w:t>
            </w:r>
          </w:p>
        </w:tc>
      </w:tr>
      <w:tr w:rsidR="00252DED" w14:paraId="77559FB1" w14:textId="77777777" w:rsidTr="00CA7727">
        <w:trPr>
          <w:trHeight w:val="342"/>
        </w:trPr>
        <w:tc>
          <w:tcPr>
            <w:tcW w:w="1758" w:type="dxa"/>
            <w:vMerge/>
            <w:tcBorders>
              <w:top w:val="nil"/>
              <w:left w:val="single" w:sz="4" w:space="0" w:color="auto"/>
              <w:bottom w:val="single" w:sz="4" w:space="0" w:color="auto"/>
              <w:right w:val="single" w:sz="4" w:space="0" w:color="auto"/>
            </w:tcBorders>
            <w:vAlign w:val="center"/>
            <w:hideMark/>
          </w:tcPr>
          <w:p w14:paraId="38CED074" w14:textId="77777777" w:rsidR="00252DED" w:rsidRDefault="00252DED">
            <w:pPr>
              <w:rPr>
                <w:rFonts w:ascii="Calibri" w:hAnsi="Calibri" w:cs="Calibri"/>
                <w:color w:val="000000"/>
                <w:sz w:val="20"/>
                <w:szCs w:val="20"/>
              </w:rPr>
            </w:pPr>
          </w:p>
        </w:tc>
        <w:tc>
          <w:tcPr>
            <w:tcW w:w="1624" w:type="dxa"/>
            <w:vMerge/>
            <w:tcBorders>
              <w:top w:val="nil"/>
              <w:left w:val="single" w:sz="4" w:space="0" w:color="auto"/>
              <w:bottom w:val="single" w:sz="4" w:space="0" w:color="auto"/>
              <w:right w:val="single" w:sz="4" w:space="0" w:color="auto"/>
            </w:tcBorders>
            <w:vAlign w:val="center"/>
            <w:hideMark/>
          </w:tcPr>
          <w:p w14:paraId="711FCCE0" w14:textId="77777777" w:rsidR="00252DED" w:rsidRDefault="00252DED">
            <w:pPr>
              <w:rPr>
                <w:rFonts w:ascii="Calibri" w:hAnsi="Calibri" w:cs="Calibri"/>
                <w:color w:val="000000"/>
                <w:sz w:val="20"/>
                <w:szCs w:val="20"/>
              </w:rPr>
            </w:pPr>
          </w:p>
        </w:tc>
        <w:tc>
          <w:tcPr>
            <w:tcW w:w="1672" w:type="dxa"/>
            <w:tcBorders>
              <w:top w:val="nil"/>
              <w:left w:val="nil"/>
              <w:bottom w:val="single" w:sz="4" w:space="0" w:color="auto"/>
              <w:right w:val="single" w:sz="4" w:space="0" w:color="auto"/>
            </w:tcBorders>
            <w:shd w:val="clear" w:color="000000" w:fill="DDEBF7"/>
            <w:noWrap/>
            <w:vAlign w:val="center"/>
            <w:hideMark/>
          </w:tcPr>
          <w:p w14:paraId="6C03AC4D"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IGA 0/1</w:t>
            </w:r>
          </w:p>
        </w:tc>
        <w:tc>
          <w:tcPr>
            <w:tcW w:w="2035" w:type="dxa"/>
            <w:tcBorders>
              <w:top w:val="nil"/>
              <w:left w:val="nil"/>
              <w:bottom w:val="single" w:sz="4" w:space="0" w:color="auto"/>
              <w:right w:val="single" w:sz="4" w:space="0" w:color="auto"/>
            </w:tcBorders>
            <w:noWrap/>
            <w:vAlign w:val="center"/>
            <w:hideMark/>
          </w:tcPr>
          <w:p w14:paraId="63F5FAC9" w14:textId="77777777" w:rsidR="00252DED" w:rsidRDefault="00252DED">
            <w:pPr>
              <w:jc w:val="center"/>
              <w:rPr>
                <w:rFonts w:ascii="Arial" w:hAnsi="Arial" w:cs="Arial"/>
                <w:color w:val="000000"/>
                <w:sz w:val="16"/>
                <w:szCs w:val="16"/>
              </w:rPr>
            </w:pPr>
            <w:r>
              <w:rPr>
                <w:rFonts w:ascii="Arial" w:hAnsi="Arial" w:cs="Arial"/>
                <w:color w:val="000000"/>
                <w:sz w:val="16"/>
                <w:szCs w:val="16"/>
              </w:rPr>
              <w:t>5</w:t>
            </w:r>
          </w:p>
        </w:tc>
        <w:tc>
          <w:tcPr>
            <w:tcW w:w="1673" w:type="dxa"/>
            <w:tcBorders>
              <w:top w:val="nil"/>
              <w:left w:val="nil"/>
              <w:bottom w:val="single" w:sz="4" w:space="0" w:color="auto"/>
              <w:right w:val="single" w:sz="4" w:space="0" w:color="auto"/>
            </w:tcBorders>
            <w:noWrap/>
            <w:vAlign w:val="center"/>
            <w:hideMark/>
          </w:tcPr>
          <w:p w14:paraId="6EA2D1C0" w14:textId="77777777" w:rsidR="00252DED" w:rsidRDefault="00252DED">
            <w:pPr>
              <w:jc w:val="center"/>
              <w:rPr>
                <w:rFonts w:ascii="Arial" w:hAnsi="Arial" w:cs="Arial"/>
                <w:color w:val="000000"/>
                <w:sz w:val="16"/>
                <w:szCs w:val="16"/>
              </w:rPr>
            </w:pPr>
            <w:r>
              <w:rPr>
                <w:rFonts w:ascii="Arial" w:hAnsi="Arial" w:cs="Arial"/>
                <w:color w:val="000000"/>
                <w:sz w:val="16"/>
                <w:szCs w:val="16"/>
              </w:rPr>
              <w:t>(1;9)</w:t>
            </w:r>
          </w:p>
        </w:tc>
      </w:tr>
      <w:tr w:rsidR="00252DED" w14:paraId="64F4378F" w14:textId="77777777" w:rsidTr="00CA7727">
        <w:trPr>
          <w:trHeight w:val="228"/>
        </w:trPr>
        <w:tc>
          <w:tcPr>
            <w:tcW w:w="1758" w:type="dxa"/>
            <w:vMerge/>
            <w:tcBorders>
              <w:top w:val="nil"/>
              <w:left w:val="single" w:sz="4" w:space="0" w:color="auto"/>
              <w:bottom w:val="single" w:sz="4" w:space="0" w:color="auto"/>
              <w:right w:val="single" w:sz="4" w:space="0" w:color="auto"/>
            </w:tcBorders>
            <w:vAlign w:val="center"/>
            <w:hideMark/>
          </w:tcPr>
          <w:p w14:paraId="2ADC4DB3" w14:textId="77777777" w:rsidR="00252DED" w:rsidRDefault="00252DED">
            <w:pPr>
              <w:rPr>
                <w:rFonts w:ascii="Calibri" w:hAnsi="Calibri" w:cs="Calibri"/>
                <w:color w:val="000000"/>
                <w:sz w:val="20"/>
                <w:szCs w:val="20"/>
              </w:rPr>
            </w:pPr>
          </w:p>
        </w:tc>
        <w:tc>
          <w:tcPr>
            <w:tcW w:w="1624" w:type="dxa"/>
            <w:vMerge/>
            <w:tcBorders>
              <w:top w:val="nil"/>
              <w:left w:val="single" w:sz="4" w:space="0" w:color="auto"/>
              <w:bottom w:val="single" w:sz="4" w:space="0" w:color="auto"/>
              <w:right w:val="single" w:sz="4" w:space="0" w:color="auto"/>
            </w:tcBorders>
            <w:vAlign w:val="center"/>
            <w:hideMark/>
          </w:tcPr>
          <w:p w14:paraId="609DA45E" w14:textId="77777777" w:rsidR="00252DED" w:rsidRDefault="00252DED">
            <w:pPr>
              <w:rPr>
                <w:rFonts w:ascii="Calibri" w:hAnsi="Calibri" w:cs="Calibri"/>
                <w:color w:val="000000"/>
                <w:sz w:val="20"/>
                <w:szCs w:val="20"/>
              </w:rPr>
            </w:pPr>
          </w:p>
        </w:tc>
        <w:tc>
          <w:tcPr>
            <w:tcW w:w="1672" w:type="dxa"/>
            <w:tcBorders>
              <w:top w:val="nil"/>
              <w:left w:val="nil"/>
              <w:bottom w:val="single" w:sz="4" w:space="0" w:color="auto"/>
              <w:right w:val="single" w:sz="4" w:space="0" w:color="auto"/>
            </w:tcBorders>
            <w:shd w:val="clear" w:color="000000" w:fill="DDEBF7"/>
            <w:noWrap/>
            <w:vAlign w:val="center"/>
            <w:hideMark/>
          </w:tcPr>
          <w:p w14:paraId="1AB789E9"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PP-NRS ≥4</w:t>
            </w:r>
          </w:p>
        </w:tc>
        <w:tc>
          <w:tcPr>
            <w:tcW w:w="2035" w:type="dxa"/>
            <w:tcBorders>
              <w:top w:val="nil"/>
              <w:left w:val="nil"/>
              <w:bottom w:val="single" w:sz="4" w:space="0" w:color="auto"/>
              <w:right w:val="single" w:sz="4" w:space="0" w:color="auto"/>
            </w:tcBorders>
            <w:noWrap/>
            <w:vAlign w:val="center"/>
            <w:hideMark/>
          </w:tcPr>
          <w:p w14:paraId="0E32685E" w14:textId="77777777" w:rsidR="00252DED" w:rsidRDefault="009A42AB">
            <w:pPr>
              <w:jc w:val="center"/>
              <w:rPr>
                <w:rFonts w:ascii="Arial" w:hAnsi="Arial" w:cs="Arial"/>
                <w:color w:val="000000"/>
                <w:sz w:val="16"/>
                <w:szCs w:val="16"/>
              </w:rPr>
            </w:pPr>
            <w:r>
              <w:rPr>
                <w:rFonts w:ascii="Arial" w:hAnsi="Arial" w:cs="Arial"/>
                <w:color w:val="000000"/>
                <w:sz w:val="16"/>
                <w:szCs w:val="16"/>
              </w:rPr>
              <w:t>5</w:t>
            </w:r>
          </w:p>
        </w:tc>
        <w:tc>
          <w:tcPr>
            <w:tcW w:w="1673" w:type="dxa"/>
            <w:tcBorders>
              <w:top w:val="nil"/>
              <w:left w:val="nil"/>
              <w:bottom w:val="single" w:sz="4" w:space="0" w:color="auto"/>
              <w:right w:val="single" w:sz="4" w:space="0" w:color="auto"/>
            </w:tcBorders>
            <w:noWrap/>
            <w:vAlign w:val="center"/>
            <w:hideMark/>
          </w:tcPr>
          <w:p w14:paraId="3EDAA4E2" w14:textId="77777777" w:rsidR="00252DED" w:rsidRDefault="00252DED">
            <w:pPr>
              <w:jc w:val="center"/>
              <w:rPr>
                <w:rFonts w:ascii="Arial" w:hAnsi="Arial" w:cs="Arial"/>
                <w:color w:val="000000"/>
                <w:sz w:val="16"/>
                <w:szCs w:val="16"/>
              </w:rPr>
            </w:pPr>
            <w:r>
              <w:rPr>
                <w:rFonts w:ascii="Arial" w:hAnsi="Arial" w:cs="Arial"/>
                <w:color w:val="000000"/>
                <w:sz w:val="16"/>
                <w:szCs w:val="16"/>
              </w:rPr>
              <w:t>(</w:t>
            </w:r>
            <w:r w:rsidR="009A42AB">
              <w:rPr>
                <w:rFonts w:ascii="Arial" w:hAnsi="Arial" w:cs="Arial"/>
                <w:color w:val="000000"/>
                <w:sz w:val="16"/>
                <w:szCs w:val="16"/>
              </w:rPr>
              <w:t>-1</w:t>
            </w:r>
            <w:r>
              <w:rPr>
                <w:rFonts w:ascii="Arial" w:hAnsi="Arial" w:cs="Arial"/>
                <w:color w:val="000000"/>
                <w:sz w:val="16"/>
                <w:szCs w:val="16"/>
              </w:rPr>
              <w:t>;1</w:t>
            </w:r>
            <w:r w:rsidR="009A42AB">
              <w:rPr>
                <w:rFonts w:ascii="Arial" w:hAnsi="Arial" w:cs="Arial"/>
                <w:color w:val="000000"/>
                <w:sz w:val="16"/>
                <w:szCs w:val="16"/>
              </w:rPr>
              <w:t>0</w:t>
            </w:r>
            <w:r>
              <w:rPr>
                <w:rFonts w:ascii="Arial" w:hAnsi="Arial" w:cs="Arial"/>
                <w:color w:val="000000"/>
                <w:sz w:val="16"/>
                <w:szCs w:val="16"/>
              </w:rPr>
              <w:t>)</w:t>
            </w:r>
          </w:p>
        </w:tc>
      </w:tr>
      <w:tr w:rsidR="00252DED" w14:paraId="3F8B18C5" w14:textId="77777777" w:rsidTr="00CA7727">
        <w:trPr>
          <w:trHeight w:val="228"/>
        </w:trPr>
        <w:tc>
          <w:tcPr>
            <w:tcW w:w="1758" w:type="dxa"/>
            <w:vMerge w:val="restart"/>
            <w:tcBorders>
              <w:top w:val="nil"/>
              <w:left w:val="single" w:sz="4" w:space="0" w:color="auto"/>
              <w:bottom w:val="single" w:sz="4" w:space="0" w:color="auto"/>
              <w:right w:val="single" w:sz="4" w:space="0" w:color="auto"/>
            </w:tcBorders>
            <w:shd w:val="clear" w:color="000000" w:fill="F8CBAD"/>
            <w:vAlign w:val="center"/>
            <w:hideMark/>
          </w:tcPr>
          <w:p w14:paraId="08045167"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Tralokinumab (Anti-IL-13)</w:t>
            </w:r>
          </w:p>
        </w:tc>
        <w:tc>
          <w:tcPr>
            <w:tcW w:w="1624" w:type="dxa"/>
            <w:vMerge w:val="restart"/>
            <w:tcBorders>
              <w:top w:val="nil"/>
              <w:left w:val="single" w:sz="4" w:space="0" w:color="auto"/>
              <w:bottom w:val="single" w:sz="4" w:space="0" w:color="auto"/>
              <w:right w:val="single" w:sz="4" w:space="0" w:color="auto"/>
            </w:tcBorders>
            <w:shd w:val="clear" w:color="000000" w:fill="F8CBAD"/>
            <w:vAlign w:val="center"/>
            <w:hideMark/>
          </w:tcPr>
          <w:p w14:paraId="28B397D6"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Metaanálisis ECZTRA 1 y 2</w:t>
            </w:r>
          </w:p>
        </w:tc>
        <w:tc>
          <w:tcPr>
            <w:tcW w:w="1672" w:type="dxa"/>
            <w:tcBorders>
              <w:top w:val="nil"/>
              <w:left w:val="nil"/>
              <w:bottom w:val="single" w:sz="4" w:space="0" w:color="auto"/>
              <w:right w:val="single" w:sz="4" w:space="0" w:color="auto"/>
            </w:tcBorders>
            <w:shd w:val="clear" w:color="000000" w:fill="F8CBAD"/>
            <w:noWrap/>
            <w:vAlign w:val="center"/>
            <w:hideMark/>
          </w:tcPr>
          <w:p w14:paraId="0CD4C828"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EASI 75</w:t>
            </w:r>
          </w:p>
        </w:tc>
        <w:tc>
          <w:tcPr>
            <w:tcW w:w="2035" w:type="dxa"/>
            <w:tcBorders>
              <w:top w:val="nil"/>
              <w:left w:val="nil"/>
              <w:bottom w:val="single" w:sz="4" w:space="0" w:color="auto"/>
              <w:right w:val="single" w:sz="4" w:space="0" w:color="auto"/>
            </w:tcBorders>
            <w:noWrap/>
            <w:vAlign w:val="center"/>
            <w:hideMark/>
          </w:tcPr>
          <w:p w14:paraId="5A0F7115" w14:textId="77777777" w:rsidR="00252DED" w:rsidRDefault="00252DED">
            <w:pPr>
              <w:jc w:val="center"/>
              <w:rPr>
                <w:rFonts w:ascii="Arial" w:hAnsi="Arial" w:cs="Arial"/>
                <w:color w:val="000000"/>
                <w:sz w:val="16"/>
                <w:szCs w:val="16"/>
              </w:rPr>
            </w:pPr>
            <w:r>
              <w:rPr>
                <w:rFonts w:ascii="Arial" w:hAnsi="Arial" w:cs="Arial"/>
                <w:color w:val="000000"/>
                <w:sz w:val="16"/>
                <w:szCs w:val="16"/>
              </w:rPr>
              <w:t>17</w:t>
            </w:r>
          </w:p>
        </w:tc>
        <w:tc>
          <w:tcPr>
            <w:tcW w:w="1673" w:type="dxa"/>
            <w:tcBorders>
              <w:top w:val="nil"/>
              <w:left w:val="nil"/>
              <w:bottom w:val="single" w:sz="4" w:space="0" w:color="auto"/>
              <w:right w:val="single" w:sz="4" w:space="0" w:color="auto"/>
            </w:tcBorders>
            <w:noWrap/>
            <w:vAlign w:val="center"/>
            <w:hideMark/>
          </w:tcPr>
          <w:p w14:paraId="1D722892" w14:textId="77777777" w:rsidR="00252DED" w:rsidRDefault="00252DED">
            <w:pPr>
              <w:jc w:val="center"/>
              <w:rPr>
                <w:rFonts w:ascii="Arial" w:hAnsi="Arial" w:cs="Arial"/>
                <w:color w:val="000000"/>
                <w:sz w:val="16"/>
                <w:szCs w:val="16"/>
              </w:rPr>
            </w:pPr>
            <w:r>
              <w:rPr>
                <w:rFonts w:ascii="Arial" w:hAnsi="Arial" w:cs="Arial"/>
                <w:color w:val="000000"/>
                <w:sz w:val="16"/>
                <w:szCs w:val="16"/>
              </w:rPr>
              <w:t>(8;26)</w:t>
            </w:r>
          </w:p>
        </w:tc>
      </w:tr>
      <w:tr w:rsidR="00252DED" w14:paraId="5E1A8969" w14:textId="77777777" w:rsidTr="00CA7727">
        <w:trPr>
          <w:trHeight w:val="228"/>
        </w:trPr>
        <w:tc>
          <w:tcPr>
            <w:tcW w:w="1758" w:type="dxa"/>
            <w:vMerge/>
            <w:tcBorders>
              <w:top w:val="nil"/>
              <w:left w:val="single" w:sz="4" w:space="0" w:color="auto"/>
              <w:bottom w:val="single" w:sz="4" w:space="0" w:color="auto"/>
              <w:right w:val="single" w:sz="4" w:space="0" w:color="auto"/>
            </w:tcBorders>
            <w:vAlign w:val="center"/>
            <w:hideMark/>
          </w:tcPr>
          <w:p w14:paraId="56420C17" w14:textId="77777777" w:rsidR="00252DED" w:rsidRDefault="00252DED">
            <w:pPr>
              <w:rPr>
                <w:rFonts w:ascii="Calibri" w:hAnsi="Calibri" w:cs="Calibri"/>
                <w:color w:val="000000"/>
                <w:sz w:val="20"/>
                <w:szCs w:val="20"/>
              </w:rPr>
            </w:pPr>
          </w:p>
        </w:tc>
        <w:tc>
          <w:tcPr>
            <w:tcW w:w="1624" w:type="dxa"/>
            <w:vMerge/>
            <w:tcBorders>
              <w:top w:val="nil"/>
              <w:left w:val="single" w:sz="4" w:space="0" w:color="auto"/>
              <w:bottom w:val="single" w:sz="4" w:space="0" w:color="auto"/>
              <w:right w:val="single" w:sz="4" w:space="0" w:color="auto"/>
            </w:tcBorders>
            <w:vAlign w:val="center"/>
            <w:hideMark/>
          </w:tcPr>
          <w:p w14:paraId="3ED6B5FB" w14:textId="77777777" w:rsidR="00252DED" w:rsidRDefault="00252DED">
            <w:pPr>
              <w:rPr>
                <w:rFonts w:ascii="Calibri" w:hAnsi="Calibri" w:cs="Calibri"/>
                <w:color w:val="000000"/>
                <w:sz w:val="20"/>
                <w:szCs w:val="20"/>
              </w:rPr>
            </w:pPr>
          </w:p>
        </w:tc>
        <w:tc>
          <w:tcPr>
            <w:tcW w:w="1672" w:type="dxa"/>
            <w:tcBorders>
              <w:top w:val="nil"/>
              <w:left w:val="nil"/>
              <w:bottom w:val="single" w:sz="4" w:space="0" w:color="auto"/>
              <w:right w:val="single" w:sz="4" w:space="0" w:color="auto"/>
            </w:tcBorders>
            <w:shd w:val="clear" w:color="000000" w:fill="F8CBAD"/>
            <w:noWrap/>
            <w:vAlign w:val="center"/>
            <w:hideMark/>
          </w:tcPr>
          <w:p w14:paraId="4E10400A"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IGA 0/1</w:t>
            </w:r>
          </w:p>
        </w:tc>
        <w:tc>
          <w:tcPr>
            <w:tcW w:w="2035" w:type="dxa"/>
            <w:tcBorders>
              <w:top w:val="nil"/>
              <w:left w:val="nil"/>
              <w:bottom w:val="single" w:sz="4" w:space="0" w:color="auto"/>
              <w:right w:val="single" w:sz="4" w:space="0" w:color="auto"/>
            </w:tcBorders>
            <w:noWrap/>
            <w:vAlign w:val="center"/>
            <w:hideMark/>
          </w:tcPr>
          <w:p w14:paraId="6075A203" w14:textId="77777777" w:rsidR="00252DED" w:rsidRDefault="00252DED">
            <w:pPr>
              <w:jc w:val="center"/>
              <w:rPr>
                <w:rFonts w:ascii="Arial" w:hAnsi="Arial" w:cs="Arial"/>
                <w:color w:val="000000"/>
                <w:sz w:val="16"/>
                <w:szCs w:val="16"/>
              </w:rPr>
            </w:pPr>
            <w:r>
              <w:rPr>
                <w:rFonts w:ascii="Arial" w:hAnsi="Arial" w:cs="Arial"/>
                <w:color w:val="000000"/>
                <w:sz w:val="16"/>
                <w:szCs w:val="16"/>
              </w:rPr>
              <w:t>10</w:t>
            </w:r>
          </w:p>
        </w:tc>
        <w:tc>
          <w:tcPr>
            <w:tcW w:w="1673" w:type="dxa"/>
            <w:tcBorders>
              <w:top w:val="nil"/>
              <w:left w:val="nil"/>
              <w:bottom w:val="single" w:sz="4" w:space="0" w:color="auto"/>
              <w:right w:val="single" w:sz="4" w:space="0" w:color="auto"/>
            </w:tcBorders>
            <w:noWrap/>
            <w:vAlign w:val="center"/>
            <w:hideMark/>
          </w:tcPr>
          <w:p w14:paraId="1BD539E3" w14:textId="77777777" w:rsidR="00252DED" w:rsidRDefault="00252DED">
            <w:pPr>
              <w:jc w:val="center"/>
              <w:rPr>
                <w:rFonts w:ascii="Arial" w:hAnsi="Arial" w:cs="Arial"/>
                <w:color w:val="000000"/>
                <w:sz w:val="16"/>
                <w:szCs w:val="16"/>
              </w:rPr>
            </w:pPr>
            <w:r>
              <w:rPr>
                <w:rFonts w:ascii="Arial" w:hAnsi="Arial" w:cs="Arial"/>
                <w:color w:val="000000"/>
                <w:sz w:val="16"/>
                <w:szCs w:val="16"/>
              </w:rPr>
              <w:t>(6;13)</w:t>
            </w:r>
          </w:p>
        </w:tc>
      </w:tr>
      <w:tr w:rsidR="00252DED" w14:paraId="2CEDB67A" w14:textId="77777777" w:rsidTr="00CA7727">
        <w:trPr>
          <w:trHeight w:val="228"/>
        </w:trPr>
        <w:tc>
          <w:tcPr>
            <w:tcW w:w="1758" w:type="dxa"/>
            <w:vMerge/>
            <w:tcBorders>
              <w:top w:val="nil"/>
              <w:left w:val="single" w:sz="4" w:space="0" w:color="auto"/>
              <w:bottom w:val="single" w:sz="4" w:space="0" w:color="auto"/>
              <w:right w:val="single" w:sz="4" w:space="0" w:color="auto"/>
            </w:tcBorders>
            <w:vAlign w:val="center"/>
            <w:hideMark/>
          </w:tcPr>
          <w:p w14:paraId="3B167A14" w14:textId="77777777" w:rsidR="00252DED" w:rsidRDefault="00252DED">
            <w:pPr>
              <w:rPr>
                <w:rFonts w:ascii="Calibri" w:hAnsi="Calibri" w:cs="Calibri"/>
                <w:color w:val="000000"/>
                <w:sz w:val="20"/>
                <w:szCs w:val="20"/>
              </w:rPr>
            </w:pPr>
          </w:p>
        </w:tc>
        <w:tc>
          <w:tcPr>
            <w:tcW w:w="1624" w:type="dxa"/>
            <w:vMerge/>
            <w:tcBorders>
              <w:top w:val="nil"/>
              <w:left w:val="single" w:sz="4" w:space="0" w:color="auto"/>
              <w:bottom w:val="single" w:sz="4" w:space="0" w:color="auto"/>
              <w:right w:val="single" w:sz="4" w:space="0" w:color="auto"/>
            </w:tcBorders>
            <w:vAlign w:val="center"/>
            <w:hideMark/>
          </w:tcPr>
          <w:p w14:paraId="6856318C" w14:textId="77777777" w:rsidR="00252DED" w:rsidRDefault="00252DED">
            <w:pPr>
              <w:rPr>
                <w:rFonts w:ascii="Calibri" w:hAnsi="Calibri" w:cs="Calibri"/>
                <w:color w:val="000000"/>
                <w:sz w:val="20"/>
                <w:szCs w:val="20"/>
              </w:rPr>
            </w:pPr>
          </w:p>
        </w:tc>
        <w:tc>
          <w:tcPr>
            <w:tcW w:w="1672" w:type="dxa"/>
            <w:tcBorders>
              <w:top w:val="nil"/>
              <w:left w:val="nil"/>
              <w:bottom w:val="single" w:sz="4" w:space="0" w:color="auto"/>
              <w:right w:val="single" w:sz="4" w:space="0" w:color="auto"/>
            </w:tcBorders>
            <w:shd w:val="clear" w:color="000000" w:fill="F8CBAD"/>
            <w:noWrap/>
            <w:vAlign w:val="center"/>
            <w:hideMark/>
          </w:tcPr>
          <w:p w14:paraId="4DB7B15C" w14:textId="77777777" w:rsidR="00252DED" w:rsidRDefault="00252DED">
            <w:pPr>
              <w:jc w:val="center"/>
              <w:rPr>
                <w:rFonts w:ascii="Calibri" w:hAnsi="Calibri" w:cs="Calibri"/>
                <w:color w:val="000000"/>
                <w:sz w:val="20"/>
                <w:szCs w:val="20"/>
              </w:rPr>
            </w:pPr>
            <w:r>
              <w:rPr>
                <w:rFonts w:ascii="Calibri" w:hAnsi="Calibri" w:cs="Calibri"/>
                <w:color w:val="000000"/>
                <w:sz w:val="20"/>
                <w:szCs w:val="20"/>
              </w:rPr>
              <w:t>PP-NRS ≥4</w:t>
            </w:r>
          </w:p>
        </w:tc>
        <w:tc>
          <w:tcPr>
            <w:tcW w:w="2035" w:type="dxa"/>
            <w:tcBorders>
              <w:top w:val="nil"/>
              <w:left w:val="nil"/>
              <w:bottom w:val="single" w:sz="4" w:space="0" w:color="auto"/>
              <w:right w:val="single" w:sz="4" w:space="0" w:color="auto"/>
            </w:tcBorders>
            <w:noWrap/>
            <w:vAlign w:val="center"/>
            <w:hideMark/>
          </w:tcPr>
          <w:p w14:paraId="1B1BE6AC" w14:textId="77777777" w:rsidR="00252DED" w:rsidRDefault="00252DED">
            <w:pPr>
              <w:jc w:val="center"/>
              <w:rPr>
                <w:rFonts w:ascii="Arial" w:hAnsi="Arial" w:cs="Arial"/>
                <w:color w:val="000000"/>
                <w:sz w:val="16"/>
                <w:szCs w:val="16"/>
              </w:rPr>
            </w:pPr>
            <w:r>
              <w:rPr>
                <w:rFonts w:ascii="Arial" w:hAnsi="Arial" w:cs="Arial"/>
                <w:color w:val="000000"/>
                <w:sz w:val="16"/>
                <w:szCs w:val="16"/>
              </w:rPr>
              <w:t>12</w:t>
            </w:r>
          </w:p>
        </w:tc>
        <w:tc>
          <w:tcPr>
            <w:tcW w:w="1673" w:type="dxa"/>
            <w:tcBorders>
              <w:top w:val="nil"/>
              <w:left w:val="nil"/>
              <w:bottom w:val="single" w:sz="4" w:space="0" w:color="auto"/>
              <w:right w:val="single" w:sz="4" w:space="0" w:color="auto"/>
            </w:tcBorders>
            <w:noWrap/>
            <w:vAlign w:val="center"/>
            <w:hideMark/>
          </w:tcPr>
          <w:p w14:paraId="186D1C91" w14:textId="77777777" w:rsidR="00252DED" w:rsidRDefault="00252DED">
            <w:pPr>
              <w:jc w:val="center"/>
              <w:rPr>
                <w:rFonts w:ascii="Arial" w:hAnsi="Arial" w:cs="Arial"/>
                <w:color w:val="000000"/>
                <w:sz w:val="16"/>
                <w:szCs w:val="16"/>
              </w:rPr>
            </w:pPr>
            <w:r>
              <w:rPr>
                <w:rFonts w:ascii="Arial" w:hAnsi="Arial" w:cs="Arial"/>
                <w:color w:val="000000"/>
                <w:sz w:val="16"/>
                <w:szCs w:val="16"/>
              </w:rPr>
              <w:t>(7;17)</w:t>
            </w:r>
          </w:p>
        </w:tc>
      </w:tr>
      <w:tr w:rsidR="00252DED" w14:paraId="18132303" w14:textId="77777777" w:rsidTr="00252DED">
        <w:trPr>
          <w:trHeight w:val="228"/>
        </w:trPr>
        <w:tc>
          <w:tcPr>
            <w:tcW w:w="8762" w:type="dxa"/>
            <w:gridSpan w:val="5"/>
            <w:tcBorders>
              <w:top w:val="single" w:sz="4" w:space="0" w:color="auto"/>
              <w:left w:val="single" w:sz="4" w:space="0" w:color="auto"/>
              <w:bottom w:val="single" w:sz="4" w:space="0" w:color="auto"/>
              <w:right w:val="single" w:sz="4" w:space="0" w:color="auto"/>
            </w:tcBorders>
            <w:shd w:val="clear" w:color="000000" w:fill="8FF9BF"/>
            <w:vAlign w:val="center"/>
            <w:hideMark/>
          </w:tcPr>
          <w:p w14:paraId="367E2AF5" w14:textId="77777777" w:rsidR="00252DED" w:rsidRDefault="00252DED">
            <w:pPr>
              <w:jc w:val="center"/>
              <w:rPr>
                <w:rFonts w:ascii="Arial" w:hAnsi="Arial" w:cs="Arial"/>
                <w:b/>
                <w:bCs/>
                <w:color w:val="000000"/>
                <w:sz w:val="16"/>
                <w:szCs w:val="16"/>
              </w:rPr>
            </w:pPr>
            <w:r>
              <w:rPr>
                <w:rFonts w:ascii="Arial" w:hAnsi="Arial" w:cs="Arial"/>
                <w:b/>
                <w:bCs/>
                <w:color w:val="000000"/>
                <w:sz w:val="16"/>
                <w:szCs w:val="16"/>
              </w:rPr>
              <w:t>Comparación indirecta ajustada Lebrikizumab-Tralokinumab</w:t>
            </w:r>
          </w:p>
          <w:p w14:paraId="2142BB2B" w14:textId="77777777" w:rsidR="00252DED" w:rsidRDefault="00252DED">
            <w:pPr>
              <w:jc w:val="center"/>
              <w:rPr>
                <w:rFonts w:ascii="Arial" w:hAnsi="Arial" w:cs="Arial"/>
                <w:b/>
                <w:bCs/>
                <w:color w:val="000000"/>
                <w:sz w:val="16"/>
                <w:szCs w:val="16"/>
              </w:rPr>
            </w:pPr>
          </w:p>
        </w:tc>
      </w:tr>
      <w:tr w:rsidR="00252DED" w14:paraId="03A5308B" w14:textId="77777777" w:rsidTr="00CA7727">
        <w:trPr>
          <w:trHeight w:val="331"/>
        </w:trPr>
        <w:tc>
          <w:tcPr>
            <w:tcW w:w="338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132DB05" w14:textId="77777777" w:rsidR="00252DED" w:rsidRDefault="00252DED">
            <w:pPr>
              <w:jc w:val="center"/>
              <w:rPr>
                <w:rFonts w:ascii="Arial" w:hAnsi="Arial" w:cs="Arial"/>
                <w:color w:val="000000"/>
                <w:sz w:val="16"/>
                <w:szCs w:val="16"/>
              </w:rPr>
            </w:pPr>
            <w:r>
              <w:rPr>
                <w:rFonts w:ascii="Arial" w:hAnsi="Arial" w:cs="Arial"/>
                <w:color w:val="000000"/>
                <w:sz w:val="16"/>
                <w:szCs w:val="16"/>
              </w:rPr>
              <w:t>Variable</w:t>
            </w:r>
          </w:p>
        </w:tc>
        <w:tc>
          <w:tcPr>
            <w:tcW w:w="3707" w:type="dxa"/>
            <w:gridSpan w:val="2"/>
            <w:tcBorders>
              <w:top w:val="single" w:sz="4" w:space="0" w:color="auto"/>
              <w:left w:val="nil"/>
              <w:bottom w:val="single" w:sz="4" w:space="0" w:color="auto"/>
              <w:right w:val="single" w:sz="4" w:space="0" w:color="auto"/>
            </w:tcBorders>
            <w:shd w:val="clear" w:color="000000" w:fill="D9D9D9"/>
            <w:vAlign w:val="center"/>
            <w:hideMark/>
          </w:tcPr>
          <w:p w14:paraId="070919C0" w14:textId="77777777" w:rsidR="00252DED" w:rsidRDefault="00252DED">
            <w:pPr>
              <w:jc w:val="center"/>
              <w:rPr>
                <w:rFonts w:ascii="Arial" w:hAnsi="Arial" w:cs="Arial"/>
                <w:color w:val="000000"/>
                <w:sz w:val="16"/>
                <w:szCs w:val="16"/>
              </w:rPr>
            </w:pPr>
            <w:r>
              <w:rPr>
                <w:rFonts w:ascii="Arial" w:hAnsi="Arial" w:cs="Arial"/>
                <w:color w:val="000000"/>
                <w:sz w:val="16"/>
                <w:szCs w:val="16"/>
              </w:rPr>
              <w:t>Diferencia de respuesta (IC 95%)</w:t>
            </w:r>
          </w:p>
        </w:tc>
        <w:tc>
          <w:tcPr>
            <w:tcW w:w="1673" w:type="dxa"/>
            <w:tcBorders>
              <w:top w:val="nil"/>
              <w:left w:val="nil"/>
              <w:bottom w:val="single" w:sz="4" w:space="0" w:color="auto"/>
              <w:right w:val="single" w:sz="4" w:space="0" w:color="auto"/>
            </w:tcBorders>
            <w:shd w:val="clear" w:color="000000" w:fill="E7E6E6"/>
            <w:noWrap/>
            <w:vAlign w:val="center"/>
            <w:hideMark/>
          </w:tcPr>
          <w:p w14:paraId="032D8071" w14:textId="77777777" w:rsidR="00252DED" w:rsidRDefault="00252DED">
            <w:pPr>
              <w:jc w:val="center"/>
              <w:rPr>
                <w:rFonts w:ascii="Calibri" w:hAnsi="Calibri" w:cs="Calibri"/>
                <w:color w:val="000000"/>
                <w:sz w:val="22"/>
                <w:szCs w:val="22"/>
              </w:rPr>
            </w:pPr>
            <w:r>
              <w:rPr>
                <w:rFonts w:ascii="Calibri" w:hAnsi="Calibri" w:cs="Calibri"/>
                <w:color w:val="000000"/>
                <w:sz w:val="22"/>
                <w:szCs w:val="22"/>
              </w:rPr>
              <w:t>P</w:t>
            </w:r>
          </w:p>
        </w:tc>
      </w:tr>
      <w:tr w:rsidR="00252DED" w14:paraId="0D1395E6" w14:textId="77777777" w:rsidTr="00CA7727">
        <w:trPr>
          <w:trHeight w:val="228"/>
        </w:trPr>
        <w:tc>
          <w:tcPr>
            <w:tcW w:w="3382" w:type="dxa"/>
            <w:gridSpan w:val="2"/>
            <w:tcBorders>
              <w:top w:val="single" w:sz="4" w:space="0" w:color="auto"/>
              <w:left w:val="single" w:sz="4" w:space="0" w:color="auto"/>
              <w:bottom w:val="single" w:sz="4" w:space="0" w:color="auto"/>
              <w:right w:val="single" w:sz="4" w:space="0" w:color="auto"/>
            </w:tcBorders>
            <w:vAlign w:val="center"/>
            <w:hideMark/>
          </w:tcPr>
          <w:p w14:paraId="7343EE88" w14:textId="77777777" w:rsidR="00252DED" w:rsidRDefault="00252DED">
            <w:pPr>
              <w:jc w:val="center"/>
              <w:rPr>
                <w:rFonts w:ascii="Arial" w:hAnsi="Arial" w:cs="Arial"/>
                <w:color w:val="000000"/>
                <w:sz w:val="16"/>
                <w:szCs w:val="16"/>
              </w:rPr>
            </w:pPr>
            <w:r>
              <w:rPr>
                <w:rFonts w:ascii="Arial" w:hAnsi="Arial" w:cs="Arial"/>
                <w:color w:val="000000"/>
                <w:sz w:val="16"/>
                <w:szCs w:val="16"/>
              </w:rPr>
              <w:t>EASI 75</w:t>
            </w:r>
          </w:p>
        </w:tc>
        <w:tc>
          <w:tcPr>
            <w:tcW w:w="1672" w:type="dxa"/>
            <w:tcBorders>
              <w:top w:val="nil"/>
              <w:left w:val="nil"/>
              <w:bottom w:val="single" w:sz="4" w:space="0" w:color="auto"/>
              <w:right w:val="single" w:sz="4" w:space="0" w:color="auto"/>
            </w:tcBorders>
            <w:vAlign w:val="center"/>
            <w:hideMark/>
          </w:tcPr>
          <w:p w14:paraId="1022C46C" w14:textId="77777777" w:rsidR="00252DED" w:rsidRDefault="00252DED">
            <w:pPr>
              <w:jc w:val="center"/>
              <w:rPr>
                <w:rFonts w:ascii="Arial" w:hAnsi="Arial" w:cs="Arial"/>
                <w:color w:val="000000"/>
                <w:sz w:val="16"/>
                <w:szCs w:val="16"/>
              </w:rPr>
            </w:pPr>
            <w:r>
              <w:rPr>
                <w:rFonts w:ascii="Arial" w:hAnsi="Arial" w:cs="Arial"/>
                <w:color w:val="000000"/>
                <w:sz w:val="16"/>
                <w:szCs w:val="16"/>
              </w:rPr>
              <w:t>9</w:t>
            </w:r>
          </w:p>
        </w:tc>
        <w:tc>
          <w:tcPr>
            <w:tcW w:w="2035" w:type="dxa"/>
            <w:tcBorders>
              <w:top w:val="nil"/>
              <w:left w:val="nil"/>
              <w:bottom w:val="single" w:sz="4" w:space="0" w:color="auto"/>
              <w:right w:val="single" w:sz="4" w:space="0" w:color="auto"/>
            </w:tcBorders>
            <w:vAlign w:val="center"/>
            <w:hideMark/>
          </w:tcPr>
          <w:p w14:paraId="20D61284" w14:textId="77777777" w:rsidR="00252DED" w:rsidRDefault="00252DED">
            <w:pPr>
              <w:jc w:val="center"/>
              <w:rPr>
                <w:rFonts w:ascii="Arial" w:hAnsi="Arial" w:cs="Arial"/>
                <w:color w:val="000000"/>
                <w:sz w:val="16"/>
                <w:szCs w:val="16"/>
              </w:rPr>
            </w:pPr>
            <w:r>
              <w:rPr>
                <w:rFonts w:ascii="Arial" w:hAnsi="Arial" w:cs="Arial"/>
                <w:color w:val="000000"/>
                <w:sz w:val="16"/>
                <w:szCs w:val="16"/>
              </w:rPr>
              <w:t>(-1;19)</w:t>
            </w:r>
          </w:p>
        </w:tc>
        <w:tc>
          <w:tcPr>
            <w:tcW w:w="1673" w:type="dxa"/>
            <w:tcBorders>
              <w:top w:val="nil"/>
              <w:left w:val="nil"/>
              <w:bottom w:val="single" w:sz="4" w:space="0" w:color="auto"/>
              <w:right w:val="single" w:sz="4" w:space="0" w:color="auto"/>
            </w:tcBorders>
            <w:vAlign w:val="center"/>
            <w:hideMark/>
          </w:tcPr>
          <w:p w14:paraId="4F911D08" w14:textId="77777777" w:rsidR="00252DED" w:rsidRDefault="00252DED">
            <w:pPr>
              <w:jc w:val="center"/>
              <w:rPr>
                <w:rFonts w:ascii="Arial" w:hAnsi="Arial" w:cs="Arial"/>
                <w:color w:val="000000"/>
                <w:sz w:val="16"/>
                <w:szCs w:val="16"/>
              </w:rPr>
            </w:pPr>
            <w:r>
              <w:rPr>
                <w:rFonts w:ascii="Arial" w:hAnsi="Arial" w:cs="Arial"/>
                <w:color w:val="000000"/>
                <w:sz w:val="16"/>
                <w:szCs w:val="16"/>
              </w:rPr>
              <w:t>p&gt;0,05</w:t>
            </w:r>
          </w:p>
        </w:tc>
      </w:tr>
      <w:tr w:rsidR="00252DED" w14:paraId="321460A5" w14:textId="77777777" w:rsidTr="00CA7727">
        <w:trPr>
          <w:trHeight w:val="228"/>
        </w:trPr>
        <w:tc>
          <w:tcPr>
            <w:tcW w:w="3382" w:type="dxa"/>
            <w:gridSpan w:val="2"/>
            <w:tcBorders>
              <w:top w:val="single" w:sz="4" w:space="0" w:color="auto"/>
              <w:left w:val="single" w:sz="4" w:space="0" w:color="auto"/>
              <w:bottom w:val="single" w:sz="4" w:space="0" w:color="auto"/>
              <w:right w:val="single" w:sz="4" w:space="0" w:color="auto"/>
            </w:tcBorders>
            <w:vAlign w:val="center"/>
            <w:hideMark/>
          </w:tcPr>
          <w:p w14:paraId="436A51CD" w14:textId="77777777" w:rsidR="00252DED" w:rsidRDefault="00252DED">
            <w:pPr>
              <w:jc w:val="center"/>
              <w:rPr>
                <w:rFonts w:ascii="Arial" w:hAnsi="Arial" w:cs="Arial"/>
                <w:color w:val="000000"/>
                <w:sz w:val="16"/>
                <w:szCs w:val="16"/>
              </w:rPr>
            </w:pPr>
            <w:r>
              <w:rPr>
                <w:rFonts w:ascii="Arial" w:hAnsi="Arial" w:cs="Arial"/>
                <w:color w:val="000000"/>
                <w:sz w:val="16"/>
                <w:szCs w:val="16"/>
              </w:rPr>
              <w:t>IGA 0/1</w:t>
            </w:r>
          </w:p>
        </w:tc>
        <w:tc>
          <w:tcPr>
            <w:tcW w:w="1672" w:type="dxa"/>
            <w:tcBorders>
              <w:top w:val="nil"/>
              <w:left w:val="nil"/>
              <w:bottom w:val="single" w:sz="4" w:space="0" w:color="auto"/>
              <w:right w:val="single" w:sz="4" w:space="0" w:color="auto"/>
            </w:tcBorders>
            <w:vAlign w:val="center"/>
            <w:hideMark/>
          </w:tcPr>
          <w:p w14:paraId="60D0F69E" w14:textId="77777777" w:rsidR="00252DED" w:rsidRDefault="00252DED">
            <w:pPr>
              <w:jc w:val="center"/>
              <w:rPr>
                <w:rFonts w:ascii="Arial" w:hAnsi="Arial" w:cs="Arial"/>
                <w:color w:val="000000"/>
                <w:sz w:val="16"/>
                <w:szCs w:val="16"/>
              </w:rPr>
            </w:pPr>
            <w:r>
              <w:rPr>
                <w:rFonts w:ascii="Arial" w:hAnsi="Arial" w:cs="Arial"/>
                <w:color w:val="000000"/>
                <w:sz w:val="16"/>
                <w:szCs w:val="16"/>
              </w:rPr>
              <w:t>5</w:t>
            </w:r>
          </w:p>
        </w:tc>
        <w:tc>
          <w:tcPr>
            <w:tcW w:w="2035" w:type="dxa"/>
            <w:tcBorders>
              <w:top w:val="nil"/>
              <w:left w:val="nil"/>
              <w:bottom w:val="single" w:sz="4" w:space="0" w:color="auto"/>
              <w:right w:val="single" w:sz="4" w:space="0" w:color="auto"/>
            </w:tcBorders>
            <w:vAlign w:val="center"/>
            <w:hideMark/>
          </w:tcPr>
          <w:p w14:paraId="4B9200BC" w14:textId="77777777" w:rsidR="00252DED" w:rsidRDefault="00252DED">
            <w:pPr>
              <w:jc w:val="center"/>
              <w:rPr>
                <w:rFonts w:ascii="Arial" w:hAnsi="Arial" w:cs="Arial"/>
                <w:color w:val="000000"/>
                <w:sz w:val="16"/>
                <w:szCs w:val="16"/>
              </w:rPr>
            </w:pPr>
            <w:r>
              <w:rPr>
                <w:rFonts w:ascii="Arial" w:hAnsi="Arial" w:cs="Arial"/>
                <w:color w:val="000000"/>
                <w:sz w:val="16"/>
                <w:szCs w:val="16"/>
              </w:rPr>
              <w:t>(0;10)</w:t>
            </w:r>
          </w:p>
        </w:tc>
        <w:tc>
          <w:tcPr>
            <w:tcW w:w="1673" w:type="dxa"/>
            <w:tcBorders>
              <w:top w:val="nil"/>
              <w:left w:val="nil"/>
              <w:bottom w:val="single" w:sz="4" w:space="0" w:color="auto"/>
              <w:right w:val="single" w:sz="4" w:space="0" w:color="auto"/>
            </w:tcBorders>
            <w:vAlign w:val="center"/>
            <w:hideMark/>
          </w:tcPr>
          <w:p w14:paraId="3B33175F" w14:textId="77777777" w:rsidR="00252DED" w:rsidRDefault="00252DED">
            <w:pPr>
              <w:jc w:val="center"/>
              <w:rPr>
                <w:rFonts w:ascii="Arial" w:hAnsi="Arial" w:cs="Arial"/>
                <w:color w:val="000000"/>
                <w:sz w:val="16"/>
                <w:szCs w:val="16"/>
              </w:rPr>
            </w:pPr>
            <w:r>
              <w:rPr>
                <w:rFonts w:ascii="Arial" w:hAnsi="Arial" w:cs="Arial"/>
                <w:color w:val="000000"/>
                <w:sz w:val="16"/>
                <w:szCs w:val="16"/>
              </w:rPr>
              <w:t>p&gt;0,05</w:t>
            </w:r>
          </w:p>
        </w:tc>
      </w:tr>
      <w:tr w:rsidR="00252DED" w14:paraId="119EB531" w14:textId="77777777" w:rsidTr="00CA7727">
        <w:trPr>
          <w:trHeight w:val="228"/>
        </w:trPr>
        <w:tc>
          <w:tcPr>
            <w:tcW w:w="3382" w:type="dxa"/>
            <w:gridSpan w:val="2"/>
            <w:tcBorders>
              <w:top w:val="single" w:sz="4" w:space="0" w:color="auto"/>
              <w:left w:val="single" w:sz="4" w:space="0" w:color="auto"/>
              <w:bottom w:val="single" w:sz="4" w:space="0" w:color="auto"/>
              <w:right w:val="single" w:sz="4" w:space="0" w:color="auto"/>
            </w:tcBorders>
            <w:vAlign w:val="center"/>
            <w:hideMark/>
          </w:tcPr>
          <w:p w14:paraId="52CC5835" w14:textId="77777777" w:rsidR="00252DED" w:rsidRDefault="00252DED">
            <w:pPr>
              <w:jc w:val="center"/>
              <w:rPr>
                <w:rFonts w:ascii="Arial" w:hAnsi="Arial" w:cs="Arial"/>
                <w:color w:val="000000"/>
                <w:sz w:val="16"/>
                <w:szCs w:val="16"/>
              </w:rPr>
            </w:pPr>
            <w:r>
              <w:rPr>
                <w:rFonts w:ascii="Arial" w:hAnsi="Arial" w:cs="Arial"/>
                <w:color w:val="000000"/>
                <w:sz w:val="16"/>
                <w:szCs w:val="16"/>
              </w:rPr>
              <w:t>PP-NRS</w:t>
            </w:r>
            <w:r>
              <w:rPr>
                <w:rFonts w:ascii="Calibri" w:hAnsi="Calibri" w:cs="Calibri"/>
                <w:color w:val="000000"/>
                <w:sz w:val="16"/>
                <w:szCs w:val="16"/>
              </w:rPr>
              <w:t>≥</w:t>
            </w:r>
            <w:r>
              <w:rPr>
                <w:rFonts w:ascii="Arial" w:hAnsi="Arial" w:cs="Arial"/>
                <w:color w:val="000000"/>
                <w:sz w:val="16"/>
                <w:szCs w:val="16"/>
              </w:rPr>
              <w:t>4</w:t>
            </w:r>
          </w:p>
        </w:tc>
        <w:tc>
          <w:tcPr>
            <w:tcW w:w="1672" w:type="dxa"/>
            <w:tcBorders>
              <w:top w:val="nil"/>
              <w:left w:val="nil"/>
              <w:bottom w:val="single" w:sz="4" w:space="0" w:color="auto"/>
              <w:right w:val="single" w:sz="4" w:space="0" w:color="auto"/>
            </w:tcBorders>
            <w:vAlign w:val="center"/>
            <w:hideMark/>
          </w:tcPr>
          <w:p w14:paraId="0460C0ED" w14:textId="77777777" w:rsidR="00252DED" w:rsidRDefault="00EA6F3B">
            <w:pPr>
              <w:jc w:val="center"/>
              <w:rPr>
                <w:rFonts w:ascii="Arial" w:hAnsi="Arial" w:cs="Arial"/>
                <w:color w:val="000000"/>
                <w:sz w:val="16"/>
                <w:szCs w:val="16"/>
              </w:rPr>
            </w:pPr>
            <w:r>
              <w:rPr>
                <w:rFonts w:ascii="Arial" w:hAnsi="Arial" w:cs="Arial"/>
                <w:color w:val="000000"/>
                <w:sz w:val="16"/>
                <w:szCs w:val="16"/>
              </w:rPr>
              <w:t>7</w:t>
            </w:r>
          </w:p>
        </w:tc>
        <w:tc>
          <w:tcPr>
            <w:tcW w:w="2035" w:type="dxa"/>
            <w:tcBorders>
              <w:top w:val="nil"/>
              <w:left w:val="nil"/>
              <w:bottom w:val="single" w:sz="4" w:space="0" w:color="auto"/>
              <w:right w:val="single" w:sz="4" w:space="0" w:color="auto"/>
            </w:tcBorders>
            <w:vAlign w:val="center"/>
            <w:hideMark/>
          </w:tcPr>
          <w:p w14:paraId="0ED5E525" w14:textId="77777777" w:rsidR="00252DED" w:rsidRDefault="00252DED">
            <w:pPr>
              <w:jc w:val="center"/>
              <w:rPr>
                <w:rFonts w:ascii="Arial" w:hAnsi="Arial" w:cs="Arial"/>
                <w:color w:val="000000"/>
                <w:sz w:val="16"/>
                <w:szCs w:val="16"/>
              </w:rPr>
            </w:pPr>
            <w:r>
              <w:rPr>
                <w:rFonts w:ascii="Arial" w:hAnsi="Arial" w:cs="Arial"/>
                <w:color w:val="000000"/>
                <w:sz w:val="16"/>
                <w:szCs w:val="16"/>
              </w:rPr>
              <w:t>(</w:t>
            </w:r>
            <w:r w:rsidR="00EA6F3B">
              <w:rPr>
                <w:rFonts w:ascii="Arial" w:hAnsi="Arial" w:cs="Arial"/>
                <w:color w:val="000000"/>
                <w:sz w:val="16"/>
                <w:szCs w:val="16"/>
              </w:rPr>
              <w:t>-0,4;</w:t>
            </w:r>
            <w:r>
              <w:rPr>
                <w:rFonts w:ascii="Arial" w:hAnsi="Arial" w:cs="Arial"/>
                <w:color w:val="000000"/>
                <w:sz w:val="16"/>
                <w:szCs w:val="16"/>
              </w:rPr>
              <w:t>1</w:t>
            </w:r>
            <w:r w:rsidR="00EA6F3B">
              <w:rPr>
                <w:rFonts w:ascii="Arial" w:hAnsi="Arial" w:cs="Arial"/>
                <w:color w:val="000000"/>
                <w:sz w:val="16"/>
                <w:szCs w:val="16"/>
              </w:rPr>
              <w:t>4</w:t>
            </w:r>
            <w:r>
              <w:rPr>
                <w:rFonts w:ascii="Arial" w:hAnsi="Arial" w:cs="Arial"/>
                <w:color w:val="000000"/>
                <w:sz w:val="16"/>
                <w:szCs w:val="16"/>
              </w:rPr>
              <w:t>)</w:t>
            </w:r>
          </w:p>
        </w:tc>
        <w:tc>
          <w:tcPr>
            <w:tcW w:w="1673" w:type="dxa"/>
            <w:tcBorders>
              <w:top w:val="nil"/>
              <w:left w:val="nil"/>
              <w:bottom w:val="single" w:sz="4" w:space="0" w:color="auto"/>
              <w:right w:val="single" w:sz="4" w:space="0" w:color="auto"/>
            </w:tcBorders>
            <w:vAlign w:val="center"/>
            <w:hideMark/>
          </w:tcPr>
          <w:p w14:paraId="3EC473E4" w14:textId="77777777" w:rsidR="00252DED" w:rsidRDefault="00252DED">
            <w:pPr>
              <w:jc w:val="center"/>
              <w:rPr>
                <w:rFonts w:ascii="Arial" w:hAnsi="Arial" w:cs="Arial"/>
                <w:color w:val="000000"/>
                <w:sz w:val="16"/>
                <w:szCs w:val="16"/>
              </w:rPr>
            </w:pPr>
            <w:r>
              <w:rPr>
                <w:rFonts w:ascii="Arial" w:hAnsi="Arial" w:cs="Arial"/>
                <w:color w:val="000000"/>
                <w:sz w:val="16"/>
                <w:szCs w:val="16"/>
              </w:rPr>
              <w:t>p&gt;0,05</w:t>
            </w:r>
          </w:p>
        </w:tc>
      </w:tr>
    </w:tbl>
    <w:bookmarkEnd w:id="100"/>
    <w:p w14:paraId="1099D798" w14:textId="77777777" w:rsidR="00C727E7" w:rsidRDefault="00D60F19" w:rsidP="0053682D">
      <w:pPr>
        <w:jc w:val="both"/>
        <w:rPr>
          <w:rFonts w:ascii="Arial" w:hAnsi="Arial" w:cs="Arial"/>
          <w:b/>
          <w:bCs/>
          <w:sz w:val="20"/>
          <w:szCs w:val="20"/>
          <w:u w:val="single"/>
        </w:rPr>
      </w:pPr>
      <w:r w:rsidRPr="00D60F19">
        <w:rPr>
          <w:rFonts w:ascii="Arial" w:hAnsi="Arial" w:cs="Arial"/>
          <w:b/>
          <w:bCs/>
          <w:sz w:val="20"/>
          <w:szCs w:val="20"/>
          <w:u w:val="single"/>
        </w:rPr>
        <w:t xml:space="preserve">Otras consideraciones: </w:t>
      </w:r>
    </w:p>
    <w:p w14:paraId="78F09DEF" w14:textId="77777777" w:rsidR="00D60F19" w:rsidRDefault="00D60F19" w:rsidP="0053682D">
      <w:pPr>
        <w:jc w:val="both"/>
        <w:rPr>
          <w:rFonts w:ascii="Arial" w:hAnsi="Arial" w:cs="Arial"/>
          <w:b/>
          <w:bCs/>
          <w:sz w:val="20"/>
          <w:szCs w:val="20"/>
          <w:u w:val="single"/>
        </w:rPr>
      </w:pPr>
    </w:p>
    <w:p w14:paraId="41E7D11C" w14:textId="77777777" w:rsidR="00D60F19" w:rsidRPr="00D60F19" w:rsidRDefault="00D60F19" w:rsidP="0053682D">
      <w:pPr>
        <w:jc w:val="both"/>
        <w:rPr>
          <w:rFonts w:ascii="Arial" w:hAnsi="Arial" w:cs="Arial"/>
          <w:sz w:val="20"/>
          <w:szCs w:val="20"/>
        </w:rPr>
      </w:pPr>
      <w:r w:rsidRPr="00D60F19">
        <w:rPr>
          <w:rFonts w:ascii="Arial" w:hAnsi="Arial" w:cs="Arial"/>
          <w:sz w:val="20"/>
          <w:szCs w:val="20"/>
        </w:rPr>
        <w:t xml:space="preserve">Upadacitinib se comparó con dupilumab en dos ensayos “head to head”, el ensayo Heads Up y el ensayo Level Up. </w:t>
      </w:r>
      <w:r w:rsidR="0053682D" w:rsidRPr="00D60F19">
        <w:rPr>
          <w:rFonts w:ascii="Arial" w:hAnsi="Arial" w:cs="Arial"/>
          <w:sz w:val="20"/>
          <w:szCs w:val="20"/>
        </w:rPr>
        <w:t xml:space="preserve">El estudio Heads Up, un ensayo fase 3b aleatorizado, doble ciego, doble simulación y controlado con activo en monoterapia durante 24 semanas, comparó upadacitinib 30 mg QD con dupilumab 300 mg </w:t>
      </w:r>
      <w:r w:rsidRPr="00D60F19">
        <w:rPr>
          <w:rFonts w:ascii="Arial" w:hAnsi="Arial" w:cs="Arial"/>
          <w:sz w:val="20"/>
          <w:szCs w:val="20"/>
        </w:rPr>
        <w:t xml:space="preserve">Q2W </w:t>
      </w:r>
      <w:r w:rsidR="0053682D" w:rsidRPr="00D60F19">
        <w:rPr>
          <w:rFonts w:ascii="Arial" w:hAnsi="Arial" w:cs="Arial"/>
          <w:sz w:val="20"/>
          <w:szCs w:val="20"/>
        </w:rPr>
        <w:t xml:space="preserve">en adultos con DA moderada-grave. </w:t>
      </w:r>
    </w:p>
    <w:p w14:paraId="754DFF9A" w14:textId="77777777" w:rsidR="0053682D" w:rsidRPr="00D60F19" w:rsidRDefault="0053682D" w:rsidP="0053682D">
      <w:pPr>
        <w:jc w:val="both"/>
        <w:rPr>
          <w:rFonts w:ascii="Arial" w:hAnsi="Arial" w:cs="Arial"/>
          <w:sz w:val="20"/>
          <w:szCs w:val="20"/>
        </w:rPr>
      </w:pPr>
      <w:r w:rsidRPr="00D60F19">
        <w:rPr>
          <w:rFonts w:ascii="Arial" w:hAnsi="Arial" w:cs="Arial"/>
          <w:sz w:val="20"/>
          <w:szCs w:val="20"/>
        </w:rPr>
        <w:t>En la semana 16, el endpoint principal EASI75 se alcanzó en 72</w:t>
      </w:r>
      <w:r w:rsidR="00BD3FF1">
        <w:rPr>
          <w:rFonts w:ascii="Arial" w:hAnsi="Arial" w:cs="Arial"/>
          <w:sz w:val="20"/>
          <w:szCs w:val="20"/>
        </w:rPr>
        <w:t>,</w:t>
      </w:r>
      <w:r w:rsidRPr="00D60F19">
        <w:rPr>
          <w:rFonts w:ascii="Arial" w:hAnsi="Arial" w:cs="Arial"/>
          <w:sz w:val="20"/>
          <w:szCs w:val="20"/>
        </w:rPr>
        <w:t xml:space="preserve">4% con </w:t>
      </w:r>
      <w:r w:rsidR="00D60F19" w:rsidRPr="00D60F19">
        <w:rPr>
          <w:rFonts w:ascii="Arial" w:hAnsi="Arial" w:cs="Arial"/>
          <w:sz w:val="20"/>
          <w:szCs w:val="20"/>
        </w:rPr>
        <w:t>upadacitinib</w:t>
      </w:r>
      <w:r w:rsidRPr="00D60F19">
        <w:rPr>
          <w:rFonts w:ascii="Arial" w:hAnsi="Arial" w:cs="Arial"/>
          <w:sz w:val="20"/>
          <w:szCs w:val="20"/>
        </w:rPr>
        <w:t xml:space="preserve"> frente a 62</w:t>
      </w:r>
      <w:r w:rsidR="00BD3FF1">
        <w:rPr>
          <w:rFonts w:ascii="Arial" w:hAnsi="Arial" w:cs="Arial"/>
          <w:sz w:val="20"/>
          <w:szCs w:val="20"/>
        </w:rPr>
        <w:t>,</w:t>
      </w:r>
      <w:r w:rsidRPr="00D60F19">
        <w:rPr>
          <w:rFonts w:ascii="Arial" w:hAnsi="Arial" w:cs="Arial"/>
          <w:sz w:val="20"/>
          <w:szCs w:val="20"/>
        </w:rPr>
        <w:t xml:space="preserve">6% con </w:t>
      </w:r>
      <w:r w:rsidR="00D60F19" w:rsidRPr="00D60F19">
        <w:rPr>
          <w:rFonts w:ascii="Arial" w:hAnsi="Arial" w:cs="Arial"/>
          <w:sz w:val="20"/>
          <w:szCs w:val="20"/>
        </w:rPr>
        <w:t>dupilumab</w:t>
      </w:r>
      <w:r w:rsidRPr="00D60F19">
        <w:rPr>
          <w:rFonts w:ascii="Arial" w:hAnsi="Arial" w:cs="Arial"/>
          <w:sz w:val="20"/>
          <w:szCs w:val="20"/>
        </w:rPr>
        <w:t>, demostrando una diferencia estadísticamente sign</w:t>
      </w:r>
      <w:r w:rsidR="00D60F19" w:rsidRPr="00D60F19">
        <w:rPr>
          <w:rFonts w:ascii="Arial" w:hAnsi="Arial" w:cs="Arial"/>
          <w:sz w:val="20"/>
          <w:szCs w:val="20"/>
        </w:rPr>
        <w:t>i</w:t>
      </w:r>
      <w:r w:rsidRPr="00D60F19">
        <w:rPr>
          <w:rFonts w:ascii="Arial" w:hAnsi="Arial" w:cs="Arial"/>
          <w:sz w:val="20"/>
          <w:szCs w:val="20"/>
        </w:rPr>
        <w:t>ficativa</w:t>
      </w:r>
      <w:r w:rsidR="00D60F19" w:rsidRPr="00D60F19">
        <w:rPr>
          <w:rFonts w:ascii="Arial" w:hAnsi="Arial" w:cs="Arial"/>
          <w:sz w:val="20"/>
          <w:szCs w:val="20"/>
        </w:rPr>
        <w:t xml:space="preserve"> </w:t>
      </w:r>
      <w:r w:rsidRPr="00D60F19">
        <w:rPr>
          <w:rFonts w:ascii="Arial" w:hAnsi="Arial" w:cs="Arial"/>
          <w:sz w:val="20"/>
          <w:szCs w:val="20"/>
        </w:rPr>
        <w:t xml:space="preserve">(p = .007). En los endpoints secundarios jerarquizados, </w:t>
      </w:r>
      <w:r w:rsidR="00D60F19" w:rsidRPr="00D60F19">
        <w:rPr>
          <w:rFonts w:ascii="Arial" w:hAnsi="Arial" w:cs="Arial"/>
          <w:sz w:val="20"/>
          <w:szCs w:val="20"/>
        </w:rPr>
        <w:t>upadacitinib</w:t>
      </w:r>
      <w:r w:rsidRPr="00D60F19">
        <w:rPr>
          <w:rFonts w:ascii="Arial" w:hAnsi="Arial" w:cs="Arial"/>
          <w:sz w:val="20"/>
          <w:szCs w:val="20"/>
        </w:rPr>
        <w:t xml:space="preserve"> también fue superior: EASI90 (61</w:t>
      </w:r>
      <w:r w:rsidR="00BD3FF1">
        <w:rPr>
          <w:rFonts w:ascii="Arial" w:hAnsi="Arial" w:cs="Arial"/>
          <w:sz w:val="20"/>
          <w:szCs w:val="20"/>
        </w:rPr>
        <w:t>,</w:t>
      </w:r>
      <w:r w:rsidRPr="00D60F19">
        <w:rPr>
          <w:rFonts w:ascii="Arial" w:hAnsi="Arial" w:cs="Arial"/>
          <w:sz w:val="20"/>
          <w:szCs w:val="20"/>
        </w:rPr>
        <w:t>6% vs. 40</w:t>
      </w:r>
      <w:r w:rsidR="00BD3FF1">
        <w:rPr>
          <w:rFonts w:ascii="Arial" w:hAnsi="Arial" w:cs="Arial"/>
          <w:sz w:val="20"/>
          <w:szCs w:val="20"/>
        </w:rPr>
        <w:t>,</w:t>
      </w:r>
      <w:r w:rsidRPr="00D60F19">
        <w:rPr>
          <w:rFonts w:ascii="Arial" w:hAnsi="Arial" w:cs="Arial"/>
          <w:sz w:val="20"/>
          <w:szCs w:val="20"/>
        </w:rPr>
        <w:t>3%), EASI100 (28</w:t>
      </w:r>
      <w:r w:rsidR="00BD3FF1">
        <w:rPr>
          <w:rFonts w:ascii="Arial" w:hAnsi="Arial" w:cs="Arial"/>
          <w:sz w:val="20"/>
          <w:szCs w:val="20"/>
        </w:rPr>
        <w:t>,</w:t>
      </w:r>
      <w:r w:rsidRPr="00D60F19">
        <w:rPr>
          <w:rFonts w:ascii="Arial" w:hAnsi="Arial" w:cs="Arial"/>
          <w:sz w:val="20"/>
          <w:szCs w:val="20"/>
        </w:rPr>
        <w:t>4% vs. 7</w:t>
      </w:r>
      <w:r w:rsidR="00BD3FF1">
        <w:rPr>
          <w:rFonts w:ascii="Arial" w:hAnsi="Arial" w:cs="Arial"/>
          <w:sz w:val="20"/>
          <w:szCs w:val="20"/>
        </w:rPr>
        <w:t>,</w:t>
      </w:r>
      <w:r w:rsidRPr="00D60F19">
        <w:rPr>
          <w:rFonts w:ascii="Arial" w:hAnsi="Arial" w:cs="Arial"/>
          <w:sz w:val="20"/>
          <w:szCs w:val="20"/>
        </w:rPr>
        <w:t>9%) y mejoría ≥4 puntos en PP-NRS (56.1% vs. 36.4%). Además, mostró un inicio de acción más rápido, con diferencias significativas desde la semana 2 en EASI75 (44</w:t>
      </w:r>
      <w:r w:rsidR="00BD3FF1">
        <w:rPr>
          <w:rFonts w:ascii="Arial" w:hAnsi="Arial" w:cs="Arial"/>
          <w:sz w:val="20"/>
          <w:szCs w:val="20"/>
        </w:rPr>
        <w:t>,</w:t>
      </w:r>
      <w:r w:rsidRPr="00D60F19">
        <w:rPr>
          <w:rFonts w:ascii="Arial" w:hAnsi="Arial" w:cs="Arial"/>
          <w:sz w:val="20"/>
          <w:szCs w:val="20"/>
        </w:rPr>
        <w:t>3% vs. 18</w:t>
      </w:r>
      <w:r w:rsidR="00BD3FF1">
        <w:rPr>
          <w:rFonts w:ascii="Arial" w:hAnsi="Arial" w:cs="Arial"/>
          <w:sz w:val="20"/>
          <w:szCs w:val="20"/>
        </w:rPr>
        <w:t>,</w:t>
      </w:r>
      <w:r w:rsidRPr="00D60F19">
        <w:rPr>
          <w:rFonts w:ascii="Arial" w:hAnsi="Arial" w:cs="Arial"/>
          <w:sz w:val="20"/>
          <w:szCs w:val="20"/>
        </w:rPr>
        <w:t>2%; p &lt; .001)</w:t>
      </w:r>
      <w:r w:rsidR="00BD3FF1">
        <w:rPr>
          <w:rFonts w:ascii="Arial" w:hAnsi="Arial" w:cs="Arial"/>
          <w:sz w:val="20"/>
          <w:szCs w:val="20"/>
        </w:rPr>
        <w:t>.</w:t>
      </w:r>
      <w:r w:rsidR="0068318C">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{"citationID":"H6rkelzB","properties":{"formattedCitation":"(17)","plainCitation":"(17)","noteIndex":0},"citationItems":[{"id":133,"uris":["http://zotero.org/users/18702181/items/PK9MHK36"],"itemData":{"id":133,"type":"article-journal","abstract":"This randomized clinical trial assesses the safety and efficacy of upadacitinib vs dupilumab in adults with moderate-to-severe atopic dermatitis.","container-title":"JAMA Dermatology","DOI":"10.1001/jamadermatol.2021.3023","ISSN":"2168-6068","issue":"9","journalAbbreviation":"JAMA Dermatol","page":"1047-1055","PMID":"34347860","PMCID":"PMC8340015","source":"PubMed Central","title":"Efficacy and Safety of Upadacitinib vs Dupilumab in Adults With Moderate-to-Severe Atopic Dermatitis","volume":"157","author":[{"family":"Blauvelt","given":"Andrew"},{"family":"Teixeira","given":"Henrique D."},{"family":"Simpson","given":"Eric L."},{"family":"Costanzo","given":"Antonio"},{"family":"De Bruin-Weller","given":"Marjolein"},{"family":"Barbarot","given":"Sebastien"},{"family":"Prajapati","given":"Vimal H."},{"family":"Lio","given":"Peter"},{"family":"Hu","given":"Xiaofei"},{"family":"Wu","given":"Tianshuang"},{"family":"Liu","given":"John"},{"family":"Ladizinski","given":"Barry"},{"family":"Chu","given":"Alvina D."},{"family":"Eyerich","given":"Kilian"}],"issued":{"date-parts":[["2021",9]]}}}],"schema":"https://github.com/citation-style-language/schema/raw/master/csl-citation.json"} </w:instrText>
      </w:r>
      <w:r w:rsidR="00646A51">
        <w:rPr>
          <w:rFonts w:ascii="Arial" w:hAnsi="Arial" w:cs="Arial"/>
          <w:sz w:val="20"/>
          <w:szCs w:val="20"/>
        </w:rPr>
        <w:fldChar w:fldCharType="separate"/>
      </w:r>
      <w:r w:rsidR="00AB2E8A" w:rsidRPr="00AB2E8A">
        <w:rPr>
          <w:rFonts w:ascii="Arial" w:hAnsi="Arial" w:cs="Arial"/>
          <w:sz w:val="20"/>
        </w:rPr>
        <w:t>(17)</w:t>
      </w:r>
      <w:r w:rsidR="00646A51">
        <w:rPr>
          <w:rFonts w:ascii="Arial" w:hAnsi="Arial" w:cs="Arial"/>
          <w:sz w:val="20"/>
          <w:szCs w:val="20"/>
        </w:rPr>
        <w:fldChar w:fldCharType="end"/>
      </w:r>
    </w:p>
    <w:p w14:paraId="4C53AE61" w14:textId="77777777" w:rsidR="00D60F19" w:rsidRDefault="00D60F19" w:rsidP="0053682D">
      <w:pPr>
        <w:jc w:val="both"/>
        <w:rPr>
          <w:rFonts w:ascii="Arial" w:hAnsi="Arial" w:cs="Arial"/>
          <w:b/>
          <w:bCs/>
          <w:sz w:val="20"/>
          <w:szCs w:val="20"/>
        </w:rPr>
      </w:pPr>
    </w:p>
    <w:p w14:paraId="4155ADC2" w14:textId="77777777" w:rsidR="0053682D" w:rsidRPr="00D60F19" w:rsidRDefault="0053682D" w:rsidP="0053682D">
      <w:pPr>
        <w:jc w:val="both"/>
        <w:rPr>
          <w:rFonts w:ascii="Arial" w:hAnsi="Arial" w:cs="Arial"/>
          <w:bCs/>
          <w:sz w:val="20"/>
          <w:szCs w:val="20"/>
        </w:rPr>
      </w:pPr>
      <w:r w:rsidRPr="00D60F19">
        <w:rPr>
          <w:rFonts w:ascii="Arial" w:hAnsi="Arial" w:cs="Arial"/>
          <w:bCs/>
          <w:sz w:val="20"/>
          <w:szCs w:val="20"/>
        </w:rPr>
        <w:t xml:space="preserve">El estudio Level Up (M23-696), ensayo fase 3b/4 aleatorizado, abierto y con cegamiento del evaluador de eficacia, incluyó adultos y adolescentes (≥12 a &lt;64 años) con DA moderada-grave tratados en monoterapia con </w:t>
      </w:r>
      <w:r w:rsidR="00D60F19" w:rsidRPr="00D60F19">
        <w:rPr>
          <w:rFonts w:ascii="Arial" w:hAnsi="Arial" w:cs="Arial"/>
          <w:bCs/>
          <w:sz w:val="20"/>
          <w:szCs w:val="20"/>
        </w:rPr>
        <w:t>upadacitinib</w:t>
      </w:r>
      <w:r w:rsidRPr="00D60F19">
        <w:rPr>
          <w:rFonts w:ascii="Arial" w:hAnsi="Arial" w:cs="Arial"/>
          <w:bCs/>
          <w:sz w:val="20"/>
          <w:szCs w:val="20"/>
        </w:rPr>
        <w:t xml:space="preserve"> 15 mg QD con posibilidad de escalada a 30 mg según respuesta, frente a </w:t>
      </w:r>
      <w:r w:rsidR="00D60F19" w:rsidRPr="00D60F19">
        <w:rPr>
          <w:rFonts w:ascii="Arial" w:hAnsi="Arial" w:cs="Arial"/>
          <w:bCs/>
          <w:sz w:val="20"/>
          <w:szCs w:val="20"/>
        </w:rPr>
        <w:t>dupilumab</w:t>
      </w:r>
      <w:r w:rsidRPr="00D60F19">
        <w:rPr>
          <w:rFonts w:ascii="Arial" w:hAnsi="Arial" w:cs="Arial"/>
          <w:bCs/>
          <w:sz w:val="20"/>
          <w:szCs w:val="20"/>
        </w:rPr>
        <w:t>.</w:t>
      </w:r>
      <w:r w:rsidR="0068318C" w:rsidRPr="0068318C">
        <w:t xml:space="preserve"> </w:t>
      </w:r>
      <w:r w:rsidR="0068318C" w:rsidRPr="0068318C">
        <w:rPr>
          <w:rFonts w:ascii="Arial" w:hAnsi="Arial" w:cs="Arial"/>
          <w:bCs/>
          <w:sz w:val="20"/>
          <w:szCs w:val="20"/>
        </w:rPr>
        <w:t>E</w:t>
      </w:r>
      <w:r w:rsidR="0068318C">
        <w:rPr>
          <w:rFonts w:ascii="Arial" w:hAnsi="Arial" w:cs="Arial"/>
          <w:bCs/>
          <w:sz w:val="20"/>
          <w:szCs w:val="20"/>
        </w:rPr>
        <w:t xml:space="preserve">n este estudio, en el </w:t>
      </w:r>
      <w:r w:rsidR="0068318C" w:rsidRPr="0068318C">
        <w:rPr>
          <w:rFonts w:ascii="Arial" w:hAnsi="Arial" w:cs="Arial"/>
          <w:bCs/>
          <w:sz w:val="20"/>
          <w:szCs w:val="20"/>
        </w:rPr>
        <w:t>endpoint primario (EASI 90 + WP-NRS 0/1 simultáneo) se alcanzó en 19</w:t>
      </w:r>
      <w:r w:rsidR="00BD3FF1">
        <w:rPr>
          <w:rFonts w:ascii="Arial" w:hAnsi="Arial" w:cs="Arial"/>
          <w:bCs/>
          <w:sz w:val="20"/>
          <w:szCs w:val="20"/>
        </w:rPr>
        <w:t>,</w:t>
      </w:r>
      <w:r w:rsidR="0068318C" w:rsidRPr="0068318C">
        <w:rPr>
          <w:rFonts w:ascii="Arial" w:hAnsi="Arial" w:cs="Arial"/>
          <w:bCs/>
          <w:sz w:val="20"/>
          <w:szCs w:val="20"/>
        </w:rPr>
        <w:t xml:space="preserve">9% con </w:t>
      </w:r>
      <w:r w:rsidR="0068318C">
        <w:rPr>
          <w:rFonts w:ascii="Arial" w:hAnsi="Arial" w:cs="Arial"/>
          <w:bCs/>
          <w:sz w:val="20"/>
          <w:szCs w:val="20"/>
        </w:rPr>
        <w:t>upadacitinib</w:t>
      </w:r>
      <w:r w:rsidR="0068318C" w:rsidRPr="0068318C">
        <w:rPr>
          <w:rFonts w:ascii="Arial" w:hAnsi="Arial" w:cs="Arial"/>
          <w:bCs/>
          <w:sz w:val="20"/>
          <w:szCs w:val="20"/>
        </w:rPr>
        <w:t xml:space="preserve"> frente a 8</w:t>
      </w:r>
      <w:r w:rsidR="00BD3FF1">
        <w:rPr>
          <w:rFonts w:ascii="Arial" w:hAnsi="Arial" w:cs="Arial"/>
          <w:bCs/>
          <w:sz w:val="20"/>
          <w:szCs w:val="20"/>
        </w:rPr>
        <w:t>,</w:t>
      </w:r>
      <w:r w:rsidR="0068318C" w:rsidRPr="0068318C">
        <w:rPr>
          <w:rFonts w:ascii="Arial" w:hAnsi="Arial" w:cs="Arial"/>
          <w:bCs/>
          <w:sz w:val="20"/>
          <w:szCs w:val="20"/>
        </w:rPr>
        <w:t xml:space="preserve">9% con </w:t>
      </w:r>
      <w:r w:rsidR="0068318C">
        <w:rPr>
          <w:rFonts w:ascii="Arial" w:hAnsi="Arial" w:cs="Arial"/>
          <w:bCs/>
          <w:sz w:val="20"/>
          <w:szCs w:val="20"/>
        </w:rPr>
        <w:t>dupilumab</w:t>
      </w:r>
      <w:r w:rsidR="0068318C" w:rsidRPr="0068318C">
        <w:rPr>
          <w:rFonts w:ascii="Arial" w:hAnsi="Arial" w:cs="Arial"/>
          <w:bCs/>
          <w:sz w:val="20"/>
          <w:szCs w:val="20"/>
        </w:rPr>
        <w:t>. U</w:t>
      </w:r>
      <w:r w:rsidR="0068318C">
        <w:rPr>
          <w:rFonts w:ascii="Arial" w:hAnsi="Arial" w:cs="Arial"/>
          <w:bCs/>
          <w:sz w:val="20"/>
          <w:szCs w:val="20"/>
        </w:rPr>
        <w:t>padacitinib</w:t>
      </w:r>
      <w:r w:rsidR="0068318C" w:rsidRPr="0068318C">
        <w:rPr>
          <w:rFonts w:ascii="Arial" w:hAnsi="Arial" w:cs="Arial"/>
          <w:bCs/>
          <w:sz w:val="20"/>
          <w:szCs w:val="20"/>
        </w:rPr>
        <w:t xml:space="preserve"> también fue superior en todos los endpoints secundarios jerarquizados: EASI 90 (40</w:t>
      </w:r>
      <w:r w:rsidR="00BD3FF1">
        <w:rPr>
          <w:rFonts w:ascii="Arial" w:hAnsi="Arial" w:cs="Arial"/>
          <w:bCs/>
          <w:sz w:val="20"/>
          <w:szCs w:val="20"/>
        </w:rPr>
        <w:t>,</w:t>
      </w:r>
      <w:r w:rsidR="0068318C" w:rsidRPr="0068318C">
        <w:rPr>
          <w:rFonts w:ascii="Arial" w:hAnsi="Arial" w:cs="Arial"/>
          <w:bCs/>
          <w:sz w:val="20"/>
          <w:szCs w:val="20"/>
        </w:rPr>
        <w:t>8% vs 22</w:t>
      </w:r>
      <w:r w:rsidR="00BD3FF1">
        <w:rPr>
          <w:rFonts w:ascii="Arial" w:hAnsi="Arial" w:cs="Arial"/>
          <w:bCs/>
          <w:sz w:val="20"/>
          <w:szCs w:val="20"/>
        </w:rPr>
        <w:t>,</w:t>
      </w:r>
      <w:r w:rsidR="0068318C" w:rsidRPr="0068318C">
        <w:rPr>
          <w:rFonts w:ascii="Arial" w:hAnsi="Arial" w:cs="Arial"/>
          <w:bCs/>
          <w:sz w:val="20"/>
          <w:szCs w:val="20"/>
        </w:rPr>
        <w:t>5%), WP-NRS 0/1 (30</w:t>
      </w:r>
      <w:r w:rsidR="00BD3FF1">
        <w:rPr>
          <w:rFonts w:ascii="Arial" w:hAnsi="Arial" w:cs="Arial"/>
          <w:bCs/>
          <w:sz w:val="20"/>
          <w:szCs w:val="20"/>
        </w:rPr>
        <w:t>,</w:t>
      </w:r>
      <w:r w:rsidR="0068318C" w:rsidRPr="0068318C">
        <w:rPr>
          <w:rFonts w:ascii="Arial" w:hAnsi="Arial" w:cs="Arial"/>
          <w:bCs/>
          <w:sz w:val="20"/>
          <w:szCs w:val="20"/>
        </w:rPr>
        <w:t>2% vs 15</w:t>
      </w:r>
      <w:r w:rsidR="00BD3FF1">
        <w:rPr>
          <w:rFonts w:ascii="Arial" w:hAnsi="Arial" w:cs="Arial"/>
          <w:bCs/>
          <w:sz w:val="20"/>
          <w:szCs w:val="20"/>
        </w:rPr>
        <w:t>,</w:t>
      </w:r>
      <w:r w:rsidR="0068318C" w:rsidRPr="0068318C">
        <w:rPr>
          <w:rFonts w:ascii="Arial" w:hAnsi="Arial" w:cs="Arial"/>
          <w:bCs/>
          <w:sz w:val="20"/>
          <w:szCs w:val="20"/>
        </w:rPr>
        <w:t>5%), mejora ≥4 puntos en WP-NRS (54</w:t>
      </w:r>
      <w:r w:rsidR="00BD3FF1">
        <w:rPr>
          <w:rFonts w:ascii="Arial" w:hAnsi="Arial" w:cs="Arial"/>
          <w:bCs/>
          <w:sz w:val="20"/>
          <w:szCs w:val="20"/>
        </w:rPr>
        <w:t>,</w:t>
      </w:r>
      <w:r w:rsidR="0068318C" w:rsidRPr="0068318C">
        <w:rPr>
          <w:rFonts w:ascii="Arial" w:hAnsi="Arial" w:cs="Arial"/>
          <w:bCs/>
          <w:sz w:val="20"/>
          <w:szCs w:val="20"/>
        </w:rPr>
        <w:t>7% vs 38</w:t>
      </w:r>
      <w:r w:rsidR="00BD3FF1">
        <w:rPr>
          <w:rFonts w:ascii="Arial" w:hAnsi="Arial" w:cs="Arial"/>
          <w:bCs/>
          <w:sz w:val="20"/>
          <w:szCs w:val="20"/>
        </w:rPr>
        <w:t>,</w:t>
      </w:r>
      <w:r w:rsidR="0068318C" w:rsidRPr="0068318C">
        <w:rPr>
          <w:rFonts w:ascii="Arial" w:hAnsi="Arial" w:cs="Arial"/>
          <w:bCs/>
          <w:sz w:val="20"/>
          <w:szCs w:val="20"/>
        </w:rPr>
        <w:t>1%) y EASI 100 (14</w:t>
      </w:r>
      <w:r w:rsidR="00BD3FF1">
        <w:rPr>
          <w:rFonts w:ascii="Arial" w:hAnsi="Arial" w:cs="Arial"/>
          <w:bCs/>
          <w:sz w:val="20"/>
          <w:szCs w:val="20"/>
        </w:rPr>
        <w:t>,</w:t>
      </w:r>
      <w:r w:rsidR="0068318C" w:rsidRPr="0068318C">
        <w:rPr>
          <w:rFonts w:ascii="Arial" w:hAnsi="Arial" w:cs="Arial"/>
          <w:bCs/>
          <w:sz w:val="20"/>
          <w:szCs w:val="20"/>
        </w:rPr>
        <w:t>8% vs 5</w:t>
      </w:r>
      <w:r w:rsidR="00BD3FF1">
        <w:rPr>
          <w:rFonts w:ascii="Arial" w:hAnsi="Arial" w:cs="Arial"/>
          <w:bCs/>
          <w:sz w:val="20"/>
          <w:szCs w:val="20"/>
        </w:rPr>
        <w:t>,</w:t>
      </w:r>
      <w:r w:rsidR="0068318C" w:rsidRPr="0068318C">
        <w:rPr>
          <w:rFonts w:ascii="Arial" w:hAnsi="Arial" w:cs="Arial"/>
          <w:bCs/>
          <w:sz w:val="20"/>
          <w:szCs w:val="20"/>
        </w:rPr>
        <w:t xml:space="preserve">6%), mostrando además respuestas más rápidas desde la Semana 2 y Semana 4. La mayoría de pacientes de </w:t>
      </w:r>
      <w:r w:rsidR="0068318C">
        <w:rPr>
          <w:rFonts w:ascii="Arial" w:hAnsi="Arial" w:cs="Arial"/>
          <w:bCs/>
          <w:sz w:val="20"/>
          <w:szCs w:val="20"/>
        </w:rPr>
        <w:t>upadacitinib</w:t>
      </w:r>
      <w:r w:rsidR="0068318C" w:rsidRPr="0068318C">
        <w:rPr>
          <w:rFonts w:ascii="Arial" w:hAnsi="Arial" w:cs="Arial"/>
          <w:bCs/>
          <w:sz w:val="20"/>
          <w:szCs w:val="20"/>
        </w:rPr>
        <w:t xml:space="preserve"> (69</w:t>
      </w:r>
      <w:r w:rsidR="00BD3FF1">
        <w:rPr>
          <w:rFonts w:ascii="Arial" w:hAnsi="Arial" w:cs="Arial"/>
          <w:bCs/>
          <w:sz w:val="20"/>
          <w:szCs w:val="20"/>
        </w:rPr>
        <w:t>,</w:t>
      </w:r>
      <w:r w:rsidR="0068318C" w:rsidRPr="0068318C">
        <w:rPr>
          <w:rFonts w:ascii="Arial" w:hAnsi="Arial" w:cs="Arial"/>
          <w:bCs/>
          <w:sz w:val="20"/>
          <w:szCs w:val="20"/>
        </w:rPr>
        <w:t xml:space="preserve">7%) escaló la dosis a 30 mg y se requirió menos rescate tópico que con </w:t>
      </w:r>
      <w:r w:rsidR="0068318C">
        <w:rPr>
          <w:rFonts w:ascii="Arial" w:hAnsi="Arial" w:cs="Arial"/>
          <w:bCs/>
          <w:sz w:val="20"/>
          <w:szCs w:val="20"/>
        </w:rPr>
        <w:t>dupilumab</w:t>
      </w:r>
      <w:r w:rsidR="0068318C" w:rsidRPr="0068318C">
        <w:rPr>
          <w:rFonts w:ascii="Arial" w:hAnsi="Arial" w:cs="Arial"/>
          <w:bCs/>
          <w:sz w:val="20"/>
          <w:szCs w:val="20"/>
        </w:rPr>
        <w:t xml:space="preserve"> (9</w:t>
      </w:r>
      <w:r w:rsidR="00BD3FF1">
        <w:rPr>
          <w:rFonts w:ascii="Arial" w:hAnsi="Arial" w:cs="Arial"/>
          <w:bCs/>
          <w:sz w:val="20"/>
          <w:szCs w:val="20"/>
        </w:rPr>
        <w:t>,</w:t>
      </w:r>
      <w:r w:rsidR="0068318C" w:rsidRPr="0068318C">
        <w:rPr>
          <w:rFonts w:ascii="Arial" w:hAnsi="Arial" w:cs="Arial"/>
          <w:bCs/>
          <w:sz w:val="20"/>
          <w:szCs w:val="20"/>
        </w:rPr>
        <w:t>6% vs 25</w:t>
      </w:r>
      <w:r w:rsidR="00BD3FF1">
        <w:rPr>
          <w:rFonts w:ascii="Arial" w:hAnsi="Arial" w:cs="Arial"/>
          <w:bCs/>
          <w:sz w:val="20"/>
          <w:szCs w:val="20"/>
        </w:rPr>
        <w:t>,</w:t>
      </w:r>
      <w:r w:rsidR="0068318C" w:rsidRPr="0068318C">
        <w:rPr>
          <w:rFonts w:ascii="Arial" w:hAnsi="Arial" w:cs="Arial"/>
          <w:bCs/>
          <w:sz w:val="20"/>
          <w:szCs w:val="20"/>
        </w:rPr>
        <w:t xml:space="preserve">1%). En seguridad, los </w:t>
      </w:r>
      <w:r w:rsidR="00377AA0">
        <w:rPr>
          <w:rFonts w:ascii="Arial" w:hAnsi="Arial" w:cs="Arial"/>
          <w:bCs/>
          <w:sz w:val="20"/>
          <w:szCs w:val="20"/>
        </w:rPr>
        <w:t>EA</w:t>
      </w:r>
      <w:r w:rsidR="0068318C" w:rsidRPr="0068318C">
        <w:rPr>
          <w:rFonts w:ascii="Arial" w:hAnsi="Arial" w:cs="Arial"/>
          <w:bCs/>
          <w:sz w:val="20"/>
          <w:szCs w:val="20"/>
        </w:rPr>
        <w:t xml:space="preserve"> fueron más frecuentes con </w:t>
      </w:r>
      <w:r w:rsidR="00377AA0">
        <w:rPr>
          <w:rFonts w:ascii="Arial" w:hAnsi="Arial" w:cs="Arial"/>
          <w:bCs/>
          <w:sz w:val="20"/>
          <w:szCs w:val="20"/>
        </w:rPr>
        <w:t>upadacitinib</w:t>
      </w:r>
      <w:r w:rsidR="0068318C" w:rsidRPr="0068318C">
        <w:rPr>
          <w:rFonts w:ascii="Arial" w:hAnsi="Arial" w:cs="Arial"/>
          <w:bCs/>
          <w:sz w:val="20"/>
          <w:szCs w:val="20"/>
        </w:rPr>
        <w:t xml:space="preserve"> (65</w:t>
      </w:r>
      <w:r w:rsidR="00BD3FF1">
        <w:rPr>
          <w:rFonts w:ascii="Arial" w:hAnsi="Arial" w:cs="Arial"/>
          <w:bCs/>
          <w:sz w:val="20"/>
          <w:szCs w:val="20"/>
        </w:rPr>
        <w:t>,</w:t>
      </w:r>
      <w:r w:rsidR="0068318C" w:rsidRPr="0068318C">
        <w:rPr>
          <w:rFonts w:ascii="Arial" w:hAnsi="Arial" w:cs="Arial"/>
          <w:bCs/>
          <w:sz w:val="20"/>
          <w:szCs w:val="20"/>
        </w:rPr>
        <w:t>3% vs 52</w:t>
      </w:r>
      <w:r w:rsidR="00BD3FF1">
        <w:rPr>
          <w:rFonts w:ascii="Arial" w:hAnsi="Arial" w:cs="Arial"/>
          <w:bCs/>
          <w:sz w:val="20"/>
          <w:szCs w:val="20"/>
        </w:rPr>
        <w:t>,</w:t>
      </w:r>
      <w:r w:rsidR="0068318C" w:rsidRPr="0068318C">
        <w:rPr>
          <w:rFonts w:ascii="Arial" w:hAnsi="Arial" w:cs="Arial"/>
          <w:bCs/>
          <w:sz w:val="20"/>
          <w:szCs w:val="20"/>
        </w:rPr>
        <w:t xml:space="preserve">7%), con tasas similares de </w:t>
      </w:r>
      <w:r w:rsidR="00377AA0">
        <w:rPr>
          <w:rFonts w:ascii="Arial" w:hAnsi="Arial" w:cs="Arial"/>
          <w:bCs/>
          <w:sz w:val="20"/>
          <w:szCs w:val="20"/>
        </w:rPr>
        <w:t>EA graves</w:t>
      </w:r>
      <w:r w:rsidR="0068318C" w:rsidRPr="0068318C">
        <w:rPr>
          <w:rFonts w:ascii="Arial" w:hAnsi="Arial" w:cs="Arial"/>
          <w:bCs/>
          <w:sz w:val="20"/>
          <w:szCs w:val="20"/>
        </w:rPr>
        <w:t xml:space="preserve"> (0</w:t>
      </w:r>
      <w:r w:rsidR="00BD3FF1">
        <w:rPr>
          <w:rFonts w:ascii="Arial" w:hAnsi="Arial" w:cs="Arial"/>
          <w:bCs/>
          <w:sz w:val="20"/>
          <w:szCs w:val="20"/>
        </w:rPr>
        <w:t>,</w:t>
      </w:r>
      <w:r w:rsidR="0068318C" w:rsidRPr="0068318C">
        <w:rPr>
          <w:rFonts w:ascii="Arial" w:hAnsi="Arial" w:cs="Arial"/>
          <w:bCs/>
          <w:sz w:val="20"/>
          <w:szCs w:val="20"/>
        </w:rPr>
        <w:t xml:space="preserve">9% en ambos), más acné con </w:t>
      </w:r>
      <w:r w:rsidR="00377AA0">
        <w:rPr>
          <w:rFonts w:ascii="Arial" w:hAnsi="Arial" w:cs="Arial"/>
          <w:bCs/>
          <w:sz w:val="20"/>
          <w:szCs w:val="20"/>
        </w:rPr>
        <w:t>upadacitinib</w:t>
      </w:r>
      <w:r w:rsidR="0068318C" w:rsidRPr="0068318C">
        <w:rPr>
          <w:rFonts w:ascii="Arial" w:hAnsi="Arial" w:cs="Arial"/>
          <w:bCs/>
          <w:sz w:val="20"/>
          <w:szCs w:val="20"/>
        </w:rPr>
        <w:t xml:space="preserve"> (12</w:t>
      </w:r>
      <w:r w:rsidR="00BD3FF1">
        <w:rPr>
          <w:rFonts w:ascii="Arial" w:hAnsi="Arial" w:cs="Arial"/>
          <w:bCs/>
          <w:sz w:val="20"/>
          <w:szCs w:val="20"/>
        </w:rPr>
        <w:t>,</w:t>
      </w:r>
      <w:r w:rsidR="0068318C" w:rsidRPr="0068318C">
        <w:rPr>
          <w:rFonts w:ascii="Arial" w:hAnsi="Arial" w:cs="Arial"/>
          <w:bCs/>
          <w:sz w:val="20"/>
          <w:szCs w:val="20"/>
        </w:rPr>
        <w:t>0% vs 1</w:t>
      </w:r>
      <w:r w:rsidR="00BD3FF1">
        <w:rPr>
          <w:rFonts w:ascii="Arial" w:hAnsi="Arial" w:cs="Arial"/>
          <w:bCs/>
          <w:sz w:val="20"/>
          <w:szCs w:val="20"/>
        </w:rPr>
        <w:t>,</w:t>
      </w:r>
      <w:r w:rsidR="0068318C" w:rsidRPr="0068318C">
        <w:rPr>
          <w:rFonts w:ascii="Arial" w:hAnsi="Arial" w:cs="Arial"/>
          <w:bCs/>
          <w:sz w:val="20"/>
          <w:szCs w:val="20"/>
        </w:rPr>
        <w:t xml:space="preserve">5%) y más conjuntivitis con </w:t>
      </w:r>
      <w:r w:rsidR="00377AA0">
        <w:rPr>
          <w:rFonts w:ascii="Arial" w:hAnsi="Arial" w:cs="Arial"/>
          <w:bCs/>
          <w:sz w:val="20"/>
          <w:szCs w:val="20"/>
        </w:rPr>
        <w:t>dupilumab</w:t>
      </w:r>
      <w:r w:rsidR="0068318C" w:rsidRPr="0068318C">
        <w:rPr>
          <w:rFonts w:ascii="Arial" w:hAnsi="Arial" w:cs="Arial"/>
          <w:bCs/>
          <w:sz w:val="20"/>
          <w:szCs w:val="20"/>
        </w:rPr>
        <w:t xml:space="preserve"> (7</w:t>
      </w:r>
      <w:r w:rsidR="00BD3FF1">
        <w:rPr>
          <w:rFonts w:ascii="Arial" w:hAnsi="Arial" w:cs="Arial"/>
          <w:bCs/>
          <w:sz w:val="20"/>
          <w:szCs w:val="20"/>
        </w:rPr>
        <w:t>,</w:t>
      </w:r>
      <w:r w:rsidR="0068318C" w:rsidRPr="0068318C">
        <w:rPr>
          <w:rFonts w:ascii="Arial" w:hAnsi="Arial" w:cs="Arial"/>
          <w:bCs/>
          <w:sz w:val="20"/>
          <w:szCs w:val="20"/>
        </w:rPr>
        <w:t>8% vs 1</w:t>
      </w:r>
      <w:r w:rsidR="00BD3FF1">
        <w:rPr>
          <w:rFonts w:ascii="Arial" w:hAnsi="Arial" w:cs="Arial"/>
          <w:bCs/>
          <w:sz w:val="20"/>
          <w:szCs w:val="20"/>
        </w:rPr>
        <w:t>,</w:t>
      </w:r>
      <w:r w:rsidR="0068318C" w:rsidRPr="0068318C">
        <w:rPr>
          <w:rFonts w:ascii="Arial" w:hAnsi="Arial" w:cs="Arial"/>
          <w:bCs/>
          <w:sz w:val="20"/>
          <w:szCs w:val="20"/>
        </w:rPr>
        <w:t>3%), sin muertes en ninguno de los grupos</w:t>
      </w:r>
      <w:r w:rsidR="00BD3FF1">
        <w:rPr>
          <w:rFonts w:ascii="Arial" w:hAnsi="Arial" w:cs="Arial"/>
          <w:bCs/>
          <w:sz w:val="20"/>
          <w:szCs w:val="20"/>
        </w:rPr>
        <w:t>.</w:t>
      </w:r>
      <w:r w:rsidR="00377AA0">
        <w:rPr>
          <w:rFonts w:ascii="Arial" w:hAnsi="Arial" w:cs="Arial"/>
          <w:bCs/>
          <w:sz w:val="20"/>
          <w:szCs w:val="20"/>
        </w:rPr>
        <w:t xml:space="preserve"> </w:t>
      </w:r>
      <w:r w:rsidR="00646A51">
        <w:rPr>
          <w:rFonts w:ascii="Arial" w:hAnsi="Arial" w:cs="Arial"/>
          <w:bCs/>
          <w:sz w:val="20"/>
          <w:szCs w:val="20"/>
        </w:rPr>
        <w:fldChar w:fldCharType="begin"/>
      </w:r>
      <w:r w:rsidR="00511A83">
        <w:rPr>
          <w:rFonts w:ascii="Arial" w:hAnsi="Arial" w:cs="Arial"/>
          <w:bCs/>
          <w:sz w:val="20"/>
          <w:szCs w:val="20"/>
        </w:rPr>
        <w:instrText xml:space="preserve"> ADDIN ZOTERO_ITEM CSL_CITATION {"citationID":"4T6R8RE4","properties":{"formattedCitation":"(18)","plainCitation":"(18)","noteIndex":0},"citationItems":[{"id":136,"uris":["http://zotero.org/users/18702181/items/BPN7U9QK"],"itemData":{"id":136,"type":"article-journal","abstract":"BACKGROUND: Atopic dermatitis (AD) is a chronic skin disease characterized by intense itch and eczematous skin lesions. Some patients with AD continue to experience flares and substantial clinical burden, despite ongoing systemic treatment.\nOBJECTIVES: To assess the efficacy and safety of once-daily upadacitinib (UPA), initiated at 15 mg and dose-escalated to 30 mg based on clinical response, compared with dupilumab (DUPI) as per its label, and present the week 16 primary analysis results.\nMETHODS: Level Up is a phase IIIb/IV global randomized open-label efficacy assessor-blinded study evaluating UPA vs. DUPI in adolescents and adults with moderate-to-severe AD who had an inadequate response to systemic therapy or when use was inadvisable. Patients were randomized to UPA or DUPI for 16 weeks of treatment (period 1). Patients on UPA were started on 15 mg and dose-escalated to 30 mg if they did not achieve an Eczema Area and Severity Index reduction of at least 50% (EASI 50) or a ≥ 4-point Worst Pruritus Numerical Rating Scale (WP-NRS) improvement on or after week 4, or an EASI reduction of at least 75% (EASI 75) on or after week 8. The primary endpoint was simultaneous achievement of an EASI reduction of at least 90% (EASI 90) and WP-NRS 0/1 at week 16. Ranked secondary endpoints included skin and itch responses at varying response levels and timepoints. Safety measures were assessed throughout the study.\nRESULTS: Superior efficacy in achieving simultaneous EASI 90 and WP-NRS 0/1 response at week 16 was demonstrated with UPA vs. DUPI (19.9% vs 8.9%, respectively; P &lt; 0.001). UPA showed superiority over DUPI for all ranked secondary endpoints, with post hoc analyses exhibiting higher itch response rates as early as day 2. No new safety signals were identified in this period.\nCONCLUSIONS: Treatment of moderate-to-severe AD with UPA, initiated at 15 mg and dose-escalated based on clinical response, demonstrated superiority over DUPI per its label for the primary endpoint of simultaneous achievement of near-complete skin clearance (EASI 90) and little-to-no itch (WP-NRS 0/1) at week 16, with all ranked secondary endpoints demonstrating superiority at varying skin and itch response levels and timepoints. No new safety signals were identified vs. the previously reported safety profiles of UPA and DUPI.","container-title":"The British Journal of Dermatology","DOI":"10.1093/bjd/ljae404","ISSN":"1365-2133","issue":"1","journalAbbreviation":"Br J Dermatol","language":"eng","page":"36-45","PMID":"39438067","source":"PubMed","title":"Efficacy and safety of upadacitinib versus dupilumab in adults and adolescents with moderate-to-severe atopic dermatitis: week 16 results of an open-label randomized efficacy assessor-blinded head-to-head phase IIIb/IV study (Level Up)","title-short":"Efficacy and safety of upadacitinib versus dupilumab in adults and adolescents with moderate-to-severe atopic dermatitis","volume":"192","author":[{"family":"Silverberg","given":"Jonathan I."},{"family":"Bunick","given":"Christopher G."},{"family":"Hong","given":"H. Chih-Ho"},{"family":"Mendes-Bastos","given":"Pedro"},{"family":"Stein Gold","given":"Linda"},{"family":"Costanzo","given":"Antonio"},{"family":"Ibrahim","given":"Nadia"},{"family":"Sancho","given":"Cristina"},{"family":"Wu","given":"Xiaoqiang"},{"family":"Han","given":"Yu"},{"family":"Levy","given":"Gweneth"},{"family":"Altman","given":"Kathy"},{"family":"Calimlim","given":"Brian"},{"family":"Eyerich","given":"Kilian"}],"issued":{"date-parts":[["2024",12,23]]}}}],"schema":"https://github.com/citation-style-language/schema/raw/master/csl-citation.json"} </w:instrText>
      </w:r>
      <w:r w:rsidR="00646A51">
        <w:rPr>
          <w:rFonts w:ascii="Arial" w:hAnsi="Arial" w:cs="Arial"/>
          <w:bCs/>
          <w:sz w:val="20"/>
          <w:szCs w:val="20"/>
        </w:rPr>
        <w:fldChar w:fldCharType="separate"/>
      </w:r>
      <w:r w:rsidR="00AB2E8A" w:rsidRPr="00AB2E8A">
        <w:rPr>
          <w:rFonts w:ascii="Arial" w:hAnsi="Arial" w:cs="Arial"/>
          <w:sz w:val="20"/>
        </w:rPr>
        <w:t>(18)</w:t>
      </w:r>
      <w:r w:rsidR="00646A51">
        <w:rPr>
          <w:rFonts w:ascii="Arial" w:hAnsi="Arial" w:cs="Arial"/>
          <w:bCs/>
          <w:sz w:val="20"/>
          <w:szCs w:val="20"/>
        </w:rPr>
        <w:fldChar w:fldCharType="end"/>
      </w:r>
    </w:p>
    <w:p w14:paraId="0EF7C23F" w14:textId="77777777" w:rsidR="0053682D" w:rsidRPr="006F6ABB" w:rsidRDefault="0053682D" w:rsidP="00BC3E8E">
      <w:pPr>
        <w:rPr>
          <w:rFonts w:ascii="Arial" w:hAnsi="Arial" w:cs="Arial"/>
          <w:b/>
          <w:sz w:val="20"/>
          <w:szCs w:val="20"/>
        </w:rPr>
      </w:pPr>
    </w:p>
    <w:p w14:paraId="51E3AB66" w14:textId="77777777"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1" w:name="_Toc344399649"/>
      <w:bookmarkStart w:id="102" w:name="_Toc348931376"/>
      <w:bookmarkStart w:id="103" w:name="_Toc216191099"/>
      <w:r w:rsidRPr="00B35A86">
        <w:rPr>
          <w:rFonts w:cs="Arial"/>
          <w:sz w:val="20"/>
        </w:rPr>
        <w:t>5.4 Evaluación de fuentes secundarias</w:t>
      </w:r>
      <w:bookmarkEnd w:id="101"/>
      <w:bookmarkEnd w:id="102"/>
      <w:bookmarkEnd w:id="103"/>
      <w:r w:rsidRPr="00B35A86">
        <w:rPr>
          <w:rFonts w:cs="Arial"/>
          <w:sz w:val="20"/>
        </w:rPr>
        <w:t xml:space="preserve"> </w:t>
      </w:r>
    </w:p>
    <w:p w14:paraId="263350F5" w14:textId="77777777" w:rsidR="00BC3E8E" w:rsidRPr="006F6ABB" w:rsidRDefault="00BC3E8E" w:rsidP="00BC3E8E">
      <w:pPr>
        <w:jc w:val="both"/>
        <w:rPr>
          <w:rFonts w:ascii="Arial" w:hAnsi="Arial" w:cs="Arial"/>
          <w:b/>
          <w:bCs/>
          <w:color w:val="0000FF"/>
          <w:sz w:val="20"/>
          <w:szCs w:val="20"/>
          <w:lang w:val="es-ES_tradnl"/>
        </w:rPr>
      </w:pPr>
    </w:p>
    <w:p w14:paraId="19B585DF" w14:textId="77777777"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4" w:name="_Toc348931377"/>
      <w:bookmarkStart w:id="105" w:name="_Toc216191100"/>
      <w:r w:rsidRPr="0071656E">
        <w:rPr>
          <w:rFonts w:cs="Arial"/>
          <w:sz w:val="20"/>
        </w:rPr>
        <w:t>5.4.1 Guías de Práctica clínica</w:t>
      </w:r>
      <w:bookmarkEnd w:id="104"/>
      <w:bookmarkEnd w:id="105"/>
      <w:r w:rsidRPr="006F6ABB">
        <w:rPr>
          <w:rFonts w:cs="Arial"/>
          <w:sz w:val="20"/>
        </w:rPr>
        <w:t xml:space="preserve"> </w:t>
      </w:r>
    </w:p>
    <w:p w14:paraId="63DD7EB2" w14:textId="77777777" w:rsidR="00BC3E8E" w:rsidRDefault="00BC3E8E" w:rsidP="00BC3E8E">
      <w:pPr>
        <w:jc w:val="both"/>
        <w:rPr>
          <w:rFonts w:ascii="Arial" w:hAnsi="Arial" w:cs="Arial"/>
          <w:sz w:val="20"/>
          <w:szCs w:val="20"/>
        </w:rPr>
      </w:pPr>
    </w:p>
    <w:p w14:paraId="435265D4" w14:textId="77777777" w:rsidR="00423908" w:rsidRDefault="00423908" w:rsidP="00BC3E8E">
      <w:pPr>
        <w:jc w:val="both"/>
        <w:rPr>
          <w:rFonts w:ascii="Arial" w:hAnsi="Arial" w:cs="Arial"/>
          <w:sz w:val="20"/>
          <w:szCs w:val="20"/>
        </w:rPr>
      </w:pPr>
      <w:r w:rsidRPr="00423908">
        <w:rPr>
          <w:rFonts w:ascii="Arial" w:hAnsi="Arial" w:cs="Arial"/>
          <w:sz w:val="20"/>
          <w:szCs w:val="20"/>
        </w:rPr>
        <w:t>El nemolizumab, ha sido incorporado en varias guías de práctica clínica (GPC) recientes para el manejo de la DA moderada a grave, destacando su rol específico en el tratamiento del prurito</w:t>
      </w:r>
      <w:r>
        <w:rPr>
          <w:rFonts w:ascii="Arial" w:hAnsi="Arial" w:cs="Arial"/>
          <w:sz w:val="20"/>
          <w:szCs w:val="20"/>
        </w:rPr>
        <w:t>.</w:t>
      </w:r>
    </w:p>
    <w:p w14:paraId="4B1956D3" w14:textId="77777777" w:rsidR="00BD3FF1" w:rsidRDefault="00BD3FF1" w:rsidP="00BC3E8E">
      <w:pPr>
        <w:jc w:val="both"/>
        <w:rPr>
          <w:rFonts w:ascii="Arial" w:hAnsi="Arial" w:cs="Arial"/>
          <w:sz w:val="20"/>
          <w:szCs w:val="20"/>
        </w:rPr>
      </w:pPr>
    </w:p>
    <w:p w14:paraId="2624AA34" w14:textId="77777777" w:rsidR="00423908" w:rsidRDefault="00423908">
      <w:pPr>
        <w:numPr>
          <w:ilvl w:val="0"/>
          <w:numId w:val="13"/>
        </w:numPr>
        <w:jc w:val="both"/>
        <w:rPr>
          <w:rFonts w:ascii="Arial" w:hAnsi="Arial" w:cs="Arial"/>
          <w:sz w:val="20"/>
          <w:szCs w:val="20"/>
        </w:rPr>
      </w:pPr>
      <w:r w:rsidRPr="00423908">
        <w:rPr>
          <w:rFonts w:ascii="Arial" w:hAnsi="Arial" w:cs="Arial"/>
          <w:b/>
          <w:bCs/>
          <w:sz w:val="20"/>
          <w:szCs w:val="20"/>
        </w:rPr>
        <w:t>Guía de la Academia Americana de Dermatología (AAD)</w:t>
      </w:r>
      <w:r w:rsidRPr="00423908">
        <w:rPr>
          <w:rFonts w:ascii="Arial" w:hAnsi="Arial" w:cs="Arial"/>
          <w:sz w:val="20"/>
          <w:szCs w:val="20"/>
        </w:rPr>
        <w:t xml:space="preserve"> 2025</w:t>
      </w:r>
      <w:r>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{"citationID":"0KDmDQBM","properties":{"formattedCitation":"(7,8)","plainCitation":"(7,8)","noteIndex":0},"citationItems":[{"id":15,"uris":["http://zotero.org/users/18702181/items/Q5B9E6HU"],"itemData":{"id":15,"type":"article-journal","abstract":"BACKGROUND: For people with atopic dermatitis (AD) refractory to topical therapies, treatment with phototherapy and systemic therapies can be considered. Multiple biologic therapies and Janus kinase (JAK)inhibitors have been approved since 2014 to treat AD. These guidelines update the 2014 recommendations for management of AD with phototherapy and systemic therapies.\nOBJECTIVE: To provide evidence-based recommendations on the use of phototherapy and systemic therapies for AD in adults.\nMETHODS: A multidisciplinary workgroup conducted a systematic review and applied the GRADE approach for assessing the certainty of evidence and formulating and grading recommendations.\nRESULTS: The workgroup developed 11 recommendations on the management of AD in adults with phototherapy and systemic agents, including biologics, oral JAK inhibitors, and other immunomodulatory medications.\nLIMITATIONS: Most randomized controlled trials of phototherapy and systemic therapies for AD are of short duration with subsequent extension studies, limiting comparative long-term efficacy and safety conclusions.\nCONCLUSIONS: We make strong recommendations for the use of dupilumab, tralokinumab, abrocitinib, baricitinib, and upadacitinib. We make conditional recommendations in favor of using phototherapy, azathioprine, cyclosporine, methotrexate, and mycophenolate, and against the use of systemic corticosteroids.","container-title":"Journal of the American Academy of Dermatology","DOI":"10.1016/j.jaad.2023.08.102","ISSN":"1097-6787","issue":"2","journalAbbreviation":"J Am Acad Dermatol","language":"eng","page":"e43-e56","PMID":"37943240","source":"PubMed","title":"Guidelines of care for the management of atopic dermatitis in adults with phototherapy and systemic therapies","volume":"90","author":[{"family":"Davis","given":"Dawn M. R."},{"family":"Drucker","given":"Aaron M."},{"family":"Alikhan","given":"Ali"},{"family":"Bercovitch","given":"Lionel"},{"family":"Cohen","given":"David E."},{"family":"Darr","given":"Jennifer M."},{"family":"Eichenfield","given":"Lawrence F."},{"family":"Frazer-Green","given":"Lindsy"},{"family":"Paller","given":"Amy S."},{"family":"Schwarzenberger","given":"Kathryn"},{"family":"Silverberg","given":"Jonathan I."},{"family":"Singh","given":"Anne Marie"},{"family":"Wu","given":"Peggy A."},{"family":"Sidbury","given":"Robert"}],"issued":{"date-parts":[["2024",2]]}}},{"id":12,"uris":["http://zotero.org/users/18702181/items/K4JDKALR"],"itemData":{"id":12,"type":"article-journal","container-title":"Journal of the American Academy of Dermatology","DOI":"10.1016/j.jaad.2025.05.1386","ISSN":"0190-9622, 1097-6787","issue":"3","journalAbbreviation":"Journal of the American Academy of Dermatology","language":"English","page":"745.e1-745.e7","PMID":"40531067","publisher":"Elsevier","source":"www.jaad.org","title":"Focused update: Guidelines of care for the management of atopic dermatitis in adults","title-short":"Focused update","volume":"93","author":[{"family":"Davis","given":"Dawn M. R."},{"family":"Frazer-Green","given":"Lindsy"},{"family":"Alikhan","given":"Ali"},{"family":"Bercovitch","given":"Lionel"},{"family":"Cohen","given":"David E."},{"family":"Darr","given":"Jennifer M."},{"family":"Drucker","given":"Aaron M."},{"family":"Eichenfield","given":"Lawrence F."},{"family":"Paller","given":"Amy S."},{"family":"Schwarzenberger","given":"Kathryn"},{"family":"Silverberg","given":"Jonathan I."},{"family":"Singh","given":"Anne Marie"},{"family":"Wu","given":"Peggy A."},{"family":"Sidbury","given":"Robert"}],"issued":{"date-parts":[["2025",9,1]]}}}],"schema":"https://github.com/citation-style-language/schema/raw/master/csl-citation.json"} </w:instrText>
      </w:r>
      <w:r w:rsidR="00646A51">
        <w:rPr>
          <w:rFonts w:ascii="Arial" w:hAnsi="Arial" w:cs="Arial"/>
          <w:sz w:val="20"/>
          <w:szCs w:val="20"/>
        </w:rPr>
        <w:fldChar w:fldCharType="separate"/>
      </w:r>
      <w:r w:rsidR="00A24290" w:rsidRPr="00A24290">
        <w:rPr>
          <w:rFonts w:ascii="Arial" w:hAnsi="Arial" w:cs="Arial"/>
          <w:sz w:val="20"/>
        </w:rPr>
        <w:t>(7,8)</w:t>
      </w:r>
      <w:r w:rsidR="00646A51">
        <w:rPr>
          <w:rFonts w:ascii="Arial" w:hAnsi="Arial" w:cs="Arial"/>
          <w:sz w:val="20"/>
          <w:szCs w:val="20"/>
        </w:rPr>
        <w:fldChar w:fldCharType="end"/>
      </w:r>
      <w:r>
        <w:rPr>
          <w:rFonts w:ascii="Arial" w:hAnsi="Arial" w:cs="Arial"/>
          <w:sz w:val="20"/>
          <w:szCs w:val="20"/>
        </w:rPr>
        <w:t xml:space="preserve"> </w:t>
      </w:r>
      <w:r w:rsidRPr="00423908">
        <w:rPr>
          <w:rFonts w:ascii="Arial" w:hAnsi="Arial" w:cs="Arial"/>
          <w:sz w:val="20"/>
          <w:szCs w:val="20"/>
        </w:rPr>
        <w:t>La GPC de la AAD 2025 emite una recomendación</w:t>
      </w:r>
      <w:r>
        <w:rPr>
          <w:rFonts w:ascii="Arial" w:hAnsi="Arial" w:cs="Arial"/>
          <w:sz w:val="20"/>
          <w:szCs w:val="20"/>
        </w:rPr>
        <w:t xml:space="preserve"> fuerte</w:t>
      </w:r>
      <w:r w:rsidRPr="00423908">
        <w:rPr>
          <w:rFonts w:ascii="Arial" w:hAnsi="Arial" w:cs="Arial"/>
          <w:sz w:val="20"/>
          <w:szCs w:val="20"/>
        </w:rPr>
        <w:t xml:space="preserve"> a favor del uso de nemolizumab, en combinación con terapia tópica concomitante (</w:t>
      </w:r>
      <w:r w:rsidR="0075635A">
        <w:rPr>
          <w:rFonts w:ascii="Arial" w:hAnsi="Arial" w:cs="Arial"/>
          <w:sz w:val="20"/>
          <w:szCs w:val="20"/>
        </w:rPr>
        <w:t xml:space="preserve">TCS </w:t>
      </w:r>
      <w:r w:rsidRPr="00423908">
        <w:rPr>
          <w:rFonts w:ascii="Arial" w:hAnsi="Arial" w:cs="Arial"/>
          <w:sz w:val="20"/>
          <w:szCs w:val="20"/>
        </w:rPr>
        <w:t xml:space="preserve">y/o </w:t>
      </w:r>
      <w:r w:rsidR="0075635A">
        <w:rPr>
          <w:rFonts w:ascii="Arial" w:hAnsi="Arial" w:cs="Arial"/>
          <w:sz w:val="20"/>
          <w:szCs w:val="20"/>
        </w:rPr>
        <w:t>TCI</w:t>
      </w:r>
      <w:r w:rsidRPr="00423908">
        <w:rPr>
          <w:rFonts w:ascii="Arial" w:hAnsi="Arial" w:cs="Arial"/>
          <w:sz w:val="20"/>
          <w:szCs w:val="20"/>
        </w:rPr>
        <w:t>), para adultos con DA moderada a grave.</w:t>
      </w:r>
    </w:p>
    <w:p w14:paraId="67A266A7" w14:textId="77777777" w:rsidR="00423908" w:rsidRDefault="00423908" w:rsidP="00423908">
      <w:pPr>
        <w:ind w:left="720"/>
        <w:jc w:val="both"/>
        <w:rPr>
          <w:rFonts w:ascii="Arial" w:hAnsi="Arial" w:cs="Arial"/>
          <w:sz w:val="20"/>
          <w:szCs w:val="20"/>
        </w:rPr>
      </w:pPr>
    </w:p>
    <w:p w14:paraId="5C4905BC" w14:textId="77777777" w:rsidR="00423908" w:rsidRDefault="00423908">
      <w:pPr>
        <w:numPr>
          <w:ilvl w:val="0"/>
          <w:numId w:val="13"/>
        </w:numPr>
        <w:jc w:val="both"/>
        <w:rPr>
          <w:rFonts w:ascii="Arial" w:hAnsi="Arial" w:cs="Arial"/>
          <w:sz w:val="20"/>
          <w:szCs w:val="20"/>
        </w:rPr>
      </w:pPr>
      <w:r w:rsidRPr="00423908">
        <w:rPr>
          <w:rFonts w:ascii="Arial" w:hAnsi="Arial" w:cs="Arial"/>
          <w:b/>
          <w:bCs/>
          <w:sz w:val="20"/>
          <w:szCs w:val="20"/>
        </w:rPr>
        <w:t>Guía Clínica Japonesa 2024</w:t>
      </w:r>
      <w:r>
        <w:rPr>
          <w:rFonts w:ascii="Arial" w:hAnsi="Arial" w:cs="Arial"/>
          <w:b/>
          <w:bCs/>
          <w:sz w:val="20"/>
          <w:szCs w:val="20"/>
        </w:rPr>
        <w:t xml:space="preserve"> </w:t>
      </w:r>
      <w:r w:rsidR="00646A51">
        <w:rPr>
          <w:rFonts w:ascii="Arial" w:hAnsi="Arial" w:cs="Arial"/>
          <w:b/>
          <w:bCs/>
          <w:sz w:val="20"/>
          <w:szCs w:val="20"/>
        </w:rPr>
        <w:fldChar w:fldCharType="begin"/>
      </w:r>
      <w:r w:rsidR="00511A83">
        <w:rPr>
          <w:rFonts w:ascii="Arial" w:hAnsi="Arial" w:cs="Arial"/>
          <w:b/>
          <w:bCs/>
          <w:sz w:val="20"/>
          <w:szCs w:val="20"/>
        </w:rPr>
        <w:instrText xml:space="preserve"> ADDIN ZOTERO_ITEM CSL_CITATION {"citationID":"o24dq0uP","properties":{"formattedCitation":"(1)","plainCitation":"(1)","noteIndex":0},"citationItems":[{"id":6,"uris":["http://zotero.org/users/18702181/items/NFG963CD"],"itemData":{"id":6,"type":"article-journal","abstract":"This is the English version of the 2024 clinical practice guidelines for the management of atopic dermatitis (AD). AD is a disease characterized by relapsing eczema with pruritus as a primary lesion. A crucial aspect of AD treatment is the prompt induction of remission via the suppression of existing skin inflammation and pruritus. To achieve this, topical anti-inflammatory drugs, such as topical corticosteroids, tacrolimus ointment, delgocitinib ointment, and difamilast ointment, have been used. However, the following treatments should be considered in addition to topical therapy for patients with refractory moderate-to-severe AD: oral cyclosporine, subcutaneous injections of biologics (dupilumab, nemolizumab, tralokinumab), oral Janus kinase inhibitors (baricitinib, upadacitinib, abrocitinib), and phototherapy. In these revised guidelines, descriptions of five new drugs, namely, difamilast, nemolizumab, tralokinumab, upadacitinib, and abrocitinib, have been added. The guidelines present recommendations to review clinical research articles, evaluate the balance between the advantages and disadvantages of medical activities, and optimize medical activity-related patient outcomes with respect to several important points requiring decision-making in clinical practice.","container-title":"The Journal of Dermatology","DOI":"10.1111/1346-8138.17544","ISSN":"1346-8138","issue":"2","journalAbbreviation":"J Dermatol","language":"eng","page":"e70-e142","PMID":"39707640","source":"PubMed","title":"English version of clinical practice guidelines for the management of atopic dermatitis 2024","volume":"52","author":[{"family":"Saeki","given":"Hidehisa"},{"family":"Ohya","given":"Yukihiro"},{"family":"Arakawa","given":"Hirokazu"},{"family":"Ichiyama","given":"Susumu"},{"family":"Katsunuma","given":"Toshio"},{"family":"Katoh","given":"Norito"},{"family":"Tanaka","given":"Akio"},{"family":"Tanizaki","given":"Hideaki"},{"family":"Tsunemi","given":"Yuichiro"},{"family":"Nakahara","given":"Takeshi"},{"family":"Nagao","given":"Mizuho"},{"family":"Narita","given":"Masami"},{"family":"Hide","given":"Michihiro"},{"family":"Fujisawa","given":"Takao"},{"family":"Futamura","given":"Masaki"},{"family":"Masuda","given":"Koji"},{"family":"Matsubara","given":"Tomoyo"},{"family":"Murota","given":"Hiroyuki"},{"family":"Yamamoto-Hanada","given":"Kiwako"},{"family":"Furuta","given":"Junichi"}],"issued":{"date-parts":[["2025",2]]}}}],"schema":"https://github.com/citation-style-language/schema/raw/master/csl-citation.json"} </w:instrText>
      </w:r>
      <w:r w:rsidR="00646A51">
        <w:rPr>
          <w:rFonts w:ascii="Arial" w:hAnsi="Arial" w:cs="Arial"/>
          <w:b/>
          <w:bCs/>
          <w:sz w:val="20"/>
          <w:szCs w:val="20"/>
        </w:rPr>
        <w:fldChar w:fldCharType="separate"/>
      </w:r>
      <w:r w:rsidRPr="00423908">
        <w:rPr>
          <w:rFonts w:ascii="Arial" w:hAnsi="Arial" w:cs="Arial"/>
          <w:sz w:val="20"/>
        </w:rPr>
        <w:t>(1)</w:t>
      </w:r>
      <w:r w:rsidR="00646A51">
        <w:rPr>
          <w:rFonts w:ascii="Arial" w:hAnsi="Arial" w:cs="Arial"/>
          <w:b/>
          <w:bCs/>
          <w:sz w:val="20"/>
          <w:szCs w:val="20"/>
        </w:rPr>
        <w:fldChar w:fldCharType="end"/>
      </w:r>
      <w:r>
        <w:rPr>
          <w:rFonts w:ascii="Arial" w:hAnsi="Arial" w:cs="Arial"/>
          <w:b/>
          <w:bCs/>
          <w:sz w:val="20"/>
          <w:szCs w:val="20"/>
        </w:rPr>
        <w:t xml:space="preserve"> </w:t>
      </w:r>
      <w:r w:rsidRPr="00423908">
        <w:rPr>
          <w:rFonts w:ascii="Arial" w:hAnsi="Arial" w:cs="Arial"/>
          <w:sz w:val="20"/>
          <w:szCs w:val="20"/>
        </w:rPr>
        <w:t xml:space="preserve">incluye al nemolizumab como un tratamiento biológico a considerar para pacientes con DA moderada a grave refractaria. Se hace una recomendación específica (Grado 1, Nivel A) para el tratamiento del prurito moderado a grave debido a la DA, especialmente en casos donde es difícil lograr la remisión con terapia tópica y antihistamínicos orales. Se indica para adultos y niños </w:t>
      </w:r>
      <w:r>
        <w:rPr>
          <w:rFonts w:ascii="Arial" w:hAnsi="Arial" w:cs="Arial"/>
          <w:sz w:val="20"/>
          <w:szCs w:val="20"/>
        </w:rPr>
        <w:t>≥</w:t>
      </w:r>
      <w:r w:rsidRPr="00423908">
        <w:rPr>
          <w:rFonts w:ascii="Arial" w:hAnsi="Arial" w:cs="Arial"/>
          <w:sz w:val="20"/>
          <w:szCs w:val="20"/>
        </w:rPr>
        <w:t>13 años, y es fundamental continuar la aplicación de antiinflamatorios tópicos durante su administración.</w:t>
      </w:r>
    </w:p>
    <w:p w14:paraId="786DDACE" w14:textId="77777777" w:rsidR="00423908" w:rsidRDefault="00423908" w:rsidP="00423908">
      <w:pPr>
        <w:pStyle w:val="Prrafodelista"/>
        <w:rPr>
          <w:rFonts w:ascii="Arial" w:hAnsi="Arial" w:cs="Arial"/>
          <w:sz w:val="20"/>
          <w:szCs w:val="20"/>
        </w:rPr>
      </w:pPr>
    </w:p>
    <w:p w14:paraId="2970050D" w14:textId="77777777" w:rsidR="00423908" w:rsidRPr="00423908" w:rsidRDefault="00423908">
      <w:pPr>
        <w:numPr>
          <w:ilvl w:val="0"/>
          <w:numId w:val="13"/>
        </w:numPr>
        <w:jc w:val="both"/>
        <w:rPr>
          <w:rFonts w:ascii="Arial" w:hAnsi="Arial" w:cs="Arial"/>
          <w:sz w:val="20"/>
          <w:szCs w:val="20"/>
        </w:rPr>
      </w:pPr>
      <w:r w:rsidRPr="00423908">
        <w:rPr>
          <w:rFonts w:ascii="Arial" w:hAnsi="Arial" w:cs="Arial"/>
          <w:b/>
          <w:bCs/>
          <w:sz w:val="20"/>
          <w:szCs w:val="20"/>
        </w:rPr>
        <w:t>Guía NICE (Reino Unido) 2025 (TA1077)</w:t>
      </w:r>
      <w:r>
        <w:rPr>
          <w:rFonts w:ascii="Arial" w:hAnsi="Arial" w:cs="Arial"/>
          <w:b/>
          <w:bCs/>
          <w:sz w:val="20"/>
          <w:szCs w:val="20"/>
        </w:rPr>
        <w:t xml:space="preserve"> </w:t>
      </w:r>
      <w:r w:rsidR="00646A51">
        <w:rPr>
          <w:rFonts w:ascii="Arial" w:hAnsi="Arial" w:cs="Arial"/>
          <w:b/>
          <w:bCs/>
          <w:sz w:val="20"/>
          <w:szCs w:val="20"/>
        </w:rPr>
        <w:fldChar w:fldCharType="begin"/>
      </w:r>
      <w:r w:rsidR="00511A83">
        <w:rPr>
          <w:rFonts w:ascii="Arial" w:hAnsi="Arial" w:cs="Arial"/>
          <w:b/>
          <w:bCs/>
          <w:sz w:val="20"/>
          <w:szCs w:val="20"/>
        </w:rPr>
        <w:instrText xml:space="preserve"> ADDIN ZOTERO_ITEM CSL_CITATION {"citationID":"qBjgaZWC","properties":{"formattedCitation":"(6)","plainCitation":"(6)","noteIndex":0},"citationItems":[{"id":19,"uris":["http://zotero.org/users/18702181/items/D23SH82W"],"itemData":{"id":19,"type":"book","call-number":"NBK617252","collection-title":"National Institute for Health and Care Excellence: Technology Appraisals","ISBN":"978-1-4731-7082-7","language":"eng","note":"PMID: 40828954","publisher":"National Institute for Health and Care Excellence (NICE)","publisher-place":"London","source":"PubMed","title":"Nemolizumab for treating moderate to severe atopic dermatitis in people 12 years and over","URL":"http://www.ncbi.nlm.nih.gov/books/NBK617252/","accessed":{"date-parts":[["2025",11,5]]},"issued":{"date-parts":[["2025"]]}}}],"schema":"https://github.com/citation-style-language/schema/raw/master/csl-citation.json"} </w:instrText>
      </w:r>
      <w:r w:rsidR="00646A51">
        <w:rPr>
          <w:rFonts w:ascii="Arial" w:hAnsi="Arial" w:cs="Arial"/>
          <w:b/>
          <w:bCs/>
          <w:sz w:val="20"/>
          <w:szCs w:val="20"/>
        </w:rPr>
        <w:fldChar w:fldCharType="separate"/>
      </w:r>
      <w:r w:rsidR="00A24290" w:rsidRPr="00A24290">
        <w:rPr>
          <w:rFonts w:ascii="Arial" w:hAnsi="Arial" w:cs="Arial"/>
          <w:sz w:val="20"/>
        </w:rPr>
        <w:t>(6)</w:t>
      </w:r>
      <w:r w:rsidR="00646A51">
        <w:rPr>
          <w:rFonts w:ascii="Arial" w:hAnsi="Arial" w:cs="Arial"/>
          <w:b/>
          <w:bCs/>
          <w:sz w:val="20"/>
          <w:szCs w:val="20"/>
        </w:rPr>
        <w:fldChar w:fldCharType="end"/>
      </w:r>
      <w:r>
        <w:rPr>
          <w:rFonts w:ascii="Arial" w:hAnsi="Arial" w:cs="Arial"/>
          <w:sz w:val="20"/>
          <w:szCs w:val="20"/>
        </w:rPr>
        <w:t xml:space="preserve"> </w:t>
      </w:r>
      <w:r w:rsidRPr="00423908">
        <w:rPr>
          <w:rFonts w:ascii="Arial" w:hAnsi="Arial" w:cs="Arial"/>
          <w:sz w:val="20"/>
          <w:szCs w:val="20"/>
        </w:rPr>
        <w:t>La guía NICE recomienda nemolizumab como una opción para personas de 12 años o más con DA moderada a grave, en combinación con terapia tópica, siempre que</w:t>
      </w:r>
      <w:r>
        <w:rPr>
          <w:rFonts w:ascii="Arial" w:hAnsi="Arial" w:cs="Arial"/>
          <w:sz w:val="20"/>
          <w:szCs w:val="20"/>
        </w:rPr>
        <w:t xml:space="preserve"> l</w:t>
      </w:r>
      <w:r w:rsidRPr="00423908">
        <w:rPr>
          <w:rFonts w:ascii="Arial" w:hAnsi="Arial" w:cs="Arial"/>
          <w:sz w:val="20"/>
          <w:szCs w:val="20"/>
        </w:rPr>
        <w:t>a DA no haya respondido</w:t>
      </w:r>
      <w:r>
        <w:rPr>
          <w:rFonts w:ascii="Arial" w:hAnsi="Arial" w:cs="Arial"/>
          <w:sz w:val="20"/>
          <w:szCs w:val="20"/>
        </w:rPr>
        <w:t xml:space="preserve"> a</w:t>
      </w:r>
      <w:r w:rsidRPr="00423908">
        <w:rPr>
          <w:rFonts w:ascii="Arial" w:hAnsi="Arial" w:cs="Arial"/>
          <w:sz w:val="20"/>
          <w:szCs w:val="20"/>
        </w:rPr>
        <w:t xml:space="preserve"> los tratamientos sistémicos (como </w:t>
      </w:r>
      <w:r>
        <w:rPr>
          <w:rFonts w:ascii="Arial" w:hAnsi="Arial" w:cs="Arial"/>
          <w:sz w:val="20"/>
          <w:szCs w:val="20"/>
        </w:rPr>
        <w:t>AZA</w:t>
      </w:r>
      <w:r w:rsidRPr="00423908">
        <w:rPr>
          <w:rFonts w:ascii="Arial" w:hAnsi="Arial" w:cs="Arial"/>
          <w:sz w:val="20"/>
          <w:szCs w:val="20"/>
        </w:rPr>
        <w:t xml:space="preserve">, </w:t>
      </w:r>
      <w:r>
        <w:rPr>
          <w:rFonts w:ascii="Arial" w:hAnsi="Arial" w:cs="Arial"/>
          <w:sz w:val="20"/>
          <w:szCs w:val="20"/>
        </w:rPr>
        <w:t>MTX o ciclosporina</w:t>
      </w:r>
      <w:r w:rsidRPr="00423908">
        <w:rPr>
          <w:rFonts w:ascii="Arial" w:hAnsi="Arial" w:cs="Arial"/>
          <w:sz w:val="20"/>
          <w:szCs w:val="20"/>
        </w:rPr>
        <w:t xml:space="preserve">) </w:t>
      </w:r>
      <w:r>
        <w:rPr>
          <w:rFonts w:ascii="Arial" w:hAnsi="Arial" w:cs="Arial"/>
          <w:sz w:val="20"/>
          <w:szCs w:val="20"/>
        </w:rPr>
        <w:t xml:space="preserve">o </w:t>
      </w:r>
      <w:r w:rsidRPr="00423908">
        <w:rPr>
          <w:rFonts w:ascii="Arial" w:hAnsi="Arial" w:cs="Arial"/>
          <w:sz w:val="20"/>
          <w:szCs w:val="20"/>
        </w:rPr>
        <w:t>no sean adecuados.</w:t>
      </w:r>
      <w:r>
        <w:rPr>
          <w:rFonts w:ascii="Arial" w:hAnsi="Arial" w:cs="Arial"/>
          <w:sz w:val="20"/>
          <w:szCs w:val="20"/>
        </w:rPr>
        <w:t xml:space="preserve"> N</w:t>
      </w:r>
      <w:r w:rsidRPr="00423908">
        <w:rPr>
          <w:rFonts w:ascii="Arial" w:hAnsi="Arial" w:cs="Arial"/>
          <w:sz w:val="20"/>
          <w:szCs w:val="20"/>
        </w:rPr>
        <w:t>emolizumab se posiciona generalmente como un tratamiento sistémico de segunda línea para adultos, aunque podría ser una primera línea sistémica para jóvenes si las opciones típicas no son adecuadas. Se establece un criterio de interrupción estricto si no hay una respuesta adecuada (reducción de</w:t>
      </w:r>
      <w:r>
        <w:rPr>
          <w:rFonts w:ascii="Arial" w:hAnsi="Arial" w:cs="Arial"/>
          <w:sz w:val="20"/>
          <w:szCs w:val="20"/>
        </w:rPr>
        <w:t xml:space="preserve"> ≥</w:t>
      </w:r>
      <w:r w:rsidRPr="00423908">
        <w:rPr>
          <w:rFonts w:ascii="Arial" w:hAnsi="Arial" w:cs="Arial"/>
          <w:sz w:val="20"/>
          <w:szCs w:val="20"/>
        </w:rPr>
        <w:t>50</w:t>
      </w:r>
      <w:r>
        <w:rPr>
          <w:rFonts w:ascii="Arial" w:hAnsi="Arial" w:cs="Arial"/>
          <w:sz w:val="20"/>
          <w:szCs w:val="20"/>
        </w:rPr>
        <w:t xml:space="preserve">% </w:t>
      </w:r>
      <w:r w:rsidRPr="00423908">
        <w:rPr>
          <w:rFonts w:ascii="Arial" w:hAnsi="Arial" w:cs="Arial"/>
          <w:sz w:val="20"/>
          <w:szCs w:val="20"/>
        </w:rPr>
        <w:t>en EASI y 4 puntos en DLQI) después de 16 semanas.</w:t>
      </w:r>
    </w:p>
    <w:p w14:paraId="497E9312" w14:textId="77777777" w:rsidR="00423908" w:rsidRDefault="00423908" w:rsidP="00423908">
      <w:pPr>
        <w:pStyle w:val="Prrafodelista"/>
        <w:rPr>
          <w:rFonts w:ascii="Arial" w:hAnsi="Arial" w:cs="Arial"/>
          <w:sz w:val="20"/>
          <w:szCs w:val="20"/>
        </w:rPr>
      </w:pPr>
    </w:p>
    <w:p w14:paraId="17DD0118" w14:textId="77777777" w:rsidR="00423908" w:rsidRDefault="00423908">
      <w:pPr>
        <w:numPr>
          <w:ilvl w:val="0"/>
          <w:numId w:val="13"/>
        </w:numPr>
        <w:jc w:val="both"/>
        <w:rPr>
          <w:rFonts w:ascii="Arial" w:hAnsi="Arial" w:cs="Arial"/>
          <w:sz w:val="20"/>
          <w:szCs w:val="20"/>
        </w:rPr>
      </w:pPr>
      <w:r w:rsidRPr="00423908">
        <w:rPr>
          <w:rFonts w:ascii="Arial" w:hAnsi="Arial" w:cs="Arial"/>
          <w:b/>
          <w:bCs/>
          <w:sz w:val="20"/>
          <w:szCs w:val="20"/>
        </w:rPr>
        <w:t>Guía Europea (EuroGuiDerm 2025)</w:t>
      </w:r>
      <w:r>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{"citationID":"5IGFbg0U","properties":{"formattedCitation":"(9)","plainCitation":"(9)","noteIndex":0},"citationItems":[{"id":3,"uris":["http://zotero.org/users/18702181/items/IWZWKQHK"],"itemData":{"id":3,"type":"article-journal","abstract":"The evidence</w:instrText>
      </w:r>
      <w:r w:rsidR="00511A83">
        <w:rPr>
          <w:rFonts w:ascii="Cambria Math" w:hAnsi="Cambria Math" w:cs="Cambria Math"/>
          <w:sz w:val="20"/>
          <w:szCs w:val="20"/>
        </w:rPr>
        <w:instrText>‐</w:instrText>
      </w:r>
      <w:r w:rsidR="00511A83">
        <w:rPr>
          <w:rFonts w:ascii="Arial" w:hAnsi="Arial" w:cs="Arial"/>
          <w:sz w:val="20"/>
          <w:szCs w:val="20"/>
        </w:rPr>
        <w:instrText xml:space="preserve"> and consensus</w:instrText>
      </w:r>
      <w:r w:rsidR="00511A83">
        <w:rPr>
          <w:rFonts w:ascii="Cambria Math" w:hAnsi="Cambria Math" w:cs="Cambria Math"/>
          <w:sz w:val="20"/>
          <w:szCs w:val="20"/>
        </w:rPr>
        <w:instrText>‐</w:instrText>
      </w:r>
      <w:r w:rsidR="00511A83">
        <w:rPr>
          <w:rFonts w:ascii="Arial" w:hAnsi="Arial" w:cs="Arial"/>
          <w:sz w:val="20"/>
          <w:szCs w:val="20"/>
        </w:rPr>
        <w:instrText>based living guideline on atopic eczema was developed in accordance with the EuroGuiDerm Guideline and Consensus Statement Development Manual. The original EuroGuiDerm Guideline on atopic eczema was published in June 2022. Since then, the part of the guideline dealing with systemic therapy has been updated twice. This paper summarizes the results of the second update. Twenty</w:instrText>
      </w:r>
      <w:r w:rsidR="00511A83">
        <w:rPr>
          <w:rFonts w:ascii="Cambria Math" w:hAnsi="Cambria Math" w:cs="Cambria Math"/>
          <w:sz w:val="20"/>
          <w:szCs w:val="20"/>
        </w:rPr>
        <w:instrText>‐</w:instrText>
      </w:r>
      <w:r w:rsidR="00511A83">
        <w:rPr>
          <w:rFonts w:ascii="Arial" w:hAnsi="Arial" w:cs="Arial"/>
          <w:sz w:val="20"/>
          <w:szCs w:val="20"/>
        </w:rPr>
        <w:instrText>eight experts (including clinicians and patient representatives) from 12 European countries participated. The updated guideline provides guidance on which patients should be treated with systemic therapies, as well as recommendations and detailed information on each systemic drug. The systemic treatment options discussed in the guideline comprise conventional immunosuppressive drugs (azathioprine, ciclosporin, glucocorticosteroids, methotrexate and mycophenolate mofetil), biologics (dupilumab, lebrikizumab, nemolizumab and tralokinumab) and Janus kinase (JAK) inhibitors (abrocitinib, baricitinib and upadacitinib). Additionally, the updated guidelines address considerations for paediatric, adolescent, pregnant and breastfeeding patients. For all other aspects, please refer to the 2022 version., The updated guideline includes a new evidence</w:instrText>
      </w:r>
      <w:r w:rsidR="00511A83">
        <w:rPr>
          <w:rFonts w:ascii="Cambria Math" w:hAnsi="Cambria Math" w:cs="Cambria Math"/>
          <w:sz w:val="20"/>
          <w:szCs w:val="20"/>
        </w:rPr>
        <w:instrText>‐</w:instrText>
      </w:r>
      <w:r w:rsidR="00511A83">
        <w:rPr>
          <w:rFonts w:ascii="Arial" w:hAnsi="Arial" w:cs="Arial"/>
          <w:sz w:val="20"/>
          <w:szCs w:val="20"/>
        </w:rPr>
        <w:instrText>based recommendation for the IL</w:instrText>
      </w:r>
      <w:r w:rsidR="00511A83">
        <w:rPr>
          <w:rFonts w:ascii="Cambria Math" w:hAnsi="Cambria Math" w:cs="Cambria Math"/>
          <w:sz w:val="20"/>
          <w:szCs w:val="20"/>
        </w:rPr>
        <w:instrText>‐</w:instrText>
      </w:r>
      <w:r w:rsidR="00511A83">
        <w:rPr>
          <w:rFonts w:ascii="Arial" w:hAnsi="Arial" w:cs="Arial"/>
          <w:sz w:val="20"/>
          <w:szCs w:val="20"/>
        </w:rPr>
        <w:instrText>13 inhibitor lebrikizumab. In addition, the Janus kinase inhibitors baricitinib and abrocitinib, which were initially only approved for adult patients, are now also recommended for children from the age of 2 and adolescents from the age of 12, respectively.","container-title":"Journal of the European Academy of Dermatology and Venereology","DOI":"10.1111/jdv.20639","ISSN":"0926-9959","issue":"9","journalAbbreviation":"J Eur Acad Dermatol Venereol","page":"1537-1566","PMID":"40317496","PMCID":"PMC12376260","source":"PubMed Central","title":"European Guideline (EuroGuiDerm) on atopic eczema: Living update","title-short":"European Guideline (EuroGuiDerm) on atopic eczema","volume":"39","author":[{"family":"Wollenberg","given":"A."},{"family":"Kinberger","given":"M."},{"family":"Arents","given":"B."},{"family":"Aszodi","given":"N."},{"family":"Barbarot","given":"S."},{"family":"Bieber","given":"T."},{"family":"Brough","given":"H. A."},{"family":"Calzavara</w:instrText>
      </w:r>
      <w:r w:rsidR="00511A83">
        <w:rPr>
          <w:rFonts w:ascii="Cambria Math" w:hAnsi="Cambria Math" w:cs="Cambria Math"/>
          <w:sz w:val="20"/>
          <w:szCs w:val="20"/>
        </w:rPr>
        <w:instrText>‐</w:instrText>
      </w:r>
      <w:r w:rsidR="00511A83">
        <w:rPr>
          <w:rFonts w:ascii="Arial" w:hAnsi="Arial" w:cs="Arial"/>
          <w:sz w:val="20"/>
          <w:szCs w:val="20"/>
        </w:rPr>
        <w:instrText>Pinton","given":"P."},{"family":"Christen</w:instrText>
      </w:r>
      <w:r w:rsidR="00511A83">
        <w:rPr>
          <w:rFonts w:ascii="Cambria Math" w:hAnsi="Cambria Math" w:cs="Cambria Math"/>
          <w:sz w:val="20"/>
          <w:szCs w:val="20"/>
        </w:rPr>
        <w:instrText>‐</w:instrText>
      </w:r>
      <w:r w:rsidR="00511A83">
        <w:rPr>
          <w:rFonts w:ascii="Arial" w:hAnsi="Arial" w:cs="Arial"/>
          <w:sz w:val="20"/>
          <w:szCs w:val="20"/>
        </w:rPr>
        <w:instrText>Zaech","given":"S."},{"family":"Deleuran","given":"M."},{"family":"Dittmann","given":"M."},{"family":"Fosse","given":"N."},{"family":"Gáspár","given":"K."},{"family":"Gerbens","given":"L. A. A."},{"family":"Gieler","given":"U."},{"family":"Girolomoni","given":"G."},{"family":"Gregoriou","given":"S."},{"family":"Holland","given":"S."},{"family":"Mortz","given":"C. G."},{"family":"Nast","given":"A."},{"family":"Nygaard","given":"U."},{"family":"Rehbinder","given":"E. M."},{"family":"Ring","given":"J."},{"family":"Rossi","given":"M."},{"family":"Serra</w:instrText>
      </w:r>
      <w:r w:rsidR="00511A83">
        <w:rPr>
          <w:rFonts w:ascii="Cambria Math" w:hAnsi="Cambria Math" w:cs="Cambria Math"/>
          <w:sz w:val="20"/>
          <w:szCs w:val="20"/>
        </w:rPr>
        <w:instrText>‐</w:instrText>
      </w:r>
      <w:r w:rsidR="00511A83">
        <w:rPr>
          <w:rFonts w:ascii="Arial" w:hAnsi="Arial" w:cs="Arial"/>
          <w:sz w:val="20"/>
          <w:szCs w:val="20"/>
        </w:rPr>
        <w:instrText xml:space="preserve">Baldrich","given":"E."},{"family":"Simon","given":"D."},{"family":"Szalai","given":"Z. Z."},{"family":"Szepietowski","given":"J. C."},{"family":"Torrelo","given":"A."},{"family":"Werfel","given":"T."},{"family":"Werner","given":"R. N."},{"family":"Flohr","given":"C."}],"issued":{"date-parts":[["2025",9]]}}}],"schema":"https://github.com/citation-style-language/schema/raw/master/csl-citation.json"} </w:instrText>
      </w:r>
      <w:r w:rsidR="00646A51">
        <w:rPr>
          <w:rFonts w:ascii="Arial" w:hAnsi="Arial" w:cs="Arial"/>
          <w:sz w:val="20"/>
          <w:szCs w:val="20"/>
        </w:rPr>
        <w:fldChar w:fldCharType="separate"/>
      </w:r>
      <w:r w:rsidR="00A24290" w:rsidRPr="00A24290">
        <w:rPr>
          <w:rFonts w:ascii="Arial" w:hAnsi="Arial" w:cs="Arial"/>
          <w:sz w:val="20"/>
        </w:rPr>
        <w:t>(9)</w:t>
      </w:r>
      <w:r w:rsidR="00646A51">
        <w:rPr>
          <w:rFonts w:ascii="Arial" w:hAnsi="Arial" w:cs="Arial"/>
          <w:sz w:val="20"/>
          <w:szCs w:val="20"/>
        </w:rPr>
        <w:fldChar w:fldCharType="end"/>
      </w:r>
      <w:r>
        <w:rPr>
          <w:rFonts w:ascii="Arial" w:hAnsi="Arial" w:cs="Arial"/>
          <w:sz w:val="20"/>
          <w:szCs w:val="20"/>
        </w:rPr>
        <w:t xml:space="preserve"> </w:t>
      </w:r>
      <w:r w:rsidRPr="00423908">
        <w:rPr>
          <w:rFonts w:ascii="Arial" w:hAnsi="Arial" w:cs="Arial"/>
          <w:sz w:val="20"/>
          <w:szCs w:val="20"/>
        </w:rPr>
        <w:t>En contraste con las guías anteriores, la EuroGuiDerm 2025 no emitió una recomendación específica para el nemolizumab. Esto se debe a que, durante el proceso de actualización y votación, el nemolizumab no estaba licenciado para ninguna indicación en la Unión Europea. La guía, sin embargo, lo describe como un anticuerpo monoclonal dirigido a la cadena alfa del receptor de IL-31, desarrollado inicialmente para el prurito relacionado con la DA.</w:t>
      </w:r>
    </w:p>
    <w:p w14:paraId="147FAA3F" w14:textId="77777777" w:rsidR="00423908" w:rsidRDefault="00423908" w:rsidP="00423908">
      <w:pPr>
        <w:pStyle w:val="Prrafodelista"/>
        <w:rPr>
          <w:rFonts w:ascii="Arial" w:hAnsi="Arial" w:cs="Arial"/>
          <w:sz w:val="20"/>
          <w:szCs w:val="20"/>
        </w:rPr>
      </w:pPr>
    </w:p>
    <w:p w14:paraId="00B2F308" w14:textId="77777777" w:rsidR="005859BF" w:rsidRPr="00423908" w:rsidRDefault="00423908" w:rsidP="00423908">
      <w:pPr>
        <w:jc w:val="both"/>
        <w:rPr>
          <w:rFonts w:ascii="Arial" w:hAnsi="Arial" w:cs="Arial"/>
          <w:sz w:val="20"/>
          <w:szCs w:val="20"/>
        </w:rPr>
      </w:pPr>
      <w:r w:rsidRPr="00423908">
        <w:rPr>
          <w:rFonts w:ascii="Arial" w:hAnsi="Arial" w:cs="Arial"/>
          <w:sz w:val="20"/>
          <w:szCs w:val="20"/>
        </w:rPr>
        <w:t>En resumen, en las GPC, el nemolizumab se establece como una opción biológica sistémica para la DA moderada a grave. Su rol se enfoca en el tratamiento en pacientes que no responden o que tienen contraindicaciones a los tratamientos sistémicos convencionales (inmunosupresores), y siempre requiere el uso de terapia tópica concomitante.</w:t>
      </w:r>
    </w:p>
    <w:p w14:paraId="6C221999" w14:textId="77777777" w:rsidR="005859BF" w:rsidRPr="006F6ABB" w:rsidRDefault="005859BF" w:rsidP="00BC3E8E">
      <w:pPr>
        <w:jc w:val="both"/>
        <w:rPr>
          <w:rFonts w:ascii="Arial" w:hAnsi="Arial" w:cs="Arial"/>
          <w:sz w:val="20"/>
          <w:szCs w:val="20"/>
        </w:rPr>
      </w:pPr>
    </w:p>
    <w:p w14:paraId="733CFC6A" w14:textId="77777777" w:rsidR="00BC3E8E" w:rsidRPr="0071656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6" w:name="_Toc348931378"/>
      <w:bookmarkStart w:id="107" w:name="_Toc216191101"/>
      <w:r w:rsidRPr="006F6ABB">
        <w:rPr>
          <w:rFonts w:cs="Arial"/>
          <w:sz w:val="20"/>
        </w:rPr>
        <w:t>5.4.2 Evaluaciones previas por organismos independientes</w:t>
      </w:r>
      <w:bookmarkEnd w:id="106"/>
      <w:bookmarkEnd w:id="107"/>
    </w:p>
    <w:p w14:paraId="05AC613A" w14:textId="77777777" w:rsidR="00BC3E8E" w:rsidRDefault="00BC3E8E" w:rsidP="004A19C9">
      <w:pPr>
        <w:jc w:val="both"/>
        <w:rPr>
          <w:rFonts w:ascii="Arial" w:hAnsi="Arial" w:cs="Arial"/>
          <w:iCs/>
          <w:sz w:val="20"/>
          <w:szCs w:val="20"/>
        </w:rPr>
      </w:pPr>
    </w:p>
    <w:p w14:paraId="411AA525" w14:textId="77777777" w:rsidR="00561699" w:rsidRDefault="00561699" w:rsidP="00561699">
      <w:pPr>
        <w:jc w:val="both"/>
        <w:rPr>
          <w:rFonts w:ascii="Arial" w:hAnsi="Arial" w:cs="Arial"/>
          <w:iCs/>
          <w:sz w:val="20"/>
          <w:szCs w:val="20"/>
        </w:rPr>
      </w:pPr>
      <w:r>
        <w:rPr>
          <w:rFonts w:ascii="Arial" w:hAnsi="Arial" w:cs="Arial"/>
          <w:iCs/>
          <w:sz w:val="20"/>
          <w:szCs w:val="20"/>
        </w:rPr>
        <w:t xml:space="preserve">A </w:t>
      </w:r>
      <w:r w:rsidRPr="00561699">
        <w:rPr>
          <w:rFonts w:ascii="Arial" w:hAnsi="Arial" w:cs="Arial"/>
          <w:b/>
          <w:bCs/>
          <w:iCs/>
          <w:sz w:val="20"/>
          <w:szCs w:val="20"/>
        </w:rPr>
        <w:t>nivel nacional</w:t>
      </w:r>
      <w:r>
        <w:rPr>
          <w:rFonts w:ascii="Arial" w:hAnsi="Arial" w:cs="Arial"/>
          <w:iCs/>
          <w:sz w:val="20"/>
          <w:szCs w:val="20"/>
        </w:rPr>
        <w:t xml:space="preserve"> no se encuentra disponible ningún informe de posicionamiento previo a la redacción de este informe. </w:t>
      </w:r>
    </w:p>
    <w:p w14:paraId="363E4353" w14:textId="77777777" w:rsidR="00561699" w:rsidRDefault="00561699" w:rsidP="004A19C9">
      <w:pPr>
        <w:jc w:val="both"/>
        <w:rPr>
          <w:rFonts w:ascii="Arial" w:hAnsi="Arial" w:cs="Arial"/>
          <w:iCs/>
          <w:sz w:val="20"/>
          <w:szCs w:val="20"/>
        </w:rPr>
      </w:pPr>
    </w:p>
    <w:p w14:paraId="0DA99A8D" w14:textId="77777777" w:rsidR="00561699" w:rsidRPr="00561699" w:rsidRDefault="00561699" w:rsidP="00561699">
      <w:pPr>
        <w:jc w:val="both"/>
        <w:rPr>
          <w:rFonts w:ascii="Arial" w:hAnsi="Arial" w:cs="Arial"/>
          <w:iCs/>
          <w:sz w:val="20"/>
          <w:szCs w:val="20"/>
        </w:rPr>
      </w:pPr>
      <w:r w:rsidRPr="00561699">
        <w:rPr>
          <w:rFonts w:ascii="Arial" w:hAnsi="Arial" w:cs="Arial"/>
          <w:iCs/>
          <w:sz w:val="20"/>
          <w:szCs w:val="20"/>
        </w:rPr>
        <w:t xml:space="preserve">El informe de evaluación de beneficios elaborado por el </w:t>
      </w:r>
      <w:r w:rsidRPr="00561699">
        <w:rPr>
          <w:rFonts w:ascii="Arial" w:hAnsi="Arial" w:cs="Arial"/>
          <w:b/>
          <w:bCs/>
          <w:iCs/>
          <w:sz w:val="20"/>
          <w:szCs w:val="20"/>
        </w:rPr>
        <w:t>Instituto para la Calidad y la Eficiencia en la Atención Sanitaria (IQWiG)</w:t>
      </w:r>
      <w:r>
        <w:rPr>
          <w:rFonts w:ascii="Arial" w:hAnsi="Arial" w:cs="Arial"/>
          <w:b/>
          <w:bCs/>
          <w:iCs/>
          <w:sz w:val="20"/>
          <w:szCs w:val="20"/>
        </w:rPr>
        <w:t xml:space="preserve"> </w:t>
      </w:r>
      <w:r w:rsidR="00646A51">
        <w:rPr>
          <w:rFonts w:ascii="Arial" w:hAnsi="Arial" w:cs="Arial"/>
          <w:b/>
          <w:bCs/>
          <w:iCs/>
          <w:sz w:val="20"/>
          <w:szCs w:val="20"/>
        </w:rPr>
        <w:fldChar w:fldCharType="begin"/>
      </w:r>
      <w:r w:rsidR="00511A83">
        <w:rPr>
          <w:rFonts w:ascii="Arial" w:hAnsi="Arial" w:cs="Arial"/>
          <w:b/>
          <w:bCs/>
          <w:iCs/>
          <w:sz w:val="20"/>
          <w:szCs w:val="20"/>
        </w:rPr>
        <w:instrText xml:space="preserve"> ADDIN ZOTERO_ITEM CSL_CITATION {"citationID":"w3YhRIW5","properties":{"formattedCitation":"(33)","plainCitation":"(33)","noteIndex":0},"citationItems":[{"id":57,"uris":["http://zotero.org/users/18702181/items/C42G6VZ8"],"itemData":{"id":57,"type":"webpage","abstract":"Nemolizumab (atopic dermatitis) – Benefit assessment according to §35a Social Code Book V","DOI":"10.60584/A25-32","language":"en-US","title":"Nemolizumab (atopic dermatitis)","URL":"https://www.iqwig.de/en/projects/a25-32.html","author":[{"family":"Instituto para la Calidad y la Eficiencia en la Atención Sanitaria (IQWiG)","given":""}],"accessed":{"date-parts":[["2025",11,18]]}}}],"schema":"https://github.com/citation-style-language/schema/raw/master/csl-citation.json"} </w:instrText>
      </w:r>
      <w:r w:rsidR="00646A51">
        <w:rPr>
          <w:rFonts w:ascii="Arial" w:hAnsi="Arial" w:cs="Arial"/>
          <w:b/>
          <w:bCs/>
          <w:iCs/>
          <w:sz w:val="20"/>
          <w:szCs w:val="20"/>
        </w:rPr>
        <w:fldChar w:fldCharType="separate"/>
      </w:r>
      <w:r w:rsidR="00511A83" w:rsidRPr="00511A83">
        <w:rPr>
          <w:rFonts w:ascii="Arial" w:hAnsi="Arial" w:cs="Arial"/>
          <w:sz w:val="20"/>
        </w:rPr>
        <w:t>(33)</w:t>
      </w:r>
      <w:r w:rsidR="00646A51">
        <w:rPr>
          <w:rFonts w:ascii="Arial" w:hAnsi="Arial" w:cs="Arial"/>
          <w:b/>
          <w:bCs/>
          <w:iCs/>
          <w:sz w:val="20"/>
          <w:szCs w:val="20"/>
        </w:rPr>
        <w:fldChar w:fldCharType="end"/>
      </w:r>
      <w:r w:rsidRPr="00561699">
        <w:rPr>
          <w:rFonts w:ascii="Arial" w:hAnsi="Arial" w:cs="Arial"/>
          <w:b/>
          <w:bCs/>
          <w:iCs/>
          <w:sz w:val="20"/>
          <w:szCs w:val="20"/>
        </w:rPr>
        <w:t>,</w:t>
      </w:r>
      <w:r w:rsidRPr="00561699">
        <w:rPr>
          <w:rFonts w:ascii="Arial" w:hAnsi="Arial" w:cs="Arial"/>
          <w:iCs/>
          <w:sz w:val="20"/>
          <w:szCs w:val="20"/>
        </w:rPr>
        <w:t xml:space="preserve"> como organismo independiente y por encargo del Comité Federal Conjunto de Alemania, concluye que no puede demostrarse un beneficio adicional de nemolizumab frente a la terapia comparadora establecida, dupilumab. Esta valoración se fundamenta en la ausencia de datos comparativos directos entre ambos tratamientos aportados por el laboratorio solicitante.</w:t>
      </w:r>
    </w:p>
    <w:p w14:paraId="3E9ACD11" w14:textId="77777777" w:rsidR="00561699" w:rsidRPr="00561699" w:rsidRDefault="00561699" w:rsidP="00561699">
      <w:pPr>
        <w:jc w:val="both"/>
        <w:rPr>
          <w:rFonts w:ascii="Arial" w:hAnsi="Arial" w:cs="Arial"/>
          <w:iCs/>
          <w:sz w:val="20"/>
          <w:szCs w:val="20"/>
        </w:rPr>
      </w:pPr>
      <w:r w:rsidRPr="00561699">
        <w:rPr>
          <w:rFonts w:ascii="Arial" w:hAnsi="Arial" w:cs="Arial"/>
          <w:iCs/>
          <w:sz w:val="20"/>
          <w:szCs w:val="20"/>
        </w:rPr>
        <w:t>Asimismo, los ensayos clínicos presentados (ARCADIA 1 y ARCADIA 2) únicamente comparan nemolizumab frente a placebo, con una duración de 16 semanas, considerada insuficiente por el evaluador para determinar diferencias significativas en eficacia y seguridad respecto a dupilumab.</w:t>
      </w:r>
    </w:p>
    <w:p w14:paraId="53B9E7B5" w14:textId="77777777" w:rsidR="004A19C9" w:rsidRDefault="00561699" w:rsidP="00561699">
      <w:pPr>
        <w:jc w:val="both"/>
        <w:rPr>
          <w:rFonts w:ascii="Arial" w:hAnsi="Arial" w:cs="Arial"/>
          <w:iCs/>
          <w:sz w:val="20"/>
          <w:szCs w:val="20"/>
        </w:rPr>
      </w:pPr>
      <w:r w:rsidRPr="00561699">
        <w:rPr>
          <w:rFonts w:ascii="Arial" w:hAnsi="Arial" w:cs="Arial"/>
          <w:iCs/>
          <w:sz w:val="20"/>
          <w:szCs w:val="20"/>
        </w:rPr>
        <w:t xml:space="preserve">Como resultado, el IQWiG concluye que la evidencia disponible no permite demostrar un valor añadido clínico de nemolizumab en comparación con dupilumab en pacientes adultos y adolescentes (≥12 años) con </w:t>
      </w:r>
      <w:r w:rsidR="00BD5ED6">
        <w:rPr>
          <w:rFonts w:ascii="Arial" w:hAnsi="Arial" w:cs="Arial"/>
          <w:iCs/>
          <w:sz w:val="20"/>
          <w:szCs w:val="20"/>
        </w:rPr>
        <w:t xml:space="preserve">DA </w:t>
      </w:r>
      <w:r w:rsidRPr="00561699">
        <w:rPr>
          <w:rFonts w:ascii="Arial" w:hAnsi="Arial" w:cs="Arial"/>
          <w:iCs/>
          <w:sz w:val="20"/>
          <w:szCs w:val="20"/>
        </w:rPr>
        <w:t>moderada a grave.</w:t>
      </w:r>
    </w:p>
    <w:p w14:paraId="1DFADF20" w14:textId="77777777" w:rsidR="006A526C" w:rsidRDefault="006A526C" w:rsidP="00561699">
      <w:pPr>
        <w:jc w:val="both"/>
        <w:rPr>
          <w:rFonts w:ascii="Arial" w:hAnsi="Arial" w:cs="Arial"/>
          <w:iCs/>
          <w:sz w:val="20"/>
          <w:szCs w:val="20"/>
        </w:rPr>
      </w:pPr>
    </w:p>
    <w:p w14:paraId="3C4E9655" w14:textId="77777777" w:rsidR="00561699" w:rsidRDefault="006A526C" w:rsidP="00561699">
      <w:pPr>
        <w:jc w:val="both"/>
        <w:rPr>
          <w:rFonts w:ascii="Arial" w:hAnsi="Arial" w:cs="Arial"/>
          <w:iCs/>
          <w:sz w:val="20"/>
          <w:szCs w:val="20"/>
        </w:rPr>
      </w:pPr>
      <w:r w:rsidRPr="006A526C">
        <w:rPr>
          <w:rFonts w:ascii="Arial" w:hAnsi="Arial" w:cs="Arial"/>
          <w:iCs/>
          <w:sz w:val="20"/>
          <w:szCs w:val="20"/>
        </w:rPr>
        <w:t xml:space="preserve">Desde la evaluación realizada por la Comisión de Transparencia de la </w:t>
      </w:r>
      <w:r w:rsidRPr="006A526C">
        <w:rPr>
          <w:rFonts w:ascii="Arial" w:hAnsi="Arial" w:cs="Arial"/>
          <w:b/>
          <w:bCs/>
          <w:iCs/>
          <w:sz w:val="20"/>
          <w:szCs w:val="20"/>
        </w:rPr>
        <w:t>Haute Autorité de Santé (HAS)</w:t>
      </w:r>
      <w:r>
        <w:rPr>
          <w:rFonts w:ascii="Arial" w:hAnsi="Arial" w:cs="Arial"/>
          <w:b/>
          <w:bCs/>
          <w:iCs/>
          <w:sz w:val="20"/>
          <w:szCs w:val="20"/>
        </w:rPr>
        <w:t xml:space="preserve"> </w:t>
      </w:r>
      <w:r w:rsidR="00646A51">
        <w:rPr>
          <w:rFonts w:ascii="Arial" w:hAnsi="Arial" w:cs="Arial"/>
          <w:b/>
          <w:bCs/>
          <w:iCs/>
          <w:sz w:val="20"/>
          <w:szCs w:val="20"/>
        </w:rPr>
        <w:fldChar w:fldCharType="begin"/>
      </w:r>
      <w:r w:rsidR="00511A83">
        <w:rPr>
          <w:rFonts w:ascii="Arial" w:hAnsi="Arial" w:cs="Arial"/>
          <w:b/>
          <w:bCs/>
          <w:iCs/>
          <w:sz w:val="20"/>
          <w:szCs w:val="20"/>
        </w:rPr>
        <w:instrText xml:space="preserve"> ADDIN ZOTERO_ITEM CSL_CITATION {"citationID":"V1ejmQ8t","properties":{"formattedCitation":"(34)","plainCitation":"(34)","noteIndex":0},"citationItems":[{"id":60,"uris":["http://zotero.org/users/18702181/items/AILA9U2A"],"itemData":{"id":60,"type":"webpage","abstract":"Summary of opinion In Adults : Favourable opinion for reimbursement only in “the treatment of moderate to severe atopic dermatitis in adults who are candidates for systemic therapy, in the event of inadequate response, intolerance or contraindication to ciclosporin.” Unfavourable opinion for reimbursement in adults with inadequate response to topical therapies and who are ciclosporin-naive, in the absence of comparative data. In adolescents ≥ 12 years Favourable opinion for reimbursement only in “the treatment of moderate to severe atopic dermatitis in adults who are candidates for systemic therapy.","language":"en","title":"NEMLUVIO (nemolizumab) - Atopic dermatitis in adults and in adolescents ≥ 12 years.","URL":"https://www.has-sante.fr/jcms/p_3635776/en/nemluvio-nemolizumab-atopic-dermatitis-in-adults-and-in-adolescents-12-years","author":[{"family":"Haute Autorité de Santé","given":""}],"accessed":{"date-parts":[["2025",11,18]]}}}],"schema":"https://github.com/citation-style-language/schema/raw/master/csl-citation.json"} </w:instrText>
      </w:r>
      <w:r w:rsidR="00646A51">
        <w:rPr>
          <w:rFonts w:ascii="Arial" w:hAnsi="Arial" w:cs="Arial"/>
          <w:b/>
          <w:bCs/>
          <w:iCs/>
          <w:sz w:val="20"/>
          <w:szCs w:val="20"/>
        </w:rPr>
        <w:fldChar w:fldCharType="separate"/>
      </w:r>
      <w:r w:rsidR="00511A83" w:rsidRPr="00511A83">
        <w:rPr>
          <w:rFonts w:ascii="Arial" w:hAnsi="Arial" w:cs="Arial"/>
          <w:sz w:val="20"/>
        </w:rPr>
        <w:t>(34)</w:t>
      </w:r>
      <w:r w:rsidR="00646A51">
        <w:rPr>
          <w:rFonts w:ascii="Arial" w:hAnsi="Arial" w:cs="Arial"/>
          <w:b/>
          <w:bCs/>
          <w:iCs/>
          <w:sz w:val="20"/>
          <w:szCs w:val="20"/>
        </w:rPr>
        <w:fldChar w:fldCharType="end"/>
      </w:r>
      <w:r w:rsidRPr="006A526C">
        <w:rPr>
          <w:rFonts w:ascii="Arial" w:hAnsi="Arial" w:cs="Arial"/>
          <w:b/>
          <w:bCs/>
          <w:iCs/>
          <w:sz w:val="20"/>
          <w:szCs w:val="20"/>
        </w:rPr>
        <w:t xml:space="preserve"> en </w:t>
      </w:r>
      <w:r w:rsidR="003B52CF">
        <w:rPr>
          <w:rFonts w:ascii="Arial" w:hAnsi="Arial" w:cs="Arial"/>
          <w:b/>
          <w:bCs/>
          <w:iCs/>
          <w:sz w:val="20"/>
          <w:szCs w:val="20"/>
        </w:rPr>
        <w:t>F</w:t>
      </w:r>
      <w:r w:rsidRPr="006A526C">
        <w:rPr>
          <w:rFonts w:ascii="Arial" w:hAnsi="Arial" w:cs="Arial"/>
          <w:b/>
          <w:bCs/>
          <w:iCs/>
          <w:sz w:val="20"/>
          <w:szCs w:val="20"/>
        </w:rPr>
        <w:t>rancia</w:t>
      </w:r>
      <w:r w:rsidRPr="006A526C">
        <w:rPr>
          <w:rFonts w:ascii="Arial" w:hAnsi="Arial" w:cs="Arial"/>
          <w:iCs/>
          <w:sz w:val="20"/>
          <w:szCs w:val="20"/>
        </w:rPr>
        <w:t xml:space="preserve">, el posicionamiento de nemolizumab evidencia importantes limitaciones que condicionan claramente su utilidad real en la práctica clínica. A pesar de tratarse de un fármaco con un mecanismo de acción innovador y resultados favorables frente a placebo, la HAS concluye que no se ha demostrado un valor clínico añadido respecto a las alternativas sistémicas ya disponibles, situándolo como una opción de segunda línea en adultos de forma muy restrictiva y únicamente tras fracaso, intolerancia o contraindicación a ciclosporina. Esta decisión se fundamenta en la ausencia de comparadores activos, la magnitud modesta del efecto clínico, la falta de datos de uso en monoterapia y la escasez de resultados a largo plazo, aspectos esenciales para determinar su posicionamiento real frente a biológicos y JAK inhibidores ya consolidados. Incluso en adolescentes, donde se acepta su uso como opción inicial por limitaciones de seguridad de ciclosporina, la HAS recalca la ausencia de beneficio incremental, lo que refuerza la percepción de que nemolizumab aporta una alternativa más, pero no mejor, a la estrategia terapéutica actual en </w:t>
      </w:r>
      <w:r w:rsidR="00BD5ED6">
        <w:rPr>
          <w:rFonts w:ascii="Arial" w:hAnsi="Arial" w:cs="Arial"/>
          <w:iCs/>
          <w:sz w:val="20"/>
          <w:szCs w:val="20"/>
        </w:rPr>
        <w:t xml:space="preserve">DA </w:t>
      </w:r>
      <w:r w:rsidRPr="006A526C">
        <w:rPr>
          <w:rFonts w:ascii="Arial" w:hAnsi="Arial" w:cs="Arial"/>
          <w:iCs/>
          <w:sz w:val="20"/>
          <w:szCs w:val="20"/>
        </w:rPr>
        <w:t>moderada-grave. En este contexto, su evaluación final queda supeditada a la llegada de datos más robustos y comparativos, especialmente del estudio ARCADIA-LTE, por lo que su papel definitivo en la secuencia terapéutica permanece incierto.</w:t>
      </w:r>
    </w:p>
    <w:p w14:paraId="2DEA0E33" w14:textId="77777777" w:rsidR="00561699" w:rsidRDefault="00561699" w:rsidP="00561699">
      <w:pPr>
        <w:jc w:val="both"/>
        <w:rPr>
          <w:rFonts w:ascii="Arial" w:hAnsi="Arial" w:cs="Arial"/>
          <w:iCs/>
          <w:sz w:val="20"/>
          <w:szCs w:val="20"/>
        </w:rPr>
      </w:pPr>
    </w:p>
    <w:p w14:paraId="072F93C5" w14:textId="77777777" w:rsidR="00BC3E8E" w:rsidRDefault="00BC3E8E" w:rsidP="00BC3E8E">
      <w:pPr>
        <w:jc w:val="both"/>
        <w:rPr>
          <w:rFonts w:ascii="Arial" w:hAnsi="Arial" w:cs="Arial"/>
          <w:iCs/>
          <w:sz w:val="20"/>
          <w:szCs w:val="20"/>
        </w:rPr>
      </w:pPr>
    </w:p>
    <w:p w14:paraId="4744ACDB" w14:textId="77777777" w:rsidR="00BC3E8E" w:rsidRPr="009839B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8" w:name="_Toc348931379"/>
      <w:bookmarkStart w:id="109" w:name="_Toc216191102"/>
      <w:r w:rsidRPr="009839BE">
        <w:rPr>
          <w:rFonts w:cs="Arial"/>
          <w:sz w:val="20"/>
        </w:rPr>
        <w:t>5.4.3 Opiniones de expertos</w:t>
      </w:r>
      <w:bookmarkEnd w:id="108"/>
      <w:bookmarkEnd w:id="109"/>
      <w:r w:rsidRPr="009839BE">
        <w:rPr>
          <w:rFonts w:cs="Arial"/>
          <w:sz w:val="20"/>
        </w:rPr>
        <w:t xml:space="preserve"> </w:t>
      </w:r>
    </w:p>
    <w:p w14:paraId="30A8218E" w14:textId="77777777" w:rsidR="00BC3E8E" w:rsidRDefault="00BC3E8E" w:rsidP="00BC3E8E">
      <w:pPr>
        <w:rPr>
          <w:rFonts w:ascii="Arial" w:hAnsi="Arial" w:cs="Arial"/>
          <w:sz w:val="20"/>
          <w:szCs w:val="20"/>
          <w:highlight w:val="yellow"/>
        </w:rPr>
      </w:pPr>
    </w:p>
    <w:p w14:paraId="3D1C0FD0" w14:textId="77777777" w:rsidR="009839BE" w:rsidRDefault="009839BE" w:rsidP="00BC3E8E">
      <w:pPr>
        <w:rPr>
          <w:rFonts w:ascii="Arial" w:hAnsi="Arial" w:cs="Arial"/>
          <w:sz w:val="20"/>
          <w:szCs w:val="20"/>
          <w:highlight w:val="yellow"/>
        </w:rPr>
      </w:pPr>
      <w:r w:rsidRPr="009839BE">
        <w:rPr>
          <w:rFonts w:ascii="Arial" w:hAnsi="Arial" w:cs="Arial"/>
          <w:sz w:val="20"/>
          <w:szCs w:val="20"/>
        </w:rPr>
        <w:t>Comentad</w:t>
      </w:r>
      <w:r>
        <w:rPr>
          <w:rFonts w:ascii="Arial" w:hAnsi="Arial" w:cs="Arial"/>
          <w:sz w:val="20"/>
          <w:szCs w:val="20"/>
        </w:rPr>
        <w:t>o</w:t>
      </w:r>
      <w:r w:rsidRPr="009839BE">
        <w:rPr>
          <w:rFonts w:ascii="Arial" w:hAnsi="Arial" w:cs="Arial"/>
          <w:sz w:val="20"/>
          <w:szCs w:val="20"/>
        </w:rPr>
        <w:t xml:space="preserve"> en el 5.4.2 </w:t>
      </w:r>
    </w:p>
    <w:p w14:paraId="7897867C" w14:textId="77777777" w:rsidR="009839BE" w:rsidRPr="007C097B" w:rsidRDefault="009839BE" w:rsidP="00BC3E8E">
      <w:pPr>
        <w:rPr>
          <w:rFonts w:ascii="Arial" w:hAnsi="Arial" w:cs="Arial"/>
          <w:sz w:val="20"/>
          <w:szCs w:val="20"/>
          <w:highlight w:val="yellow"/>
        </w:rPr>
      </w:pPr>
    </w:p>
    <w:p w14:paraId="680F40C6" w14:textId="77777777" w:rsidR="00BC3E8E" w:rsidRPr="0071656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10" w:name="_Toc348931380"/>
      <w:bookmarkStart w:id="111" w:name="_Toc216191103"/>
      <w:r w:rsidRPr="00A048FB">
        <w:rPr>
          <w:rFonts w:cs="Arial"/>
          <w:sz w:val="20"/>
        </w:rPr>
        <w:t>5.4.4 Otras fuentes.</w:t>
      </w:r>
      <w:bookmarkEnd w:id="110"/>
      <w:bookmarkEnd w:id="111"/>
    </w:p>
    <w:p w14:paraId="2C34E457" w14:textId="77777777" w:rsidR="00A048FB" w:rsidRDefault="00A048FB" w:rsidP="00BC3E8E">
      <w:pPr>
        <w:rPr>
          <w:rFonts w:ascii="Arial" w:hAnsi="Arial" w:cs="Arial"/>
          <w:b/>
          <w:bCs/>
          <w:sz w:val="20"/>
          <w:szCs w:val="20"/>
        </w:rPr>
      </w:pPr>
    </w:p>
    <w:p w14:paraId="0428B37A" w14:textId="77777777" w:rsidR="00BC3E8E" w:rsidRPr="00BD16B7" w:rsidRDefault="00BC3E8E" w:rsidP="00BC3E8E">
      <w:pPr>
        <w:rPr>
          <w:rFonts w:ascii="Arial" w:hAnsi="Arial" w:cs="Arial"/>
          <w:b/>
          <w:bCs/>
          <w:sz w:val="20"/>
          <w:szCs w:val="20"/>
        </w:rPr>
      </w:pPr>
      <w:r w:rsidRPr="006F6ABB">
        <w:rPr>
          <w:rFonts w:ascii="Arial" w:hAnsi="Arial" w:cs="Arial"/>
          <w:b/>
          <w:bCs/>
          <w:sz w:val="20"/>
          <w:szCs w:val="20"/>
        </w:rPr>
        <w:t xml:space="preserve">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6CB5D32D" w14:textId="77777777" w:rsidTr="00BC3E8E">
        <w:trPr>
          <w:trHeight w:val="228"/>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287A08F1" w14:textId="77777777" w:rsidR="00BC3E8E" w:rsidRPr="00AA1167" w:rsidRDefault="00BC3E8E" w:rsidP="00BC3E8E">
            <w:pPr>
              <w:pStyle w:val="Ttulo1"/>
              <w:shd w:val="clear" w:color="auto" w:fill="A6A6A6"/>
              <w:rPr>
                <w:rFonts w:ascii="Arial" w:hAnsi="Arial" w:cs="Arial"/>
                <w:bCs w:val="0"/>
                <w:kern w:val="0"/>
                <w:sz w:val="20"/>
                <w:szCs w:val="20"/>
              </w:rPr>
            </w:pPr>
            <w:bookmarkStart w:id="112" w:name="_Toc344399650"/>
            <w:bookmarkStart w:id="113" w:name="_Toc348931381"/>
            <w:bookmarkStart w:id="114" w:name="_Toc216191104"/>
            <w:r w:rsidRPr="00AA1167">
              <w:rPr>
                <w:rFonts w:ascii="Arial" w:hAnsi="Arial" w:cs="Arial"/>
                <w:bCs w:val="0"/>
                <w:kern w:val="0"/>
                <w:sz w:val="20"/>
                <w:szCs w:val="20"/>
              </w:rPr>
              <w:t>6. EVALUACIÓN DE LA SEGURIDAD.</w:t>
            </w:r>
            <w:bookmarkEnd w:id="112"/>
            <w:bookmarkEnd w:id="113"/>
            <w:bookmarkEnd w:id="114"/>
            <w:r w:rsidRPr="00AA1167">
              <w:rPr>
                <w:rFonts w:ascii="Arial" w:hAnsi="Arial" w:cs="Arial"/>
                <w:bCs w:val="0"/>
                <w:kern w:val="0"/>
                <w:sz w:val="20"/>
                <w:szCs w:val="20"/>
              </w:rPr>
              <w:t xml:space="preserve"> </w:t>
            </w:r>
          </w:p>
        </w:tc>
      </w:tr>
    </w:tbl>
    <w:p w14:paraId="16734615" w14:textId="77777777" w:rsidR="00BC3E8E" w:rsidRPr="006F6ABB" w:rsidRDefault="00BC3E8E" w:rsidP="00BC3E8E">
      <w:pPr>
        <w:rPr>
          <w:rFonts w:ascii="Arial" w:hAnsi="Arial" w:cs="Arial"/>
          <w:sz w:val="20"/>
          <w:szCs w:val="20"/>
        </w:rPr>
      </w:pPr>
    </w:p>
    <w:p w14:paraId="5F545A49"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15" w:name="_Toc344399651"/>
      <w:bookmarkStart w:id="116" w:name="_Toc348931382"/>
      <w:bookmarkStart w:id="117" w:name="_Toc216191105"/>
      <w:r w:rsidRPr="00E3472F">
        <w:rPr>
          <w:rFonts w:cs="Arial"/>
          <w:sz w:val="20"/>
        </w:rPr>
        <w:t>6.1.a Descripción de la búsqueda bibliográfica</w:t>
      </w:r>
      <w:bookmarkEnd w:id="115"/>
      <w:bookmarkEnd w:id="116"/>
      <w:bookmarkEnd w:id="117"/>
    </w:p>
    <w:p w14:paraId="42188760" w14:textId="77777777" w:rsidR="0000172B" w:rsidRDefault="0000172B" w:rsidP="00BC3E8E">
      <w:pPr>
        <w:rPr>
          <w:rFonts w:ascii="Arial" w:hAnsi="Arial" w:cs="Arial"/>
          <w:sz w:val="20"/>
          <w:szCs w:val="20"/>
        </w:rPr>
      </w:pPr>
    </w:p>
    <w:p w14:paraId="420E3415" w14:textId="77777777" w:rsidR="00BC3E8E" w:rsidRDefault="00DC71AC" w:rsidP="00BC3E8E">
      <w:pPr>
        <w:rPr>
          <w:rFonts w:ascii="Arial" w:hAnsi="Arial" w:cs="Arial"/>
          <w:sz w:val="20"/>
          <w:szCs w:val="20"/>
        </w:rPr>
      </w:pPr>
      <w:r w:rsidRPr="00DC71AC">
        <w:rPr>
          <w:rFonts w:ascii="Arial" w:hAnsi="Arial" w:cs="Arial"/>
          <w:sz w:val="20"/>
          <w:szCs w:val="20"/>
        </w:rPr>
        <w:t>Se realizó búsqueda bibliográfica en Pubmed/ Medline a fecha noviembre 2025 con los términos “nemolizumab” AND “atopic dermatitis” AND “adverse reactions” / “safety”.</w:t>
      </w:r>
    </w:p>
    <w:p w14:paraId="35F0EB09" w14:textId="77777777" w:rsidR="003B52CF" w:rsidRPr="00DC71AC" w:rsidRDefault="003B52CF" w:rsidP="00BC3E8E">
      <w:pPr>
        <w:rPr>
          <w:rFonts w:ascii="Arial" w:hAnsi="Arial" w:cs="Arial"/>
          <w:sz w:val="20"/>
          <w:szCs w:val="20"/>
        </w:rPr>
      </w:pPr>
    </w:p>
    <w:p w14:paraId="76759733"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18" w:name="_Toc344399652"/>
      <w:bookmarkStart w:id="119" w:name="_Toc348931383"/>
      <w:bookmarkStart w:id="120" w:name="_Toc216191106"/>
      <w:r w:rsidRPr="00E3472F">
        <w:rPr>
          <w:rFonts w:cs="Arial"/>
          <w:sz w:val="20"/>
        </w:rPr>
        <w:t>6.1.b Descripción de los efectos adversos más significativos</w:t>
      </w:r>
      <w:bookmarkEnd w:id="118"/>
      <w:bookmarkEnd w:id="119"/>
      <w:bookmarkEnd w:id="120"/>
    </w:p>
    <w:p w14:paraId="1836850D" w14:textId="77777777" w:rsidR="00BC3E8E" w:rsidRPr="006F6ABB" w:rsidRDefault="00BC3E8E" w:rsidP="00BC3E8E">
      <w:pPr>
        <w:shd w:val="clear" w:color="auto" w:fill="FFFFFF"/>
        <w:jc w:val="both"/>
        <w:rPr>
          <w:rFonts w:ascii="Arial" w:hAnsi="Arial" w:cs="Arial"/>
          <w:sz w:val="20"/>
          <w:szCs w:val="20"/>
        </w:rPr>
      </w:pPr>
    </w:p>
    <w:p w14:paraId="7E9B1192" w14:textId="77777777" w:rsidR="00F3218F" w:rsidRDefault="00F3218F" w:rsidP="00BC3E8E">
      <w:pPr>
        <w:shd w:val="clear" w:color="auto" w:fill="FFFFFF"/>
        <w:jc w:val="both"/>
        <w:rPr>
          <w:rFonts w:ascii="Arial" w:hAnsi="Arial" w:cs="Arial"/>
          <w:sz w:val="20"/>
          <w:szCs w:val="20"/>
        </w:rPr>
      </w:pPr>
    </w:p>
    <w:p w14:paraId="1DFE03AE" w14:textId="77777777" w:rsidR="00D06FDD" w:rsidRDefault="00D06FDD" w:rsidP="00D06FDD">
      <w:pPr>
        <w:shd w:val="clear" w:color="auto" w:fill="FFFFFF"/>
        <w:jc w:val="both"/>
        <w:rPr>
          <w:rFonts w:ascii="Arial" w:hAnsi="Arial" w:cs="Arial"/>
          <w:sz w:val="20"/>
          <w:szCs w:val="20"/>
        </w:rPr>
      </w:pPr>
      <w:r w:rsidRPr="00D06FDD">
        <w:rPr>
          <w:rFonts w:ascii="Arial" w:hAnsi="Arial" w:cs="Arial"/>
          <w:sz w:val="20"/>
          <w:szCs w:val="20"/>
        </w:rPr>
        <w:t>El EPAR (Informe de Evaluación de la EMA) agrupó datos de los estudios pivotales ARCADIA 1 (SPR.118161) y ARCADIA 2 (SPR.118169), además del estudio de Fase 2 SPR.114322.</w:t>
      </w:r>
    </w:p>
    <w:p w14:paraId="34DFE495" w14:textId="77777777" w:rsidR="00AA4174" w:rsidRDefault="00AA4174" w:rsidP="00AA4174">
      <w:pPr>
        <w:shd w:val="clear" w:color="auto" w:fill="FFFFFF"/>
        <w:jc w:val="both"/>
        <w:rPr>
          <w:rFonts w:ascii="Arial" w:hAnsi="Arial" w:cs="Arial"/>
          <w:sz w:val="20"/>
          <w:szCs w:val="20"/>
        </w:rPr>
      </w:pPr>
    </w:p>
    <w:p w14:paraId="0C50EEB7" w14:textId="77777777" w:rsidR="00AA4174" w:rsidRPr="0023608B" w:rsidRDefault="00AA4174" w:rsidP="00AA4174">
      <w:pPr>
        <w:shd w:val="clear" w:color="auto" w:fill="FFFFFF"/>
        <w:jc w:val="both"/>
        <w:rPr>
          <w:rFonts w:ascii="Arial" w:hAnsi="Arial" w:cs="Arial"/>
          <w:sz w:val="20"/>
          <w:szCs w:val="20"/>
        </w:rPr>
      </w:pPr>
      <w:r w:rsidRPr="00AA4174">
        <w:rPr>
          <w:rFonts w:ascii="Arial" w:hAnsi="Arial" w:cs="Arial"/>
          <w:sz w:val="20"/>
          <w:szCs w:val="20"/>
        </w:rPr>
        <w:t>El conjunto de pacientes utilizado para el análisis de seguridad se conoce como la Población de Seguridad (Safety Population), que incluye a todos los participantes que recibieron al menos una dosis del fármaco de estudio o placebo</w:t>
      </w:r>
      <w:r w:rsidRPr="0023608B">
        <w:rPr>
          <w:rFonts w:ascii="Arial" w:hAnsi="Arial" w:cs="Arial"/>
          <w:sz w:val="20"/>
          <w:szCs w:val="20"/>
        </w:rPr>
        <w:t>.</w:t>
      </w:r>
    </w:p>
    <w:p w14:paraId="17E29A01" w14:textId="77777777" w:rsidR="00D06FDD" w:rsidRPr="00D06FDD" w:rsidRDefault="00D06FDD" w:rsidP="00D06FDD">
      <w:pPr>
        <w:shd w:val="clear" w:color="auto" w:fill="FFFFFF"/>
        <w:jc w:val="both"/>
        <w:rPr>
          <w:rFonts w:ascii="Arial" w:hAnsi="Arial" w:cs="Arial"/>
          <w:sz w:val="20"/>
          <w:szCs w:val="20"/>
        </w:rPr>
      </w:pPr>
    </w:p>
    <w:p w14:paraId="6B3AE2B1" w14:textId="77777777" w:rsidR="0002530D" w:rsidRDefault="00D06FDD" w:rsidP="00D06FDD">
      <w:pPr>
        <w:shd w:val="clear" w:color="auto" w:fill="FFFFFF"/>
        <w:jc w:val="both"/>
        <w:rPr>
          <w:rFonts w:ascii="Arial" w:hAnsi="Arial" w:cs="Arial"/>
          <w:sz w:val="20"/>
          <w:szCs w:val="20"/>
        </w:rPr>
      </w:pPr>
      <w:r w:rsidRPr="00D06FDD">
        <w:rPr>
          <w:rFonts w:ascii="Arial" w:hAnsi="Arial" w:cs="Arial"/>
          <w:sz w:val="20"/>
          <w:szCs w:val="20"/>
        </w:rPr>
        <w:t>En los ensayos clínicos de nemolizumab para</w:t>
      </w:r>
      <w:r w:rsidR="00BD5ED6">
        <w:rPr>
          <w:rFonts w:ascii="Arial" w:hAnsi="Arial" w:cs="Arial"/>
          <w:sz w:val="20"/>
          <w:szCs w:val="20"/>
        </w:rPr>
        <w:t xml:space="preserve"> DA</w:t>
      </w:r>
      <w:r w:rsidRPr="00D06FDD">
        <w:rPr>
          <w:rFonts w:ascii="Arial" w:hAnsi="Arial" w:cs="Arial"/>
          <w:sz w:val="20"/>
          <w:szCs w:val="20"/>
        </w:rPr>
        <w:t xml:space="preserve">, los eventos adversos </w:t>
      </w:r>
      <w:r w:rsidR="000D6D4B">
        <w:rPr>
          <w:rFonts w:ascii="Arial" w:hAnsi="Arial" w:cs="Arial"/>
          <w:sz w:val="20"/>
          <w:szCs w:val="20"/>
        </w:rPr>
        <w:t xml:space="preserve">(EA) </w:t>
      </w:r>
      <w:r w:rsidRPr="00D06FDD">
        <w:rPr>
          <w:rFonts w:ascii="Arial" w:hAnsi="Arial" w:cs="Arial"/>
          <w:sz w:val="20"/>
          <w:szCs w:val="20"/>
        </w:rPr>
        <w:t xml:space="preserve">emergentes del tratamiento fueron mayoritariamente leves o moderados, con una frecuencia prácticamente equivalente entre nemolizumab 30 mg Q4W (47,5%) y placebo (47,8%). </w:t>
      </w:r>
    </w:p>
    <w:p w14:paraId="4D178155" w14:textId="77777777" w:rsidR="0023608B" w:rsidRDefault="0023608B" w:rsidP="0023608B">
      <w:pPr>
        <w:shd w:val="clear" w:color="auto" w:fill="FFFFFF"/>
        <w:jc w:val="both"/>
        <w:rPr>
          <w:rFonts w:ascii="Arial" w:hAnsi="Arial" w:cs="Arial"/>
          <w:sz w:val="20"/>
          <w:szCs w:val="20"/>
        </w:rPr>
      </w:pPr>
    </w:p>
    <w:p w14:paraId="19C97C6A" w14:textId="77777777" w:rsidR="0023608B" w:rsidRDefault="0023608B" w:rsidP="0023608B">
      <w:pPr>
        <w:shd w:val="clear" w:color="auto" w:fill="FFFFFF"/>
        <w:jc w:val="both"/>
        <w:rPr>
          <w:rFonts w:ascii="Arial" w:hAnsi="Arial" w:cs="Arial"/>
          <w:sz w:val="20"/>
          <w:szCs w:val="20"/>
        </w:rPr>
      </w:pPr>
      <w:r w:rsidRPr="000D6D4B">
        <w:rPr>
          <w:rFonts w:ascii="Arial" w:hAnsi="Arial" w:cs="Arial"/>
          <w:sz w:val="20"/>
          <w:szCs w:val="20"/>
        </w:rPr>
        <w:t xml:space="preserve">Los </w:t>
      </w:r>
      <w:r w:rsidR="00510C57">
        <w:rPr>
          <w:rFonts w:ascii="Arial" w:hAnsi="Arial" w:cs="Arial"/>
          <w:sz w:val="20"/>
          <w:szCs w:val="20"/>
        </w:rPr>
        <w:t xml:space="preserve">EA más frecuentes </w:t>
      </w:r>
      <w:r w:rsidRPr="000D6D4B">
        <w:rPr>
          <w:rFonts w:ascii="Arial" w:hAnsi="Arial" w:cs="Arial"/>
          <w:sz w:val="20"/>
          <w:szCs w:val="20"/>
        </w:rPr>
        <w:t xml:space="preserve">(≥1% y mayor frecuencia con nemolizumab que con placebo) fueron: </w:t>
      </w:r>
      <w:bookmarkStart w:id="121" w:name="_Hlk216195886"/>
      <w:r w:rsidR="008B7C5C">
        <w:rPr>
          <w:rFonts w:ascii="Arial" w:hAnsi="Arial" w:cs="Arial"/>
          <w:sz w:val="20"/>
          <w:szCs w:val="20"/>
        </w:rPr>
        <w:t xml:space="preserve">eosinofilia potencialmente clínicamente </w:t>
      </w:r>
      <w:r w:rsidR="00C676CC">
        <w:rPr>
          <w:rFonts w:ascii="Arial" w:hAnsi="Arial" w:cs="Arial"/>
          <w:sz w:val="20"/>
          <w:szCs w:val="20"/>
        </w:rPr>
        <w:t>significativa</w:t>
      </w:r>
      <w:r w:rsidR="008B7C5C">
        <w:rPr>
          <w:rFonts w:ascii="Arial" w:hAnsi="Arial" w:cs="Arial"/>
          <w:sz w:val="20"/>
          <w:szCs w:val="20"/>
        </w:rPr>
        <w:t xml:space="preserve"> (10,2% vs 5,8%) y alteraciones oculares (1,1% vs 0,3%).</w:t>
      </w:r>
      <w:bookmarkEnd w:id="121"/>
    </w:p>
    <w:p w14:paraId="61B69C83" w14:textId="77777777" w:rsidR="0023608B" w:rsidRDefault="0023608B" w:rsidP="00D06FDD">
      <w:pPr>
        <w:shd w:val="clear" w:color="auto" w:fill="FFFFFF"/>
        <w:jc w:val="both"/>
        <w:rPr>
          <w:rFonts w:ascii="Arial" w:hAnsi="Arial" w:cs="Arial"/>
          <w:sz w:val="20"/>
          <w:szCs w:val="20"/>
        </w:rPr>
      </w:pPr>
    </w:p>
    <w:p w14:paraId="359F3BA9" w14:textId="77777777" w:rsidR="008B7C5C" w:rsidRDefault="00D06FDD" w:rsidP="008B7C5C">
      <w:pPr>
        <w:shd w:val="clear" w:color="auto" w:fill="FFFFFF"/>
        <w:jc w:val="both"/>
        <w:rPr>
          <w:rFonts w:ascii="Arial" w:hAnsi="Arial" w:cs="Arial"/>
          <w:sz w:val="20"/>
          <w:szCs w:val="20"/>
        </w:rPr>
      </w:pPr>
      <w:r w:rsidRPr="00D06FDD">
        <w:rPr>
          <w:rFonts w:ascii="Arial" w:hAnsi="Arial" w:cs="Arial"/>
          <w:sz w:val="20"/>
          <w:szCs w:val="20"/>
        </w:rPr>
        <w:t xml:space="preserve">Los </w:t>
      </w:r>
      <w:r w:rsidR="0023608B">
        <w:rPr>
          <w:rFonts w:ascii="Arial" w:hAnsi="Arial" w:cs="Arial"/>
          <w:sz w:val="20"/>
          <w:szCs w:val="20"/>
        </w:rPr>
        <w:t xml:space="preserve">EA </w:t>
      </w:r>
      <w:r w:rsidRPr="00D06FDD">
        <w:rPr>
          <w:rFonts w:ascii="Arial" w:hAnsi="Arial" w:cs="Arial"/>
          <w:sz w:val="20"/>
          <w:szCs w:val="20"/>
        </w:rPr>
        <w:t>graves fueron poco frecuentes</w:t>
      </w:r>
      <w:r w:rsidR="00CC3BBC">
        <w:rPr>
          <w:rFonts w:ascii="Arial" w:hAnsi="Arial" w:cs="Arial"/>
          <w:sz w:val="20"/>
          <w:szCs w:val="20"/>
        </w:rPr>
        <w:t>;</w:t>
      </w:r>
      <w:r w:rsidRPr="00D06FDD">
        <w:rPr>
          <w:rFonts w:ascii="Arial" w:hAnsi="Arial" w:cs="Arial"/>
          <w:sz w:val="20"/>
          <w:szCs w:val="20"/>
        </w:rPr>
        <w:t xml:space="preserve"> </w:t>
      </w:r>
      <w:r w:rsidR="008B7C5C">
        <w:rPr>
          <w:rFonts w:ascii="Arial" w:hAnsi="Arial" w:cs="Arial"/>
          <w:sz w:val="20"/>
          <w:szCs w:val="20"/>
        </w:rPr>
        <w:t>d</w:t>
      </w:r>
      <w:r w:rsidR="008B7C5C" w:rsidRPr="008B7C5C">
        <w:rPr>
          <w:rFonts w:ascii="Arial" w:hAnsi="Arial" w:cs="Arial"/>
          <w:sz w:val="20"/>
          <w:szCs w:val="20"/>
        </w:rPr>
        <w:t xml:space="preserve">urante el </w:t>
      </w:r>
      <w:r w:rsidR="00510C57">
        <w:rPr>
          <w:rFonts w:ascii="Arial" w:hAnsi="Arial" w:cs="Arial"/>
          <w:sz w:val="20"/>
          <w:szCs w:val="20"/>
        </w:rPr>
        <w:t>p</w:t>
      </w:r>
      <w:r w:rsidR="008B7C5C" w:rsidRPr="008B7C5C">
        <w:rPr>
          <w:rFonts w:ascii="Arial" w:hAnsi="Arial" w:cs="Arial"/>
          <w:sz w:val="20"/>
          <w:szCs w:val="20"/>
        </w:rPr>
        <w:t xml:space="preserve">eriodo </w:t>
      </w:r>
      <w:r w:rsidR="00510C57">
        <w:rPr>
          <w:rFonts w:ascii="Arial" w:hAnsi="Arial" w:cs="Arial"/>
          <w:sz w:val="20"/>
          <w:szCs w:val="20"/>
        </w:rPr>
        <w:t>i</w:t>
      </w:r>
      <w:r w:rsidR="008B7C5C" w:rsidRPr="008B7C5C">
        <w:rPr>
          <w:rFonts w:ascii="Arial" w:hAnsi="Arial" w:cs="Arial"/>
          <w:sz w:val="20"/>
          <w:szCs w:val="20"/>
        </w:rPr>
        <w:t xml:space="preserve">nicial, la frecuencia fue </w:t>
      </w:r>
      <w:r w:rsidR="00CC3BBC">
        <w:rPr>
          <w:rFonts w:ascii="Arial" w:hAnsi="Arial" w:cs="Arial"/>
          <w:sz w:val="20"/>
          <w:szCs w:val="20"/>
        </w:rPr>
        <w:t>similar</w:t>
      </w:r>
      <w:r w:rsidR="008B7C5C" w:rsidRPr="008B7C5C">
        <w:rPr>
          <w:rFonts w:ascii="Arial" w:hAnsi="Arial" w:cs="Arial"/>
          <w:sz w:val="20"/>
          <w:szCs w:val="20"/>
        </w:rPr>
        <w:t xml:space="preserve"> en los sujetos que recibieron placebo (1,3%) que en los que recibieron nemolizumab 30 mg </w:t>
      </w:r>
      <w:r w:rsidR="00510C57">
        <w:rPr>
          <w:rFonts w:ascii="Arial" w:hAnsi="Arial" w:cs="Arial"/>
          <w:sz w:val="20"/>
          <w:szCs w:val="20"/>
        </w:rPr>
        <w:t xml:space="preserve">Q4W </w:t>
      </w:r>
      <w:r w:rsidR="008B7C5C" w:rsidRPr="008B7C5C">
        <w:rPr>
          <w:rFonts w:ascii="Arial" w:hAnsi="Arial" w:cs="Arial"/>
          <w:sz w:val="20"/>
          <w:szCs w:val="20"/>
        </w:rPr>
        <w:t>(1,8%).</w:t>
      </w:r>
      <w:r w:rsidR="008B7C5C">
        <w:rPr>
          <w:rFonts w:ascii="Arial" w:hAnsi="Arial" w:cs="Arial"/>
          <w:sz w:val="20"/>
          <w:szCs w:val="20"/>
        </w:rPr>
        <w:t xml:space="preserve"> </w:t>
      </w:r>
      <w:r w:rsidR="008B7C5C" w:rsidRPr="008B7C5C">
        <w:rPr>
          <w:rFonts w:ascii="Arial" w:hAnsi="Arial" w:cs="Arial"/>
          <w:sz w:val="20"/>
          <w:szCs w:val="20"/>
        </w:rPr>
        <w:t xml:space="preserve">Durante el Periodo de Mantenimiento, los </w:t>
      </w:r>
      <w:r w:rsidR="008B7C5C">
        <w:rPr>
          <w:rFonts w:ascii="Arial" w:hAnsi="Arial" w:cs="Arial"/>
          <w:sz w:val="20"/>
          <w:szCs w:val="20"/>
        </w:rPr>
        <w:t xml:space="preserve">EA graves </w:t>
      </w:r>
      <w:r w:rsidR="008B7C5C" w:rsidRPr="008B7C5C">
        <w:rPr>
          <w:rFonts w:ascii="Arial" w:hAnsi="Arial" w:cs="Arial"/>
          <w:sz w:val="20"/>
          <w:szCs w:val="20"/>
        </w:rPr>
        <w:t xml:space="preserve">el tratamiento fueron experimentados por 10 (5,9%), 3 (1,8%), 4 (2,4%) y 2 (1,1%) sujetos en los grupos nemolizumab 30 mg </w:t>
      </w:r>
      <w:r w:rsidR="008B7C5C">
        <w:rPr>
          <w:rFonts w:ascii="Arial" w:hAnsi="Arial" w:cs="Arial"/>
          <w:sz w:val="20"/>
          <w:szCs w:val="20"/>
        </w:rPr>
        <w:t xml:space="preserve">Q4W </w:t>
      </w:r>
      <w:r w:rsidR="008B7C5C" w:rsidRPr="008B7C5C">
        <w:rPr>
          <w:rFonts w:ascii="Arial" w:hAnsi="Arial" w:cs="Arial"/>
          <w:sz w:val="20"/>
          <w:szCs w:val="20"/>
        </w:rPr>
        <w:t xml:space="preserve">seguido de </w:t>
      </w:r>
      <w:r w:rsidR="008B7C5C">
        <w:rPr>
          <w:rFonts w:ascii="Arial" w:hAnsi="Arial" w:cs="Arial"/>
          <w:sz w:val="20"/>
          <w:szCs w:val="20"/>
        </w:rPr>
        <w:t>Q4W</w:t>
      </w:r>
      <w:r w:rsidR="008B7C5C" w:rsidRPr="008B7C5C">
        <w:rPr>
          <w:rFonts w:ascii="Arial" w:hAnsi="Arial" w:cs="Arial"/>
          <w:sz w:val="20"/>
          <w:szCs w:val="20"/>
        </w:rPr>
        <w:t xml:space="preserve">, nemolizumab 30 mg </w:t>
      </w:r>
      <w:r w:rsidR="008B7C5C">
        <w:rPr>
          <w:rFonts w:ascii="Arial" w:hAnsi="Arial" w:cs="Arial"/>
          <w:sz w:val="20"/>
          <w:szCs w:val="20"/>
        </w:rPr>
        <w:t xml:space="preserve">Q4W </w:t>
      </w:r>
      <w:r w:rsidR="008B7C5C" w:rsidRPr="008B7C5C">
        <w:rPr>
          <w:rFonts w:ascii="Arial" w:hAnsi="Arial" w:cs="Arial"/>
          <w:sz w:val="20"/>
          <w:szCs w:val="20"/>
        </w:rPr>
        <w:t xml:space="preserve">seguido </w:t>
      </w:r>
      <w:r w:rsidR="008B7C5C">
        <w:rPr>
          <w:rFonts w:ascii="Arial" w:hAnsi="Arial" w:cs="Arial"/>
          <w:sz w:val="20"/>
          <w:szCs w:val="20"/>
        </w:rPr>
        <w:t>Q8W</w:t>
      </w:r>
      <w:r w:rsidR="008B7C5C" w:rsidRPr="008B7C5C">
        <w:rPr>
          <w:rFonts w:ascii="Arial" w:hAnsi="Arial" w:cs="Arial"/>
          <w:sz w:val="20"/>
          <w:szCs w:val="20"/>
        </w:rPr>
        <w:t xml:space="preserve">, nemolizumab 30 mg </w:t>
      </w:r>
      <w:r w:rsidR="008B7C5C">
        <w:rPr>
          <w:rFonts w:ascii="Arial" w:hAnsi="Arial" w:cs="Arial"/>
          <w:sz w:val="20"/>
          <w:szCs w:val="20"/>
        </w:rPr>
        <w:t xml:space="preserve">Q4W </w:t>
      </w:r>
      <w:r w:rsidR="008B7C5C" w:rsidRPr="008B7C5C">
        <w:rPr>
          <w:rFonts w:ascii="Arial" w:hAnsi="Arial" w:cs="Arial"/>
          <w:sz w:val="20"/>
          <w:szCs w:val="20"/>
        </w:rPr>
        <w:t>seguido de placebo y reasignados a placebo, respectivamente.</w:t>
      </w:r>
    </w:p>
    <w:p w14:paraId="38C095B7" w14:textId="77777777" w:rsidR="008B7C5C" w:rsidRDefault="008B7C5C" w:rsidP="00D06FDD">
      <w:pPr>
        <w:shd w:val="clear" w:color="auto" w:fill="FFFFFF"/>
        <w:jc w:val="both"/>
        <w:rPr>
          <w:rFonts w:ascii="Arial" w:hAnsi="Arial" w:cs="Arial"/>
          <w:sz w:val="20"/>
          <w:szCs w:val="20"/>
        </w:rPr>
      </w:pPr>
    </w:p>
    <w:p w14:paraId="4F3C66B8" w14:textId="77777777" w:rsidR="00BC3E8E" w:rsidRDefault="00407DEE" w:rsidP="00D06FDD">
      <w:pPr>
        <w:shd w:val="clear" w:color="auto" w:fill="FFFFFF"/>
        <w:jc w:val="both"/>
        <w:rPr>
          <w:rFonts w:ascii="Arial" w:hAnsi="Arial" w:cs="Arial"/>
          <w:sz w:val="20"/>
          <w:szCs w:val="20"/>
        </w:rPr>
      </w:pPr>
      <w:r>
        <w:rPr>
          <w:rFonts w:ascii="Arial" w:hAnsi="Arial" w:cs="Arial"/>
          <w:sz w:val="20"/>
          <w:szCs w:val="20"/>
        </w:rPr>
        <w:t>D</w:t>
      </w:r>
      <w:r w:rsidR="00D06FDD" w:rsidRPr="00D06FDD">
        <w:rPr>
          <w:rFonts w:ascii="Arial" w:hAnsi="Arial" w:cs="Arial"/>
          <w:sz w:val="20"/>
          <w:szCs w:val="20"/>
        </w:rPr>
        <w:t>estacan</w:t>
      </w:r>
      <w:r>
        <w:rPr>
          <w:rFonts w:ascii="Arial" w:hAnsi="Arial" w:cs="Arial"/>
          <w:sz w:val="20"/>
          <w:szCs w:val="20"/>
        </w:rPr>
        <w:t xml:space="preserve"> las</w:t>
      </w:r>
      <w:r w:rsidR="00D06FDD" w:rsidRPr="00D06FDD">
        <w:rPr>
          <w:rFonts w:ascii="Arial" w:hAnsi="Arial" w:cs="Arial"/>
          <w:sz w:val="20"/>
          <w:szCs w:val="20"/>
        </w:rPr>
        <w:t xml:space="preserve"> infecciones graves (0,3%), casos aislados de herpes zóster, colitis eosinofílica y edema periférico</w:t>
      </w:r>
      <w:r w:rsidR="00D06FDD">
        <w:rPr>
          <w:rFonts w:ascii="Arial" w:hAnsi="Arial" w:cs="Arial"/>
          <w:sz w:val="20"/>
          <w:szCs w:val="20"/>
        </w:rPr>
        <w:t xml:space="preserve">, </w:t>
      </w:r>
      <w:r w:rsidR="00D06FDD" w:rsidRPr="00D06FDD">
        <w:rPr>
          <w:rFonts w:ascii="Arial" w:hAnsi="Arial" w:cs="Arial"/>
          <w:sz w:val="20"/>
          <w:szCs w:val="20"/>
        </w:rPr>
        <w:t>este último motivando la suspensión del tratamiento en un paciente</w:t>
      </w:r>
      <w:r w:rsidR="00D06FDD">
        <w:rPr>
          <w:rFonts w:ascii="Arial" w:hAnsi="Arial" w:cs="Arial"/>
          <w:sz w:val="20"/>
          <w:szCs w:val="20"/>
        </w:rPr>
        <w:t xml:space="preserve">, </w:t>
      </w:r>
      <w:r w:rsidR="00D06FDD" w:rsidRPr="00D06FDD">
        <w:rPr>
          <w:rFonts w:ascii="Arial" w:hAnsi="Arial" w:cs="Arial"/>
          <w:sz w:val="20"/>
          <w:szCs w:val="20"/>
        </w:rPr>
        <w:t xml:space="preserve">un caso </w:t>
      </w:r>
      <w:r w:rsidR="00AA4174">
        <w:rPr>
          <w:rFonts w:ascii="Arial" w:hAnsi="Arial" w:cs="Arial"/>
          <w:sz w:val="20"/>
          <w:szCs w:val="20"/>
        </w:rPr>
        <w:t xml:space="preserve">de DA </w:t>
      </w:r>
      <w:r w:rsidR="00D06FDD" w:rsidRPr="00D06FDD">
        <w:rPr>
          <w:rFonts w:ascii="Arial" w:hAnsi="Arial" w:cs="Arial"/>
          <w:sz w:val="20"/>
          <w:szCs w:val="20"/>
        </w:rPr>
        <w:t>grave relacionada con el fármaco (&lt;0,1%)</w:t>
      </w:r>
      <w:r w:rsidR="00AA4174">
        <w:rPr>
          <w:rFonts w:ascii="Arial" w:hAnsi="Arial" w:cs="Arial"/>
          <w:sz w:val="20"/>
          <w:szCs w:val="20"/>
        </w:rPr>
        <w:t xml:space="preserve">, 2 casos de trastornos gastrointestinales, y un caso de alteraciones del sistema linfático. </w:t>
      </w:r>
      <w:r w:rsidR="00D06FDD" w:rsidRPr="00D06FDD">
        <w:rPr>
          <w:rFonts w:ascii="Arial" w:hAnsi="Arial" w:cs="Arial"/>
          <w:sz w:val="20"/>
          <w:szCs w:val="20"/>
        </w:rPr>
        <w:t>No se registraron fallecimientos en los estudios ARCADIA</w:t>
      </w:r>
      <w:r w:rsidR="00D06FDD">
        <w:rPr>
          <w:rFonts w:ascii="Arial" w:hAnsi="Arial" w:cs="Arial"/>
          <w:sz w:val="20"/>
          <w:szCs w:val="20"/>
        </w:rPr>
        <w:t>.</w:t>
      </w:r>
    </w:p>
    <w:p w14:paraId="5B3D877F" w14:textId="77777777" w:rsidR="00510C57" w:rsidRDefault="00510C57" w:rsidP="00510C57">
      <w:pPr>
        <w:shd w:val="clear" w:color="auto" w:fill="FFFFFF"/>
        <w:jc w:val="both"/>
        <w:rPr>
          <w:rFonts w:ascii="Arial" w:hAnsi="Arial" w:cs="Arial"/>
          <w:sz w:val="20"/>
          <w:szCs w:val="20"/>
        </w:rPr>
      </w:pPr>
    </w:p>
    <w:p w14:paraId="6283E721" w14:textId="77777777" w:rsidR="00510C57" w:rsidRDefault="00510C57" w:rsidP="00D06FDD">
      <w:pPr>
        <w:shd w:val="clear" w:color="auto" w:fill="FFFFFF"/>
        <w:jc w:val="both"/>
        <w:rPr>
          <w:rFonts w:ascii="Arial" w:hAnsi="Arial" w:cs="Arial"/>
          <w:sz w:val="20"/>
          <w:szCs w:val="20"/>
        </w:rPr>
      </w:pPr>
      <w:r w:rsidRPr="00510C57">
        <w:rPr>
          <w:rFonts w:ascii="Arial" w:hAnsi="Arial" w:cs="Arial"/>
          <w:sz w:val="20"/>
          <w:szCs w:val="20"/>
        </w:rPr>
        <w:t>En relación con la discontinuación del tratamiento y la mortalidad, el 2,6% de los sujetos del grupo nemolizumab y el 3,1% del grupo placebo suspendieron el fármaco debido a</w:t>
      </w:r>
      <w:r w:rsidR="00A5572B">
        <w:rPr>
          <w:rFonts w:ascii="Arial" w:hAnsi="Arial" w:cs="Arial"/>
          <w:sz w:val="20"/>
          <w:szCs w:val="20"/>
        </w:rPr>
        <w:t xml:space="preserve"> EAs</w:t>
      </w:r>
      <w:r w:rsidRPr="00510C57">
        <w:rPr>
          <w:rFonts w:ascii="Arial" w:hAnsi="Arial" w:cs="Arial"/>
          <w:sz w:val="20"/>
          <w:szCs w:val="20"/>
        </w:rPr>
        <w:t>. No se notificaron fallecimientos durante el periodo de tratamiento. Se registró un único fallecimiento en el periodo de seguimiento en el grupo nemolizumab, clasificado como no relacionado con el tratamiento.</w:t>
      </w:r>
    </w:p>
    <w:p w14:paraId="7946CE94" w14:textId="77777777" w:rsidR="00D06FDD" w:rsidRDefault="00D06FDD" w:rsidP="00D06FDD">
      <w:pPr>
        <w:shd w:val="clear" w:color="auto" w:fill="FFFFFF"/>
        <w:jc w:val="both"/>
        <w:rPr>
          <w:rFonts w:ascii="Arial" w:hAnsi="Arial" w:cs="Arial"/>
          <w:sz w:val="20"/>
          <w:szCs w:val="20"/>
        </w:rPr>
      </w:pPr>
    </w:p>
    <w:p w14:paraId="2C6FEBB1" w14:textId="77777777" w:rsidR="00132596" w:rsidRDefault="00BC3E8E" w:rsidP="00BC3E8E">
      <w:pPr>
        <w:shd w:val="clear" w:color="auto" w:fill="FFFFFF"/>
        <w:jc w:val="both"/>
        <w:rPr>
          <w:rFonts w:ascii="Arial" w:hAnsi="Arial" w:cs="Arial"/>
          <w:sz w:val="20"/>
          <w:szCs w:val="20"/>
        </w:rPr>
      </w:pPr>
      <w:r w:rsidRPr="006F6ABB">
        <w:rPr>
          <w:rFonts w:ascii="Arial" w:hAnsi="Arial" w:cs="Arial"/>
          <w:sz w:val="20"/>
          <w:szCs w:val="20"/>
        </w:rPr>
        <w:t xml:space="preserve">En la tabla </w:t>
      </w:r>
      <w:r w:rsidR="00407DEE">
        <w:rPr>
          <w:rFonts w:ascii="Arial" w:hAnsi="Arial" w:cs="Arial"/>
          <w:sz w:val="20"/>
          <w:szCs w:val="20"/>
        </w:rPr>
        <w:t xml:space="preserve">24 </w:t>
      </w:r>
      <w:r w:rsidRPr="006F6ABB">
        <w:rPr>
          <w:rFonts w:ascii="Arial" w:hAnsi="Arial" w:cs="Arial"/>
          <w:sz w:val="20"/>
          <w:szCs w:val="20"/>
        </w:rPr>
        <w:t>se expone la incidencia comparada de</w:t>
      </w:r>
      <w:r w:rsidR="00407DEE">
        <w:rPr>
          <w:rFonts w:ascii="Arial" w:hAnsi="Arial" w:cs="Arial"/>
          <w:sz w:val="20"/>
          <w:szCs w:val="20"/>
        </w:rPr>
        <w:t xml:space="preserve"> EA</w:t>
      </w:r>
      <w:r w:rsidRPr="006F6ABB">
        <w:rPr>
          <w:rFonts w:ascii="Arial" w:hAnsi="Arial" w:cs="Arial"/>
          <w:sz w:val="20"/>
          <w:szCs w:val="20"/>
        </w:rPr>
        <w:t>. Los datos descritos en la tabla</w:t>
      </w:r>
      <w:r w:rsidR="00407DEE">
        <w:rPr>
          <w:rFonts w:ascii="Arial" w:hAnsi="Arial" w:cs="Arial"/>
          <w:sz w:val="20"/>
          <w:szCs w:val="20"/>
        </w:rPr>
        <w:t xml:space="preserve"> 24</w:t>
      </w:r>
      <w:r w:rsidRPr="006F6ABB">
        <w:rPr>
          <w:rFonts w:ascii="Arial" w:hAnsi="Arial" w:cs="Arial"/>
          <w:sz w:val="20"/>
          <w:szCs w:val="20"/>
        </w:rPr>
        <w:t xml:space="preserve"> reflejan la exposición del fármaco </w:t>
      </w:r>
      <w:r w:rsidR="00D06FDD">
        <w:rPr>
          <w:rFonts w:ascii="Arial" w:hAnsi="Arial" w:cs="Arial"/>
          <w:sz w:val="20"/>
          <w:szCs w:val="20"/>
        </w:rPr>
        <w:t>nemolizumab</w:t>
      </w:r>
      <w:r w:rsidRPr="006F6ABB">
        <w:rPr>
          <w:rFonts w:ascii="Arial" w:hAnsi="Arial" w:cs="Arial"/>
          <w:sz w:val="20"/>
          <w:szCs w:val="20"/>
        </w:rPr>
        <w:t xml:space="preserve"> en </w:t>
      </w:r>
      <w:r w:rsidR="00D06FDD">
        <w:rPr>
          <w:rFonts w:ascii="Arial" w:hAnsi="Arial" w:cs="Arial"/>
          <w:sz w:val="20"/>
          <w:szCs w:val="20"/>
        </w:rPr>
        <w:t>1192</w:t>
      </w:r>
      <w:r w:rsidR="00D06FDD" w:rsidRPr="006F6ABB">
        <w:rPr>
          <w:rFonts w:ascii="Arial" w:hAnsi="Arial" w:cs="Arial"/>
          <w:sz w:val="20"/>
          <w:szCs w:val="20"/>
        </w:rPr>
        <w:t xml:space="preserve"> pacientes</w:t>
      </w:r>
      <w:r w:rsidR="00D06FDD">
        <w:rPr>
          <w:rFonts w:ascii="Arial" w:hAnsi="Arial" w:cs="Arial"/>
          <w:sz w:val="20"/>
          <w:szCs w:val="20"/>
        </w:rPr>
        <w:t xml:space="preserve"> en el periodo inicial </w:t>
      </w:r>
      <w:r w:rsidR="009134CE">
        <w:rPr>
          <w:rFonts w:ascii="Arial" w:hAnsi="Arial" w:cs="Arial"/>
          <w:sz w:val="20"/>
          <w:szCs w:val="20"/>
        </w:rPr>
        <w:t xml:space="preserve">y de mantenimiento </w:t>
      </w:r>
      <w:r w:rsidR="00D06FDD">
        <w:rPr>
          <w:rFonts w:ascii="Arial" w:hAnsi="Arial" w:cs="Arial"/>
          <w:sz w:val="20"/>
          <w:szCs w:val="20"/>
        </w:rPr>
        <w:t>del estudio</w:t>
      </w:r>
      <w:r w:rsidRPr="006F6ABB">
        <w:rPr>
          <w:rFonts w:ascii="Arial" w:hAnsi="Arial" w:cs="Arial"/>
          <w:sz w:val="20"/>
          <w:szCs w:val="20"/>
        </w:rPr>
        <w:t xml:space="preserve"> para la indicación </w:t>
      </w:r>
      <w:r w:rsidR="00BD5ED6">
        <w:rPr>
          <w:rFonts w:ascii="Arial" w:hAnsi="Arial" w:cs="Arial"/>
          <w:sz w:val="20"/>
          <w:szCs w:val="20"/>
        </w:rPr>
        <w:t xml:space="preserve">DA </w:t>
      </w:r>
      <w:r w:rsidRPr="006F6ABB">
        <w:rPr>
          <w:rFonts w:ascii="Arial" w:hAnsi="Arial" w:cs="Arial"/>
          <w:sz w:val="20"/>
          <w:szCs w:val="20"/>
        </w:rPr>
        <w:t xml:space="preserve">al menos expuestos durante </w:t>
      </w:r>
      <w:r w:rsidR="009134CE">
        <w:rPr>
          <w:rFonts w:ascii="Arial" w:hAnsi="Arial" w:cs="Arial"/>
          <w:sz w:val="20"/>
          <w:szCs w:val="20"/>
        </w:rPr>
        <w:t xml:space="preserve">48 </w:t>
      </w:r>
      <w:r w:rsidRPr="006F6ABB">
        <w:rPr>
          <w:rFonts w:ascii="Arial" w:hAnsi="Arial" w:cs="Arial"/>
          <w:sz w:val="20"/>
          <w:szCs w:val="20"/>
        </w:rPr>
        <w:t>meses en estudios controlados. Entre ellos se presentan diferencias significativas, en los casos siguientes:</w:t>
      </w:r>
      <w:r w:rsidR="002C5A05">
        <w:rPr>
          <w:rFonts w:ascii="Arial" w:hAnsi="Arial" w:cs="Arial"/>
          <w:sz w:val="20"/>
          <w:szCs w:val="20"/>
        </w:rPr>
        <w:t xml:space="preserve"> trastornos generales tras la administración 6,5% en el grupo nemolizumab vs 4,4% en el grupo placebo (RAR: 2 (0,05;4)) y cefalea en nemolizumab 4.2% vs placebo 4.7% (RAR-5 (-8;-3)) durante el periodo de mantenimiento. </w:t>
      </w:r>
    </w:p>
    <w:p w14:paraId="5CB1BCBE" w14:textId="77777777" w:rsidR="00F3218F" w:rsidRDefault="00F3218F" w:rsidP="00BC3E8E">
      <w:pPr>
        <w:shd w:val="clear" w:color="auto" w:fill="FFFFFF"/>
        <w:jc w:val="both"/>
        <w:rPr>
          <w:rFonts w:ascii="Arial" w:hAnsi="Arial" w:cs="Arial"/>
          <w:sz w:val="20"/>
          <w:szCs w:val="20"/>
        </w:rPr>
      </w:pPr>
    </w:p>
    <w:tbl>
      <w:tblPr>
        <w:tblW w:w="8880" w:type="dxa"/>
        <w:tblInd w:w="80" w:type="dxa"/>
        <w:tblCellMar>
          <w:left w:w="70" w:type="dxa"/>
          <w:right w:w="70" w:type="dxa"/>
        </w:tblCellMar>
        <w:tblLook w:val="04A0" w:firstRow="1" w:lastRow="0" w:firstColumn="1" w:lastColumn="0" w:noHBand="0" w:noVBand="1"/>
      </w:tblPr>
      <w:tblGrid>
        <w:gridCol w:w="2423"/>
        <w:gridCol w:w="1350"/>
        <w:gridCol w:w="1176"/>
        <w:gridCol w:w="1180"/>
        <w:gridCol w:w="1171"/>
        <w:gridCol w:w="1434"/>
        <w:gridCol w:w="146"/>
      </w:tblGrid>
      <w:tr w:rsidR="002C5A05" w14:paraId="541C10D0" w14:textId="77777777" w:rsidTr="000D6D4B">
        <w:trPr>
          <w:gridAfter w:val="1"/>
          <w:wAfter w:w="146" w:type="dxa"/>
          <w:trHeight w:val="300"/>
        </w:trPr>
        <w:tc>
          <w:tcPr>
            <w:tcW w:w="8734" w:type="dxa"/>
            <w:gridSpan w:val="6"/>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14:paraId="29A29DE4" w14:textId="77777777" w:rsidR="00BD3FF1" w:rsidRDefault="00BD3FF1" w:rsidP="00BD3FF1">
            <w:pPr>
              <w:jc w:val="center"/>
              <w:rPr>
                <w:rFonts w:ascii="Arial" w:hAnsi="Arial" w:cs="Arial"/>
                <w:b/>
                <w:bCs/>
                <w:color w:val="000000"/>
                <w:sz w:val="18"/>
                <w:szCs w:val="18"/>
              </w:rPr>
            </w:pPr>
            <w:r w:rsidRPr="00BD3FF1">
              <w:rPr>
                <w:rFonts w:ascii="Arial" w:hAnsi="Arial" w:cs="Arial"/>
                <w:b/>
                <w:bCs/>
                <w:color w:val="000000"/>
                <w:sz w:val="18"/>
                <w:szCs w:val="18"/>
              </w:rPr>
              <w:t>Tabla 24. Eventos adversos nemolizumab</w:t>
            </w:r>
            <w:r>
              <w:rPr>
                <w:rFonts w:ascii="Arial" w:hAnsi="Arial" w:cs="Arial"/>
                <w:b/>
                <w:bCs/>
                <w:color w:val="000000"/>
                <w:sz w:val="18"/>
                <w:szCs w:val="18"/>
              </w:rPr>
              <w:t>.</w:t>
            </w:r>
          </w:p>
          <w:p w14:paraId="5E8FF7A3" w14:textId="77777777" w:rsidR="002C5A05" w:rsidRPr="00BD3FF1" w:rsidRDefault="00BD3FF1" w:rsidP="00BD3FF1">
            <w:pPr>
              <w:jc w:val="center"/>
              <w:rPr>
                <w:rFonts w:ascii="Arial" w:hAnsi="Arial" w:cs="Arial"/>
                <w:b/>
                <w:bCs/>
                <w:color w:val="000000"/>
                <w:sz w:val="16"/>
                <w:szCs w:val="16"/>
              </w:rPr>
            </w:pPr>
            <w:r w:rsidRPr="00BD3FF1">
              <w:rPr>
                <w:rFonts w:ascii="Arial" w:hAnsi="Arial" w:cs="Arial"/>
                <w:b/>
                <w:bCs/>
                <w:color w:val="000000"/>
                <w:sz w:val="18"/>
                <w:szCs w:val="18"/>
              </w:rPr>
              <w:t xml:space="preserve"> </w:t>
            </w:r>
            <w:r w:rsidR="002C5A05" w:rsidRPr="00BD3FF1">
              <w:rPr>
                <w:rFonts w:ascii="Arial" w:hAnsi="Arial" w:cs="Arial"/>
                <w:b/>
                <w:bCs/>
                <w:color w:val="000000"/>
                <w:sz w:val="18"/>
                <w:szCs w:val="18"/>
              </w:rPr>
              <w:t xml:space="preserve">Referencia: Informe EPAR Nemluvio </w:t>
            </w:r>
            <w:r w:rsidR="00646A51" w:rsidRPr="00BD3FF1">
              <w:rPr>
                <w:rFonts w:ascii="Arial" w:hAnsi="Arial" w:cs="Arial"/>
                <w:b/>
                <w:bCs/>
                <w:color w:val="000000"/>
                <w:sz w:val="18"/>
                <w:szCs w:val="18"/>
              </w:rPr>
              <w:fldChar w:fldCharType="begin"/>
            </w:r>
            <w:r w:rsidR="00AB2E8A" w:rsidRPr="00BD3FF1">
              <w:rPr>
                <w:rFonts w:ascii="Arial" w:hAnsi="Arial" w:cs="Arial"/>
                <w:b/>
                <w:bCs/>
                <w:color w:val="000000"/>
                <w:sz w:val="18"/>
                <w:szCs w:val="18"/>
              </w:rPr>
              <w:instrText xml:space="preserve"> ADDIN ZOTERO_ITEM CSL_CITATION {"citationID":"GrCFT1QO","properties":{"formattedCitation":"(13)","plainCitation":"(13)","noteIndex":0},"citationItems":[{"id":22,"uris":["http://zotero.org/users/18702181/items/5JWGRDEH"],"itemData":{"id":22,"type":"webpage","language":"en","title":"Informe EPAR Nemluvio","URL":"https://www.ema.europa.eu/en/medicines/human/EPAR/nemluvio","author":[{"family":"European Medicines Agency (EMA)","given":""}],"accessed":{"date-parts":[["2025",11,5]]},"issued":{"date-parts":[["2024",12,13]]}}}],"schema":"https://github.com/citation-style-language/schema/raw/master/csl-citation.json"} </w:instrText>
            </w:r>
            <w:r w:rsidR="00646A51" w:rsidRPr="00BD3FF1">
              <w:rPr>
                <w:rFonts w:ascii="Arial" w:hAnsi="Arial" w:cs="Arial"/>
                <w:b/>
                <w:bCs/>
                <w:color w:val="000000"/>
                <w:sz w:val="18"/>
                <w:szCs w:val="18"/>
              </w:rPr>
              <w:fldChar w:fldCharType="separate"/>
            </w:r>
            <w:r w:rsidR="00AB2E8A" w:rsidRPr="00BD3FF1">
              <w:rPr>
                <w:rFonts w:ascii="Arial" w:hAnsi="Arial" w:cs="Arial"/>
                <w:sz w:val="18"/>
                <w:szCs w:val="28"/>
              </w:rPr>
              <w:t>(13)</w:t>
            </w:r>
            <w:r w:rsidR="00646A51" w:rsidRPr="00BD3FF1">
              <w:rPr>
                <w:rFonts w:ascii="Arial" w:hAnsi="Arial" w:cs="Arial"/>
                <w:b/>
                <w:bCs/>
                <w:color w:val="000000"/>
                <w:sz w:val="18"/>
                <w:szCs w:val="18"/>
              </w:rPr>
              <w:fldChar w:fldCharType="end"/>
            </w:r>
          </w:p>
        </w:tc>
      </w:tr>
      <w:tr w:rsidR="002C5A05" w14:paraId="3F97EDD2" w14:textId="77777777" w:rsidTr="000D6D4B">
        <w:trPr>
          <w:trHeight w:val="315"/>
        </w:trPr>
        <w:tc>
          <w:tcPr>
            <w:tcW w:w="8734" w:type="dxa"/>
            <w:gridSpan w:val="6"/>
            <w:vMerge/>
            <w:tcBorders>
              <w:top w:val="single" w:sz="8" w:space="0" w:color="auto"/>
              <w:left w:val="single" w:sz="8" w:space="0" w:color="auto"/>
              <w:bottom w:val="single" w:sz="8" w:space="0" w:color="000000"/>
              <w:right w:val="single" w:sz="8" w:space="0" w:color="000000"/>
            </w:tcBorders>
            <w:vAlign w:val="center"/>
            <w:hideMark/>
          </w:tcPr>
          <w:p w14:paraId="53BDEB48" w14:textId="77777777" w:rsidR="002C5A05" w:rsidRDefault="002C5A05">
            <w:pPr>
              <w:rPr>
                <w:rFonts w:ascii="Arial" w:hAnsi="Arial" w:cs="Arial"/>
                <w:b/>
                <w:bCs/>
                <w:i/>
                <w:iCs/>
                <w:color w:val="000000"/>
                <w:sz w:val="16"/>
                <w:szCs w:val="16"/>
              </w:rPr>
            </w:pPr>
          </w:p>
        </w:tc>
        <w:tc>
          <w:tcPr>
            <w:tcW w:w="146" w:type="dxa"/>
            <w:tcBorders>
              <w:top w:val="nil"/>
              <w:left w:val="nil"/>
              <w:bottom w:val="nil"/>
              <w:right w:val="nil"/>
            </w:tcBorders>
            <w:noWrap/>
            <w:vAlign w:val="bottom"/>
            <w:hideMark/>
          </w:tcPr>
          <w:p w14:paraId="37F7FC54" w14:textId="77777777" w:rsidR="002C5A05" w:rsidRDefault="002C5A05">
            <w:pPr>
              <w:jc w:val="both"/>
              <w:rPr>
                <w:rFonts w:ascii="Arial" w:hAnsi="Arial" w:cs="Arial"/>
                <w:b/>
                <w:bCs/>
                <w:i/>
                <w:iCs/>
                <w:color w:val="000000"/>
                <w:sz w:val="16"/>
                <w:szCs w:val="16"/>
              </w:rPr>
            </w:pPr>
          </w:p>
        </w:tc>
      </w:tr>
      <w:tr w:rsidR="002C5A05" w14:paraId="6CEEBC8E" w14:textId="77777777" w:rsidTr="000D6D4B">
        <w:trPr>
          <w:trHeight w:val="1260"/>
        </w:trPr>
        <w:tc>
          <w:tcPr>
            <w:tcW w:w="8734" w:type="dxa"/>
            <w:gridSpan w:val="6"/>
            <w:tcBorders>
              <w:top w:val="single" w:sz="8" w:space="0" w:color="auto"/>
              <w:left w:val="single" w:sz="8" w:space="0" w:color="auto"/>
              <w:bottom w:val="single" w:sz="8" w:space="0" w:color="auto"/>
              <w:right w:val="single" w:sz="8" w:space="0" w:color="000000"/>
            </w:tcBorders>
            <w:vAlign w:val="center"/>
            <w:hideMark/>
          </w:tcPr>
          <w:p w14:paraId="428B59D2" w14:textId="77777777" w:rsidR="002C5A05" w:rsidRDefault="002C5A05">
            <w:pPr>
              <w:jc w:val="both"/>
              <w:rPr>
                <w:rFonts w:ascii="Arial" w:hAnsi="Arial" w:cs="Arial"/>
                <w:i/>
                <w:iCs/>
                <w:color w:val="000000"/>
                <w:sz w:val="16"/>
                <w:szCs w:val="16"/>
              </w:rPr>
            </w:pPr>
            <w:r>
              <w:rPr>
                <w:rFonts w:ascii="Arial" w:hAnsi="Arial" w:cs="Arial"/>
                <w:i/>
                <w:iCs/>
                <w:color w:val="000000"/>
                <w:sz w:val="16"/>
                <w:szCs w:val="16"/>
              </w:rPr>
              <w:t xml:space="preserve">Ensayos ARCADIA 1 Y 2 dos ensayos clínicos idénticos de fase 3, aleatorizados, doble ciego y controlados con placebo, diseñados para evaluar nemolizumab en adultos y adolescentes (≥12 años) con dermatitis atópica de moderada a grave y prurito asociado que no estaban controlados adecuadamente con terapias tópicas. </w:t>
            </w:r>
          </w:p>
          <w:p w14:paraId="7701A088" w14:textId="77777777" w:rsidR="002C5A05" w:rsidRPr="002C5A05" w:rsidRDefault="002C5A05" w:rsidP="002C5A05">
            <w:pPr>
              <w:jc w:val="center"/>
              <w:rPr>
                <w:rFonts w:ascii="Arial" w:hAnsi="Arial" w:cs="Arial"/>
                <w:b/>
                <w:bCs/>
                <w:i/>
                <w:iCs/>
                <w:color w:val="000000"/>
                <w:sz w:val="16"/>
                <w:szCs w:val="16"/>
              </w:rPr>
            </w:pPr>
            <w:r w:rsidRPr="002C5A05">
              <w:rPr>
                <w:rFonts w:ascii="Arial" w:hAnsi="Arial" w:cs="Arial"/>
                <w:b/>
                <w:bCs/>
                <w:i/>
                <w:iCs/>
                <w:color w:val="000000"/>
                <w:sz w:val="16"/>
                <w:szCs w:val="16"/>
              </w:rPr>
              <w:t>Fase de inducción</w:t>
            </w:r>
            <w:r>
              <w:rPr>
                <w:rFonts w:ascii="Arial" w:hAnsi="Arial" w:cs="Arial"/>
                <w:b/>
                <w:bCs/>
                <w:i/>
                <w:iCs/>
                <w:color w:val="000000"/>
                <w:sz w:val="16"/>
                <w:szCs w:val="16"/>
              </w:rPr>
              <w:t xml:space="preserve"> (16 semanas)</w:t>
            </w:r>
          </w:p>
        </w:tc>
        <w:tc>
          <w:tcPr>
            <w:tcW w:w="146" w:type="dxa"/>
            <w:vAlign w:val="center"/>
            <w:hideMark/>
          </w:tcPr>
          <w:p w14:paraId="14787A0B" w14:textId="77777777" w:rsidR="002C5A05" w:rsidRDefault="002C5A05">
            <w:pPr>
              <w:rPr>
                <w:sz w:val="20"/>
                <w:szCs w:val="20"/>
              </w:rPr>
            </w:pPr>
          </w:p>
        </w:tc>
      </w:tr>
      <w:tr w:rsidR="002C5A05" w14:paraId="5D854AEF" w14:textId="77777777" w:rsidTr="000D6D4B">
        <w:trPr>
          <w:trHeight w:val="315"/>
        </w:trPr>
        <w:tc>
          <w:tcPr>
            <w:tcW w:w="8734" w:type="dxa"/>
            <w:gridSpan w:val="6"/>
            <w:tcBorders>
              <w:top w:val="single" w:sz="8" w:space="0" w:color="auto"/>
              <w:left w:val="single" w:sz="8" w:space="0" w:color="auto"/>
              <w:bottom w:val="single" w:sz="8" w:space="0" w:color="auto"/>
              <w:right w:val="single" w:sz="8" w:space="0" w:color="000000"/>
            </w:tcBorders>
            <w:shd w:val="clear" w:color="000000" w:fill="CCFFCC"/>
            <w:vAlign w:val="center"/>
            <w:hideMark/>
          </w:tcPr>
          <w:p w14:paraId="1DC47525" w14:textId="77777777" w:rsidR="002C5A05" w:rsidRDefault="002C5A05">
            <w:pPr>
              <w:jc w:val="both"/>
              <w:rPr>
                <w:rFonts w:ascii="Arial" w:hAnsi="Arial" w:cs="Arial"/>
                <w:b/>
                <w:bCs/>
                <w:color w:val="000000"/>
                <w:sz w:val="16"/>
                <w:szCs w:val="16"/>
              </w:rPr>
            </w:pPr>
            <w:r>
              <w:rPr>
                <w:rFonts w:ascii="Arial" w:hAnsi="Arial" w:cs="Arial"/>
                <w:b/>
                <w:bCs/>
                <w:color w:val="000000"/>
                <w:sz w:val="16"/>
                <w:szCs w:val="16"/>
              </w:rPr>
              <w:t>Resultados de seguridad</w:t>
            </w:r>
          </w:p>
        </w:tc>
        <w:tc>
          <w:tcPr>
            <w:tcW w:w="146" w:type="dxa"/>
            <w:vAlign w:val="center"/>
            <w:hideMark/>
          </w:tcPr>
          <w:p w14:paraId="14CED31A" w14:textId="77777777" w:rsidR="002C5A05" w:rsidRDefault="002C5A05">
            <w:pPr>
              <w:rPr>
                <w:sz w:val="20"/>
                <w:szCs w:val="20"/>
              </w:rPr>
            </w:pPr>
          </w:p>
        </w:tc>
      </w:tr>
      <w:tr w:rsidR="002C5A05" w14:paraId="65717604" w14:textId="77777777" w:rsidTr="00210F12">
        <w:trPr>
          <w:trHeight w:val="585"/>
        </w:trPr>
        <w:tc>
          <w:tcPr>
            <w:tcW w:w="2423" w:type="dxa"/>
            <w:vMerge w:val="restart"/>
            <w:tcBorders>
              <w:top w:val="nil"/>
              <w:left w:val="single" w:sz="8" w:space="0" w:color="auto"/>
              <w:bottom w:val="single" w:sz="8" w:space="0" w:color="000000"/>
              <w:right w:val="single" w:sz="8" w:space="0" w:color="auto"/>
            </w:tcBorders>
            <w:shd w:val="clear" w:color="auto" w:fill="FFFFFF"/>
            <w:vAlign w:val="center"/>
            <w:hideMark/>
          </w:tcPr>
          <w:p w14:paraId="5D989F65"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Variable de seguridad evaluada en el estudio</w:t>
            </w:r>
          </w:p>
        </w:tc>
        <w:tc>
          <w:tcPr>
            <w:tcW w:w="1350" w:type="dxa"/>
            <w:tcBorders>
              <w:top w:val="nil"/>
              <w:left w:val="nil"/>
              <w:bottom w:val="nil"/>
              <w:right w:val="single" w:sz="8" w:space="0" w:color="auto"/>
            </w:tcBorders>
            <w:vAlign w:val="center"/>
            <w:hideMark/>
          </w:tcPr>
          <w:p w14:paraId="4327C719"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Nemolizumab 30 mg</w:t>
            </w:r>
          </w:p>
        </w:tc>
        <w:tc>
          <w:tcPr>
            <w:tcW w:w="1176" w:type="dxa"/>
            <w:tcBorders>
              <w:top w:val="nil"/>
              <w:left w:val="nil"/>
              <w:bottom w:val="nil"/>
              <w:right w:val="single" w:sz="8" w:space="0" w:color="auto"/>
            </w:tcBorders>
            <w:vAlign w:val="center"/>
            <w:hideMark/>
          </w:tcPr>
          <w:p w14:paraId="680DE904"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Placebo</w:t>
            </w:r>
          </w:p>
        </w:tc>
        <w:tc>
          <w:tcPr>
            <w:tcW w:w="1180" w:type="dxa"/>
            <w:vMerge w:val="restart"/>
            <w:tcBorders>
              <w:top w:val="nil"/>
              <w:left w:val="single" w:sz="8" w:space="0" w:color="auto"/>
              <w:bottom w:val="single" w:sz="8" w:space="0" w:color="000000"/>
              <w:right w:val="single" w:sz="8" w:space="0" w:color="auto"/>
            </w:tcBorders>
            <w:vAlign w:val="center"/>
            <w:hideMark/>
          </w:tcPr>
          <w:p w14:paraId="78B11D9C"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Aumento del riesgo (IC95%)</w:t>
            </w:r>
          </w:p>
        </w:tc>
        <w:tc>
          <w:tcPr>
            <w:tcW w:w="1171" w:type="dxa"/>
            <w:vMerge w:val="restart"/>
            <w:tcBorders>
              <w:top w:val="nil"/>
              <w:left w:val="single" w:sz="8" w:space="0" w:color="auto"/>
              <w:bottom w:val="single" w:sz="8" w:space="0" w:color="000000"/>
              <w:right w:val="single" w:sz="8" w:space="0" w:color="auto"/>
            </w:tcBorders>
            <w:vAlign w:val="center"/>
            <w:hideMark/>
          </w:tcPr>
          <w:p w14:paraId="3DC9DDBC"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434" w:type="dxa"/>
            <w:vMerge w:val="restart"/>
            <w:tcBorders>
              <w:top w:val="nil"/>
              <w:left w:val="single" w:sz="8" w:space="0" w:color="auto"/>
              <w:bottom w:val="single" w:sz="8" w:space="0" w:color="000000"/>
              <w:right w:val="single" w:sz="8" w:space="0" w:color="auto"/>
            </w:tcBorders>
            <w:vAlign w:val="center"/>
            <w:hideMark/>
          </w:tcPr>
          <w:p w14:paraId="044C5D14"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NNH o NND (IC 95%)</w:t>
            </w:r>
          </w:p>
        </w:tc>
        <w:tc>
          <w:tcPr>
            <w:tcW w:w="146" w:type="dxa"/>
            <w:vAlign w:val="center"/>
            <w:hideMark/>
          </w:tcPr>
          <w:p w14:paraId="009B6B56" w14:textId="77777777" w:rsidR="002C5A05" w:rsidRDefault="002C5A05">
            <w:pPr>
              <w:rPr>
                <w:sz w:val="20"/>
                <w:szCs w:val="20"/>
              </w:rPr>
            </w:pPr>
          </w:p>
        </w:tc>
      </w:tr>
      <w:tr w:rsidR="002C5A05" w14:paraId="09D4C5CE" w14:textId="77777777" w:rsidTr="00210F12">
        <w:trPr>
          <w:trHeight w:val="315"/>
        </w:trPr>
        <w:tc>
          <w:tcPr>
            <w:tcW w:w="2423" w:type="dxa"/>
            <w:vMerge/>
            <w:tcBorders>
              <w:top w:val="nil"/>
              <w:left w:val="single" w:sz="8" w:space="0" w:color="auto"/>
              <w:bottom w:val="single" w:sz="8" w:space="0" w:color="000000"/>
              <w:right w:val="single" w:sz="8" w:space="0" w:color="auto"/>
            </w:tcBorders>
            <w:shd w:val="clear" w:color="auto" w:fill="FFFFFF"/>
            <w:vAlign w:val="center"/>
            <w:hideMark/>
          </w:tcPr>
          <w:p w14:paraId="4CC96500" w14:textId="77777777" w:rsidR="002C5A05" w:rsidRDefault="002C5A05">
            <w:pPr>
              <w:rPr>
                <w:rFonts w:ascii="Arial" w:hAnsi="Arial" w:cs="Arial"/>
                <w:b/>
                <w:bCs/>
                <w:i/>
                <w:iCs/>
                <w:color w:val="000000"/>
                <w:sz w:val="16"/>
                <w:szCs w:val="16"/>
              </w:rPr>
            </w:pPr>
          </w:p>
        </w:tc>
        <w:tc>
          <w:tcPr>
            <w:tcW w:w="1350" w:type="dxa"/>
            <w:tcBorders>
              <w:top w:val="nil"/>
              <w:left w:val="nil"/>
              <w:bottom w:val="single" w:sz="8" w:space="0" w:color="auto"/>
              <w:right w:val="single" w:sz="8" w:space="0" w:color="auto"/>
            </w:tcBorders>
            <w:vAlign w:val="center"/>
            <w:hideMark/>
          </w:tcPr>
          <w:p w14:paraId="6534855E"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N (1192)</w:t>
            </w:r>
          </w:p>
        </w:tc>
        <w:tc>
          <w:tcPr>
            <w:tcW w:w="1176" w:type="dxa"/>
            <w:tcBorders>
              <w:top w:val="nil"/>
              <w:left w:val="nil"/>
              <w:bottom w:val="single" w:sz="8" w:space="0" w:color="auto"/>
              <w:right w:val="single" w:sz="8" w:space="0" w:color="auto"/>
            </w:tcBorders>
            <w:vAlign w:val="center"/>
            <w:hideMark/>
          </w:tcPr>
          <w:p w14:paraId="2AED5538"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 xml:space="preserve">N (640) </w:t>
            </w:r>
          </w:p>
        </w:tc>
        <w:tc>
          <w:tcPr>
            <w:tcW w:w="1180" w:type="dxa"/>
            <w:vMerge/>
            <w:tcBorders>
              <w:top w:val="nil"/>
              <w:left w:val="single" w:sz="8" w:space="0" w:color="auto"/>
              <w:bottom w:val="single" w:sz="8" w:space="0" w:color="000000"/>
              <w:right w:val="single" w:sz="8" w:space="0" w:color="auto"/>
            </w:tcBorders>
            <w:vAlign w:val="center"/>
            <w:hideMark/>
          </w:tcPr>
          <w:p w14:paraId="6DEB18A9" w14:textId="77777777" w:rsidR="002C5A05" w:rsidRDefault="002C5A05">
            <w:pPr>
              <w:rPr>
                <w:rFonts w:ascii="Arial" w:hAnsi="Arial" w:cs="Arial"/>
                <w:b/>
                <w:bCs/>
                <w:i/>
                <w:iCs/>
                <w:color w:val="000000"/>
                <w:sz w:val="16"/>
                <w:szCs w:val="16"/>
              </w:rPr>
            </w:pPr>
          </w:p>
        </w:tc>
        <w:tc>
          <w:tcPr>
            <w:tcW w:w="1171" w:type="dxa"/>
            <w:vMerge/>
            <w:tcBorders>
              <w:top w:val="nil"/>
              <w:left w:val="single" w:sz="8" w:space="0" w:color="auto"/>
              <w:bottom w:val="single" w:sz="8" w:space="0" w:color="000000"/>
              <w:right w:val="single" w:sz="8" w:space="0" w:color="auto"/>
            </w:tcBorders>
            <w:vAlign w:val="center"/>
            <w:hideMark/>
          </w:tcPr>
          <w:p w14:paraId="6F1E0AFF" w14:textId="77777777" w:rsidR="002C5A05" w:rsidRDefault="002C5A05">
            <w:pPr>
              <w:rPr>
                <w:rFonts w:ascii="Arial" w:hAnsi="Arial" w:cs="Arial"/>
                <w:b/>
                <w:bCs/>
                <w:i/>
                <w:iCs/>
                <w:color w:val="000000"/>
                <w:sz w:val="16"/>
                <w:szCs w:val="16"/>
              </w:rPr>
            </w:pPr>
          </w:p>
        </w:tc>
        <w:tc>
          <w:tcPr>
            <w:tcW w:w="1434" w:type="dxa"/>
            <w:vMerge/>
            <w:tcBorders>
              <w:top w:val="nil"/>
              <w:left w:val="single" w:sz="8" w:space="0" w:color="auto"/>
              <w:bottom w:val="single" w:sz="8" w:space="0" w:color="000000"/>
              <w:right w:val="single" w:sz="8" w:space="0" w:color="auto"/>
            </w:tcBorders>
            <w:vAlign w:val="center"/>
            <w:hideMark/>
          </w:tcPr>
          <w:p w14:paraId="6E98BF5C" w14:textId="77777777" w:rsidR="002C5A05" w:rsidRDefault="002C5A05">
            <w:pPr>
              <w:rPr>
                <w:rFonts w:ascii="Arial" w:hAnsi="Arial" w:cs="Arial"/>
                <w:b/>
                <w:bCs/>
                <w:i/>
                <w:iCs/>
                <w:color w:val="000000"/>
                <w:sz w:val="16"/>
                <w:szCs w:val="16"/>
              </w:rPr>
            </w:pPr>
          </w:p>
        </w:tc>
        <w:tc>
          <w:tcPr>
            <w:tcW w:w="146" w:type="dxa"/>
            <w:vAlign w:val="center"/>
            <w:hideMark/>
          </w:tcPr>
          <w:p w14:paraId="74F22DD2" w14:textId="77777777" w:rsidR="002C5A05" w:rsidRDefault="002C5A05">
            <w:pPr>
              <w:rPr>
                <w:sz w:val="20"/>
                <w:szCs w:val="20"/>
              </w:rPr>
            </w:pPr>
          </w:p>
        </w:tc>
      </w:tr>
      <w:tr w:rsidR="000D6D4B" w14:paraId="252CE305" w14:textId="77777777" w:rsidTr="00210F12">
        <w:trPr>
          <w:trHeight w:val="630"/>
        </w:trPr>
        <w:tc>
          <w:tcPr>
            <w:tcW w:w="2423" w:type="dxa"/>
            <w:tcBorders>
              <w:top w:val="nil"/>
              <w:left w:val="single" w:sz="8" w:space="0" w:color="auto"/>
              <w:bottom w:val="single" w:sz="4" w:space="0" w:color="auto"/>
              <w:right w:val="single" w:sz="4" w:space="0" w:color="auto"/>
            </w:tcBorders>
            <w:shd w:val="clear" w:color="auto" w:fill="E7E6E6"/>
            <w:vAlign w:val="center"/>
          </w:tcPr>
          <w:p w14:paraId="42B534B2" w14:textId="77777777" w:rsidR="000D6D4B" w:rsidRDefault="000D6D4B" w:rsidP="000D6D4B">
            <w:pPr>
              <w:jc w:val="center"/>
              <w:rPr>
                <w:rFonts w:ascii="Arial" w:hAnsi="Arial" w:cs="Arial"/>
                <w:b/>
                <w:bCs/>
                <w:i/>
                <w:iCs/>
                <w:color w:val="000000"/>
                <w:sz w:val="16"/>
                <w:szCs w:val="16"/>
              </w:rPr>
            </w:pPr>
            <w:r>
              <w:rPr>
                <w:rFonts w:ascii="Arial" w:hAnsi="Arial" w:cs="Arial"/>
                <w:b/>
                <w:bCs/>
                <w:i/>
                <w:iCs/>
                <w:color w:val="000000"/>
                <w:sz w:val="16"/>
                <w:szCs w:val="16"/>
              </w:rPr>
              <w:t>Pacientes con ≥1 EA</w:t>
            </w:r>
          </w:p>
        </w:tc>
        <w:tc>
          <w:tcPr>
            <w:tcW w:w="1350" w:type="dxa"/>
            <w:tcBorders>
              <w:top w:val="nil"/>
              <w:left w:val="nil"/>
              <w:bottom w:val="single" w:sz="4" w:space="0" w:color="auto"/>
              <w:right w:val="single" w:sz="4" w:space="0" w:color="auto"/>
            </w:tcBorders>
            <w:vAlign w:val="center"/>
          </w:tcPr>
          <w:p w14:paraId="3CB367BB" w14:textId="77777777" w:rsidR="000D6D4B" w:rsidRDefault="000D6D4B" w:rsidP="000D6D4B">
            <w:pPr>
              <w:jc w:val="center"/>
              <w:rPr>
                <w:rFonts w:ascii="Arial" w:hAnsi="Arial" w:cs="Arial"/>
                <w:i/>
                <w:iCs/>
                <w:color w:val="000000"/>
                <w:sz w:val="16"/>
                <w:szCs w:val="16"/>
              </w:rPr>
            </w:pPr>
            <w:r>
              <w:rPr>
                <w:rFonts w:ascii="Arial" w:hAnsi="Arial" w:cs="Arial"/>
                <w:i/>
                <w:iCs/>
                <w:color w:val="000000"/>
                <w:sz w:val="16"/>
                <w:szCs w:val="16"/>
              </w:rPr>
              <w:t>566 (47,5)</w:t>
            </w:r>
          </w:p>
        </w:tc>
        <w:tc>
          <w:tcPr>
            <w:tcW w:w="1176" w:type="dxa"/>
            <w:tcBorders>
              <w:top w:val="nil"/>
              <w:left w:val="nil"/>
              <w:bottom w:val="single" w:sz="4" w:space="0" w:color="auto"/>
              <w:right w:val="nil"/>
            </w:tcBorders>
            <w:vAlign w:val="center"/>
          </w:tcPr>
          <w:p w14:paraId="499F4D52" w14:textId="77777777" w:rsidR="000D6D4B" w:rsidRDefault="000D6D4B" w:rsidP="000D6D4B">
            <w:pPr>
              <w:jc w:val="center"/>
              <w:rPr>
                <w:rFonts w:ascii="Arial" w:hAnsi="Arial" w:cs="Arial"/>
                <w:i/>
                <w:iCs/>
                <w:color w:val="000000"/>
                <w:sz w:val="16"/>
                <w:szCs w:val="16"/>
              </w:rPr>
            </w:pPr>
            <w:r>
              <w:rPr>
                <w:rFonts w:ascii="Arial" w:hAnsi="Arial" w:cs="Arial"/>
                <w:i/>
                <w:iCs/>
                <w:color w:val="000000"/>
                <w:sz w:val="16"/>
                <w:szCs w:val="16"/>
              </w:rPr>
              <w:t>306 (47,8)</w:t>
            </w:r>
          </w:p>
        </w:tc>
        <w:tc>
          <w:tcPr>
            <w:tcW w:w="1180" w:type="dxa"/>
            <w:tcBorders>
              <w:top w:val="nil"/>
              <w:left w:val="single" w:sz="4" w:space="0" w:color="auto"/>
              <w:bottom w:val="single" w:sz="4" w:space="0" w:color="auto"/>
              <w:right w:val="single" w:sz="4" w:space="0" w:color="auto"/>
            </w:tcBorders>
            <w:vAlign w:val="center"/>
          </w:tcPr>
          <w:p w14:paraId="7F661B33" w14:textId="77777777" w:rsidR="000D6D4B" w:rsidRDefault="000D6D4B" w:rsidP="000D6D4B">
            <w:pPr>
              <w:jc w:val="center"/>
              <w:rPr>
                <w:rFonts w:ascii="Arial" w:hAnsi="Arial" w:cs="Arial"/>
                <w:i/>
                <w:iCs/>
                <w:color w:val="000000"/>
                <w:sz w:val="16"/>
                <w:szCs w:val="16"/>
              </w:rPr>
            </w:pPr>
            <w:r>
              <w:rPr>
                <w:rFonts w:ascii="Arial" w:hAnsi="Arial" w:cs="Arial"/>
                <w:i/>
                <w:iCs/>
                <w:color w:val="000000"/>
                <w:sz w:val="16"/>
                <w:szCs w:val="16"/>
              </w:rPr>
              <w:t>-0,3 (-5;5)</w:t>
            </w:r>
          </w:p>
        </w:tc>
        <w:tc>
          <w:tcPr>
            <w:tcW w:w="1171" w:type="dxa"/>
            <w:tcBorders>
              <w:top w:val="nil"/>
              <w:left w:val="nil"/>
              <w:bottom w:val="single" w:sz="4" w:space="0" w:color="auto"/>
              <w:right w:val="single" w:sz="4" w:space="0" w:color="auto"/>
            </w:tcBorders>
            <w:vAlign w:val="center"/>
          </w:tcPr>
          <w:p w14:paraId="0B2E809F" w14:textId="77777777" w:rsidR="000D6D4B" w:rsidRDefault="000D6D4B" w:rsidP="000D6D4B">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tcPr>
          <w:p w14:paraId="12090870" w14:textId="77777777" w:rsidR="000D6D4B" w:rsidRDefault="003B52CF" w:rsidP="000D6D4B">
            <w:pPr>
              <w:rPr>
                <w:rFonts w:ascii="Arial" w:hAnsi="Arial" w:cs="Arial"/>
                <w:i/>
                <w:iCs/>
                <w:color w:val="000000"/>
                <w:sz w:val="16"/>
                <w:szCs w:val="16"/>
              </w:rPr>
            </w:pPr>
            <w:r>
              <w:rPr>
                <w:rFonts w:ascii="Arial" w:hAnsi="Arial" w:cs="Arial"/>
                <w:i/>
                <w:iCs/>
                <w:color w:val="000000"/>
                <w:sz w:val="16"/>
                <w:szCs w:val="16"/>
              </w:rPr>
              <w:t>-</w:t>
            </w:r>
          </w:p>
        </w:tc>
        <w:tc>
          <w:tcPr>
            <w:tcW w:w="146" w:type="dxa"/>
            <w:vAlign w:val="center"/>
          </w:tcPr>
          <w:p w14:paraId="7F957EC2" w14:textId="77777777" w:rsidR="000D6D4B" w:rsidRDefault="000D6D4B" w:rsidP="000D6D4B">
            <w:pPr>
              <w:rPr>
                <w:sz w:val="20"/>
                <w:szCs w:val="20"/>
              </w:rPr>
            </w:pPr>
          </w:p>
        </w:tc>
      </w:tr>
      <w:tr w:rsidR="000D6D4B" w14:paraId="79B366E0" w14:textId="77777777" w:rsidTr="00210F12">
        <w:trPr>
          <w:trHeight w:val="630"/>
        </w:trPr>
        <w:tc>
          <w:tcPr>
            <w:tcW w:w="2423" w:type="dxa"/>
            <w:tcBorders>
              <w:top w:val="nil"/>
              <w:left w:val="single" w:sz="8" w:space="0" w:color="auto"/>
              <w:bottom w:val="single" w:sz="4" w:space="0" w:color="auto"/>
              <w:right w:val="single" w:sz="4" w:space="0" w:color="auto"/>
            </w:tcBorders>
            <w:shd w:val="clear" w:color="auto" w:fill="E7E6E6"/>
            <w:vAlign w:val="center"/>
          </w:tcPr>
          <w:p w14:paraId="460E0B1C" w14:textId="77777777" w:rsidR="000D6D4B" w:rsidRDefault="00132596" w:rsidP="000D6D4B">
            <w:pPr>
              <w:jc w:val="center"/>
              <w:rPr>
                <w:rFonts w:ascii="Arial" w:hAnsi="Arial" w:cs="Arial"/>
                <w:b/>
                <w:bCs/>
                <w:i/>
                <w:iCs/>
                <w:color w:val="000000"/>
                <w:sz w:val="16"/>
                <w:szCs w:val="16"/>
              </w:rPr>
            </w:pPr>
            <w:r>
              <w:rPr>
                <w:rFonts w:ascii="Arial" w:hAnsi="Arial" w:cs="Arial"/>
                <w:b/>
                <w:bCs/>
                <w:i/>
                <w:iCs/>
                <w:color w:val="000000"/>
                <w:sz w:val="16"/>
                <w:szCs w:val="16"/>
              </w:rPr>
              <w:t>Pacientes con EA graves</w:t>
            </w:r>
          </w:p>
        </w:tc>
        <w:tc>
          <w:tcPr>
            <w:tcW w:w="1350" w:type="dxa"/>
            <w:tcBorders>
              <w:top w:val="nil"/>
              <w:left w:val="nil"/>
              <w:bottom w:val="single" w:sz="4" w:space="0" w:color="auto"/>
              <w:right w:val="single" w:sz="4" w:space="0" w:color="auto"/>
            </w:tcBorders>
            <w:vAlign w:val="center"/>
          </w:tcPr>
          <w:p w14:paraId="23CD1846" w14:textId="77777777" w:rsidR="000D6D4B" w:rsidRDefault="007210B4" w:rsidP="000D6D4B">
            <w:pPr>
              <w:jc w:val="center"/>
              <w:rPr>
                <w:rFonts w:ascii="Arial" w:hAnsi="Arial" w:cs="Arial"/>
                <w:i/>
                <w:iCs/>
                <w:color w:val="000000"/>
                <w:sz w:val="16"/>
                <w:szCs w:val="16"/>
              </w:rPr>
            </w:pPr>
            <w:r>
              <w:rPr>
                <w:rFonts w:ascii="Arial" w:hAnsi="Arial" w:cs="Arial"/>
                <w:i/>
                <w:iCs/>
                <w:color w:val="000000"/>
                <w:sz w:val="16"/>
                <w:szCs w:val="16"/>
              </w:rPr>
              <w:t>6 (0,5)</w:t>
            </w:r>
          </w:p>
        </w:tc>
        <w:tc>
          <w:tcPr>
            <w:tcW w:w="1176" w:type="dxa"/>
            <w:tcBorders>
              <w:top w:val="nil"/>
              <w:left w:val="nil"/>
              <w:bottom w:val="single" w:sz="4" w:space="0" w:color="auto"/>
              <w:right w:val="nil"/>
            </w:tcBorders>
            <w:vAlign w:val="center"/>
          </w:tcPr>
          <w:p w14:paraId="0E290CE0" w14:textId="77777777" w:rsidR="007210B4" w:rsidRDefault="007210B4" w:rsidP="007210B4">
            <w:pPr>
              <w:jc w:val="center"/>
              <w:rPr>
                <w:rFonts w:ascii="Arial" w:hAnsi="Arial" w:cs="Arial"/>
                <w:i/>
                <w:iCs/>
                <w:color w:val="000000"/>
                <w:sz w:val="16"/>
                <w:szCs w:val="16"/>
              </w:rPr>
            </w:pPr>
            <w:r>
              <w:rPr>
                <w:rFonts w:ascii="Arial" w:hAnsi="Arial" w:cs="Arial"/>
                <w:i/>
                <w:iCs/>
                <w:color w:val="000000"/>
                <w:sz w:val="16"/>
                <w:szCs w:val="16"/>
              </w:rPr>
              <w:t>0</w:t>
            </w:r>
          </w:p>
        </w:tc>
        <w:tc>
          <w:tcPr>
            <w:tcW w:w="1180" w:type="dxa"/>
            <w:tcBorders>
              <w:top w:val="nil"/>
              <w:left w:val="single" w:sz="4" w:space="0" w:color="auto"/>
              <w:bottom w:val="single" w:sz="4" w:space="0" w:color="auto"/>
              <w:right w:val="single" w:sz="4" w:space="0" w:color="auto"/>
            </w:tcBorders>
            <w:vAlign w:val="center"/>
          </w:tcPr>
          <w:p w14:paraId="57DF9FE0" w14:textId="77777777" w:rsidR="000D6D4B" w:rsidRDefault="007210B4" w:rsidP="000D6D4B">
            <w:pPr>
              <w:jc w:val="center"/>
              <w:rPr>
                <w:rFonts w:ascii="Arial" w:hAnsi="Arial" w:cs="Arial"/>
                <w:i/>
                <w:iCs/>
                <w:color w:val="000000"/>
                <w:sz w:val="16"/>
                <w:szCs w:val="16"/>
              </w:rPr>
            </w:pPr>
            <w:r>
              <w:rPr>
                <w:rFonts w:ascii="Arial" w:hAnsi="Arial" w:cs="Arial"/>
                <w:i/>
                <w:iCs/>
                <w:color w:val="000000"/>
                <w:sz w:val="16"/>
                <w:szCs w:val="16"/>
              </w:rPr>
              <w:t>0,5 (0,1;0,9)</w:t>
            </w:r>
          </w:p>
        </w:tc>
        <w:tc>
          <w:tcPr>
            <w:tcW w:w="1171" w:type="dxa"/>
            <w:tcBorders>
              <w:top w:val="nil"/>
              <w:left w:val="nil"/>
              <w:bottom w:val="single" w:sz="4" w:space="0" w:color="auto"/>
              <w:right w:val="single" w:sz="4" w:space="0" w:color="auto"/>
            </w:tcBorders>
            <w:vAlign w:val="center"/>
          </w:tcPr>
          <w:p w14:paraId="39053E8D" w14:textId="77777777" w:rsidR="000D6D4B" w:rsidRDefault="007210B4" w:rsidP="000D6D4B">
            <w:pPr>
              <w:jc w:val="center"/>
              <w:rPr>
                <w:rFonts w:ascii="Arial" w:hAnsi="Arial" w:cs="Arial"/>
                <w:i/>
                <w:iCs/>
                <w:color w:val="000000"/>
                <w:sz w:val="16"/>
                <w:szCs w:val="16"/>
              </w:rPr>
            </w:pPr>
            <w:r>
              <w:rPr>
                <w:rFonts w:ascii="Arial" w:hAnsi="Arial" w:cs="Arial"/>
                <w:i/>
                <w:iCs/>
                <w:color w:val="000000"/>
                <w:sz w:val="16"/>
                <w:szCs w:val="16"/>
              </w:rPr>
              <w:t>P&lt;0,05</w:t>
            </w:r>
          </w:p>
        </w:tc>
        <w:tc>
          <w:tcPr>
            <w:tcW w:w="1434" w:type="dxa"/>
            <w:tcBorders>
              <w:top w:val="nil"/>
              <w:left w:val="nil"/>
              <w:bottom w:val="single" w:sz="4" w:space="0" w:color="auto"/>
              <w:right w:val="single" w:sz="8" w:space="0" w:color="auto"/>
            </w:tcBorders>
            <w:vAlign w:val="center"/>
          </w:tcPr>
          <w:p w14:paraId="193D6976" w14:textId="77777777" w:rsidR="000D6D4B" w:rsidRDefault="007210B4" w:rsidP="000D6D4B">
            <w:pPr>
              <w:rPr>
                <w:rFonts w:ascii="Arial" w:hAnsi="Arial" w:cs="Arial"/>
                <w:i/>
                <w:iCs/>
                <w:color w:val="000000"/>
                <w:sz w:val="16"/>
                <w:szCs w:val="16"/>
              </w:rPr>
            </w:pPr>
            <w:r>
              <w:rPr>
                <w:rFonts w:ascii="Arial" w:hAnsi="Arial" w:cs="Arial"/>
                <w:i/>
                <w:iCs/>
                <w:color w:val="000000"/>
                <w:sz w:val="16"/>
                <w:szCs w:val="16"/>
              </w:rPr>
              <w:t>199 (110;984)</w:t>
            </w:r>
          </w:p>
        </w:tc>
        <w:tc>
          <w:tcPr>
            <w:tcW w:w="146" w:type="dxa"/>
            <w:vAlign w:val="center"/>
          </w:tcPr>
          <w:p w14:paraId="64039D38" w14:textId="77777777" w:rsidR="000D6D4B" w:rsidRDefault="000D6D4B" w:rsidP="000D6D4B">
            <w:pPr>
              <w:rPr>
                <w:sz w:val="20"/>
                <w:szCs w:val="20"/>
              </w:rPr>
            </w:pPr>
          </w:p>
        </w:tc>
      </w:tr>
      <w:tr w:rsidR="00A21704" w14:paraId="37CCC00C" w14:textId="77777777" w:rsidTr="00210F12">
        <w:trPr>
          <w:trHeight w:val="630"/>
        </w:trPr>
        <w:tc>
          <w:tcPr>
            <w:tcW w:w="2423" w:type="dxa"/>
            <w:tcBorders>
              <w:top w:val="nil"/>
              <w:left w:val="single" w:sz="8" w:space="0" w:color="auto"/>
              <w:bottom w:val="single" w:sz="4" w:space="0" w:color="auto"/>
              <w:right w:val="single" w:sz="4" w:space="0" w:color="auto"/>
            </w:tcBorders>
            <w:shd w:val="clear" w:color="auto" w:fill="E7E6E6"/>
            <w:vAlign w:val="center"/>
          </w:tcPr>
          <w:p w14:paraId="727E910A"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Pacientes con EA que condicionan la suspensión del tratamiento</w:t>
            </w:r>
          </w:p>
        </w:tc>
        <w:tc>
          <w:tcPr>
            <w:tcW w:w="1350" w:type="dxa"/>
            <w:tcBorders>
              <w:top w:val="nil"/>
              <w:left w:val="nil"/>
              <w:bottom w:val="single" w:sz="4" w:space="0" w:color="auto"/>
              <w:right w:val="single" w:sz="4" w:space="0" w:color="auto"/>
            </w:tcBorders>
            <w:vAlign w:val="center"/>
          </w:tcPr>
          <w:p w14:paraId="7C8F1B99"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3 (0,3)</w:t>
            </w:r>
          </w:p>
        </w:tc>
        <w:tc>
          <w:tcPr>
            <w:tcW w:w="1176" w:type="dxa"/>
            <w:tcBorders>
              <w:top w:val="nil"/>
              <w:left w:val="nil"/>
              <w:bottom w:val="single" w:sz="4" w:space="0" w:color="auto"/>
              <w:right w:val="nil"/>
            </w:tcBorders>
            <w:vAlign w:val="center"/>
          </w:tcPr>
          <w:p w14:paraId="1922BD3D"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w:t>
            </w:r>
          </w:p>
        </w:tc>
        <w:tc>
          <w:tcPr>
            <w:tcW w:w="1180" w:type="dxa"/>
            <w:tcBorders>
              <w:top w:val="nil"/>
              <w:left w:val="single" w:sz="4" w:space="0" w:color="auto"/>
              <w:bottom w:val="single" w:sz="4" w:space="0" w:color="auto"/>
              <w:right w:val="single" w:sz="4" w:space="0" w:color="auto"/>
            </w:tcBorders>
            <w:vAlign w:val="center"/>
          </w:tcPr>
          <w:p w14:paraId="64C27BFD"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0,3 (0;0,5)</w:t>
            </w:r>
          </w:p>
        </w:tc>
        <w:tc>
          <w:tcPr>
            <w:tcW w:w="1171" w:type="dxa"/>
            <w:tcBorders>
              <w:top w:val="nil"/>
              <w:left w:val="nil"/>
              <w:bottom w:val="single" w:sz="4" w:space="0" w:color="auto"/>
              <w:right w:val="single" w:sz="4" w:space="0" w:color="auto"/>
            </w:tcBorders>
            <w:vAlign w:val="center"/>
          </w:tcPr>
          <w:p w14:paraId="141B86E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tcPr>
          <w:p w14:paraId="7F133EA1"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tcPr>
          <w:p w14:paraId="2056AA37" w14:textId="77777777" w:rsidR="00A21704" w:rsidRDefault="00A21704" w:rsidP="00A21704">
            <w:pPr>
              <w:rPr>
                <w:sz w:val="20"/>
                <w:szCs w:val="20"/>
              </w:rPr>
            </w:pPr>
          </w:p>
        </w:tc>
      </w:tr>
      <w:tr w:rsidR="00A21704" w14:paraId="48D6270B" w14:textId="77777777" w:rsidTr="000D6D4B">
        <w:trPr>
          <w:trHeight w:val="630"/>
        </w:trPr>
        <w:tc>
          <w:tcPr>
            <w:tcW w:w="2423" w:type="dxa"/>
            <w:tcBorders>
              <w:top w:val="nil"/>
              <w:left w:val="single" w:sz="8" w:space="0" w:color="auto"/>
              <w:bottom w:val="single" w:sz="4" w:space="0" w:color="auto"/>
              <w:right w:val="single" w:sz="4" w:space="0" w:color="auto"/>
            </w:tcBorders>
            <w:vAlign w:val="center"/>
            <w:hideMark/>
          </w:tcPr>
          <w:p w14:paraId="44F04B73"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Trastornos del sistema sanguíneo y linfático</w:t>
            </w:r>
          </w:p>
        </w:tc>
        <w:tc>
          <w:tcPr>
            <w:tcW w:w="1350" w:type="dxa"/>
            <w:tcBorders>
              <w:top w:val="nil"/>
              <w:left w:val="nil"/>
              <w:bottom w:val="single" w:sz="4" w:space="0" w:color="auto"/>
              <w:right w:val="single" w:sz="4" w:space="0" w:color="auto"/>
            </w:tcBorders>
            <w:vAlign w:val="center"/>
            <w:hideMark/>
          </w:tcPr>
          <w:p w14:paraId="518B525E"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19 (1.6)</w:t>
            </w:r>
          </w:p>
        </w:tc>
        <w:tc>
          <w:tcPr>
            <w:tcW w:w="1176" w:type="dxa"/>
            <w:tcBorders>
              <w:top w:val="nil"/>
              <w:left w:val="nil"/>
              <w:bottom w:val="single" w:sz="4" w:space="0" w:color="auto"/>
              <w:right w:val="nil"/>
            </w:tcBorders>
            <w:vAlign w:val="center"/>
            <w:hideMark/>
          </w:tcPr>
          <w:p w14:paraId="68E3C6F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9 (1,4)</w:t>
            </w:r>
          </w:p>
        </w:tc>
        <w:tc>
          <w:tcPr>
            <w:tcW w:w="1180" w:type="dxa"/>
            <w:tcBorders>
              <w:top w:val="nil"/>
              <w:left w:val="single" w:sz="4" w:space="0" w:color="auto"/>
              <w:bottom w:val="single" w:sz="4" w:space="0" w:color="auto"/>
              <w:right w:val="single" w:sz="4" w:space="0" w:color="auto"/>
            </w:tcBorders>
            <w:vAlign w:val="center"/>
            <w:hideMark/>
          </w:tcPr>
          <w:p w14:paraId="05543A36"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0,19 (-1,1)</w:t>
            </w:r>
          </w:p>
        </w:tc>
        <w:tc>
          <w:tcPr>
            <w:tcW w:w="1171" w:type="dxa"/>
            <w:tcBorders>
              <w:top w:val="nil"/>
              <w:left w:val="nil"/>
              <w:bottom w:val="single" w:sz="4" w:space="0" w:color="auto"/>
              <w:right w:val="single" w:sz="4" w:space="0" w:color="auto"/>
            </w:tcBorders>
            <w:vAlign w:val="center"/>
            <w:hideMark/>
          </w:tcPr>
          <w:p w14:paraId="0B49EC9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2E06B89F"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2E57C16" w14:textId="77777777" w:rsidR="00A21704" w:rsidRDefault="00A21704" w:rsidP="00A21704">
            <w:pPr>
              <w:rPr>
                <w:sz w:val="20"/>
                <w:szCs w:val="20"/>
              </w:rPr>
            </w:pPr>
          </w:p>
        </w:tc>
      </w:tr>
      <w:tr w:rsidR="00A21704" w14:paraId="6097907E"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5AA49CAC"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Trastornos oculares</w:t>
            </w:r>
          </w:p>
        </w:tc>
        <w:tc>
          <w:tcPr>
            <w:tcW w:w="1350" w:type="dxa"/>
            <w:tcBorders>
              <w:top w:val="nil"/>
              <w:left w:val="nil"/>
              <w:bottom w:val="single" w:sz="4" w:space="0" w:color="auto"/>
              <w:right w:val="single" w:sz="4" w:space="0" w:color="auto"/>
            </w:tcBorders>
            <w:vAlign w:val="center"/>
            <w:hideMark/>
          </w:tcPr>
          <w:p w14:paraId="781B5DD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29 (2.4)</w:t>
            </w:r>
          </w:p>
        </w:tc>
        <w:tc>
          <w:tcPr>
            <w:tcW w:w="1176" w:type="dxa"/>
            <w:tcBorders>
              <w:top w:val="nil"/>
              <w:left w:val="nil"/>
              <w:bottom w:val="single" w:sz="4" w:space="0" w:color="auto"/>
              <w:right w:val="nil"/>
            </w:tcBorders>
            <w:vAlign w:val="center"/>
            <w:hideMark/>
          </w:tcPr>
          <w:p w14:paraId="4CEC7F9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15 (2,3)</w:t>
            </w:r>
          </w:p>
        </w:tc>
        <w:tc>
          <w:tcPr>
            <w:tcW w:w="1180" w:type="dxa"/>
            <w:tcBorders>
              <w:top w:val="nil"/>
              <w:left w:val="single" w:sz="4" w:space="0" w:color="auto"/>
              <w:bottom w:val="single" w:sz="4" w:space="0" w:color="auto"/>
              <w:right w:val="single" w:sz="4" w:space="0" w:color="auto"/>
            </w:tcBorders>
            <w:vAlign w:val="center"/>
            <w:hideMark/>
          </w:tcPr>
          <w:p w14:paraId="27E68B7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0,1 (-1;1)</w:t>
            </w:r>
          </w:p>
        </w:tc>
        <w:tc>
          <w:tcPr>
            <w:tcW w:w="1171" w:type="dxa"/>
            <w:tcBorders>
              <w:top w:val="nil"/>
              <w:left w:val="nil"/>
              <w:bottom w:val="single" w:sz="4" w:space="0" w:color="auto"/>
              <w:right w:val="single" w:sz="4" w:space="0" w:color="auto"/>
            </w:tcBorders>
            <w:vAlign w:val="center"/>
            <w:hideMark/>
          </w:tcPr>
          <w:p w14:paraId="5280E0A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3537DFCE"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3B91B9F4" w14:textId="77777777" w:rsidR="00A21704" w:rsidRDefault="00A21704" w:rsidP="00A21704">
            <w:pPr>
              <w:rPr>
                <w:sz w:val="20"/>
                <w:szCs w:val="20"/>
              </w:rPr>
            </w:pPr>
          </w:p>
        </w:tc>
      </w:tr>
      <w:tr w:rsidR="00A21704" w14:paraId="6A255137" w14:textId="77777777" w:rsidTr="000D6D4B">
        <w:trPr>
          <w:trHeight w:val="420"/>
        </w:trPr>
        <w:tc>
          <w:tcPr>
            <w:tcW w:w="2423" w:type="dxa"/>
            <w:tcBorders>
              <w:top w:val="nil"/>
              <w:left w:val="single" w:sz="8" w:space="0" w:color="auto"/>
              <w:bottom w:val="single" w:sz="4" w:space="0" w:color="auto"/>
              <w:right w:val="single" w:sz="4" w:space="0" w:color="auto"/>
            </w:tcBorders>
            <w:vAlign w:val="center"/>
            <w:hideMark/>
          </w:tcPr>
          <w:p w14:paraId="318F1D39"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Trastornos gastrointestinales</w:t>
            </w:r>
          </w:p>
        </w:tc>
        <w:tc>
          <w:tcPr>
            <w:tcW w:w="1350" w:type="dxa"/>
            <w:tcBorders>
              <w:top w:val="nil"/>
              <w:left w:val="nil"/>
              <w:bottom w:val="single" w:sz="4" w:space="0" w:color="auto"/>
              <w:right w:val="single" w:sz="4" w:space="0" w:color="auto"/>
            </w:tcBorders>
            <w:vAlign w:val="center"/>
            <w:hideMark/>
          </w:tcPr>
          <w:p w14:paraId="5A60D95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62 (5,2)</w:t>
            </w:r>
          </w:p>
        </w:tc>
        <w:tc>
          <w:tcPr>
            <w:tcW w:w="1176" w:type="dxa"/>
            <w:tcBorders>
              <w:top w:val="nil"/>
              <w:left w:val="nil"/>
              <w:bottom w:val="single" w:sz="4" w:space="0" w:color="auto"/>
              <w:right w:val="nil"/>
            </w:tcBorders>
            <w:vAlign w:val="center"/>
            <w:hideMark/>
          </w:tcPr>
          <w:p w14:paraId="507DC87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40 (6,3)</w:t>
            </w:r>
          </w:p>
        </w:tc>
        <w:tc>
          <w:tcPr>
            <w:tcW w:w="1180" w:type="dxa"/>
            <w:tcBorders>
              <w:top w:val="nil"/>
              <w:left w:val="single" w:sz="4" w:space="0" w:color="auto"/>
              <w:bottom w:val="single" w:sz="4" w:space="0" w:color="auto"/>
              <w:right w:val="single" w:sz="4" w:space="0" w:color="auto"/>
            </w:tcBorders>
            <w:vAlign w:val="center"/>
            <w:hideMark/>
          </w:tcPr>
          <w:p w14:paraId="047FBD52"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 xml:space="preserve"> 1 (-3;1)</w:t>
            </w:r>
          </w:p>
        </w:tc>
        <w:tc>
          <w:tcPr>
            <w:tcW w:w="1171" w:type="dxa"/>
            <w:tcBorders>
              <w:top w:val="nil"/>
              <w:left w:val="nil"/>
              <w:bottom w:val="single" w:sz="4" w:space="0" w:color="auto"/>
              <w:right w:val="single" w:sz="4" w:space="0" w:color="auto"/>
            </w:tcBorders>
            <w:vAlign w:val="center"/>
            <w:hideMark/>
          </w:tcPr>
          <w:p w14:paraId="338EA897"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02E66C5F"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CD81EE0" w14:textId="77777777" w:rsidR="00A21704" w:rsidRDefault="00A21704" w:rsidP="00A21704">
            <w:pPr>
              <w:rPr>
                <w:sz w:val="20"/>
                <w:szCs w:val="20"/>
              </w:rPr>
            </w:pPr>
          </w:p>
        </w:tc>
      </w:tr>
      <w:tr w:rsidR="00A21704" w14:paraId="14F49F69"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34A993A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Diarrea</w:t>
            </w:r>
          </w:p>
        </w:tc>
        <w:tc>
          <w:tcPr>
            <w:tcW w:w="1350" w:type="dxa"/>
            <w:tcBorders>
              <w:top w:val="nil"/>
              <w:left w:val="nil"/>
              <w:bottom w:val="single" w:sz="4" w:space="0" w:color="auto"/>
              <w:right w:val="single" w:sz="4" w:space="0" w:color="auto"/>
            </w:tcBorders>
            <w:vAlign w:val="center"/>
            <w:hideMark/>
          </w:tcPr>
          <w:p w14:paraId="6892645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19 (1.6)</w:t>
            </w:r>
          </w:p>
        </w:tc>
        <w:tc>
          <w:tcPr>
            <w:tcW w:w="1176" w:type="dxa"/>
            <w:tcBorders>
              <w:top w:val="nil"/>
              <w:left w:val="nil"/>
              <w:bottom w:val="single" w:sz="4" w:space="0" w:color="auto"/>
              <w:right w:val="nil"/>
            </w:tcBorders>
            <w:vAlign w:val="center"/>
            <w:hideMark/>
          </w:tcPr>
          <w:p w14:paraId="5320C61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12 (1,9)</w:t>
            </w:r>
          </w:p>
        </w:tc>
        <w:tc>
          <w:tcPr>
            <w:tcW w:w="1180" w:type="dxa"/>
            <w:tcBorders>
              <w:top w:val="nil"/>
              <w:left w:val="single" w:sz="4" w:space="0" w:color="auto"/>
              <w:bottom w:val="single" w:sz="4" w:space="0" w:color="auto"/>
              <w:right w:val="single" w:sz="4" w:space="0" w:color="auto"/>
            </w:tcBorders>
            <w:vAlign w:val="center"/>
            <w:hideMark/>
          </w:tcPr>
          <w:p w14:paraId="2B5CEBD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0,3 (-1;1)</w:t>
            </w:r>
          </w:p>
        </w:tc>
        <w:tc>
          <w:tcPr>
            <w:tcW w:w="1171" w:type="dxa"/>
            <w:tcBorders>
              <w:top w:val="nil"/>
              <w:left w:val="nil"/>
              <w:bottom w:val="single" w:sz="4" w:space="0" w:color="auto"/>
              <w:right w:val="single" w:sz="4" w:space="0" w:color="auto"/>
            </w:tcBorders>
            <w:vAlign w:val="center"/>
            <w:hideMark/>
          </w:tcPr>
          <w:p w14:paraId="26D0CF3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33A9E2E5"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17723F57" w14:textId="77777777" w:rsidR="00A21704" w:rsidRDefault="00A21704" w:rsidP="00A21704">
            <w:pPr>
              <w:rPr>
                <w:sz w:val="20"/>
                <w:szCs w:val="20"/>
              </w:rPr>
            </w:pPr>
          </w:p>
        </w:tc>
      </w:tr>
      <w:tr w:rsidR="00A21704" w14:paraId="48448AD8"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0794387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Nausea</w:t>
            </w:r>
          </w:p>
        </w:tc>
        <w:tc>
          <w:tcPr>
            <w:tcW w:w="1350" w:type="dxa"/>
            <w:tcBorders>
              <w:top w:val="nil"/>
              <w:left w:val="nil"/>
              <w:bottom w:val="single" w:sz="4" w:space="0" w:color="auto"/>
              <w:right w:val="single" w:sz="4" w:space="0" w:color="auto"/>
            </w:tcBorders>
            <w:vAlign w:val="center"/>
            <w:hideMark/>
          </w:tcPr>
          <w:p w14:paraId="5C47055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14 (1.2)</w:t>
            </w:r>
          </w:p>
        </w:tc>
        <w:tc>
          <w:tcPr>
            <w:tcW w:w="1176" w:type="dxa"/>
            <w:tcBorders>
              <w:top w:val="nil"/>
              <w:left w:val="nil"/>
              <w:bottom w:val="single" w:sz="4" w:space="0" w:color="auto"/>
              <w:right w:val="nil"/>
            </w:tcBorders>
            <w:vAlign w:val="center"/>
            <w:hideMark/>
          </w:tcPr>
          <w:p w14:paraId="2BA4F23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6 (0,9)</w:t>
            </w:r>
          </w:p>
        </w:tc>
        <w:tc>
          <w:tcPr>
            <w:tcW w:w="1180" w:type="dxa"/>
            <w:tcBorders>
              <w:top w:val="nil"/>
              <w:left w:val="single" w:sz="4" w:space="0" w:color="auto"/>
              <w:bottom w:val="single" w:sz="4" w:space="0" w:color="auto"/>
              <w:right w:val="single" w:sz="4" w:space="0" w:color="auto"/>
            </w:tcBorders>
            <w:vAlign w:val="center"/>
            <w:hideMark/>
          </w:tcPr>
          <w:p w14:paraId="71EBE08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0,24 (-1;1)</w:t>
            </w:r>
          </w:p>
        </w:tc>
        <w:tc>
          <w:tcPr>
            <w:tcW w:w="1171" w:type="dxa"/>
            <w:tcBorders>
              <w:top w:val="nil"/>
              <w:left w:val="nil"/>
              <w:bottom w:val="single" w:sz="4" w:space="0" w:color="auto"/>
              <w:right w:val="single" w:sz="4" w:space="0" w:color="auto"/>
            </w:tcBorders>
            <w:vAlign w:val="center"/>
            <w:hideMark/>
          </w:tcPr>
          <w:p w14:paraId="01113A4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0CF5F8FC"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35D95B1" w14:textId="77777777" w:rsidR="00A21704" w:rsidRDefault="00A21704" w:rsidP="00A21704">
            <w:pPr>
              <w:rPr>
                <w:sz w:val="20"/>
                <w:szCs w:val="20"/>
              </w:rPr>
            </w:pPr>
          </w:p>
        </w:tc>
      </w:tr>
      <w:tr w:rsidR="00A21704" w14:paraId="28207159" w14:textId="77777777" w:rsidTr="000D6D4B">
        <w:trPr>
          <w:trHeight w:val="1485"/>
        </w:trPr>
        <w:tc>
          <w:tcPr>
            <w:tcW w:w="2423" w:type="dxa"/>
            <w:tcBorders>
              <w:top w:val="nil"/>
              <w:left w:val="single" w:sz="8" w:space="0" w:color="auto"/>
              <w:bottom w:val="single" w:sz="4" w:space="0" w:color="auto"/>
              <w:right w:val="single" w:sz="4" w:space="0" w:color="auto"/>
            </w:tcBorders>
            <w:vAlign w:val="center"/>
            <w:hideMark/>
          </w:tcPr>
          <w:p w14:paraId="088F530B"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Trastornos generales  tras administración (fiebre, fatiga, dolor en lugar de inyección)</w:t>
            </w:r>
          </w:p>
        </w:tc>
        <w:tc>
          <w:tcPr>
            <w:tcW w:w="1350" w:type="dxa"/>
            <w:tcBorders>
              <w:top w:val="nil"/>
              <w:left w:val="nil"/>
              <w:bottom w:val="single" w:sz="4" w:space="0" w:color="auto"/>
              <w:right w:val="single" w:sz="4" w:space="0" w:color="auto"/>
            </w:tcBorders>
            <w:vAlign w:val="center"/>
            <w:hideMark/>
          </w:tcPr>
          <w:p w14:paraId="7D7186E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78 (6,5)</w:t>
            </w:r>
          </w:p>
        </w:tc>
        <w:tc>
          <w:tcPr>
            <w:tcW w:w="1176" w:type="dxa"/>
            <w:tcBorders>
              <w:top w:val="nil"/>
              <w:left w:val="nil"/>
              <w:bottom w:val="single" w:sz="4" w:space="0" w:color="auto"/>
              <w:right w:val="nil"/>
            </w:tcBorders>
            <w:vAlign w:val="center"/>
            <w:hideMark/>
          </w:tcPr>
          <w:p w14:paraId="0751A88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28 (4,4)</w:t>
            </w:r>
          </w:p>
        </w:tc>
        <w:tc>
          <w:tcPr>
            <w:tcW w:w="1180" w:type="dxa"/>
            <w:tcBorders>
              <w:top w:val="nil"/>
              <w:left w:val="single" w:sz="4" w:space="0" w:color="auto"/>
              <w:bottom w:val="single" w:sz="4" w:space="0" w:color="auto"/>
              <w:right w:val="single" w:sz="4" w:space="0" w:color="auto"/>
            </w:tcBorders>
            <w:vAlign w:val="center"/>
            <w:hideMark/>
          </w:tcPr>
          <w:p w14:paraId="62BA5379"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 (0,05;4)</w:t>
            </w:r>
          </w:p>
        </w:tc>
        <w:tc>
          <w:tcPr>
            <w:tcW w:w="1171" w:type="dxa"/>
            <w:tcBorders>
              <w:top w:val="nil"/>
              <w:left w:val="nil"/>
              <w:bottom w:val="single" w:sz="4" w:space="0" w:color="auto"/>
              <w:right w:val="single" w:sz="4" w:space="0" w:color="auto"/>
            </w:tcBorders>
            <w:shd w:val="clear" w:color="000000" w:fill="FFF2CC"/>
            <w:vAlign w:val="center"/>
            <w:hideMark/>
          </w:tcPr>
          <w:p w14:paraId="21213767"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p&lt;0,05</w:t>
            </w:r>
          </w:p>
        </w:tc>
        <w:tc>
          <w:tcPr>
            <w:tcW w:w="1434" w:type="dxa"/>
            <w:tcBorders>
              <w:top w:val="nil"/>
              <w:left w:val="nil"/>
              <w:bottom w:val="single" w:sz="4" w:space="0" w:color="auto"/>
              <w:right w:val="single" w:sz="8" w:space="0" w:color="auto"/>
            </w:tcBorders>
            <w:vAlign w:val="center"/>
            <w:hideMark/>
          </w:tcPr>
          <w:p w14:paraId="12573A38"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46 ( -24 a 1940)</w:t>
            </w:r>
          </w:p>
        </w:tc>
        <w:tc>
          <w:tcPr>
            <w:tcW w:w="146" w:type="dxa"/>
            <w:vAlign w:val="center"/>
            <w:hideMark/>
          </w:tcPr>
          <w:p w14:paraId="37613AFB" w14:textId="77777777" w:rsidR="00A21704" w:rsidRDefault="00A21704" w:rsidP="00A21704">
            <w:pPr>
              <w:rPr>
                <w:sz w:val="20"/>
                <w:szCs w:val="20"/>
              </w:rPr>
            </w:pPr>
          </w:p>
        </w:tc>
      </w:tr>
      <w:tr w:rsidR="00A21704" w14:paraId="1F3505E2"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7FA925B7"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Infecciones</w:t>
            </w:r>
          </w:p>
        </w:tc>
        <w:tc>
          <w:tcPr>
            <w:tcW w:w="1350" w:type="dxa"/>
            <w:tcBorders>
              <w:top w:val="nil"/>
              <w:left w:val="nil"/>
              <w:bottom w:val="single" w:sz="4" w:space="0" w:color="auto"/>
              <w:right w:val="single" w:sz="4" w:space="0" w:color="auto"/>
            </w:tcBorders>
            <w:vAlign w:val="center"/>
            <w:hideMark/>
          </w:tcPr>
          <w:p w14:paraId="1718DB2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232 (19,5)</w:t>
            </w:r>
          </w:p>
        </w:tc>
        <w:tc>
          <w:tcPr>
            <w:tcW w:w="1176" w:type="dxa"/>
            <w:tcBorders>
              <w:top w:val="nil"/>
              <w:left w:val="nil"/>
              <w:bottom w:val="single" w:sz="4" w:space="0" w:color="auto"/>
              <w:right w:val="nil"/>
            </w:tcBorders>
            <w:vAlign w:val="center"/>
            <w:hideMark/>
          </w:tcPr>
          <w:p w14:paraId="2F9B98B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144 (22,5)</w:t>
            </w:r>
          </w:p>
        </w:tc>
        <w:tc>
          <w:tcPr>
            <w:tcW w:w="1180" w:type="dxa"/>
            <w:tcBorders>
              <w:top w:val="nil"/>
              <w:left w:val="single" w:sz="4" w:space="0" w:color="auto"/>
              <w:bottom w:val="single" w:sz="4" w:space="0" w:color="auto"/>
              <w:right w:val="nil"/>
            </w:tcBorders>
            <w:vAlign w:val="center"/>
            <w:hideMark/>
          </w:tcPr>
          <w:p w14:paraId="7F3E9DDC"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-3 (-7;1)</w:t>
            </w:r>
          </w:p>
        </w:tc>
        <w:tc>
          <w:tcPr>
            <w:tcW w:w="1171" w:type="dxa"/>
            <w:tcBorders>
              <w:top w:val="nil"/>
              <w:left w:val="single" w:sz="4" w:space="0" w:color="auto"/>
              <w:bottom w:val="single" w:sz="4" w:space="0" w:color="auto"/>
              <w:right w:val="single" w:sz="4" w:space="0" w:color="auto"/>
            </w:tcBorders>
            <w:vAlign w:val="center"/>
            <w:hideMark/>
          </w:tcPr>
          <w:p w14:paraId="203B0B04"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1422694E"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072E8871" w14:textId="77777777" w:rsidR="00A21704" w:rsidRDefault="00A21704" w:rsidP="00A21704">
            <w:pPr>
              <w:rPr>
                <w:sz w:val="20"/>
                <w:szCs w:val="20"/>
              </w:rPr>
            </w:pPr>
          </w:p>
        </w:tc>
      </w:tr>
      <w:tr w:rsidR="00A21704" w14:paraId="6AB7A3DC"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502F76B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Nasofaringitis</w:t>
            </w:r>
          </w:p>
        </w:tc>
        <w:tc>
          <w:tcPr>
            <w:tcW w:w="1350" w:type="dxa"/>
            <w:tcBorders>
              <w:top w:val="nil"/>
              <w:left w:val="nil"/>
              <w:bottom w:val="single" w:sz="4" w:space="0" w:color="auto"/>
              <w:right w:val="single" w:sz="4" w:space="0" w:color="auto"/>
            </w:tcBorders>
            <w:vAlign w:val="center"/>
            <w:hideMark/>
          </w:tcPr>
          <w:p w14:paraId="47EAD6A6"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42 (3,5)</w:t>
            </w:r>
          </w:p>
        </w:tc>
        <w:tc>
          <w:tcPr>
            <w:tcW w:w="1176" w:type="dxa"/>
            <w:tcBorders>
              <w:top w:val="nil"/>
              <w:left w:val="nil"/>
              <w:bottom w:val="single" w:sz="4" w:space="0" w:color="auto"/>
              <w:right w:val="nil"/>
            </w:tcBorders>
            <w:vAlign w:val="center"/>
            <w:hideMark/>
          </w:tcPr>
          <w:p w14:paraId="17397BA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31 (4,8)</w:t>
            </w:r>
          </w:p>
        </w:tc>
        <w:tc>
          <w:tcPr>
            <w:tcW w:w="1180" w:type="dxa"/>
            <w:tcBorders>
              <w:top w:val="nil"/>
              <w:left w:val="single" w:sz="4" w:space="0" w:color="auto"/>
              <w:bottom w:val="single" w:sz="4" w:space="0" w:color="auto"/>
              <w:right w:val="nil"/>
            </w:tcBorders>
            <w:vAlign w:val="center"/>
            <w:hideMark/>
          </w:tcPr>
          <w:p w14:paraId="134A0F0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 (-3;1)</w:t>
            </w:r>
          </w:p>
        </w:tc>
        <w:tc>
          <w:tcPr>
            <w:tcW w:w="1171" w:type="dxa"/>
            <w:tcBorders>
              <w:top w:val="nil"/>
              <w:left w:val="single" w:sz="4" w:space="0" w:color="auto"/>
              <w:bottom w:val="single" w:sz="4" w:space="0" w:color="auto"/>
              <w:right w:val="single" w:sz="4" w:space="0" w:color="auto"/>
            </w:tcBorders>
            <w:vAlign w:val="center"/>
            <w:hideMark/>
          </w:tcPr>
          <w:p w14:paraId="1B2FA3C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0DAB35DB"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7C3DD23F" w14:textId="77777777" w:rsidR="00A21704" w:rsidRDefault="00A21704" w:rsidP="00A21704">
            <w:pPr>
              <w:rPr>
                <w:sz w:val="20"/>
                <w:szCs w:val="20"/>
              </w:rPr>
            </w:pPr>
          </w:p>
        </w:tc>
      </w:tr>
      <w:tr w:rsidR="00A21704" w14:paraId="30033D7D" w14:textId="77777777" w:rsidTr="000D6D4B">
        <w:trPr>
          <w:trHeight w:val="450"/>
        </w:trPr>
        <w:tc>
          <w:tcPr>
            <w:tcW w:w="2423" w:type="dxa"/>
            <w:tcBorders>
              <w:top w:val="nil"/>
              <w:left w:val="single" w:sz="8" w:space="0" w:color="auto"/>
              <w:bottom w:val="single" w:sz="4" w:space="0" w:color="auto"/>
              <w:right w:val="single" w:sz="4" w:space="0" w:color="auto"/>
            </w:tcBorders>
            <w:vAlign w:val="center"/>
            <w:hideMark/>
          </w:tcPr>
          <w:p w14:paraId="22161B32"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Infección vías respiratorias altas</w:t>
            </w:r>
          </w:p>
        </w:tc>
        <w:tc>
          <w:tcPr>
            <w:tcW w:w="1350" w:type="dxa"/>
            <w:tcBorders>
              <w:top w:val="nil"/>
              <w:left w:val="nil"/>
              <w:bottom w:val="single" w:sz="4" w:space="0" w:color="auto"/>
              <w:right w:val="single" w:sz="4" w:space="0" w:color="auto"/>
            </w:tcBorders>
            <w:vAlign w:val="center"/>
            <w:hideMark/>
          </w:tcPr>
          <w:p w14:paraId="451E12B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20 (1,7)</w:t>
            </w:r>
          </w:p>
        </w:tc>
        <w:tc>
          <w:tcPr>
            <w:tcW w:w="1176" w:type="dxa"/>
            <w:tcBorders>
              <w:top w:val="nil"/>
              <w:left w:val="nil"/>
              <w:bottom w:val="single" w:sz="4" w:space="0" w:color="auto"/>
              <w:right w:val="single" w:sz="4" w:space="0" w:color="auto"/>
            </w:tcBorders>
            <w:vAlign w:val="center"/>
            <w:hideMark/>
          </w:tcPr>
          <w:p w14:paraId="2DC0261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20 (3,1)</w:t>
            </w:r>
          </w:p>
        </w:tc>
        <w:tc>
          <w:tcPr>
            <w:tcW w:w="1180" w:type="dxa"/>
            <w:tcBorders>
              <w:top w:val="nil"/>
              <w:left w:val="nil"/>
              <w:bottom w:val="single" w:sz="4" w:space="0" w:color="auto"/>
              <w:right w:val="nil"/>
            </w:tcBorders>
            <w:vAlign w:val="center"/>
            <w:hideMark/>
          </w:tcPr>
          <w:p w14:paraId="3F81D14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-1,5 (-3;0,1)</w:t>
            </w:r>
          </w:p>
        </w:tc>
        <w:tc>
          <w:tcPr>
            <w:tcW w:w="1171" w:type="dxa"/>
            <w:tcBorders>
              <w:top w:val="nil"/>
              <w:left w:val="single" w:sz="4" w:space="0" w:color="auto"/>
              <w:bottom w:val="single" w:sz="4" w:space="0" w:color="auto"/>
              <w:right w:val="single" w:sz="4" w:space="0" w:color="auto"/>
            </w:tcBorders>
            <w:vAlign w:val="center"/>
            <w:hideMark/>
          </w:tcPr>
          <w:p w14:paraId="7246DFA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23FF9085"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1E57F94A" w14:textId="77777777" w:rsidR="00A21704" w:rsidRDefault="00A21704" w:rsidP="00A21704">
            <w:pPr>
              <w:rPr>
                <w:sz w:val="20"/>
                <w:szCs w:val="20"/>
              </w:rPr>
            </w:pPr>
          </w:p>
        </w:tc>
      </w:tr>
      <w:tr w:rsidR="00A21704" w14:paraId="2774CC57"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075AA15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COVID-19</w:t>
            </w:r>
          </w:p>
        </w:tc>
        <w:tc>
          <w:tcPr>
            <w:tcW w:w="1350" w:type="dxa"/>
            <w:tcBorders>
              <w:top w:val="nil"/>
              <w:left w:val="nil"/>
              <w:bottom w:val="single" w:sz="4" w:space="0" w:color="auto"/>
              <w:right w:val="single" w:sz="4" w:space="0" w:color="auto"/>
            </w:tcBorders>
            <w:vAlign w:val="center"/>
            <w:hideMark/>
          </w:tcPr>
          <w:p w14:paraId="3AEBE0D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24 (2.0)</w:t>
            </w:r>
          </w:p>
        </w:tc>
        <w:tc>
          <w:tcPr>
            <w:tcW w:w="1176" w:type="dxa"/>
            <w:tcBorders>
              <w:top w:val="nil"/>
              <w:left w:val="nil"/>
              <w:bottom w:val="single" w:sz="4" w:space="0" w:color="auto"/>
              <w:right w:val="single" w:sz="4" w:space="0" w:color="auto"/>
            </w:tcBorders>
            <w:vAlign w:val="center"/>
            <w:hideMark/>
          </w:tcPr>
          <w:p w14:paraId="061D835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14 (2,2)</w:t>
            </w:r>
          </w:p>
        </w:tc>
        <w:tc>
          <w:tcPr>
            <w:tcW w:w="1180" w:type="dxa"/>
            <w:tcBorders>
              <w:top w:val="nil"/>
              <w:left w:val="nil"/>
              <w:bottom w:val="nil"/>
              <w:right w:val="nil"/>
            </w:tcBorders>
            <w:vAlign w:val="center"/>
            <w:hideMark/>
          </w:tcPr>
          <w:p w14:paraId="3544049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-0,17 (-1;1)</w:t>
            </w:r>
          </w:p>
        </w:tc>
        <w:tc>
          <w:tcPr>
            <w:tcW w:w="1171" w:type="dxa"/>
            <w:tcBorders>
              <w:top w:val="nil"/>
              <w:left w:val="single" w:sz="4" w:space="0" w:color="auto"/>
              <w:bottom w:val="single" w:sz="4" w:space="0" w:color="auto"/>
              <w:right w:val="single" w:sz="4" w:space="0" w:color="auto"/>
            </w:tcBorders>
            <w:vAlign w:val="center"/>
            <w:hideMark/>
          </w:tcPr>
          <w:p w14:paraId="0D70A48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3564345F"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6039E0E0" w14:textId="77777777" w:rsidR="00A21704" w:rsidRDefault="00A21704" w:rsidP="00A21704">
            <w:pPr>
              <w:rPr>
                <w:sz w:val="20"/>
                <w:szCs w:val="20"/>
              </w:rPr>
            </w:pPr>
          </w:p>
        </w:tc>
      </w:tr>
      <w:tr w:rsidR="00A21704" w14:paraId="068570FC" w14:textId="77777777" w:rsidTr="000D6D4B">
        <w:trPr>
          <w:trHeight w:val="450"/>
        </w:trPr>
        <w:tc>
          <w:tcPr>
            <w:tcW w:w="2423" w:type="dxa"/>
            <w:tcBorders>
              <w:top w:val="nil"/>
              <w:left w:val="single" w:sz="8" w:space="0" w:color="auto"/>
              <w:bottom w:val="single" w:sz="4" w:space="0" w:color="auto"/>
              <w:right w:val="single" w:sz="4" w:space="0" w:color="auto"/>
            </w:tcBorders>
            <w:vAlign w:val="center"/>
            <w:hideMark/>
          </w:tcPr>
          <w:p w14:paraId="46CFECB6"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Infecciones tracto urinario</w:t>
            </w:r>
          </w:p>
        </w:tc>
        <w:tc>
          <w:tcPr>
            <w:tcW w:w="1350" w:type="dxa"/>
            <w:tcBorders>
              <w:top w:val="nil"/>
              <w:left w:val="nil"/>
              <w:bottom w:val="single" w:sz="4" w:space="0" w:color="auto"/>
              <w:right w:val="single" w:sz="4" w:space="0" w:color="auto"/>
            </w:tcBorders>
            <w:vAlign w:val="center"/>
            <w:hideMark/>
          </w:tcPr>
          <w:p w14:paraId="31B8EA6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14 (1.2)</w:t>
            </w:r>
          </w:p>
        </w:tc>
        <w:tc>
          <w:tcPr>
            <w:tcW w:w="1176" w:type="dxa"/>
            <w:tcBorders>
              <w:top w:val="nil"/>
              <w:left w:val="nil"/>
              <w:bottom w:val="single" w:sz="4" w:space="0" w:color="auto"/>
              <w:right w:val="single" w:sz="4" w:space="0" w:color="auto"/>
            </w:tcBorders>
            <w:vAlign w:val="center"/>
            <w:hideMark/>
          </w:tcPr>
          <w:p w14:paraId="1E05DEB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7 (1,1)</w:t>
            </w:r>
          </w:p>
        </w:tc>
        <w:tc>
          <w:tcPr>
            <w:tcW w:w="1180" w:type="dxa"/>
            <w:tcBorders>
              <w:top w:val="single" w:sz="4" w:space="0" w:color="auto"/>
              <w:left w:val="nil"/>
              <w:bottom w:val="single" w:sz="4" w:space="0" w:color="auto"/>
              <w:right w:val="single" w:sz="4" w:space="0" w:color="auto"/>
            </w:tcBorders>
            <w:vAlign w:val="center"/>
            <w:hideMark/>
          </w:tcPr>
          <w:p w14:paraId="623DF622"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0,1 (-1;1)</w:t>
            </w:r>
          </w:p>
        </w:tc>
        <w:tc>
          <w:tcPr>
            <w:tcW w:w="1171" w:type="dxa"/>
            <w:tcBorders>
              <w:top w:val="nil"/>
              <w:left w:val="nil"/>
              <w:bottom w:val="single" w:sz="4" w:space="0" w:color="auto"/>
              <w:right w:val="single" w:sz="4" w:space="0" w:color="auto"/>
            </w:tcBorders>
            <w:vAlign w:val="center"/>
            <w:hideMark/>
          </w:tcPr>
          <w:p w14:paraId="7E186684"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0921D2F0"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71A5F3C3" w14:textId="77777777" w:rsidR="00A21704" w:rsidRDefault="00A21704" w:rsidP="00A21704">
            <w:pPr>
              <w:rPr>
                <w:sz w:val="20"/>
                <w:szCs w:val="20"/>
              </w:rPr>
            </w:pPr>
          </w:p>
        </w:tc>
      </w:tr>
      <w:tr w:rsidR="00A21704" w14:paraId="7A113FA3"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484C31D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Sinusitis</w:t>
            </w:r>
          </w:p>
        </w:tc>
        <w:tc>
          <w:tcPr>
            <w:tcW w:w="1350" w:type="dxa"/>
            <w:tcBorders>
              <w:top w:val="nil"/>
              <w:left w:val="nil"/>
              <w:bottom w:val="single" w:sz="4" w:space="0" w:color="auto"/>
              <w:right w:val="single" w:sz="4" w:space="0" w:color="auto"/>
            </w:tcBorders>
            <w:vAlign w:val="center"/>
            <w:hideMark/>
          </w:tcPr>
          <w:p w14:paraId="2E1FD03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12 (1.0)</w:t>
            </w:r>
          </w:p>
        </w:tc>
        <w:tc>
          <w:tcPr>
            <w:tcW w:w="1176" w:type="dxa"/>
            <w:tcBorders>
              <w:top w:val="nil"/>
              <w:left w:val="nil"/>
              <w:bottom w:val="single" w:sz="4" w:space="0" w:color="auto"/>
              <w:right w:val="single" w:sz="4" w:space="0" w:color="auto"/>
            </w:tcBorders>
            <w:vAlign w:val="center"/>
            <w:hideMark/>
          </w:tcPr>
          <w:p w14:paraId="15842ED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5 (0,8)</w:t>
            </w:r>
          </w:p>
        </w:tc>
        <w:tc>
          <w:tcPr>
            <w:tcW w:w="1180" w:type="dxa"/>
            <w:tcBorders>
              <w:top w:val="nil"/>
              <w:left w:val="nil"/>
              <w:bottom w:val="single" w:sz="4" w:space="0" w:color="auto"/>
              <w:right w:val="single" w:sz="4" w:space="0" w:color="auto"/>
            </w:tcBorders>
            <w:vAlign w:val="center"/>
            <w:hideMark/>
          </w:tcPr>
          <w:p w14:paraId="0B05CBE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0,2 (-1;0,6)</w:t>
            </w:r>
          </w:p>
        </w:tc>
        <w:tc>
          <w:tcPr>
            <w:tcW w:w="1171" w:type="dxa"/>
            <w:tcBorders>
              <w:top w:val="nil"/>
              <w:left w:val="nil"/>
              <w:bottom w:val="single" w:sz="4" w:space="0" w:color="auto"/>
              <w:right w:val="single" w:sz="4" w:space="0" w:color="auto"/>
            </w:tcBorders>
            <w:vAlign w:val="center"/>
            <w:hideMark/>
          </w:tcPr>
          <w:p w14:paraId="786CB9B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7E1E2015"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64C1CE39" w14:textId="77777777" w:rsidR="00A21704" w:rsidRDefault="00A21704" w:rsidP="00A21704">
            <w:pPr>
              <w:rPr>
                <w:sz w:val="20"/>
                <w:szCs w:val="20"/>
              </w:rPr>
            </w:pPr>
          </w:p>
        </w:tc>
      </w:tr>
      <w:tr w:rsidR="00A21704" w14:paraId="6CAB8750" w14:textId="77777777" w:rsidTr="000D6D4B">
        <w:trPr>
          <w:trHeight w:val="420"/>
        </w:trPr>
        <w:tc>
          <w:tcPr>
            <w:tcW w:w="2423" w:type="dxa"/>
            <w:tcBorders>
              <w:top w:val="nil"/>
              <w:left w:val="single" w:sz="8" w:space="0" w:color="auto"/>
              <w:bottom w:val="single" w:sz="4" w:space="0" w:color="auto"/>
              <w:right w:val="single" w:sz="4" w:space="0" w:color="auto"/>
            </w:tcBorders>
            <w:vAlign w:val="center"/>
            <w:hideMark/>
          </w:tcPr>
          <w:p w14:paraId="02C355BE"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Alteraciones musculoesqueléticas</w:t>
            </w:r>
          </w:p>
        </w:tc>
        <w:tc>
          <w:tcPr>
            <w:tcW w:w="1350" w:type="dxa"/>
            <w:tcBorders>
              <w:top w:val="nil"/>
              <w:left w:val="nil"/>
              <w:bottom w:val="single" w:sz="4" w:space="0" w:color="auto"/>
              <w:right w:val="single" w:sz="4" w:space="0" w:color="auto"/>
            </w:tcBorders>
            <w:vAlign w:val="center"/>
            <w:hideMark/>
          </w:tcPr>
          <w:p w14:paraId="1ABD018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69 (5,8)</w:t>
            </w:r>
          </w:p>
        </w:tc>
        <w:tc>
          <w:tcPr>
            <w:tcW w:w="1176" w:type="dxa"/>
            <w:tcBorders>
              <w:top w:val="nil"/>
              <w:left w:val="nil"/>
              <w:bottom w:val="single" w:sz="4" w:space="0" w:color="auto"/>
              <w:right w:val="single" w:sz="4" w:space="0" w:color="auto"/>
            </w:tcBorders>
            <w:vAlign w:val="center"/>
            <w:hideMark/>
          </w:tcPr>
          <w:p w14:paraId="5FEFCDDD"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27 (4,2)</w:t>
            </w:r>
          </w:p>
        </w:tc>
        <w:tc>
          <w:tcPr>
            <w:tcW w:w="1180" w:type="dxa"/>
            <w:tcBorders>
              <w:top w:val="nil"/>
              <w:left w:val="nil"/>
              <w:bottom w:val="single" w:sz="4" w:space="0" w:color="auto"/>
              <w:right w:val="single" w:sz="4" w:space="0" w:color="auto"/>
            </w:tcBorders>
            <w:vAlign w:val="center"/>
            <w:hideMark/>
          </w:tcPr>
          <w:p w14:paraId="0DB98EE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 (-0,5;3)</w:t>
            </w:r>
          </w:p>
        </w:tc>
        <w:tc>
          <w:tcPr>
            <w:tcW w:w="1171" w:type="dxa"/>
            <w:tcBorders>
              <w:top w:val="nil"/>
              <w:left w:val="nil"/>
              <w:bottom w:val="single" w:sz="4" w:space="0" w:color="auto"/>
              <w:right w:val="single" w:sz="4" w:space="0" w:color="auto"/>
            </w:tcBorders>
            <w:vAlign w:val="center"/>
            <w:hideMark/>
          </w:tcPr>
          <w:p w14:paraId="22AAD6F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0F053598"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5E5D1B9" w14:textId="77777777" w:rsidR="00A21704" w:rsidRDefault="00A21704" w:rsidP="00A21704">
            <w:pPr>
              <w:rPr>
                <w:sz w:val="20"/>
                <w:szCs w:val="20"/>
              </w:rPr>
            </w:pPr>
          </w:p>
        </w:tc>
      </w:tr>
      <w:tr w:rsidR="00A21704" w14:paraId="28671E63"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0B72F17D"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Dolor lumbar</w:t>
            </w:r>
          </w:p>
        </w:tc>
        <w:tc>
          <w:tcPr>
            <w:tcW w:w="1350" w:type="dxa"/>
            <w:tcBorders>
              <w:top w:val="nil"/>
              <w:left w:val="nil"/>
              <w:bottom w:val="single" w:sz="4" w:space="0" w:color="auto"/>
              <w:right w:val="single" w:sz="4" w:space="0" w:color="auto"/>
            </w:tcBorders>
            <w:vAlign w:val="center"/>
            <w:hideMark/>
          </w:tcPr>
          <w:p w14:paraId="53A711C4"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18 (1.5)</w:t>
            </w:r>
          </w:p>
        </w:tc>
        <w:tc>
          <w:tcPr>
            <w:tcW w:w="1176" w:type="dxa"/>
            <w:tcBorders>
              <w:top w:val="nil"/>
              <w:left w:val="nil"/>
              <w:bottom w:val="single" w:sz="4" w:space="0" w:color="auto"/>
              <w:right w:val="single" w:sz="4" w:space="0" w:color="auto"/>
            </w:tcBorders>
            <w:vAlign w:val="center"/>
            <w:hideMark/>
          </w:tcPr>
          <w:p w14:paraId="4B615F6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9 (1,4)</w:t>
            </w:r>
          </w:p>
        </w:tc>
        <w:tc>
          <w:tcPr>
            <w:tcW w:w="1180" w:type="dxa"/>
            <w:tcBorders>
              <w:top w:val="nil"/>
              <w:left w:val="nil"/>
              <w:bottom w:val="nil"/>
              <w:right w:val="single" w:sz="4" w:space="0" w:color="auto"/>
            </w:tcBorders>
            <w:vAlign w:val="center"/>
            <w:hideMark/>
          </w:tcPr>
          <w:p w14:paraId="7194B12D"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0,1 (-1;1)</w:t>
            </w:r>
          </w:p>
        </w:tc>
        <w:tc>
          <w:tcPr>
            <w:tcW w:w="1171" w:type="dxa"/>
            <w:tcBorders>
              <w:top w:val="nil"/>
              <w:left w:val="nil"/>
              <w:bottom w:val="single" w:sz="4" w:space="0" w:color="auto"/>
              <w:right w:val="single" w:sz="4" w:space="0" w:color="auto"/>
            </w:tcBorders>
            <w:vAlign w:val="center"/>
            <w:hideMark/>
          </w:tcPr>
          <w:p w14:paraId="705DFA3D"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6055EFC4"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BDC2AE9" w14:textId="77777777" w:rsidR="00A21704" w:rsidRDefault="00A21704" w:rsidP="00A21704">
            <w:pPr>
              <w:rPr>
                <w:sz w:val="20"/>
                <w:szCs w:val="20"/>
              </w:rPr>
            </w:pPr>
          </w:p>
        </w:tc>
      </w:tr>
      <w:tr w:rsidR="00A21704" w14:paraId="53733BCE"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17058B77"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Artralgia</w:t>
            </w:r>
          </w:p>
        </w:tc>
        <w:tc>
          <w:tcPr>
            <w:tcW w:w="1350" w:type="dxa"/>
            <w:tcBorders>
              <w:top w:val="nil"/>
              <w:left w:val="nil"/>
              <w:bottom w:val="nil"/>
              <w:right w:val="single" w:sz="4" w:space="0" w:color="auto"/>
            </w:tcBorders>
            <w:vAlign w:val="center"/>
            <w:hideMark/>
          </w:tcPr>
          <w:p w14:paraId="4AC4235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15 (1,3)</w:t>
            </w:r>
          </w:p>
        </w:tc>
        <w:tc>
          <w:tcPr>
            <w:tcW w:w="1176" w:type="dxa"/>
            <w:tcBorders>
              <w:top w:val="nil"/>
              <w:left w:val="nil"/>
              <w:bottom w:val="nil"/>
              <w:right w:val="single" w:sz="4" w:space="0" w:color="auto"/>
            </w:tcBorders>
            <w:vAlign w:val="center"/>
            <w:hideMark/>
          </w:tcPr>
          <w:p w14:paraId="618D2CB4"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3 (0,5)</w:t>
            </w:r>
          </w:p>
        </w:tc>
        <w:tc>
          <w:tcPr>
            <w:tcW w:w="1180" w:type="dxa"/>
            <w:tcBorders>
              <w:top w:val="nil"/>
              <w:left w:val="nil"/>
              <w:bottom w:val="nil"/>
              <w:right w:val="single" w:sz="4" w:space="0" w:color="auto"/>
            </w:tcBorders>
            <w:vAlign w:val="center"/>
            <w:hideMark/>
          </w:tcPr>
          <w:p w14:paraId="7FF8DCA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0,79 (-1;0)</w:t>
            </w:r>
          </w:p>
        </w:tc>
        <w:tc>
          <w:tcPr>
            <w:tcW w:w="1171" w:type="dxa"/>
            <w:tcBorders>
              <w:top w:val="nil"/>
              <w:left w:val="nil"/>
              <w:bottom w:val="nil"/>
              <w:right w:val="single" w:sz="4" w:space="0" w:color="auto"/>
            </w:tcBorders>
            <w:vAlign w:val="center"/>
            <w:hideMark/>
          </w:tcPr>
          <w:p w14:paraId="093564F6"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nil"/>
              <w:right w:val="single" w:sz="8" w:space="0" w:color="auto"/>
            </w:tcBorders>
            <w:vAlign w:val="center"/>
            <w:hideMark/>
          </w:tcPr>
          <w:p w14:paraId="606EDBB3"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17EF53EC" w14:textId="77777777" w:rsidR="00A21704" w:rsidRDefault="00A21704" w:rsidP="00A21704">
            <w:pPr>
              <w:rPr>
                <w:sz w:val="20"/>
                <w:szCs w:val="20"/>
              </w:rPr>
            </w:pPr>
          </w:p>
        </w:tc>
      </w:tr>
      <w:tr w:rsidR="00A21704" w14:paraId="4A6C14E2"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06CA3B16"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Cefalea</w:t>
            </w:r>
          </w:p>
        </w:tc>
        <w:tc>
          <w:tcPr>
            <w:tcW w:w="1350" w:type="dxa"/>
            <w:tcBorders>
              <w:top w:val="single" w:sz="4" w:space="0" w:color="auto"/>
              <w:left w:val="nil"/>
              <w:bottom w:val="single" w:sz="4" w:space="0" w:color="auto"/>
              <w:right w:val="single" w:sz="4" w:space="0" w:color="auto"/>
            </w:tcBorders>
            <w:vAlign w:val="center"/>
            <w:hideMark/>
          </w:tcPr>
          <w:p w14:paraId="17496807"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50 (4,2)</w:t>
            </w:r>
          </w:p>
        </w:tc>
        <w:tc>
          <w:tcPr>
            <w:tcW w:w="1176" w:type="dxa"/>
            <w:tcBorders>
              <w:top w:val="single" w:sz="4" w:space="0" w:color="auto"/>
              <w:left w:val="nil"/>
              <w:bottom w:val="single" w:sz="4" w:space="0" w:color="auto"/>
              <w:right w:val="single" w:sz="4" w:space="0" w:color="auto"/>
            </w:tcBorders>
            <w:vAlign w:val="center"/>
            <w:hideMark/>
          </w:tcPr>
          <w:p w14:paraId="76288E62"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61 (4,7)</w:t>
            </w:r>
          </w:p>
        </w:tc>
        <w:tc>
          <w:tcPr>
            <w:tcW w:w="1180" w:type="dxa"/>
            <w:tcBorders>
              <w:top w:val="single" w:sz="4" w:space="0" w:color="auto"/>
              <w:left w:val="nil"/>
              <w:bottom w:val="single" w:sz="4" w:space="0" w:color="auto"/>
              <w:right w:val="single" w:sz="4" w:space="0" w:color="auto"/>
            </w:tcBorders>
            <w:vAlign w:val="center"/>
            <w:hideMark/>
          </w:tcPr>
          <w:p w14:paraId="0CEB4E8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-5 (-8;-3)</w:t>
            </w:r>
          </w:p>
        </w:tc>
        <w:tc>
          <w:tcPr>
            <w:tcW w:w="1171" w:type="dxa"/>
            <w:tcBorders>
              <w:top w:val="single" w:sz="4" w:space="0" w:color="auto"/>
              <w:left w:val="nil"/>
              <w:bottom w:val="single" w:sz="4" w:space="0" w:color="auto"/>
              <w:right w:val="single" w:sz="4" w:space="0" w:color="auto"/>
            </w:tcBorders>
            <w:shd w:val="clear" w:color="000000" w:fill="FFF2CC"/>
            <w:vAlign w:val="center"/>
            <w:hideMark/>
          </w:tcPr>
          <w:p w14:paraId="3A2F329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P&lt;0,05</w:t>
            </w:r>
          </w:p>
        </w:tc>
        <w:tc>
          <w:tcPr>
            <w:tcW w:w="1434" w:type="dxa"/>
            <w:tcBorders>
              <w:top w:val="single" w:sz="4" w:space="0" w:color="auto"/>
              <w:left w:val="nil"/>
              <w:bottom w:val="single" w:sz="4" w:space="0" w:color="auto"/>
              <w:right w:val="single" w:sz="8" w:space="0" w:color="auto"/>
            </w:tcBorders>
            <w:vAlign w:val="center"/>
            <w:hideMark/>
          </w:tcPr>
          <w:p w14:paraId="3FB44CCE"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19 (13;36)</w:t>
            </w:r>
          </w:p>
        </w:tc>
        <w:tc>
          <w:tcPr>
            <w:tcW w:w="146" w:type="dxa"/>
            <w:vAlign w:val="center"/>
            <w:hideMark/>
          </w:tcPr>
          <w:p w14:paraId="02F34A0A" w14:textId="77777777" w:rsidR="00A21704" w:rsidRDefault="00A21704" w:rsidP="00A21704">
            <w:pPr>
              <w:rPr>
                <w:sz w:val="20"/>
                <w:szCs w:val="20"/>
              </w:rPr>
            </w:pPr>
          </w:p>
        </w:tc>
      </w:tr>
      <w:tr w:rsidR="00A21704" w14:paraId="795B690E" w14:textId="77777777" w:rsidTr="000D6D4B">
        <w:trPr>
          <w:trHeight w:val="420"/>
        </w:trPr>
        <w:tc>
          <w:tcPr>
            <w:tcW w:w="2423" w:type="dxa"/>
            <w:tcBorders>
              <w:top w:val="nil"/>
              <w:left w:val="single" w:sz="8" w:space="0" w:color="auto"/>
              <w:bottom w:val="single" w:sz="4" w:space="0" w:color="auto"/>
              <w:right w:val="single" w:sz="4" w:space="0" w:color="auto"/>
            </w:tcBorders>
            <w:vAlign w:val="center"/>
            <w:hideMark/>
          </w:tcPr>
          <w:p w14:paraId="2F6A053C"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Trastornos psiquiátricos</w:t>
            </w:r>
          </w:p>
        </w:tc>
        <w:tc>
          <w:tcPr>
            <w:tcW w:w="1350" w:type="dxa"/>
            <w:tcBorders>
              <w:top w:val="nil"/>
              <w:left w:val="nil"/>
              <w:bottom w:val="single" w:sz="4" w:space="0" w:color="auto"/>
              <w:right w:val="single" w:sz="4" w:space="0" w:color="auto"/>
            </w:tcBorders>
            <w:vAlign w:val="center"/>
            <w:hideMark/>
          </w:tcPr>
          <w:p w14:paraId="1157A531"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23 (1,9)</w:t>
            </w:r>
          </w:p>
        </w:tc>
        <w:tc>
          <w:tcPr>
            <w:tcW w:w="1176" w:type="dxa"/>
            <w:tcBorders>
              <w:top w:val="nil"/>
              <w:left w:val="nil"/>
              <w:bottom w:val="single" w:sz="4" w:space="0" w:color="auto"/>
              <w:right w:val="single" w:sz="4" w:space="0" w:color="auto"/>
            </w:tcBorders>
            <w:vAlign w:val="center"/>
            <w:hideMark/>
          </w:tcPr>
          <w:p w14:paraId="6A690CD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11 (1,7)</w:t>
            </w:r>
          </w:p>
        </w:tc>
        <w:tc>
          <w:tcPr>
            <w:tcW w:w="1180" w:type="dxa"/>
            <w:tcBorders>
              <w:top w:val="nil"/>
              <w:left w:val="nil"/>
              <w:bottom w:val="single" w:sz="4" w:space="0" w:color="auto"/>
              <w:right w:val="single" w:sz="4" w:space="0" w:color="auto"/>
            </w:tcBorders>
            <w:vAlign w:val="center"/>
            <w:hideMark/>
          </w:tcPr>
          <w:p w14:paraId="5B1E44E2"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0,21 (-1;1)</w:t>
            </w:r>
          </w:p>
        </w:tc>
        <w:tc>
          <w:tcPr>
            <w:tcW w:w="1171" w:type="dxa"/>
            <w:tcBorders>
              <w:top w:val="nil"/>
              <w:left w:val="nil"/>
              <w:bottom w:val="single" w:sz="4" w:space="0" w:color="auto"/>
              <w:right w:val="single" w:sz="4" w:space="0" w:color="auto"/>
            </w:tcBorders>
            <w:vAlign w:val="center"/>
            <w:hideMark/>
          </w:tcPr>
          <w:p w14:paraId="3345757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0AB7DDCD"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4AC4C236" w14:textId="77777777" w:rsidR="00A21704" w:rsidRDefault="00A21704" w:rsidP="00A21704">
            <w:pPr>
              <w:rPr>
                <w:sz w:val="20"/>
                <w:szCs w:val="20"/>
              </w:rPr>
            </w:pPr>
          </w:p>
        </w:tc>
      </w:tr>
      <w:tr w:rsidR="00A21704" w14:paraId="546DD7C9" w14:textId="77777777" w:rsidTr="000D6D4B">
        <w:trPr>
          <w:trHeight w:val="630"/>
        </w:trPr>
        <w:tc>
          <w:tcPr>
            <w:tcW w:w="2423" w:type="dxa"/>
            <w:tcBorders>
              <w:top w:val="nil"/>
              <w:left w:val="single" w:sz="8" w:space="0" w:color="auto"/>
              <w:bottom w:val="single" w:sz="4" w:space="0" w:color="auto"/>
              <w:right w:val="single" w:sz="4" w:space="0" w:color="auto"/>
            </w:tcBorders>
            <w:vAlign w:val="center"/>
            <w:hideMark/>
          </w:tcPr>
          <w:p w14:paraId="42DA3D50"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Sistema reproductivo y</w:t>
            </w:r>
            <w:r>
              <w:rPr>
                <w:rFonts w:ascii="Arial" w:hAnsi="Arial" w:cs="Arial"/>
                <w:b/>
                <w:bCs/>
                <w:i/>
                <w:iCs/>
                <w:color w:val="000000"/>
                <w:sz w:val="16"/>
                <w:szCs w:val="16"/>
              </w:rPr>
              <w:br/>
              <w:t>trastornos mamarios</w:t>
            </w:r>
          </w:p>
        </w:tc>
        <w:tc>
          <w:tcPr>
            <w:tcW w:w="1350" w:type="dxa"/>
            <w:tcBorders>
              <w:top w:val="nil"/>
              <w:left w:val="nil"/>
              <w:bottom w:val="single" w:sz="4" w:space="0" w:color="auto"/>
              <w:right w:val="single" w:sz="4" w:space="0" w:color="auto"/>
            </w:tcBorders>
            <w:vAlign w:val="center"/>
            <w:hideMark/>
          </w:tcPr>
          <w:p w14:paraId="496F106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13 (1,1%)</w:t>
            </w:r>
          </w:p>
        </w:tc>
        <w:tc>
          <w:tcPr>
            <w:tcW w:w="1176" w:type="dxa"/>
            <w:tcBorders>
              <w:top w:val="nil"/>
              <w:left w:val="nil"/>
              <w:bottom w:val="single" w:sz="4" w:space="0" w:color="auto"/>
              <w:right w:val="single" w:sz="4" w:space="0" w:color="auto"/>
            </w:tcBorders>
            <w:vAlign w:val="center"/>
            <w:hideMark/>
          </w:tcPr>
          <w:p w14:paraId="44D4762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7 (1,1)</w:t>
            </w:r>
          </w:p>
        </w:tc>
        <w:tc>
          <w:tcPr>
            <w:tcW w:w="1180" w:type="dxa"/>
            <w:tcBorders>
              <w:top w:val="nil"/>
              <w:left w:val="nil"/>
              <w:bottom w:val="nil"/>
              <w:right w:val="single" w:sz="4" w:space="0" w:color="auto"/>
            </w:tcBorders>
            <w:vAlign w:val="center"/>
            <w:hideMark/>
          </w:tcPr>
          <w:p w14:paraId="25C50431"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 (1;-1)</w:t>
            </w:r>
          </w:p>
        </w:tc>
        <w:tc>
          <w:tcPr>
            <w:tcW w:w="1171" w:type="dxa"/>
            <w:tcBorders>
              <w:top w:val="nil"/>
              <w:left w:val="nil"/>
              <w:bottom w:val="single" w:sz="4" w:space="0" w:color="auto"/>
              <w:right w:val="single" w:sz="4" w:space="0" w:color="auto"/>
            </w:tcBorders>
            <w:vAlign w:val="center"/>
            <w:hideMark/>
          </w:tcPr>
          <w:p w14:paraId="123E9FB9"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07824078"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2AF00147" w14:textId="77777777" w:rsidR="00A21704" w:rsidRDefault="00A21704" w:rsidP="00A21704">
            <w:pPr>
              <w:rPr>
                <w:sz w:val="20"/>
                <w:szCs w:val="20"/>
              </w:rPr>
            </w:pPr>
          </w:p>
        </w:tc>
      </w:tr>
      <w:tr w:rsidR="00A21704" w14:paraId="3A21D7FE" w14:textId="77777777" w:rsidTr="000D6D4B">
        <w:trPr>
          <w:trHeight w:val="630"/>
        </w:trPr>
        <w:tc>
          <w:tcPr>
            <w:tcW w:w="2423" w:type="dxa"/>
            <w:tcBorders>
              <w:top w:val="nil"/>
              <w:left w:val="single" w:sz="8" w:space="0" w:color="auto"/>
              <w:bottom w:val="single" w:sz="4" w:space="0" w:color="auto"/>
              <w:right w:val="single" w:sz="4" w:space="0" w:color="auto"/>
            </w:tcBorders>
            <w:vAlign w:val="center"/>
            <w:hideMark/>
          </w:tcPr>
          <w:p w14:paraId="14FC0F71"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Alteraciones respiratorias y torácicas</w:t>
            </w:r>
          </w:p>
        </w:tc>
        <w:tc>
          <w:tcPr>
            <w:tcW w:w="1350" w:type="dxa"/>
            <w:tcBorders>
              <w:top w:val="nil"/>
              <w:left w:val="nil"/>
              <w:bottom w:val="single" w:sz="4" w:space="0" w:color="auto"/>
              <w:right w:val="single" w:sz="4" w:space="0" w:color="auto"/>
            </w:tcBorders>
            <w:vAlign w:val="center"/>
            <w:hideMark/>
          </w:tcPr>
          <w:p w14:paraId="24E9183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97 (8,1)</w:t>
            </w:r>
          </w:p>
        </w:tc>
        <w:tc>
          <w:tcPr>
            <w:tcW w:w="1176" w:type="dxa"/>
            <w:tcBorders>
              <w:top w:val="nil"/>
              <w:left w:val="nil"/>
              <w:bottom w:val="single" w:sz="4" w:space="0" w:color="auto"/>
              <w:right w:val="single" w:sz="4" w:space="0" w:color="auto"/>
            </w:tcBorders>
            <w:vAlign w:val="center"/>
            <w:hideMark/>
          </w:tcPr>
          <w:p w14:paraId="1D53291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47 (7,3)</w:t>
            </w:r>
          </w:p>
        </w:tc>
        <w:tc>
          <w:tcPr>
            <w:tcW w:w="1180" w:type="dxa"/>
            <w:tcBorders>
              <w:top w:val="single" w:sz="4" w:space="0" w:color="auto"/>
              <w:left w:val="nil"/>
              <w:bottom w:val="single" w:sz="4" w:space="0" w:color="auto"/>
              <w:right w:val="single" w:sz="4" w:space="0" w:color="auto"/>
            </w:tcBorders>
            <w:vAlign w:val="center"/>
            <w:hideMark/>
          </w:tcPr>
          <w:p w14:paraId="1A5B02F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0,8 (-2;3)</w:t>
            </w:r>
          </w:p>
        </w:tc>
        <w:tc>
          <w:tcPr>
            <w:tcW w:w="1171" w:type="dxa"/>
            <w:tcBorders>
              <w:top w:val="nil"/>
              <w:left w:val="nil"/>
              <w:bottom w:val="single" w:sz="4" w:space="0" w:color="auto"/>
              <w:right w:val="single" w:sz="4" w:space="0" w:color="auto"/>
            </w:tcBorders>
            <w:vAlign w:val="center"/>
            <w:hideMark/>
          </w:tcPr>
          <w:p w14:paraId="308C668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15467C33"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4C176F9E" w14:textId="77777777" w:rsidR="00A21704" w:rsidRDefault="00A21704" w:rsidP="00A21704">
            <w:pPr>
              <w:rPr>
                <w:sz w:val="20"/>
                <w:szCs w:val="20"/>
              </w:rPr>
            </w:pPr>
          </w:p>
        </w:tc>
      </w:tr>
      <w:tr w:rsidR="00A21704" w14:paraId="74CA8F00"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3F67EBB6"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Asma</w:t>
            </w:r>
          </w:p>
        </w:tc>
        <w:tc>
          <w:tcPr>
            <w:tcW w:w="1350" w:type="dxa"/>
            <w:tcBorders>
              <w:top w:val="nil"/>
              <w:left w:val="nil"/>
              <w:bottom w:val="single" w:sz="4" w:space="0" w:color="auto"/>
              <w:right w:val="single" w:sz="4" w:space="0" w:color="auto"/>
            </w:tcBorders>
            <w:vAlign w:val="center"/>
            <w:hideMark/>
          </w:tcPr>
          <w:p w14:paraId="10CA870D"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48 (4.0)</w:t>
            </w:r>
          </w:p>
        </w:tc>
        <w:tc>
          <w:tcPr>
            <w:tcW w:w="1176" w:type="dxa"/>
            <w:tcBorders>
              <w:top w:val="nil"/>
              <w:left w:val="nil"/>
              <w:bottom w:val="single" w:sz="4" w:space="0" w:color="auto"/>
              <w:right w:val="single" w:sz="4" w:space="0" w:color="auto"/>
            </w:tcBorders>
            <w:vAlign w:val="center"/>
            <w:hideMark/>
          </w:tcPr>
          <w:p w14:paraId="44ABC0B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21 (3,3)</w:t>
            </w:r>
          </w:p>
        </w:tc>
        <w:tc>
          <w:tcPr>
            <w:tcW w:w="1180" w:type="dxa"/>
            <w:tcBorders>
              <w:top w:val="nil"/>
              <w:left w:val="nil"/>
              <w:bottom w:val="single" w:sz="4" w:space="0" w:color="auto"/>
              <w:right w:val="single" w:sz="4" w:space="0" w:color="auto"/>
            </w:tcBorders>
            <w:vAlign w:val="center"/>
            <w:hideMark/>
          </w:tcPr>
          <w:p w14:paraId="0C0CC86F"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0,75 (-1;2)</w:t>
            </w:r>
          </w:p>
        </w:tc>
        <w:tc>
          <w:tcPr>
            <w:tcW w:w="1171" w:type="dxa"/>
            <w:tcBorders>
              <w:top w:val="nil"/>
              <w:left w:val="nil"/>
              <w:bottom w:val="single" w:sz="4" w:space="0" w:color="auto"/>
              <w:right w:val="single" w:sz="4" w:space="0" w:color="auto"/>
            </w:tcBorders>
            <w:vAlign w:val="center"/>
            <w:hideMark/>
          </w:tcPr>
          <w:p w14:paraId="6171F44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6BB56391"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28B9A3B8" w14:textId="77777777" w:rsidR="00A21704" w:rsidRDefault="00A21704" w:rsidP="00A21704">
            <w:pPr>
              <w:rPr>
                <w:sz w:val="20"/>
                <w:szCs w:val="20"/>
              </w:rPr>
            </w:pPr>
          </w:p>
        </w:tc>
      </w:tr>
      <w:tr w:rsidR="00A21704" w14:paraId="1805B78F"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19DCE5F1"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Tos</w:t>
            </w:r>
          </w:p>
        </w:tc>
        <w:tc>
          <w:tcPr>
            <w:tcW w:w="1350" w:type="dxa"/>
            <w:tcBorders>
              <w:top w:val="nil"/>
              <w:left w:val="nil"/>
              <w:bottom w:val="single" w:sz="4" w:space="0" w:color="auto"/>
              <w:right w:val="single" w:sz="4" w:space="0" w:color="auto"/>
            </w:tcBorders>
            <w:vAlign w:val="center"/>
            <w:hideMark/>
          </w:tcPr>
          <w:p w14:paraId="4A6E1A9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15 (1,3)</w:t>
            </w:r>
          </w:p>
        </w:tc>
        <w:tc>
          <w:tcPr>
            <w:tcW w:w="1176" w:type="dxa"/>
            <w:tcBorders>
              <w:top w:val="nil"/>
              <w:left w:val="nil"/>
              <w:bottom w:val="single" w:sz="4" w:space="0" w:color="auto"/>
              <w:right w:val="single" w:sz="4" w:space="0" w:color="auto"/>
            </w:tcBorders>
            <w:vAlign w:val="center"/>
            <w:hideMark/>
          </w:tcPr>
          <w:p w14:paraId="7CFF6DC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8 (1,3)</w:t>
            </w:r>
          </w:p>
        </w:tc>
        <w:tc>
          <w:tcPr>
            <w:tcW w:w="1180" w:type="dxa"/>
            <w:tcBorders>
              <w:top w:val="nil"/>
              <w:left w:val="nil"/>
              <w:bottom w:val="single" w:sz="4" w:space="0" w:color="auto"/>
              <w:right w:val="single" w:sz="4" w:space="0" w:color="auto"/>
            </w:tcBorders>
            <w:vAlign w:val="center"/>
            <w:hideMark/>
          </w:tcPr>
          <w:p w14:paraId="6E23FB81"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0,01 (-1;1)</w:t>
            </w:r>
          </w:p>
        </w:tc>
        <w:tc>
          <w:tcPr>
            <w:tcW w:w="1171" w:type="dxa"/>
            <w:tcBorders>
              <w:top w:val="nil"/>
              <w:left w:val="nil"/>
              <w:bottom w:val="single" w:sz="4" w:space="0" w:color="auto"/>
              <w:right w:val="single" w:sz="4" w:space="0" w:color="auto"/>
            </w:tcBorders>
            <w:vAlign w:val="center"/>
            <w:hideMark/>
          </w:tcPr>
          <w:p w14:paraId="75748051"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116B9864"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67C1FCA2" w14:textId="77777777" w:rsidR="00A21704" w:rsidRDefault="00A21704" w:rsidP="00A21704">
            <w:pPr>
              <w:rPr>
                <w:sz w:val="20"/>
                <w:szCs w:val="20"/>
              </w:rPr>
            </w:pPr>
          </w:p>
        </w:tc>
      </w:tr>
      <w:tr w:rsidR="00A21704" w14:paraId="1878E06E"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2E5FA139"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Disnea</w:t>
            </w:r>
          </w:p>
        </w:tc>
        <w:tc>
          <w:tcPr>
            <w:tcW w:w="1350" w:type="dxa"/>
            <w:tcBorders>
              <w:top w:val="nil"/>
              <w:left w:val="nil"/>
              <w:bottom w:val="single" w:sz="4" w:space="0" w:color="auto"/>
              <w:right w:val="single" w:sz="4" w:space="0" w:color="auto"/>
            </w:tcBorders>
            <w:vAlign w:val="center"/>
            <w:hideMark/>
          </w:tcPr>
          <w:p w14:paraId="25B8CAFF"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13 (1,1)</w:t>
            </w:r>
          </w:p>
        </w:tc>
        <w:tc>
          <w:tcPr>
            <w:tcW w:w="1176" w:type="dxa"/>
            <w:tcBorders>
              <w:top w:val="nil"/>
              <w:left w:val="nil"/>
              <w:bottom w:val="single" w:sz="4" w:space="0" w:color="auto"/>
              <w:right w:val="single" w:sz="4" w:space="0" w:color="auto"/>
            </w:tcBorders>
            <w:vAlign w:val="center"/>
            <w:hideMark/>
          </w:tcPr>
          <w:p w14:paraId="3D50507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5 (0,8)</w:t>
            </w:r>
          </w:p>
        </w:tc>
        <w:tc>
          <w:tcPr>
            <w:tcW w:w="1180" w:type="dxa"/>
            <w:tcBorders>
              <w:top w:val="nil"/>
              <w:left w:val="nil"/>
              <w:bottom w:val="single" w:sz="4" w:space="0" w:color="auto"/>
              <w:right w:val="single" w:sz="4" w:space="0" w:color="auto"/>
            </w:tcBorders>
            <w:vAlign w:val="center"/>
            <w:hideMark/>
          </w:tcPr>
          <w:p w14:paraId="4D2B7EB5"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0,3 (-1;1)</w:t>
            </w:r>
          </w:p>
        </w:tc>
        <w:tc>
          <w:tcPr>
            <w:tcW w:w="1171" w:type="dxa"/>
            <w:tcBorders>
              <w:top w:val="nil"/>
              <w:left w:val="nil"/>
              <w:bottom w:val="single" w:sz="4" w:space="0" w:color="auto"/>
              <w:right w:val="single" w:sz="4" w:space="0" w:color="auto"/>
            </w:tcBorders>
            <w:vAlign w:val="center"/>
            <w:hideMark/>
          </w:tcPr>
          <w:p w14:paraId="18A8B64E"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1B668BEE"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4812E8C6" w14:textId="77777777" w:rsidR="00A21704" w:rsidRDefault="00A21704" w:rsidP="00A21704">
            <w:pPr>
              <w:rPr>
                <w:sz w:val="20"/>
                <w:szCs w:val="20"/>
              </w:rPr>
            </w:pPr>
          </w:p>
        </w:tc>
      </w:tr>
      <w:tr w:rsidR="00A21704" w14:paraId="67476ECA"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70469009"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Trastornos de la piel</w:t>
            </w:r>
          </w:p>
        </w:tc>
        <w:tc>
          <w:tcPr>
            <w:tcW w:w="1350" w:type="dxa"/>
            <w:tcBorders>
              <w:top w:val="nil"/>
              <w:left w:val="nil"/>
              <w:bottom w:val="single" w:sz="4" w:space="0" w:color="auto"/>
              <w:right w:val="single" w:sz="4" w:space="0" w:color="auto"/>
            </w:tcBorders>
            <w:vAlign w:val="center"/>
            <w:hideMark/>
          </w:tcPr>
          <w:p w14:paraId="5E108C5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195 (16,4)</w:t>
            </w:r>
          </w:p>
        </w:tc>
        <w:tc>
          <w:tcPr>
            <w:tcW w:w="1176" w:type="dxa"/>
            <w:tcBorders>
              <w:top w:val="nil"/>
              <w:left w:val="nil"/>
              <w:bottom w:val="single" w:sz="4" w:space="0" w:color="auto"/>
              <w:right w:val="single" w:sz="4" w:space="0" w:color="auto"/>
            </w:tcBorders>
            <w:vAlign w:val="center"/>
            <w:hideMark/>
          </w:tcPr>
          <w:p w14:paraId="3BE42B16"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90 (14,1)</w:t>
            </w:r>
          </w:p>
        </w:tc>
        <w:tc>
          <w:tcPr>
            <w:tcW w:w="1180" w:type="dxa"/>
            <w:tcBorders>
              <w:top w:val="nil"/>
              <w:left w:val="nil"/>
              <w:bottom w:val="single" w:sz="4" w:space="0" w:color="auto"/>
              <w:right w:val="single" w:sz="4" w:space="0" w:color="auto"/>
            </w:tcBorders>
            <w:vAlign w:val="center"/>
            <w:hideMark/>
          </w:tcPr>
          <w:p w14:paraId="3B55CA27"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2,3 (-1;6)</w:t>
            </w:r>
          </w:p>
        </w:tc>
        <w:tc>
          <w:tcPr>
            <w:tcW w:w="1171" w:type="dxa"/>
            <w:tcBorders>
              <w:top w:val="nil"/>
              <w:left w:val="nil"/>
              <w:bottom w:val="single" w:sz="4" w:space="0" w:color="auto"/>
              <w:right w:val="single" w:sz="4" w:space="0" w:color="auto"/>
            </w:tcBorders>
            <w:vAlign w:val="center"/>
            <w:hideMark/>
          </w:tcPr>
          <w:p w14:paraId="653907DE"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57EFB759"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2259BA29" w14:textId="77777777" w:rsidR="00A21704" w:rsidRDefault="00A21704" w:rsidP="00A21704">
            <w:pPr>
              <w:rPr>
                <w:sz w:val="20"/>
                <w:szCs w:val="20"/>
              </w:rPr>
            </w:pPr>
          </w:p>
        </w:tc>
      </w:tr>
      <w:tr w:rsidR="00A21704" w14:paraId="3D24C83E"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3A72288E"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Dermatitis atópica</w:t>
            </w:r>
          </w:p>
        </w:tc>
        <w:tc>
          <w:tcPr>
            <w:tcW w:w="1350" w:type="dxa"/>
            <w:tcBorders>
              <w:top w:val="nil"/>
              <w:left w:val="nil"/>
              <w:bottom w:val="single" w:sz="4" w:space="0" w:color="auto"/>
              <w:right w:val="single" w:sz="4" w:space="0" w:color="auto"/>
            </w:tcBorders>
            <w:vAlign w:val="center"/>
            <w:hideMark/>
          </w:tcPr>
          <w:p w14:paraId="488A9C0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124 (10,4)</w:t>
            </w:r>
          </w:p>
        </w:tc>
        <w:tc>
          <w:tcPr>
            <w:tcW w:w="1176" w:type="dxa"/>
            <w:tcBorders>
              <w:top w:val="nil"/>
              <w:left w:val="nil"/>
              <w:bottom w:val="single" w:sz="4" w:space="0" w:color="auto"/>
              <w:right w:val="single" w:sz="4" w:space="0" w:color="auto"/>
            </w:tcBorders>
            <w:vAlign w:val="center"/>
            <w:hideMark/>
          </w:tcPr>
          <w:p w14:paraId="0890036C"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66 (10,3)</w:t>
            </w:r>
          </w:p>
        </w:tc>
        <w:tc>
          <w:tcPr>
            <w:tcW w:w="1180" w:type="dxa"/>
            <w:tcBorders>
              <w:top w:val="nil"/>
              <w:left w:val="nil"/>
              <w:bottom w:val="single" w:sz="4" w:space="0" w:color="auto"/>
              <w:right w:val="single" w:sz="4" w:space="0" w:color="auto"/>
            </w:tcBorders>
            <w:vAlign w:val="center"/>
            <w:hideMark/>
          </w:tcPr>
          <w:p w14:paraId="17E0020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 (-3;3)</w:t>
            </w:r>
          </w:p>
        </w:tc>
        <w:tc>
          <w:tcPr>
            <w:tcW w:w="1171" w:type="dxa"/>
            <w:tcBorders>
              <w:top w:val="nil"/>
              <w:left w:val="nil"/>
              <w:bottom w:val="single" w:sz="4" w:space="0" w:color="auto"/>
              <w:right w:val="single" w:sz="4" w:space="0" w:color="auto"/>
            </w:tcBorders>
            <w:vAlign w:val="center"/>
            <w:hideMark/>
          </w:tcPr>
          <w:p w14:paraId="07BA9E70"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1D5CE4A3"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0FBC12AA" w14:textId="77777777" w:rsidR="00A21704" w:rsidRDefault="00A21704" w:rsidP="00A21704">
            <w:pPr>
              <w:rPr>
                <w:sz w:val="20"/>
                <w:szCs w:val="20"/>
              </w:rPr>
            </w:pPr>
          </w:p>
        </w:tc>
      </w:tr>
      <w:tr w:rsidR="00A21704" w14:paraId="759105AB" w14:textId="77777777" w:rsidTr="000D6D4B">
        <w:trPr>
          <w:trHeight w:val="300"/>
        </w:trPr>
        <w:tc>
          <w:tcPr>
            <w:tcW w:w="2423" w:type="dxa"/>
            <w:tcBorders>
              <w:top w:val="nil"/>
              <w:left w:val="single" w:sz="8" w:space="0" w:color="auto"/>
              <w:bottom w:val="single" w:sz="4" w:space="0" w:color="auto"/>
              <w:right w:val="single" w:sz="4" w:space="0" w:color="auto"/>
            </w:tcBorders>
            <w:vAlign w:val="center"/>
            <w:hideMark/>
          </w:tcPr>
          <w:p w14:paraId="4722CD1D"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Urticaria</w:t>
            </w:r>
          </w:p>
        </w:tc>
        <w:tc>
          <w:tcPr>
            <w:tcW w:w="1350" w:type="dxa"/>
            <w:tcBorders>
              <w:top w:val="nil"/>
              <w:left w:val="nil"/>
              <w:bottom w:val="single" w:sz="4" w:space="0" w:color="auto"/>
              <w:right w:val="single" w:sz="4" w:space="0" w:color="auto"/>
            </w:tcBorders>
            <w:vAlign w:val="center"/>
            <w:hideMark/>
          </w:tcPr>
          <w:p w14:paraId="1D239C2B"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13 (1,1)</w:t>
            </w:r>
          </w:p>
        </w:tc>
        <w:tc>
          <w:tcPr>
            <w:tcW w:w="1176" w:type="dxa"/>
            <w:tcBorders>
              <w:top w:val="nil"/>
              <w:left w:val="nil"/>
              <w:bottom w:val="single" w:sz="4" w:space="0" w:color="auto"/>
              <w:right w:val="single" w:sz="4" w:space="0" w:color="auto"/>
            </w:tcBorders>
            <w:vAlign w:val="center"/>
            <w:hideMark/>
          </w:tcPr>
          <w:p w14:paraId="7A2ACDCC"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3 (0,5)</w:t>
            </w:r>
          </w:p>
        </w:tc>
        <w:tc>
          <w:tcPr>
            <w:tcW w:w="1180" w:type="dxa"/>
            <w:tcBorders>
              <w:top w:val="nil"/>
              <w:left w:val="nil"/>
              <w:bottom w:val="single" w:sz="4" w:space="0" w:color="auto"/>
              <w:right w:val="single" w:sz="4" w:space="0" w:color="auto"/>
            </w:tcBorders>
            <w:vAlign w:val="center"/>
            <w:hideMark/>
          </w:tcPr>
          <w:p w14:paraId="57260371"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0,62 (-0,1;1)</w:t>
            </w:r>
          </w:p>
        </w:tc>
        <w:tc>
          <w:tcPr>
            <w:tcW w:w="1171" w:type="dxa"/>
            <w:tcBorders>
              <w:top w:val="nil"/>
              <w:left w:val="nil"/>
              <w:bottom w:val="single" w:sz="4" w:space="0" w:color="auto"/>
              <w:right w:val="single" w:sz="4" w:space="0" w:color="auto"/>
            </w:tcBorders>
            <w:vAlign w:val="center"/>
            <w:hideMark/>
          </w:tcPr>
          <w:p w14:paraId="685EFB76"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4" w:space="0" w:color="auto"/>
              <w:right w:val="single" w:sz="8" w:space="0" w:color="auto"/>
            </w:tcBorders>
            <w:vAlign w:val="center"/>
            <w:hideMark/>
          </w:tcPr>
          <w:p w14:paraId="1EE1CFE9"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7F1E2A7" w14:textId="77777777" w:rsidR="00A21704" w:rsidRDefault="00A21704" w:rsidP="00A21704">
            <w:pPr>
              <w:rPr>
                <w:sz w:val="20"/>
                <w:szCs w:val="20"/>
              </w:rPr>
            </w:pPr>
          </w:p>
        </w:tc>
      </w:tr>
      <w:tr w:rsidR="00A21704" w14:paraId="2FEE8037" w14:textId="77777777" w:rsidTr="000D6D4B">
        <w:trPr>
          <w:trHeight w:val="435"/>
        </w:trPr>
        <w:tc>
          <w:tcPr>
            <w:tcW w:w="2423" w:type="dxa"/>
            <w:tcBorders>
              <w:top w:val="nil"/>
              <w:left w:val="single" w:sz="8" w:space="0" w:color="auto"/>
              <w:bottom w:val="single" w:sz="8" w:space="0" w:color="auto"/>
              <w:right w:val="single" w:sz="4" w:space="0" w:color="auto"/>
            </w:tcBorders>
            <w:vAlign w:val="center"/>
            <w:hideMark/>
          </w:tcPr>
          <w:p w14:paraId="57936BA1" w14:textId="77777777" w:rsidR="00A21704" w:rsidRDefault="00A21704" w:rsidP="00A21704">
            <w:pPr>
              <w:jc w:val="center"/>
              <w:rPr>
                <w:rFonts w:ascii="Arial" w:hAnsi="Arial" w:cs="Arial"/>
                <w:b/>
                <w:bCs/>
                <w:i/>
                <w:iCs/>
                <w:color w:val="000000"/>
                <w:sz w:val="16"/>
                <w:szCs w:val="16"/>
              </w:rPr>
            </w:pPr>
            <w:r>
              <w:rPr>
                <w:rFonts w:ascii="Arial" w:hAnsi="Arial" w:cs="Arial"/>
                <w:b/>
                <w:bCs/>
                <w:i/>
                <w:iCs/>
                <w:color w:val="000000"/>
                <w:sz w:val="16"/>
                <w:szCs w:val="16"/>
              </w:rPr>
              <w:t>Alteraciones vasculares</w:t>
            </w:r>
          </w:p>
        </w:tc>
        <w:tc>
          <w:tcPr>
            <w:tcW w:w="1350" w:type="dxa"/>
            <w:tcBorders>
              <w:top w:val="nil"/>
              <w:left w:val="nil"/>
              <w:bottom w:val="single" w:sz="8" w:space="0" w:color="auto"/>
              <w:right w:val="single" w:sz="4" w:space="0" w:color="auto"/>
            </w:tcBorders>
            <w:vAlign w:val="center"/>
            <w:hideMark/>
          </w:tcPr>
          <w:p w14:paraId="4D94D8BA"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16 (1,3)</w:t>
            </w:r>
          </w:p>
        </w:tc>
        <w:tc>
          <w:tcPr>
            <w:tcW w:w="1176" w:type="dxa"/>
            <w:tcBorders>
              <w:top w:val="nil"/>
              <w:left w:val="nil"/>
              <w:bottom w:val="single" w:sz="8" w:space="0" w:color="auto"/>
              <w:right w:val="single" w:sz="4" w:space="0" w:color="auto"/>
            </w:tcBorders>
            <w:vAlign w:val="center"/>
            <w:hideMark/>
          </w:tcPr>
          <w:p w14:paraId="624B3E38"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4 (0,6)</w:t>
            </w:r>
          </w:p>
        </w:tc>
        <w:tc>
          <w:tcPr>
            <w:tcW w:w="1180" w:type="dxa"/>
            <w:tcBorders>
              <w:top w:val="nil"/>
              <w:left w:val="nil"/>
              <w:bottom w:val="single" w:sz="8" w:space="0" w:color="auto"/>
              <w:right w:val="single" w:sz="4" w:space="0" w:color="auto"/>
            </w:tcBorders>
            <w:vAlign w:val="center"/>
            <w:hideMark/>
          </w:tcPr>
          <w:p w14:paraId="7B9EE4B3"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0,72 (-0,2;1)</w:t>
            </w:r>
          </w:p>
        </w:tc>
        <w:tc>
          <w:tcPr>
            <w:tcW w:w="1171" w:type="dxa"/>
            <w:tcBorders>
              <w:top w:val="nil"/>
              <w:left w:val="nil"/>
              <w:bottom w:val="single" w:sz="8" w:space="0" w:color="auto"/>
              <w:right w:val="single" w:sz="4" w:space="0" w:color="auto"/>
            </w:tcBorders>
            <w:vAlign w:val="center"/>
            <w:hideMark/>
          </w:tcPr>
          <w:p w14:paraId="19B8989F" w14:textId="77777777" w:rsidR="00A21704" w:rsidRDefault="00A21704" w:rsidP="00A21704">
            <w:pPr>
              <w:jc w:val="center"/>
              <w:rPr>
                <w:rFonts w:ascii="Arial" w:hAnsi="Arial" w:cs="Arial"/>
                <w:i/>
                <w:iCs/>
                <w:color w:val="000000"/>
                <w:sz w:val="16"/>
                <w:szCs w:val="16"/>
              </w:rPr>
            </w:pPr>
            <w:r>
              <w:rPr>
                <w:rFonts w:ascii="Arial" w:hAnsi="Arial" w:cs="Arial"/>
                <w:i/>
                <w:iCs/>
                <w:color w:val="000000"/>
                <w:sz w:val="16"/>
                <w:szCs w:val="16"/>
              </w:rPr>
              <w:t>P&gt;0,05</w:t>
            </w:r>
          </w:p>
        </w:tc>
        <w:tc>
          <w:tcPr>
            <w:tcW w:w="1434" w:type="dxa"/>
            <w:tcBorders>
              <w:top w:val="nil"/>
              <w:left w:val="nil"/>
              <w:bottom w:val="single" w:sz="8" w:space="0" w:color="auto"/>
              <w:right w:val="single" w:sz="8" w:space="0" w:color="auto"/>
            </w:tcBorders>
            <w:vAlign w:val="center"/>
            <w:hideMark/>
          </w:tcPr>
          <w:p w14:paraId="59C3CD53" w14:textId="77777777" w:rsidR="00A21704" w:rsidRDefault="00A21704" w:rsidP="00A21704">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47A8C085" w14:textId="77777777" w:rsidR="00A21704" w:rsidRDefault="00A21704" w:rsidP="00A21704">
            <w:pPr>
              <w:rPr>
                <w:sz w:val="20"/>
                <w:szCs w:val="20"/>
              </w:rPr>
            </w:pPr>
          </w:p>
        </w:tc>
      </w:tr>
    </w:tbl>
    <w:p w14:paraId="6BB985E9" w14:textId="77777777" w:rsidR="002C5A05" w:rsidRDefault="002C5A05" w:rsidP="00BC3E8E">
      <w:pPr>
        <w:shd w:val="clear" w:color="auto" w:fill="FFFFFF"/>
        <w:jc w:val="both"/>
        <w:rPr>
          <w:rFonts w:ascii="Arial" w:hAnsi="Arial" w:cs="Arial"/>
          <w:sz w:val="20"/>
          <w:szCs w:val="20"/>
        </w:rPr>
      </w:pPr>
    </w:p>
    <w:tbl>
      <w:tblPr>
        <w:tblW w:w="8820" w:type="dxa"/>
        <w:tblInd w:w="80" w:type="dxa"/>
        <w:tblCellMar>
          <w:left w:w="70" w:type="dxa"/>
          <w:right w:w="70" w:type="dxa"/>
        </w:tblCellMar>
        <w:tblLook w:val="04A0" w:firstRow="1" w:lastRow="0" w:firstColumn="1" w:lastColumn="0" w:noHBand="0" w:noVBand="1"/>
      </w:tblPr>
      <w:tblGrid>
        <w:gridCol w:w="2061"/>
        <w:gridCol w:w="1482"/>
        <w:gridCol w:w="1595"/>
        <w:gridCol w:w="1180"/>
        <w:gridCol w:w="1170"/>
        <w:gridCol w:w="1186"/>
        <w:gridCol w:w="146"/>
      </w:tblGrid>
      <w:tr w:rsidR="002C5A05" w14:paraId="5B93EEF6" w14:textId="77777777" w:rsidTr="00E134B9">
        <w:trPr>
          <w:gridAfter w:val="1"/>
          <w:wAfter w:w="146" w:type="dxa"/>
          <w:trHeight w:val="300"/>
        </w:trPr>
        <w:tc>
          <w:tcPr>
            <w:tcW w:w="8674" w:type="dxa"/>
            <w:gridSpan w:val="6"/>
            <w:vMerge w:val="restart"/>
            <w:tcBorders>
              <w:top w:val="single" w:sz="8" w:space="0" w:color="auto"/>
              <w:left w:val="single" w:sz="8" w:space="0" w:color="auto"/>
              <w:bottom w:val="single" w:sz="4" w:space="0" w:color="auto"/>
              <w:right w:val="single" w:sz="8" w:space="0" w:color="000000"/>
            </w:tcBorders>
            <w:shd w:val="clear" w:color="000000" w:fill="CCFFCC"/>
            <w:vAlign w:val="center"/>
            <w:hideMark/>
          </w:tcPr>
          <w:p w14:paraId="475323DF" w14:textId="77777777" w:rsidR="002C5A05" w:rsidRDefault="002C5A05">
            <w:pPr>
              <w:jc w:val="both"/>
              <w:rPr>
                <w:rFonts w:ascii="Arial" w:hAnsi="Arial" w:cs="Arial"/>
                <w:b/>
                <w:bCs/>
                <w:i/>
                <w:iCs/>
                <w:color w:val="000000"/>
                <w:sz w:val="16"/>
                <w:szCs w:val="16"/>
              </w:rPr>
            </w:pPr>
            <w:r>
              <w:rPr>
                <w:rFonts w:ascii="Arial" w:hAnsi="Arial" w:cs="Arial"/>
                <w:b/>
                <w:bCs/>
                <w:i/>
                <w:iCs/>
                <w:color w:val="000000"/>
                <w:sz w:val="16"/>
                <w:szCs w:val="16"/>
              </w:rPr>
              <w:t>Referencia: Informe EPAR Nemluvio</w:t>
            </w:r>
          </w:p>
        </w:tc>
      </w:tr>
      <w:tr w:rsidR="002C5A05" w14:paraId="523B93FB" w14:textId="77777777" w:rsidTr="00E134B9">
        <w:trPr>
          <w:trHeight w:val="300"/>
        </w:trPr>
        <w:tc>
          <w:tcPr>
            <w:tcW w:w="8674" w:type="dxa"/>
            <w:gridSpan w:val="6"/>
            <w:vMerge/>
            <w:tcBorders>
              <w:top w:val="single" w:sz="8" w:space="0" w:color="auto"/>
              <w:left w:val="single" w:sz="8" w:space="0" w:color="auto"/>
              <w:bottom w:val="single" w:sz="4" w:space="0" w:color="auto"/>
              <w:right w:val="single" w:sz="8" w:space="0" w:color="000000"/>
            </w:tcBorders>
            <w:vAlign w:val="center"/>
            <w:hideMark/>
          </w:tcPr>
          <w:p w14:paraId="5543421C" w14:textId="77777777" w:rsidR="002C5A05" w:rsidRDefault="002C5A05">
            <w:pPr>
              <w:rPr>
                <w:rFonts w:ascii="Arial" w:hAnsi="Arial" w:cs="Arial"/>
                <w:b/>
                <w:bCs/>
                <w:i/>
                <w:iCs/>
                <w:color w:val="000000"/>
                <w:sz w:val="16"/>
                <w:szCs w:val="16"/>
              </w:rPr>
            </w:pPr>
          </w:p>
        </w:tc>
        <w:tc>
          <w:tcPr>
            <w:tcW w:w="146" w:type="dxa"/>
            <w:tcBorders>
              <w:top w:val="nil"/>
              <w:left w:val="nil"/>
              <w:bottom w:val="nil"/>
              <w:right w:val="nil"/>
            </w:tcBorders>
            <w:noWrap/>
            <w:vAlign w:val="bottom"/>
            <w:hideMark/>
          </w:tcPr>
          <w:p w14:paraId="104C17D9" w14:textId="77777777" w:rsidR="002C5A05" w:rsidRDefault="002C5A05">
            <w:pPr>
              <w:jc w:val="both"/>
              <w:rPr>
                <w:rFonts w:ascii="Arial" w:hAnsi="Arial" w:cs="Arial"/>
                <w:b/>
                <w:bCs/>
                <w:i/>
                <w:iCs/>
                <w:color w:val="000000"/>
                <w:sz w:val="16"/>
                <w:szCs w:val="16"/>
              </w:rPr>
            </w:pPr>
          </w:p>
        </w:tc>
      </w:tr>
      <w:tr w:rsidR="002C5A05" w14:paraId="3838A5F8" w14:textId="77777777" w:rsidTr="00E134B9">
        <w:trPr>
          <w:trHeight w:val="1095"/>
        </w:trPr>
        <w:tc>
          <w:tcPr>
            <w:tcW w:w="8674" w:type="dxa"/>
            <w:gridSpan w:val="6"/>
            <w:tcBorders>
              <w:top w:val="single" w:sz="4" w:space="0" w:color="auto"/>
              <w:left w:val="single" w:sz="8" w:space="0" w:color="auto"/>
              <w:bottom w:val="single" w:sz="4" w:space="0" w:color="auto"/>
              <w:right w:val="single" w:sz="8" w:space="0" w:color="000000"/>
            </w:tcBorders>
            <w:vAlign w:val="center"/>
            <w:hideMark/>
          </w:tcPr>
          <w:p w14:paraId="52A8EE35" w14:textId="77777777" w:rsidR="002C5A05" w:rsidRDefault="002C5A05">
            <w:pPr>
              <w:jc w:val="both"/>
              <w:rPr>
                <w:rFonts w:ascii="Arial" w:hAnsi="Arial" w:cs="Arial"/>
                <w:i/>
                <w:iCs/>
                <w:color w:val="000000"/>
                <w:sz w:val="16"/>
                <w:szCs w:val="16"/>
              </w:rPr>
            </w:pPr>
            <w:r>
              <w:rPr>
                <w:rFonts w:ascii="Arial" w:hAnsi="Arial" w:cs="Arial"/>
                <w:i/>
                <w:iCs/>
                <w:color w:val="000000"/>
                <w:sz w:val="16"/>
                <w:szCs w:val="16"/>
              </w:rPr>
              <w:t>Ensayos ARCADIA 1 Y 2 dos ensayos clínicos idénticos de fase 3, aleatorizados, doble ciego y controlados con placebo, diseñados para evaluar nemolizumab en adultos y adolescentes (≥12 años) con dermatitis atópica (DA) de moderada a grave y prurito asociado que no estaban controlados adecuadamente con terapias tópicas.</w:t>
            </w:r>
          </w:p>
        </w:tc>
        <w:tc>
          <w:tcPr>
            <w:tcW w:w="146" w:type="dxa"/>
            <w:vAlign w:val="center"/>
            <w:hideMark/>
          </w:tcPr>
          <w:p w14:paraId="35C741EB" w14:textId="77777777" w:rsidR="002C5A05" w:rsidRDefault="002C5A05">
            <w:pPr>
              <w:rPr>
                <w:sz w:val="20"/>
                <w:szCs w:val="20"/>
              </w:rPr>
            </w:pPr>
          </w:p>
        </w:tc>
      </w:tr>
      <w:tr w:rsidR="002C5A05" w14:paraId="6B1A5C6C" w14:textId="77777777" w:rsidTr="00E134B9">
        <w:trPr>
          <w:trHeight w:val="315"/>
        </w:trPr>
        <w:tc>
          <w:tcPr>
            <w:tcW w:w="8674" w:type="dxa"/>
            <w:gridSpan w:val="6"/>
            <w:tcBorders>
              <w:top w:val="single" w:sz="4" w:space="0" w:color="auto"/>
              <w:left w:val="single" w:sz="8" w:space="0" w:color="auto"/>
              <w:bottom w:val="nil"/>
              <w:right w:val="single" w:sz="8" w:space="0" w:color="000000"/>
            </w:tcBorders>
            <w:shd w:val="clear" w:color="000000" w:fill="CCFFCC"/>
            <w:vAlign w:val="center"/>
            <w:hideMark/>
          </w:tcPr>
          <w:p w14:paraId="7043ED83" w14:textId="77777777" w:rsidR="002C5A05" w:rsidRDefault="002C5A05">
            <w:pPr>
              <w:jc w:val="both"/>
              <w:rPr>
                <w:rFonts w:ascii="Arial" w:hAnsi="Arial" w:cs="Arial"/>
                <w:b/>
                <w:bCs/>
                <w:color w:val="000000"/>
                <w:sz w:val="16"/>
                <w:szCs w:val="16"/>
              </w:rPr>
            </w:pPr>
            <w:r>
              <w:rPr>
                <w:rFonts w:ascii="Arial" w:hAnsi="Arial" w:cs="Arial"/>
                <w:b/>
                <w:bCs/>
                <w:color w:val="000000"/>
                <w:sz w:val="16"/>
                <w:szCs w:val="16"/>
              </w:rPr>
              <w:t>Resultados de seguridad</w:t>
            </w:r>
          </w:p>
        </w:tc>
        <w:tc>
          <w:tcPr>
            <w:tcW w:w="146" w:type="dxa"/>
            <w:vAlign w:val="center"/>
            <w:hideMark/>
          </w:tcPr>
          <w:p w14:paraId="78FBB34C" w14:textId="77777777" w:rsidR="002C5A05" w:rsidRDefault="002C5A05">
            <w:pPr>
              <w:rPr>
                <w:sz w:val="20"/>
                <w:szCs w:val="20"/>
              </w:rPr>
            </w:pPr>
          </w:p>
        </w:tc>
      </w:tr>
      <w:tr w:rsidR="002C5A05" w14:paraId="12238194" w14:textId="77777777" w:rsidTr="00E134B9">
        <w:trPr>
          <w:trHeight w:val="420"/>
        </w:trPr>
        <w:tc>
          <w:tcPr>
            <w:tcW w:w="2061" w:type="dxa"/>
            <w:vMerge w:val="restart"/>
            <w:tcBorders>
              <w:top w:val="single" w:sz="8" w:space="0" w:color="auto"/>
              <w:left w:val="single" w:sz="8" w:space="0" w:color="auto"/>
              <w:bottom w:val="single" w:sz="8" w:space="0" w:color="000000"/>
              <w:right w:val="single" w:sz="4" w:space="0" w:color="auto"/>
            </w:tcBorders>
            <w:vAlign w:val="center"/>
            <w:hideMark/>
          </w:tcPr>
          <w:p w14:paraId="6D589823"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Variable de seguridad evaluada en el estudio</w:t>
            </w:r>
          </w:p>
        </w:tc>
        <w:tc>
          <w:tcPr>
            <w:tcW w:w="1482" w:type="dxa"/>
            <w:tcBorders>
              <w:top w:val="single" w:sz="8" w:space="0" w:color="auto"/>
              <w:left w:val="nil"/>
              <w:bottom w:val="single" w:sz="4" w:space="0" w:color="auto"/>
              <w:right w:val="single" w:sz="4" w:space="0" w:color="auto"/>
            </w:tcBorders>
            <w:vAlign w:val="center"/>
            <w:hideMark/>
          </w:tcPr>
          <w:p w14:paraId="7AD16F1F"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Nemolizumab 30 mg Q4W--&gt; Q8W</w:t>
            </w:r>
          </w:p>
        </w:tc>
        <w:tc>
          <w:tcPr>
            <w:tcW w:w="1595" w:type="dxa"/>
            <w:tcBorders>
              <w:top w:val="single" w:sz="8" w:space="0" w:color="auto"/>
              <w:left w:val="nil"/>
              <w:bottom w:val="single" w:sz="4" w:space="0" w:color="auto"/>
              <w:right w:val="single" w:sz="4" w:space="0" w:color="auto"/>
            </w:tcBorders>
            <w:vAlign w:val="center"/>
            <w:hideMark/>
          </w:tcPr>
          <w:p w14:paraId="4FA0F491"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Placebo--&gt; Placebo</w:t>
            </w:r>
          </w:p>
        </w:tc>
        <w:tc>
          <w:tcPr>
            <w:tcW w:w="1180" w:type="dxa"/>
            <w:vMerge w:val="restart"/>
            <w:tcBorders>
              <w:top w:val="single" w:sz="8" w:space="0" w:color="auto"/>
              <w:left w:val="single" w:sz="4" w:space="0" w:color="auto"/>
              <w:bottom w:val="single" w:sz="8" w:space="0" w:color="000000"/>
              <w:right w:val="single" w:sz="4" w:space="0" w:color="auto"/>
            </w:tcBorders>
            <w:vAlign w:val="center"/>
            <w:hideMark/>
          </w:tcPr>
          <w:p w14:paraId="6CD345B3"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Aumento del riesgo (IC95%)</w:t>
            </w:r>
          </w:p>
        </w:tc>
        <w:tc>
          <w:tcPr>
            <w:tcW w:w="1170" w:type="dxa"/>
            <w:vMerge w:val="restart"/>
            <w:tcBorders>
              <w:top w:val="single" w:sz="8" w:space="0" w:color="auto"/>
              <w:left w:val="single" w:sz="4" w:space="0" w:color="auto"/>
              <w:bottom w:val="single" w:sz="8" w:space="0" w:color="000000"/>
              <w:right w:val="single" w:sz="4" w:space="0" w:color="auto"/>
            </w:tcBorders>
            <w:vAlign w:val="center"/>
            <w:hideMark/>
          </w:tcPr>
          <w:p w14:paraId="0025DADE"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P</w:t>
            </w:r>
          </w:p>
        </w:tc>
        <w:tc>
          <w:tcPr>
            <w:tcW w:w="1186" w:type="dxa"/>
            <w:vMerge w:val="restart"/>
            <w:tcBorders>
              <w:top w:val="single" w:sz="8" w:space="0" w:color="auto"/>
              <w:left w:val="single" w:sz="4" w:space="0" w:color="auto"/>
              <w:bottom w:val="single" w:sz="8" w:space="0" w:color="000000"/>
              <w:right w:val="single" w:sz="8" w:space="0" w:color="auto"/>
            </w:tcBorders>
            <w:vAlign w:val="center"/>
            <w:hideMark/>
          </w:tcPr>
          <w:p w14:paraId="474A2D6C"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NNH o NND (IC 95%)</w:t>
            </w:r>
          </w:p>
        </w:tc>
        <w:tc>
          <w:tcPr>
            <w:tcW w:w="146" w:type="dxa"/>
            <w:vAlign w:val="center"/>
            <w:hideMark/>
          </w:tcPr>
          <w:p w14:paraId="03BD599D" w14:textId="77777777" w:rsidR="002C5A05" w:rsidRDefault="002C5A05">
            <w:pPr>
              <w:rPr>
                <w:sz w:val="20"/>
                <w:szCs w:val="20"/>
              </w:rPr>
            </w:pPr>
          </w:p>
        </w:tc>
      </w:tr>
      <w:tr w:rsidR="002C5A05" w14:paraId="16062398" w14:textId="77777777" w:rsidTr="00E134B9">
        <w:trPr>
          <w:trHeight w:val="615"/>
        </w:trPr>
        <w:tc>
          <w:tcPr>
            <w:tcW w:w="2061" w:type="dxa"/>
            <w:vMerge/>
            <w:tcBorders>
              <w:top w:val="single" w:sz="8" w:space="0" w:color="auto"/>
              <w:left w:val="single" w:sz="8" w:space="0" w:color="auto"/>
              <w:bottom w:val="single" w:sz="8" w:space="0" w:color="000000"/>
              <w:right w:val="single" w:sz="4" w:space="0" w:color="auto"/>
            </w:tcBorders>
            <w:vAlign w:val="center"/>
            <w:hideMark/>
          </w:tcPr>
          <w:p w14:paraId="772EBE50" w14:textId="77777777" w:rsidR="002C5A05" w:rsidRDefault="002C5A05">
            <w:pPr>
              <w:rPr>
                <w:rFonts w:ascii="Arial" w:hAnsi="Arial" w:cs="Arial"/>
                <w:b/>
                <w:bCs/>
                <w:i/>
                <w:iCs/>
                <w:color w:val="000000"/>
                <w:sz w:val="16"/>
                <w:szCs w:val="16"/>
              </w:rPr>
            </w:pPr>
          </w:p>
        </w:tc>
        <w:tc>
          <w:tcPr>
            <w:tcW w:w="1482" w:type="dxa"/>
            <w:tcBorders>
              <w:top w:val="nil"/>
              <w:left w:val="nil"/>
              <w:bottom w:val="single" w:sz="8" w:space="0" w:color="auto"/>
              <w:right w:val="single" w:sz="4" w:space="0" w:color="auto"/>
            </w:tcBorders>
            <w:vAlign w:val="center"/>
            <w:hideMark/>
          </w:tcPr>
          <w:p w14:paraId="57480211"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N (167)</w:t>
            </w:r>
          </w:p>
        </w:tc>
        <w:tc>
          <w:tcPr>
            <w:tcW w:w="1595" w:type="dxa"/>
            <w:tcBorders>
              <w:top w:val="nil"/>
              <w:left w:val="nil"/>
              <w:bottom w:val="single" w:sz="8" w:space="0" w:color="auto"/>
              <w:right w:val="single" w:sz="4" w:space="0" w:color="auto"/>
            </w:tcBorders>
            <w:vAlign w:val="center"/>
            <w:hideMark/>
          </w:tcPr>
          <w:p w14:paraId="00841B86" w14:textId="77777777" w:rsidR="002C5A05" w:rsidRDefault="002C5A05">
            <w:pPr>
              <w:jc w:val="center"/>
              <w:rPr>
                <w:rFonts w:ascii="Arial" w:hAnsi="Arial" w:cs="Arial"/>
                <w:b/>
                <w:bCs/>
                <w:i/>
                <w:iCs/>
                <w:color w:val="000000"/>
                <w:sz w:val="16"/>
                <w:szCs w:val="16"/>
              </w:rPr>
            </w:pPr>
            <w:r>
              <w:rPr>
                <w:rFonts w:ascii="Arial" w:hAnsi="Arial" w:cs="Arial"/>
                <w:b/>
                <w:bCs/>
                <w:i/>
                <w:iCs/>
                <w:color w:val="000000"/>
                <w:sz w:val="16"/>
                <w:szCs w:val="16"/>
              </w:rPr>
              <w:t xml:space="preserve">N (184) </w:t>
            </w:r>
          </w:p>
        </w:tc>
        <w:tc>
          <w:tcPr>
            <w:tcW w:w="1180" w:type="dxa"/>
            <w:vMerge/>
            <w:tcBorders>
              <w:top w:val="single" w:sz="8" w:space="0" w:color="auto"/>
              <w:left w:val="single" w:sz="4" w:space="0" w:color="auto"/>
              <w:bottom w:val="single" w:sz="8" w:space="0" w:color="000000"/>
              <w:right w:val="single" w:sz="4" w:space="0" w:color="auto"/>
            </w:tcBorders>
            <w:vAlign w:val="center"/>
            <w:hideMark/>
          </w:tcPr>
          <w:p w14:paraId="672092E2" w14:textId="77777777" w:rsidR="002C5A05" w:rsidRDefault="002C5A05">
            <w:pPr>
              <w:rPr>
                <w:rFonts w:ascii="Arial" w:hAnsi="Arial" w:cs="Arial"/>
                <w:b/>
                <w:bCs/>
                <w:i/>
                <w:iCs/>
                <w:color w:val="000000"/>
                <w:sz w:val="16"/>
                <w:szCs w:val="16"/>
              </w:rPr>
            </w:pP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67AFD293" w14:textId="77777777" w:rsidR="002C5A05" w:rsidRDefault="002C5A05">
            <w:pPr>
              <w:rPr>
                <w:rFonts w:ascii="Arial" w:hAnsi="Arial" w:cs="Arial"/>
                <w:b/>
                <w:bCs/>
                <w:i/>
                <w:iCs/>
                <w:color w:val="000000"/>
                <w:sz w:val="16"/>
                <w:szCs w:val="16"/>
              </w:rPr>
            </w:pPr>
          </w:p>
        </w:tc>
        <w:tc>
          <w:tcPr>
            <w:tcW w:w="1186" w:type="dxa"/>
            <w:vMerge/>
            <w:tcBorders>
              <w:top w:val="single" w:sz="8" w:space="0" w:color="auto"/>
              <w:left w:val="single" w:sz="4" w:space="0" w:color="auto"/>
              <w:bottom w:val="single" w:sz="8" w:space="0" w:color="000000"/>
              <w:right w:val="single" w:sz="8" w:space="0" w:color="auto"/>
            </w:tcBorders>
            <w:vAlign w:val="center"/>
            <w:hideMark/>
          </w:tcPr>
          <w:p w14:paraId="5F2E3AFA" w14:textId="77777777" w:rsidR="002C5A05" w:rsidRDefault="002C5A05">
            <w:pPr>
              <w:rPr>
                <w:rFonts w:ascii="Arial" w:hAnsi="Arial" w:cs="Arial"/>
                <w:b/>
                <w:bCs/>
                <w:i/>
                <w:iCs/>
                <w:color w:val="000000"/>
                <w:sz w:val="16"/>
                <w:szCs w:val="16"/>
              </w:rPr>
            </w:pPr>
          </w:p>
        </w:tc>
        <w:tc>
          <w:tcPr>
            <w:tcW w:w="146" w:type="dxa"/>
            <w:vAlign w:val="center"/>
            <w:hideMark/>
          </w:tcPr>
          <w:p w14:paraId="0B99600A" w14:textId="77777777" w:rsidR="002C5A05" w:rsidRDefault="002C5A05">
            <w:pPr>
              <w:rPr>
                <w:sz w:val="20"/>
                <w:szCs w:val="20"/>
              </w:rPr>
            </w:pPr>
          </w:p>
        </w:tc>
      </w:tr>
      <w:tr w:rsidR="00703B09" w14:paraId="3E8601F0" w14:textId="77777777" w:rsidTr="00210F12">
        <w:trPr>
          <w:trHeight w:val="450"/>
        </w:trPr>
        <w:tc>
          <w:tcPr>
            <w:tcW w:w="2061" w:type="dxa"/>
            <w:tcBorders>
              <w:top w:val="nil"/>
              <w:left w:val="single" w:sz="8" w:space="0" w:color="auto"/>
              <w:bottom w:val="single" w:sz="4" w:space="0" w:color="auto"/>
              <w:right w:val="single" w:sz="4" w:space="0" w:color="auto"/>
            </w:tcBorders>
            <w:shd w:val="clear" w:color="auto" w:fill="E7E6E6"/>
            <w:vAlign w:val="center"/>
          </w:tcPr>
          <w:p w14:paraId="04904E65" w14:textId="77777777" w:rsidR="00703B09" w:rsidRPr="00E134B9" w:rsidRDefault="00703B09" w:rsidP="00703B09">
            <w:pPr>
              <w:jc w:val="center"/>
              <w:rPr>
                <w:rFonts w:ascii="Arial" w:hAnsi="Arial" w:cs="Arial"/>
                <w:b/>
                <w:bCs/>
                <w:i/>
                <w:iCs/>
                <w:color w:val="000000"/>
                <w:sz w:val="16"/>
                <w:szCs w:val="16"/>
              </w:rPr>
            </w:pPr>
            <w:r w:rsidRPr="00E134B9">
              <w:rPr>
                <w:rFonts w:ascii="Arial" w:hAnsi="Arial" w:cs="Arial"/>
                <w:b/>
                <w:bCs/>
                <w:i/>
                <w:iCs/>
                <w:color w:val="000000"/>
                <w:sz w:val="16"/>
                <w:szCs w:val="16"/>
              </w:rPr>
              <w:t>Pacientes con ≥1 EA</w:t>
            </w:r>
          </w:p>
          <w:p w14:paraId="2F1C39CE" w14:textId="77777777" w:rsidR="00703B09" w:rsidRDefault="00703B09" w:rsidP="00703B09">
            <w:pPr>
              <w:jc w:val="center"/>
              <w:rPr>
                <w:rFonts w:ascii="Arial" w:hAnsi="Arial" w:cs="Arial"/>
                <w:b/>
                <w:bCs/>
                <w:i/>
                <w:iCs/>
                <w:color w:val="000000"/>
                <w:sz w:val="16"/>
                <w:szCs w:val="16"/>
              </w:rPr>
            </w:pPr>
          </w:p>
        </w:tc>
        <w:tc>
          <w:tcPr>
            <w:tcW w:w="1482" w:type="dxa"/>
            <w:tcBorders>
              <w:top w:val="nil"/>
              <w:left w:val="nil"/>
              <w:bottom w:val="single" w:sz="4" w:space="0" w:color="auto"/>
              <w:right w:val="single" w:sz="4" w:space="0" w:color="auto"/>
            </w:tcBorders>
            <w:vAlign w:val="center"/>
          </w:tcPr>
          <w:p w14:paraId="68E267C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90 (53,9)</w:t>
            </w:r>
          </w:p>
        </w:tc>
        <w:tc>
          <w:tcPr>
            <w:tcW w:w="1595" w:type="dxa"/>
            <w:tcBorders>
              <w:top w:val="nil"/>
              <w:left w:val="nil"/>
              <w:bottom w:val="single" w:sz="4" w:space="0" w:color="auto"/>
              <w:right w:val="single" w:sz="4" w:space="0" w:color="auto"/>
            </w:tcBorders>
            <w:vAlign w:val="center"/>
          </w:tcPr>
          <w:p w14:paraId="50B341BC"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92 (50,0)</w:t>
            </w:r>
          </w:p>
        </w:tc>
        <w:tc>
          <w:tcPr>
            <w:tcW w:w="1180" w:type="dxa"/>
            <w:tcBorders>
              <w:top w:val="nil"/>
              <w:left w:val="nil"/>
              <w:bottom w:val="single" w:sz="4" w:space="0" w:color="auto"/>
              <w:right w:val="single" w:sz="4" w:space="0" w:color="auto"/>
            </w:tcBorders>
            <w:vAlign w:val="center"/>
          </w:tcPr>
          <w:p w14:paraId="07EDB55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-4 (-7;14)</w:t>
            </w:r>
          </w:p>
        </w:tc>
        <w:tc>
          <w:tcPr>
            <w:tcW w:w="1170" w:type="dxa"/>
            <w:tcBorders>
              <w:top w:val="nil"/>
              <w:left w:val="nil"/>
              <w:bottom w:val="single" w:sz="4" w:space="0" w:color="auto"/>
              <w:right w:val="single" w:sz="4" w:space="0" w:color="auto"/>
            </w:tcBorders>
            <w:vAlign w:val="center"/>
          </w:tcPr>
          <w:p w14:paraId="4552C7F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tcPr>
          <w:p w14:paraId="13CDFDCA"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tcPr>
          <w:p w14:paraId="608DE48E" w14:textId="77777777" w:rsidR="00703B09" w:rsidRDefault="00703B09" w:rsidP="00703B09">
            <w:pPr>
              <w:rPr>
                <w:sz w:val="20"/>
                <w:szCs w:val="20"/>
              </w:rPr>
            </w:pPr>
          </w:p>
        </w:tc>
      </w:tr>
      <w:tr w:rsidR="00703B09" w14:paraId="64474705" w14:textId="77777777" w:rsidTr="00210F12">
        <w:trPr>
          <w:trHeight w:val="450"/>
        </w:trPr>
        <w:tc>
          <w:tcPr>
            <w:tcW w:w="2061" w:type="dxa"/>
            <w:tcBorders>
              <w:top w:val="nil"/>
              <w:left w:val="single" w:sz="8" w:space="0" w:color="auto"/>
              <w:bottom w:val="single" w:sz="4" w:space="0" w:color="auto"/>
              <w:right w:val="single" w:sz="4" w:space="0" w:color="auto"/>
            </w:tcBorders>
            <w:shd w:val="clear" w:color="auto" w:fill="E7E6E6"/>
            <w:vAlign w:val="center"/>
          </w:tcPr>
          <w:p w14:paraId="360532AC" w14:textId="77777777" w:rsidR="00703B09" w:rsidRPr="00E134B9" w:rsidRDefault="00703B09" w:rsidP="00703B09">
            <w:pPr>
              <w:jc w:val="center"/>
              <w:rPr>
                <w:rFonts w:ascii="Arial" w:hAnsi="Arial" w:cs="Arial"/>
                <w:b/>
                <w:bCs/>
                <w:i/>
                <w:iCs/>
                <w:color w:val="000000"/>
                <w:sz w:val="16"/>
                <w:szCs w:val="16"/>
              </w:rPr>
            </w:pPr>
            <w:r w:rsidRPr="00E134B9">
              <w:rPr>
                <w:rFonts w:ascii="Arial" w:hAnsi="Arial" w:cs="Arial"/>
                <w:b/>
                <w:bCs/>
                <w:i/>
                <w:iCs/>
                <w:color w:val="000000"/>
                <w:sz w:val="16"/>
                <w:szCs w:val="16"/>
              </w:rPr>
              <w:t>Pacientes con EA graves</w:t>
            </w:r>
          </w:p>
          <w:p w14:paraId="0075CC33" w14:textId="77777777" w:rsidR="00703B09" w:rsidRDefault="00703B09" w:rsidP="00703B09">
            <w:pPr>
              <w:jc w:val="center"/>
              <w:rPr>
                <w:rFonts w:ascii="Arial" w:hAnsi="Arial" w:cs="Arial"/>
                <w:b/>
                <w:bCs/>
                <w:i/>
                <w:iCs/>
                <w:color w:val="000000"/>
                <w:sz w:val="16"/>
                <w:szCs w:val="16"/>
              </w:rPr>
            </w:pPr>
          </w:p>
        </w:tc>
        <w:tc>
          <w:tcPr>
            <w:tcW w:w="1482" w:type="dxa"/>
            <w:tcBorders>
              <w:top w:val="nil"/>
              <w:left w:val="nil"/>
              <w:bottom w:val="single" w:sz="4" w:space="0" w:color="auto"/>
              <w:right w:val="single" w:sz="4" w:space="0" w:color="auto"/>
            </w:tcBorders>
            <w:vAlign w:val="center"/>
          </w:tcPr>
          <w:p w14:paraId="42278097"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w:t>
            </w:r>
          </w:p>
        </w:tc>
        <w:tc>
          <w:tcPr>
            <w:tcW w:w="1595" w:type="dxa"/>
            <w:tcBorders>
              <w:top w:val="nil"/>
              <w:left w:val="nil"/>
              <w:bottom w:val="single" w:sz="4" w:space="0" w:color="auto"/>
              <w:right w:val="single" w:sz="4" w:space="0" w:color="auto"/>
            </w:tcBorders>
            <w:vAlign w:val="center"/>
          </w:tcPr>
          <w:p w14:paraId="007D0650"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(0,6)</w:t>
            </w:r>
          </w:p>
        </w:tc>
        <w:tc>
          <w:tcPr>
            <w:tcW w:w="1180" w:type="dxa"/>
            <w:tcBorders>
              <w:top w:val="nil"/>
              <w:left w:val="nil"/>
              <w:bottom w:val="single" w:sz="4" w:space="0" w:color="auto"/>
              <w:right w:val="single" w:sz="4" w:space="0" w:color="auto"/>
            </w:tcBorders>
            <w:vAlign w:val="center"/>
          </w:tcPr>
          <w:p w14:paraId="5767E7C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-0,5 (-1,6;0,5)</w:t>
            </w:r>
          </w:p>
        </w:tc>
        <w:tc>
          <w:tcPr>
            <w:tcW w:w="1170" w:type="dxa"/>
            <w:tcBorders>
              <w:top w:val="nil"/>
              <w:left w:val="nil"/>
              <w:bottom w:val="single" w:sz="4" w:space="0" w:color="auto"/>
              <w:right w:val="single" w:sz="4" w:space="0" w:color="auto"/>
            </w:tcBorders>
            <w:vAlign w:val="center"/>
          </w:tcPr>
          <w:p w14:paraId="4832B5E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tcPr>
          <w:p w14:paraId="5C79153D"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tcPr>
          <w:p w14:paraId="2C30B973" w14:textId="77777777" w:rsidR="00703B09" w:rsidRDefault="00703B09" w:rsidP="00703B09">
            <w:pPr>
              <w:rPr>
                <w:sz w:val="20"/>
                <w:szCs w:val="20"/>
              </w:rPr>
            </w:pPr>
          </w:p>
        </w:tc>
      </w:tr>
      <w:tr w:rsidR="00703B09" w14:paraId="0FE42F5A" w14:textId="77777777" w:rsidTr="00210F12">
        <w:trPr>
          <w:trHeight w:val="450"/>
        </w:trPr>
        <w:tc>
          <w:tcPr>
            <w:tcW w:w="2061" w:type="dxa"/>
            <w:tcBorders>
              <w:top w:val="nil"/>
              <w:left w:val="single" w:sz="8" w:space="0" w:color="auto"/>
              <w:bottom w:val="single" w:sz="4" w:space="0" w:color="auto"/>
              <w:right w:val="single" w:sz="4" w:space="0" w:color="auto"/>
            </w:tcBorders>
            <w:shd w:val="clear" w:color="auto" w:fill="E7E6E6"/>
            <w:vAlign w:val="center"/>
          </w:tcPr>
          <w:p w14:paraId="1D7C6748" w14:textId="77777777" w:rsidR="00703B09" w:rsidRDefault="00703B09" w:rsidP="00703B09">
            <w:pPr>
              <w:jc w:val="center"/>
              <w:rPr>
                <w:rFonts w:ascii="Arial" w:hAnsi="Arial" w:cs="Arial"/>
                <w:b/>
                <w:bCs/>
                <w:i/>
                <w:iCs/>
                <w:color w:val="000000"/>
                <w:sz w:val="16"/>
                <w:szCs w:val="16"/>
              </w:rPr>
            </w:pPr>
            <w:r w:rsidRPr="00E134B9">
              <w:rPr>
                <w:rFonts w:ascii="Arial" w:hAnsi="Arial" w:cs="Arial"/>
                <w:b/>
                <w:bCs/>
                <w:i/>
                <w:iCs/>
                <w:color w:val="000000"/>
                <w:sz w:val="16"/>
                <w:szCs w:val="16"/>
              </w:rPr>
              <w:t>Pacientes con EA que condicionan la suspensión del tratamiento</w:t>
            </w:r>
          </w:p>
        </w:tc>
        <w:tc>
          <w:tcPr>
            <w:tcW w:w="1482" w:type="dxa"/>
            <w:tcBorders>
              <w:top w:val="nil"/>
              <w:left w:val="nil"/>
              <w:bottom w:val="single" w:sz="4" w:space="0" w:color="auto"/>
              <w:right w:val="single" w:sz="4" w:space="0" w:color="auto"/>
            </w:tcBorders>
            <w:vAlign w:val="center"/>
          </w:tcPr>
          <w:p w14:paraId="4892EE2D"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w:t>
            </w:r>
          </w:p>
        </w:tc>
        <w:tc>
          <w:tcPr>
            <w:tcW w:w="1595" w:type="dxa"/>
            <w:tcBorders>
              <w:top w:val="nil"/>
              <w:left w:val="nil"/>
              <w:bottom w:val="single" w:sz="4" w:space="0" w:color="auto"/>
              <w:right w:val="single" w:sz="4" w:space="0" w:color="auto"/>
            </w:tcBorders>
            <w:vAlign w:val="center"/>
          </w:tcPr>
          <w:p w14:paraId="47C816F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w:t>
            </w:r>
          </w:p>
        </w:tc>
        <w:tc>
          <w:tcPr>
            <w:tcW w:w="1180" w:type="dxa"/>
            <w:tcBorders>
              <w:top w:val="nil"/>
              <w:left w:val="nil"/>
              <w:bottom w:val="single" w:sz="4" w:space="0" w:color="auto"/>
              <w:right w:val="single" w:sz="4" w:space="0" w:color="auto"/>
            </w:tcBorders>
            <w:vAlign w:val="center"/>
          </w:tcPr>
          <w:p w14:paraId="622569F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w:t>
            </w:r>
          </w:p>
        </w:tc>
        <w:tc>
          <w:tcPr>
            <w:tcW w:w="1170" w:type="dxa"/>
            <w:tcBorders>
              <w:top w:val="nil"/>
              <w:left w:val="nil"/>
              <w:bottom w:val="single" w:sz="4" w:space="0" w:color="auto"/>
              <w:right w:val="single" w:sz="4" w:space="0" w:color="auto"/>
            </w:tcBorders>
            <w:vAlign w:val="center"/>
          </w:tcPr>
          <w:p w14:paraId="505F85C5"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w:t>
            </w:r>
          </w:p>
          <w:p w14:paraId="7B9BAA42" w14:textId="77777777" w:rsidR="00703B09" w:rsidRDefault="00703B09" w:rsidP="00703B09">
            <w:pPr>
              <w:jc w:val="center"/>
              <w:rPr>
                <w:rFonts w:ascii="Arial" w:hAnsi="Arial" w:cs="Arial"/>
                <w:i/>
                <w:iCs/>
                <w:color w:val="000000"/>
                <w:sz w:val="16"/>
                <w:szCs w:val="16"/>
              </w:rPr>
            </w:pPr>
          </w:p>
        </w:tc>
        <w:tc>
          <w:tcPr>
            <w:tcW w:w="1186" w:type="dxa"/>
            <w:tcBorders>
              <w:top w:val="nil"/>
              <w:left w:val="nil"/>
              <w:bottom w:val="single" w:sz="4" w:space="0" w:color="auto"/>
              <w:right w:val="single" w:sz="8" w:space="0" w:color="auto"/>
            </w:tcBorders>
            <w:vAlign w:val="center"/>
          </w:tcPr>
          <w:p w14:paraId="1DDFA20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w:t>
            </w:r>
          </w:p>
          <w:p w14:paraId="2758EB7F" w14:textId="77777777" w:rsidR="00703B09" w:rsidRDefault="00703B09" w:rsidP="00703B09">
            <w:pPr>
              <w:jc w:val="center"/>
              <w:rPr>
                <w:rFonts w:ascii="Arial" w:hAnsi="Arial" w:cs="Arial"/>
                <w:i/>
                <w:iCs/>
                <w:color w:val="000000"/>
                <w:sz w:val="16"/>
                <w:szCs w:val="16"/>
              </w:rPr>
            </w:pPr>
          </w:p>
        </w:tc>
        <w:tc>
          <w:tcPr>
            <w:tcW w:w="146" w:type="dxa"/>
            <w:vAlign w:val="center"/>
          </w:tcPr>
          <w:p w14:paraId="194F3D02" w14:textId="77777777" w:rsidR="00703B09" w:rsidRDefault="00703B09" w:rsidP="00703B09">
            <w:pPr>
              <w:rPr>
                <w:sz w:val="20"/>
                <w:szCs w:val="20"/>
              </w:rPr>
            </w:pPr>
          </w:p>
        </w:tc>
      </w:tr>
      <w:tr w:rsidR="00703B09" w14:paraId="5C22298C"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3FF936F5"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Trastornos del sistema sanguíneo y linfático</w:t>
            </w:r>
          </w:p>
        </w:tc>
        <w:tc>
          <w:tcPr>
            <w:tcW w:w="1482" w:type="dxa"/>
            <w:tcBorders>
              <w:top w:val="nil"/>
              <w:left w:val="nil"/>
              <w:bottom w:val="single" w:sz="4" w:space="0" w:color="auto"/>
              <w:right w:val="single" w:sz="4" w:space="0" w:color="auto"/>
            </w:tcBorders>
            <w:vAlign w:val="center"/>
            <w:hideMark/>
          </w:tcPr>
          <w:p w14:paraId="56BE35BC"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(1,2)</w:t>
            </w:r>
          </w:p>
        </w:tc>
        <w:tc>
          <w:tcPr>
            <w:tcW w:w="1595" w:type="dxa"/>
            <w:tcBorders>
              <w:top w:val="nil"/>
              <w:left w:val="nil"/>
              <w:bottom w:val="single" w:sz="4" w:space="0" w:color="auto"/>
              <w:right w:val="single" w:sz="4" w:space="0" w:color="auto"/>
            </w:tcBorders>
            <w:vAlign w:val="center"/>
            <w:hideMark/>
          </w:tcPr>
          <w:p w14:paraId="5A205A3E"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(1,1)</w:t>
            </w:r>
          </w:p>
        </w:tc>
        <w:tc>
          <w:tcPr>
            <w:tcW w:w="1180" w:type="dxa"/>
            <w:tcBorders>
              <w:top w:val="nil"/>
              <w:left w:val="nil"/>
              <w:bottom w:val="single" w:sz="4" w:space="0" w:color="auto"/>
              <w:right w:val="single" w:sz="4" w:space="0" w:color="auto"/>
            </w:tcBorders>
            <w:vAlign w:val="center"/>
            <w:hideMark/>
          </w:tcPr>
          <w:p w14:paraId="2632DA6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0,1 (-2;2)</w:t>
            </w:r>
          </w:p>
        </w:tc>
        <w:tc>
          <w:tcPr>
            <w:tcW w:w="1170" w:type="dxa"/>
            <w:tcBorders>
              <w:top w:val="nil"/>
              <w:left w:val="nil"/>
              <w:bottom w:val="single" w:sz="4" w:space="0" w:color="auto"/>
              <w:right w:val="single" w:sz="4" w:space="0" w:color="auto"/>
            </w:tcBorders>
            <w:vAlign w:val="center"/>
            <w:hideMark/>
          </w:tcPr>
          <w:p w14:paraId="07F1B87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5F3EDAFD"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0963FE5F" w14:textId="77777777" w:rsidR="00703B09" w:rsidRDefault="00703B09" w:rsidP="00703B09">
            <w:pPr>
              <w:rPr>
                <w:sz w:val="20"/>
                <w:szCs w:val="20"/>
              </w:rPr>
            </w:pPr>
          </w:p>
        </w:tc>
      </w:tr>
      <w:tr w:rsidR="00703B09" w14:paraId="58D42E19"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25A0D20D"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Trastornos oculares</w:t>
            </w:r>
          </w:p>
        </w:tc>
        <w:tc>
          <w:tcPr>
            <w:tcW w:w="1482" w:type="dxa"/>
            <w:tcBorders>
              <w:top w:val="nil"/>
              <w:left w:val="nil"/>
              <w:bottom w:val="single" w:sz="4" w:space="0" w:color="auto"/>
              <w:right w:val="single" w:sz="4" w:space="0" w:color="auto"/>
            </w:tcBorders>
            <w:vAlign w:val="center"/>
            <w:hideMark/>
          </w:tcPr>
          <w:p w14:paraId="25A70FAC"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(1,2)</w:t>
            </w:r>
          </w:p>
        </w:tc>
        <w:tc>
          <w:tcPr>
            <w:tcW w:w="1595" w:type="dxa"/>
            <w:tcBorders>
              <w:top w:val="nil"/>
              <w:left w:val="nil"/>
              <w:bottom w:val="single" w:sz="4" w:space="0" w:color="auto"/>
              <w:right w:val="single" w:sz="4" w:space="0" w:color="auto"/>
            </w:tcBorders>
            <w:vAlign w:val="center"/>
            <w:hideMark/>
          </w:tcPr>
          <w:p w14:paraId="1510EFE3"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(1,1)</w:t>
            </w:r>
          </w:p>
        </w:tc>
        <w:tc>
          <w:tcPr>
            <w:tcW w:w="1180" w:type="dxa"/>
            <w:tcBorders>
              <w:top w:val="nil"/>
              <w:left w:val="nil"/>
              <w:bottom w:val="single" w:sz="4" w:space="0" w:color="auto"/>
              <w:right w:val="single" w:sz="4" w:space="0" w:color="auto"/>
            </w:tcBorders>
            <w:vAlign w:val="center"/>
            <w:hideMark/>
          </w:tcPr>
          <w:p w14:paraId="45CF85F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0,1 (-2;2)</w:t>
            </w:r>
          </w:p>
        </w:tc>
        <w:tc>
          <w:tcPr>
            <w:tcW w:w="1170" w:type="dxa"/>
            <w:tcBorders>
              <w:top w:val="nil"/>
              <w:left w:val="nil"/>
              <w:bottom w:val="single" w:sz="4" w:space="0" w:color="auto"/>
              <w:right w:val="single" w:sz="4" w:space="0" w:color="auto"/>
            </w:tcBorders>
            <w:vAlign w:val="center"/>
            <w:hideMark/>
          </w:tcPr>
          <w:p w14:paraId="455459C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50044450"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4EBD8CED" w14:textId="77777777" w:rsidR="00703B09" w:rsidRDefault="00703B09" w:rsidP="00703B09">
            <w:pPr>
              <w:rPr>
                <w:sz w:val="20"/>
                <w:szCs w:val="20"/>
              </w:rPr>
            </w:pPr>
          </w:p>
        </w:tc>
      </w:tr>
      <w:tr w:rsidR="00703B09" w14:paraId="077FE04F"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5EF9524B"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Trastornos gastrointestinales</w:t>
            </w:r>
          </w:p>
        </w:tc>
        <w:tc>
          <w:tcPr>
            <w:tcW w:w="1482" w:type="dxa"/>
            <w:tcBorders>
              <w:top w:val="nil"/>
              <w:left w:val="nil"/>
              <w:bottom w:val="single" w:sz="4" w:space="0" w:color="auto"/>
              <w:right w:val="single" w:sz="4" w:space="0" w:color="auto"/>
            </w:tcBorders>
            <w:vAlign w:val="center"/>
            <w:hideMark/>
          </w:tcPr>
          <w:p w14:paraId="1DD6DF97"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9 (5,4)</w:t>
            </w:r>
          </w:p>
        </w:tc>
        <w:tc>
          <w:tcPr>
            <w:tcW w:w="1595" w:type="dxa"/>
            <w:tcBorders>
              <w:top w:val="nil"/>
              <w:left w:val="nil"/>
              <w:bottom w:val="single" w:sz="4" w:space="0" w:color="auto"/>
              <w:right w:val="single" w:sz="4" w:space="0" w:color="auto"/>
            </w:tcBorders>
            <w:vAlign w:val="center"/>
            <w:hideMark/>
          </w:tcPr>
          <w:p w14:paraId="574C5D40"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7 (3,8)</w:t>
            </w:r>
          </w:p>
        </w:tc>
        <w:tc>
          <w:tcPr>
            <w:tcW w:w="1180" w:type="dxa"/>
            <w:tcBorders>
              <w:top w:val="nil"/>
              <w:left w:val="nil"/>
              <w:bottom w:val="single" w:sz="4" w:space="0" w:color="auto"/>
              <w:right w:val="single" w:sz="4" w:space="0" w:color="auto"/>
            </w:tcBorders>
            <w:vAlign w:val="center"/>
            <w:hideMark/>
          </w:tcPr>
          <w:p w14:paraId="27A23F5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1,6 (-2;6)</w:t>
            </w:r>
          </w:p>
        </w:tc>
        <w:tc>
          <w:tcPr>
            <w:tcW w:w="1170" w:type="dxa"/>
            <w:tcBorders>
              <w:top w:val="nil"/>
              <w:left w:val="nil"/>
              <w:bottom w:val="single" w:sz="4" w:space="0" w:color="auto"/>
              <w:right w:val="single" w:sz="4" w:space="0" w:color="auto"/>
            </w:tcBorders>
            <w:vAlign w:val="center"/>
            <w:hideMark/>
          </w:tcPr>
          <w:p w14:paraId="16648CF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2A811848"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358D443E" w14:textId="77777777" w:rsidR="00703B09" w:rsidRDefault="00703B09" w:rsidP="00703B09">
            <w:pPr>
              <w:rPr>
                <w:sz w:val="20"/>
                <w:szCs w:val="20"/>
              </w:rPr>
            </w:pPr>
          </w:p>
        </w:tc>
      </w:tr>
      <w:tr w:rsidR="00703B09" w14:paraId="1918C5B0"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4FCCEBB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Diarrea</w:t>
            </w:r>
          </w:p>
        </w:tc>
        <w:tc>
          <w:tcPr>
            <w:tcW w:w="1482" w:type="dxa"/>
            <w:tcBorders>
              <w:top w:val="nil"/>
              <w:left w:val="nil"/>
              <w:bottom w:val="single" w:sz="4" w:space="0" w:color="auto"/>
              <w:right w:val="single" w:sz="4" w:space="0" w:color="auto"/>
            </w:tcBorders>
            <w:vAlign w:val="center"/>
            <w:hideMark/>
          </w:tcPr>
          <w:p w14:paraId="037CEF4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3 (1,8)</w:t>
            </w:r>
          </w:p>
        </w:tc>
        <w:tc>
          <w:tcPr>
            <w:tcW w:w="1595" w:type="dxa"/>
            <w:tcBorders>
              <w:top w:val="nil"/>
              <w:left w:val="nil"/>
              <w:bottom w:val="single" w:sz="4" w:space="0" w:color="auto"/>
              <w:right w:val="single" w:sz="4" w:space="0" w:color="auto"/>
            </w:tcBorders>
            <w:vAlign w:val="center"/>
            <w:hideMark/>
          </w:tcPr>
          <w:p w14:paraId="6AF552E8"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(1,1)</w:t>
            </w:r>
          </w:p>
        </w:tc>
        <w:tc>
          <w:tcPr>
            <w:tcW w:w="1180" w:type="dxa"/>
            <w:tcBorders>
              <w:top w:val="nil"/>
              <w:left w:val="nil"/>
              <w:bottom w:val="single" w:sz="4" w:space="0" w:color="auto"/>
              <w:right w:val="single" w:sz="4" w:space="0" w:color="auto"/>
            </w:tcBorders>
            <w:vAlign w:val="center"/>
            <w:hideMark/>
          </w:tcPr>
          <w:p w14:paraId="607A8ABC"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0,7 (-2;3)</w:t>
            </w:r>
          </w:p>
        </w:tc>
        <w:tc>
          <w:tcPr>
            <w:tcW w:w="1170" w:type="dxa"/>
            <w:tcBorders>
              <w:top w:val="nil"/>
              <w:left w:val="nil"/>
              <w:bottom w:val="single" w:sz="4" w:space="0" w:color="auto"/>
              <w:right w:val="single" w:sz="4" w:space="0" w:color="auto"/>
            </w:tcBorders>
            <w:vAlign w:val="center"/>
            <w:hideMark/>
          </w:tcPr>
          <w:p w14:paraId="5829434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42062992"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0175A3C7" w14:textId="77777777" w:rsidR="00703B09" w:rsidRDefault="00703B09" w:rsidP="00703B09">
            <w:pPr>
              <w:rPr>
                <w:sz w:val="20"/>
                <w:szCs w:val="20"/>
              </w:rPr>
            </w:pPr>
          </w:p>
        </w:tc>
      </w:tr>
      <w:tr w:rsidR="00703B09" w14:paraId="0D499C85"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6664B3D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Nausea</w:t>
            </w:r>
          </w:p>
        </w:tc>
        <w:tc>
          <w:tcPr>
            <w:tcW w:w="1482" w:type="dxa"/>
            <w:tcBorders>
              <w:top w:val="nil"/>
              <w:left w:val="nil"/>
              <w:bottom w:val="single" w:sz="4" w:space="0" w:color="auto"/>
              <w:right w:val="single" w:sz="4" w:space="0" w:color="auto"/>
            </w:tcBorders>
            <w:vAlign w:val="center"/>
            <w:hideMark/>
          </w:tcPr>
          <w:p w14:paraId="4054790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w:t>
            </w:r>
          </w:p>
        </w:tc>
        <w:tc>
          <w:tcPr>
            <w:tcW w:w="1595" w:type="dxa"/>
            <w:tcBorders>
              <w:top w:val="nil"/>
              <w:left w:val="nil"/>
              <w:bottom w:val="single" w:sz="4" w:space="0" w:color="auto"/>
              <w:right w:val="single" w:sz="4" w:space="0" w:color="auto"/>
            </w:tcBorders>
            <w:vAlign w:val="center"/>
            <w:hideMark/>
          </w:tcPr>
          <w:p w14:paraId="03B457B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(1,1)</w:t>
            </w:r>
          </w:p>
        </w:tc>
        <w:tc>
          <w:tcPr>
            <w:tcW w:w="1180" w:type="dxa"/>
            <w:tcBorders>
              <w:top w:val="nil"/>
              <w:left w:val="nil"/>
              <w:bottom w:val="single" w:sz="4" w:space="0" w:color="auto"/>
              <w:right w:val="single" w:sz="4" w:space="0" w:color="auto"/>
            </w:tcBorders>
            <w:vAlign w:val="center"/>
            <w:hideMark/>
          </w:tcPr>
          <w:p w14:paraId="3894D9B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(-3;0)</w:t>
            </w:r>
          </w:p>
        </w:tc>
        <w:tc>
          <w:tcPr>
            <w:tcW w:w="1170" w:type="dxa"/>
            <w:tcBorders>
              <w:top w:val="nil"/>
              <w:left w:val="nil"/>
              <w:bottom w:val="single" w:sz="4" w:space="0" w:color="auto"/>
              <w:right w:val="single" w:sz="4" w:space="0" w:color="auto"/>
            </w:tcBorders>
            <w:vAlign w:val="center"/>
            <w:hideMark/>
          </w:tcPr>
          <w:p w14:paraId="41715F6E"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3566D4E8"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450288DF" w14:textId="77777777" w:rsidR="00703B09" w:rsidRDefault="00703B09" w:rsidP="00703B09">
            <w:pPr>
              <w:rPr>
                <w:sz w:val="20"/>
                <w:szCs w:val="20"/>
              </w:rPr>
            </w:pPr>
          </w:p>
        </w:tc>
      </w:tr>
      <w:tr w:rsidR="00703B09" w14:paraId="1BB81BFE" w14:textId="77777777" w:rsidTr="00E134B9">
        <w:trPr>
          <w:trHeight w:val="840"/>
        </w:trPr>
        <w:tc>
          <w:tcPr>
            <w:tcW w:w="2061" w:type="dxa"/>
            <w:tcBorders>
              <w:top w:val="nil"/>
              <w:left w:val="single" w:sz="8" w:space="0" w:color="auto"/>
              <w:bottom w:val="single" w:sz="4" w:space="0" w:color="auto"/>
              <w:right w:val="single" w:sz="4" w:space="0" w:color="auto"/>
            </w:tcBorders>
            <w:vAlign w:val="center"/>
            <w:hideMark/>
          </w:tcPr>
          <w:p w14:paraId="5C06550F"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Trastornos generales  tras administración (fiebre, fatiga, dolor en lugar de inyección)</w:t>
            </w:r>
          </w:p>
        </w:tc>
        <w:tc>
          <w:tcPr>
            <w:tcW w:w="1482" w:type="dxa"/>
            <w:tcBorders>
              <w:top w:val="nil"/>
              <w:left w:val="nil"/>
              <w:bottom w:val="single" w:sz="4" w:space="0" w:color="auto"/>
              <w:right w:val="single" w:sz="4" w:space="0" w:color="auto"/>
            </w:tcBorders>
            <w:vAlign w:val="center"/>
            <w:hideMark/>
          </w:tcPr>
          <w:p w14:paraId="79FA09D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8 (4,8)</w:t>
            </w:r>
          </w:p>
        </w:tc>
        <w:tc>
          <w:tcPr>
            <w:tcW w:w="1595" w:type="dxa"/>
            <w:tcBorders>
              <w:top w:val="nil"/>
              <w:left w:val="nil"/>
              <w:bottom w:val="single" w:sz="4" w:space="0" w:color="auto"/>
              <w:right w:val="single" w:sz="4" w:space="0" w:color="auto"/>
            </w:tcBorders>
            <w:vAlign w:val="center"/>
            <w:hideMark/>
          </w:tcPr>
          <w:p w14:paraId="08599FA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7 (3,8)</w:t>
            </w:r>
          </w:p>
        </w:tc>
        <w:tc>
          <w:tcPr>
            <w:tcW w:w="1180" w:type="dxa"/>
            <w:tcBorders>
              <w:top w:val="nil"/>
              <w:left w:val="nil"/>
              <w:bottom w:val="single" w:sz="4" w:space="0" w:color="auto"/>
              <w:right w:val="single" w:sz="4" w:space="0" w:color="auto"/>
            </w:tcBorders>
            <w:vAlign w:val="center"/>
            <w:hideMark/>
          </w:tcPr>
          <w:p w14:paraId="714EBC6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(-3;5)</w:t>
            </w:r>
          </w:p>
        </w:tc>
        <w:tc>
          <w:tcPr>
            <w:tcW w:w="1170" w:type="dxa"/>
            <w:tcBorders>
              <w:top w:val="nil"/>
              <w:left w:val="nil"/>
              <w:bottom w:val="single" w:sz="4" w:space="0" w:color="auto"/>
              <w:right w:val="single" w:sz="4" w:space="0" w:color="auto"/>
            </w:tcBorders>
            <w:vAlign w:val="center"/>
            <w:hideMark/>
          </w:tcPr>
          <w:p w14:paraId="749DD8F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66993BCB"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1F97C047" w14:textId="77777777" w:rsidR="00703B09" w:rsidRDefault="00703B09" w:rsidP="00703B09">
            <w:pPr>
              <w:rPr>
                <w:sz w:val="20"/>
                <w:szCs w:val="20"/>
              </w:rPr>
            </w:pPr>
          </w:p>
        </w:tc>
      </w:tr>
      <w:tr w:rsidR="00703B09" w14:paraId="09009DA3"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01169B98"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Infecciones</w:t>
            </w:r>
          </w:p>
        </w:tc>
        <w:tc>
          <w:tcPr>
            <w:tcW w:w="1482" w:type="dxa"/>
            <w:tcBorders>
              <w:top w:val="nil"/>
              <w:left w:val="nil"/>
              <w:bottom w:val="single" w:sz="4" w:space="0" w:color="auto"/>
              <w:right w:val="single" w:sz="4" w:space="0" w:color="auto"/>
            </w:tcBorders>
            <w:vAlign w:val="center"/>
            <w:hideMark/>
          </w:tcPr>
          <w:p w14:paraId="5B5BD22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48 (28,7)</w:t>
            </w:r>
          </w:p>
        </w:tc>
        <w:tc>
          <w:tcPr>
            <w:tcW w:w="1595" w:type="dxa"/>
            <w:tcBorders>
              <w:top w:val="nil"/>
              <w:left w:val="nil"/>
              <w:bottom w:val="single" w:sz="4" w:space="0" w:color="auto"/>
              <w:right w:val="single" w:sz="4" w:space="0" w:color="auto"/>
            </w:tcBorders>
            <w:vAlign w:val="center"/>
            <w:hideMark/>
          </w:tcPr>
          <w:p w14:paraId="6C9A54B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58 (31,5)</w:t>
            </w:r>
          </w:p>
        </w:tc>
        <w:tc>
          <w:tcPr>
            <w:tcW w:w="1180" w:type="dxa"/>
            <w:tcBorders>
              <w:top w:val="nil"/>
              <w:left w:val="nil"/>
              <w:bottom w:val="single" w:sz="4" w:space="0" w:color="auto"/>
              <w:right w:val="single" w:sz="4" w:space="0" w:color="auto"/>
            </w:tcBorders>
            <w:vAlign w:val="center"/>
            <w:hideMark/>
          </w:tcPr>
          <w:p w14:paraId="77B11CBD"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-3 (-12;7)</w:t>
            </w:r>
          </w:p>
        </w:tc>
        <w:tc>
          <w:tcPr>
            <w:tcW w:w="1170" w:type="dxa"/>
            <w:tcBorders>
              <w:top w:val="nil"/>
              <w:left w:val="nil"/>
              <w:bottom w:val="single" w:sz="4" w:space="0" w:color="auto"/>
              <w:right w:val="single" w:sz="4" w:space="0" w:color="auto"/>
            </w:tcBorders>
            <w:vAlign w:val="center"/>
            <w:hideMark/>
          </w:tcPr>
          <w:p w14:paraId="60A86F47"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38C1D0EF"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7E792801" w14:textId="77777777" w:rsidR="00703B09" w:rsidRDefault="00703B09" w:rsidP="00703B09">
            <w:pPr>
              <w:rPr>
                <w:sz w:val="20"/>
                <w:szCs w:val="20"/>
              </w:rPr>
            </w:pPr>
          </w:p>
        </w:tc>
      </w:tr>
      <w:tr w:rsidR="00703B09" w14:paraId="3338B44E"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77AC1FA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Nasofaringitis</w:t>
            </w:r>
          </w:p>
        </w:tc>
        <w:tc>
          <w:tcPr>
            <w:tcW w:w="1482" w:type="dxa"/>
            <w:tcBorders>
              <w:top w:val="nil"/>
              <w:left w:val="nil"/>
              <w:bottom w:val="single" w:sz="4" w:space="0" w:color="auto"/>
              <w:right w:val="single" w:sz="4" w:space="0" w:color="auto"/>
            </w:tcBorders>
            <w:vAlign w:val="center"/>
            <w:hideMark/>
          </w:tcPr>
          <w:p w14:paraId="21470E4E"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8 (4,8)</w:t>
            </w:r>
          </w:p>
        </w:tc>
        <w:tc>
          <w:tcPr>
            <w:tcW w:w="1595" w:type="dxa"/>
            <w:tcBorders>
              <w:top w:val="nil"/>
              <w:left w:val="nil"/>
              <w:bottom w:val="single" w:sz="4" w:space="0" w:color="auto"/>
              <w:right w:val="single" w:sz="4" w:space="0" w:color="auto"/>
            </w:tcBorders>
            <w:vAlign w:val="center"/>
            <w:hideMark/>
          </w:tcPr>
          <w:p w14:paraId="3DFC8880"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12 (6,5)</w:t>
            </w:r>
          </w:p>
        </w:tc>
        <w:tc>
          <w:tcPr>
            <w:tcW w:w="1180" w:type="dxa"/>
            <w:tcBorders>
              <w:top w:val="nil"/>
              <w:left w:val="nil"/>
              <w:bottom w:val="single" w:sz="4" w:space="0" w:color="auto"/>
              <w:right w:val="single" w:sz="4" w:space="0" w:color="auto"/>
            </w:tcBorders>
            <w:vAlign w:val="center"/>
            <w:hideMark/>
          </w:tcPr>
          <w:p w14:paraId="1C0D58E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-1,8 (-7;3)</w:t>
            </w:r>
          </w:p>
        </w:tc>
        <w:tc>
          <w:tcPr>
            <w:tcW w:w="1170" w:type="dxa"/>
            <w:tcBorders>
              <w:top w:val="nil"/>
              <w:left w:val="nil"/>
              <w:bottom w:val="single" w:sz="4" w:space="0" w:color="auto"/>
              <w:right w:val="single" w:sz="4" w:space="0" w:color="auto"/>
            </w:tcBorders>
            <w:vAlign w:val="center"/>
            <w:hideMark/>
          </w:tcPr>
          <w:p w14:paraId="4717D3C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78238467"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059B55D6" w14:textId="77777777" w:rsidR="00703B09" w:rsidRDefault="00703B09" w:rsidP="00703B09">
            <w:pPr>
              <w:rPr>
                <w:sz w:val="20"/>
                <w:szCs w:val="20"/>
              </w:rPr>
            </w:pPr>
          </w:p>
        </w:tc>
      </w:tr>
      <w:tr w:rsidR="00703B09" w14:paraId="669B4FA2"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2169EBB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Infección vías respiratorias altas</w:t>
            </w:r>
          </w:p>
        </w:tc>
        <w:tc>
          <w:tcPr>
            <w:tcW w:w="1482" w:type="dxa"/>
            <w:tcBorders>
              <w:top w:val="nil"/>
              <w:left w:val="nil"/>
              <w:bottom w:val="single" w:sz="4" w:space="0" w:color="auto"/>
              <w:right w:val="single" w:sz="4" w:space="0" w:color="auto"/>
            </w:tcBorders>
            <w:vAlign w:val="center"/>
            <w:hideMark/>
          </w:tcPr>
          <w:p w14:paraId="77842A4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5 (3,0)</w:t>
            </w:r>
          </w:p>
        </w:tc>
        <w:tc>
          <w:tcPr>
            <w:tcW w:w="1595" w:type="dxa"/>
            <w:tcBorders>
              <w:top w:val="nil"/>
              <w:left w:val="nil"/>
              <w:bottom w:val="single" w:sz="4" w:space="0" w:color="auto"/>
              <w:right w:val="single" w:sz="4" w:space="0" w:color="auto"/>
            </w:tcBorders>
            <w:vAlign w:val="center"/>
            <w:hideMark/>
          </w:tcPr>
          <w:p w14:paraId="245720D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11 (6,0)</w:t>
            </w:r>
          </w:p>
        </w:tc>
        <w:tc>
          <w:tcPr>
            <w:tcW w:w="1180" w:type="dxa"/>
            <w:tcBorders>
              <w:top w:val="nil"/>
              <w:left w:val="nil"/>
              <w:bottom w:val="single" w:sz="4" w:space="0" w:color="auto"/>
              <w:right w:val="single" w:sz="4" w:space="0" w:color="auto"/>
            </w:tcBorders>
            <w:vAlign w:val="center"/>
            <w:hideMark/>
          </w:tcPr>
          <w:p w14:paraId="3D92B3C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-3 (-7;1)</w:t>
            </w:r>
          </w:p>
        </w:tc>
        <w:tc>
          <w:tcPr>
            <w:tcW w:w="1170" w:type="dxa"/>
            <w:tcBorders>
              <w:top w:val="nil"/>
              <w:left w:val="nil"/>
              <w:bottom w:val="single" w:sz="4" w:space="0" w:color="auto"/>
              <w:right w:val="single" w:sz="4" w:space="0" w:color="auto"/>
            </w:tcBorders>
            <w:vAlign w:val="center"/>
            <w:hideMark/>
          </w:tcPr>
          <w:p w14:paraId="4008194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11BDE0C1"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3C64158B" w14:textId="77777777" w:rsidR="00703B09" w:rsidRDefault="00703B09" w:rsidP="00703B09">
            <w:pPr>
              <w:rPr>
                <w:sz w:val="20"/>
                <w:szCs w:val="20"/>
              </w:rPr>
            </w:pPr>
          </w:p>
        </w:tc>
      </w:tr>
      <w:tr w:rsidR="00703B09" w14:paraId="2968139C"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6F4AE765"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COVID-19</w:t>
            </w:r>
          </w:p>
        </w:tc>
        <w:tc>
          <w:tcPr>
            <w:tcW w:w="1482" w:type="dxa"/>
            <w:tcBorders>
              <w:top w:val="nil"/>
              <w:left w:val="nil"/>
              <w:bottom w:val="single" w:sz="4" w:space="0" w:color="auto"/>
              <w:right w:val="single" w:sz="4" w:space="0" w:color="auto"/>
            </w:tcBorders>
            <w:vAlign w:val="center"/>
            <w:hideMark/>
          </w:tcPr>
          <w:p w14:paraId="279BFCF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13 (7,8)</w:t>
            </w:r>
          </w:p>
        </w:tc>
        <w:tc>
          <w:tcPr>
            <w:tcW w:w="1595" w:type="dxa"/>
            <w:tcBorders>
              <w:top w:val="nil"/>
              <w:left w:val="nil"/>
              <w:bottom w:val="single" w:sz="4" w:space="0" w:color="auto"/>
              <w:right w:val="single" w:sz="4" w:space="0" w:color="auto"/>
            </w:tcBorders>
            <w:vAlign w:val="center"/>
            <w:hideMark/>
          </w:tcPr>
          <w:p w14:paraId="2644392B"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16 (8,7)</w:t>
            </w:r>
          </w:p>
        </w:tc>
        <w:tc>
          <w:tcPr>
            <w:tcW w:w="1180" w:type="dxa"/>
            <w:tcBorders>
              <w:top w:val="nil"/>
              <w:left w:val="nil"/>
              <w:bottom w:val="single" w:sz="4" w:space="0" w:color="auto"/>
              <w:right w:val="single" w:sz="4" w:space="0" w:color="auto"/>
            </w:tcBorders>
            <w:vAlign w:val="center"/>
            <w:hideMark/>
          </w:tcPr>
          <w:p w14:paraId="2251EB4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 xml:space="preserve"> -1 (-7;5)</w:t>
            </w:r>
          </w:p>
        </w:tc>
        <w:tc>
          <w:tcPr>
            <w:tcW w:w="1170" w:type="dxa"/>
            <w:tcBorders>
              <w:top w:val="nil"/>
              <w:left w:val="nil"/>
              <w:bottom w:val="single" w:sz="4" w:space="0" w:color="auto"/>
              <w:right w:val="single" w:sz="4" w:space="0" w:color="auto"/>
            </w:tcBorders>
            <w:vAlign w:val="center"/>
            <w:hideMark/>
          </w:tcPr>
          <w:p w14:paraId="3BBB052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10C0F878"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608C485" w14:textId="77777777" w:rsidR="00703B09" w:rsidRDefault="00703B09" w:rsidP="00703B09">
            <w:pPr>
              <w:rPr>
                <w:sz w:val="20"/>
                <w:szCs w:val="20"/>
              </w:rPr>
            </w:pPr>
          </w:p>
        </w:tc>
      </w:tr>
      <w:tr w:rsidR="00703B09" w14:paraId="00AF104E"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18C513B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Infecciones tracto urinario</w:t>
            </w:r>
          </w:p>
        </w:tc>
        <w:tc>
          <w:tcPr>
            <w:tcW w:w="1482" w:type="dxa"/>
            <w:tcBorders>
              <w:top w:val="nil"/>
              <w:left w:val="nil"/>
              <w:bottom w:val="single" w:sz="4" w:space="0" w:color="auto"/>
              <w:right w:val="single" w:sz="4" w:space="0" w:color="auto"/>
            </w:tcBorders>
            <w:vAlign w:val="center"/>
            <w:hideMark/>
          </w:tcPr>
          <w:p w14:paraId="5B92880E"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3 (1,8)</w:t>
            </w:r>
          </w:p>
        </w:tc>
        <w:tc>
          <w:tcPr>
            <w:tcW w:w="1595" w:type="dxa"/>
            <w:tcBorders>
              <w:top w:val="nil"/>
              <w:left w:val="nil"/>
              <w:bottom w:val="single" w:sz="4" w:space="0" w:color="auto"/>
              <w:right w:val="single" w:sz="4" w:space="0" w:color="auto"/>
            </w:tcBorders>
            <w:vAlign w:val="center"/>
            <w:hideMark/>
          </w:tcPr>
          <w:p w14:paraId="1F7A77D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(1,1)</w:t>
            </w:r>
          </w:p>
        </w:tc>
        <w:tc>
          <w:tcPr>
            <w:tcW w:w="1180" w:type="dxa"/>
            <w:tcBorders>
              <w:top w:val="nil"/>
              <w:left w:val="nil"/>
              <w:bottom w:val="single" w:sz="4" w:space="0" w:color="auto"/>
              <w:right w:val="single" w:sz="4" w:space="0" w:color="auto"/>
            </w:tcBorders>
            <w:vAlign w:val="center"/>
            <w:hideMark/>
          </w:tcPr>
          <w:p w14:paraId="385495D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0,7 (-2;3)</w:t>
            </w:r>
          </w:p>
        </w:tc>
        <w:tc>
          <w:tcPr>
            <w:tcW w:w="1170" w:type="dxa"/>
            <w:tcBorders>
              <w:top w:val="nil"/>
              <w:left w:val="nil"/>
              <w:bottom w:val="single" w:sz="4" w:space="0" w:color="auto"/>
              <w:right w:val="single" w:sz="4" w:space="0" w:color="auto"/>
            </w:tcBorders>
            <w:vAlign w:val="center"/>
            <w:hideMark/>
          </w:tcPr>
          <w:p w14:paraId="200593C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11021880"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1872A19F" w14:textId="77777777" w:rsidR="00703B09" w:rsidRDefault="00703B09" w:rsidP="00703B09">
            <w:pPr>
              <w:rPr>
                <w:sz w:val="20"/>
                <w:szCs w:val="20"/>
              </w:rPr>
            </w:pPr>
          </w:p>
        </w:tc>
      </w:tr>
      <w:tr w:rsidR="00703B09" w14:paraId="39E0655C"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5711350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Sinusitis</w:t>
            </w:r>
          </w:p>
        </w:tc>
        <w:tc>
          <w:tcPr>
            <w:tcW w:w="1482" w:type="dxa"/>
            <w:tcBorders>
              <w:top w:val="nil"/>
              <w:left w:val="nil"/>
              <w:bottom w:val="single" w:sz="4" w:space="0" w:color="auto"/>
              <w:right w:val="single" w:sz="4" w:space="0" w:color="auto"/>
            </w:tcBorders>
            <w:vAlign w:val="center"/>
            <w:hideMark/>
          </w:tcPr>
          <w:p w14:paraId="4A2B822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3 (1,8)</w:t>
            </w:r>
          </w:p>
        </w:tc>
        <w:tc>
          <w:tcPr>
            <w:tcW w:w="1595" w:type="dxa"/>
            <w:tcBorders>
              <w:top w:val="nil"/>
              <w:left w:val="nil"/>
              <w:bottom w:val="single" w:sz="4" w:space="0" w:color="auto"/>
              <w:right w:val="single" w:sz="4" w:space="0" w:color="auto"/>
            </w:tcBorders>
            <w:vAlign w:val="center"/>
            <w:hideMark/>
          </w:tcPr>
          <w:p w14:paraId="022D74E8"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(0,5)</w:t>
            </w:r>
          </w:p>
        </w:tc>
        <w:tc>
          <w:tcPr>
            <w:tcW w:w="1180" w:type="dxa"/>
            <w:tcBorders>
              <w:top w:val="nil"/>
              <w:left w:val="nil"/>
              <w:bottom w:val="single" w:sz="4" w:space="0" w:color="auto"/>
              <w:right w:val="single" w:sz="4" w:space="0" w:color="auto"/>
            </w:tcBorders>
            <w:vAlign w:val="center"/>
            <w:hideMark/>
          </w:tcPr>
          <w:p w14:paraId="24EA8E1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(-1;4)</w:t>
            </w:r>
          </w:p>
        </w:tc>
        <w:tc>
          <w:tcPr>
            <w:tcW w:w="1170" w:type="dxa"/>
            <w:tcBorders>
              <w:top w:val="nil"/>
              <w:left w:val="nil"/>
              <w:bottom w:val="single" w:sz="4" w:space="0" w:color="auto"/>
              <w:right w:val="single" w:sz="4" w:space="0" w:color="auto"/>
            </w:tcBorders>
            <w:vAlign w:val="center"/>
            <w:hideMark/>
          </w:tcPr>
          <w:p w14:paraId="555B0AB0"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20B5E119"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7C8949C8" w14:textId="77777777" w:rsidR="00703B09" w:rsidRDefault="00703B09" w:rsidP="00703B09">
            <w:pPr>
              <w:rPr>
                <w:sz w:val="20"/>
                <w:szCs w:val="20"/>
              </w:rPr>
            </w:pPr>
          </w:p>
        </w:tc>
      </w:tr>
      <w:tr w:rsidR="00703B09" w14:paraId="160A89B6"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709D3CE1"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Aumento creatina quinasa</w:t>
            </w:r>
          </w:p>
        </w:tc>
        <w:tc>
          <w:tcPr>
            <w:tcW w:w="1482" w:type="dxa"/>
            <w:tcBorders>
              <w:top w:val="nil"/>
              <w:left w:val="nil"/>
              <w:bottom w:val="single" w:sz="4" w:space="0" w:color="auto"/>
              <w:right w:val="single" w:sz="4" w:space="0" w:color="auto"/>
            </w:tcBorders>
            <w:vAlign w:val="center"/>
            <w:hideMark/>
          </w:tcPr>
          <w:p w14:paraId="5B35885C"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3 (1,8)</w:t>
            </w:r>
          </w:p>
        </w:tc>
        <w:tc>
          <w:tcPr>
            <w:tcW w:w="1595" w:type="dxa"/>
            <w:tcBorders>
              <w:top w:val="nil"/>
              <w:left w:val="nil"/>
              <w:bottom w:val="single" w:sz="4" w:space="0" w:color="auto"/>
              <w:right w:val="single" w:sz="4" w:space="0" w:color="auto"/>
            </w:tcBorders>
            <w:vAlign w:val="center"/>
            <w:hideMark/>
          </w:tcPr>
          <w:p w14:paraId="2FBD1EBE"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(1,1)</w:t>
            </w:r>
          </w:p>
        </w:tc>
        <w:tc>
          <w:tcPr>
            <w:tcW w:w="1180" w:type="dxa"/>
            <w:tcBorders>
              <w:top w:val="nil"/>
              <w:left w:val="nil"/>
              <w:bottom w:val="single" w:sz="4" w:space="0" w:color="auto"/>
              <w:right w:val="single" w:sz="4" w:space="0" w:color="auto"/>
            </w:tcBorders>
            <w:vAlign w:val="center"/>
            <w:hideMark/>
          </w:tcPr>
          <w:p w14:paraId="0551396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0,7 (-2;3)</w:t>
            </w:r>
          </w:p>
        </w:tc>
        <w:tc>
          <w:tcPr>
            <w:tcW w:w="1170" w:type="dxa"/>
            <w:tcBorders>
              <w:top w:val="nil"/>
              <w:left w:val="nil"/>
              <w:bottom w:val="single" w:sz="4" w:space="0" w:color="auto"/>
              <w:right w:val="single" w:sz="4" w:space="0" w:color="auto"/>
            </w:tcBorders>
            <w:vAlign w:val="center"/>
            <w:hideMark/>
          </w:tcPr>
          <w:p w14:paraId="1813670E"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3B6540A1"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366D3156" w14:textId="77777777" w:rsidR="00703B09" w:rsidRDefault="00703B09" w:rsidP="00703B09">
            <w:pPr>
              <w:rPr>
                <w:sz w:val="20"/>
                <w:szCs w:val="20"/>
              </w:rPr>
            </w:pPr>
          </w:p>
        </w:tc>
      </w:tr>
      <w:tr w:rsidR="00703B09" w14:paraId="4361A2DB"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2D51B9F3"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Alteraciones musculoesqueléticas</w:t>
            </w:r>
          </w:p>
        </w:tc>
        <w:tc>
          <w:tcPr>
            <w:tcW w:w="1482" w:type="dxa"/>
            <w:tcBorders>
              <w:top w:val="nil"/>
              <w:left w:val="nil"/>
              <w:bottom w:val="single" w:sz="4" w:space="0" w:color="auto"/>
              <w:right w:val="single" w:sz="4" w:space="0" w:color="auto"/>
            </w:tcBorders>
            <w:vAlign w:val="center"/>
            <w:hideMark/>
          </w:tcPr>
          <w:p w14:paraId="335766E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9 (5,4)</w:t>
            </w:r>
          </w:p>
        </w:tc>
        <w:tc>
          <w:tcPr>
            <w:tcW w:w="1595" w:type="dxa"/>
            <w:tcBorders>
              <w:top w:val="nil"/>
              <w:left w:val="nil"/>
              <w:bottom w:val="single" w:sz="4" w:space="0" w:color="auto"/>
              <w:right w:val="single" w:sz="4" w:space="0" w:color="auto"/>
            </w:tcBorders>
            <w:vAlign w:val="center"/>
            <w:hideMark/>
          </w:tcPr>
          <w:p w14:paraId="3B13C4F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6 (3,3)</w:t>
            </w:r>
          </w:p>
        </w:tc>
        <w:tc>
          <w:tcPr>
            <w:tcW w:w="1180" w:type="dxa"/>
            <w:tcBorders>
              <w:top w:val="nil"/>
              <w:left w:val="nil"/>
              <w:bottom w:val="single" w:sz="4" w:space="0" w:color="auto"/>
              <w:right w:val="single" w:sz="4" w:space="0" w:color="auto"/>
            </w:tcBorders>
            <w:vAlign w:val="center"/>
            <w:hideMark/>
          </w:tcPr>
          <w:p w14:paraId="00794800"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(-2;6)</w:t>
            </w:r>
          </w:p>
        </w:tc>
        <w:tc>
          <w:tcPr>
            <w:tcW w:w="1170" w:type="dxa"/>
            <w:tcBorders>
              <w:top w:val="nil"/>
              <w:left w:val="nil"/>
              <w:bottom w:val="single" w:sz="4" w:space="0" w:color="auto"/>
              <w:right w:val="single" w:sz="4" w:space="0" w:color="auto"/>
            </w:tcBorders>
            <w:vAlign w:val="center"/>
            <w:hideMark/>
          </w:tcPr>
          <w:p w14:paraId="47CBE7E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748CD386"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99BA6FA" w14:textId="77777777" w:rsidR="00703B09" w:rsidRDefault="00703B09" w:rsidP="00703B09">
            <w:pPr>
              <w:rPr>
                <w:sz w:val="20"/>
                <w:szCs w:val="20"/>
              </w:rPr>
            </w:pPr>
          </w:p>
        </w:tc>
      </w:tr>
      <w:tr w:rsidR="00703B09" w14:paraId="20616964"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13B183D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Dolor lumbar</w:t>
            </w:r>
          </w:p>
        </w:tc>
        <w:tc>
          <w:tcPr>
            <w:tcW w:w="1482" w:type="dxa"/>
            <w:tcBorders>
              <w:top w:val="nil"/>
              <w:left w:val="nil"/>
              <w:bottom w:val="single" w:sz="4" w:space="0" w:color="auto"/>
              <w:right w:val="single" w:sz="4" w:space="0" w:color="auto"/>
            </w:tcBorders>
            <w:vAlign w:val="center"/>
            <w:hideMark/>
          </w:tcPr>
          <w:p w14:paraId="1C1B0E7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(0,6)</w:t>
            </w:r>
          </w:p>
        </w:tc>
        <w:tc>
          <w:tcPr>
            <w:tcW w:w="1595" w:type="dxa"/>
            <w:tcBorders>
              <w:top w:val="nil"/>
              <w:left w:val="nil"/>
              <w:bottom w:val="single" w:sz="4" w:space="0" w:color="auto"/>
              <w:right w:val="single" w:sz="4" w:space="0" w:color="auto"/>
            </w:tcBorders>
            <w:vAlign w:val="center"/>
            <w:hideMark/>
          </w:tcPr>
          <w:p w14:paraId="5505E84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(1,1)</w:t>
            </w:r>
          </w:p>
        </w:tc>
        <w:tc>
          <w:tcPr>
            <w:tcW w:w="1180" w:type="dxa"/>
            <w:tcBorders>
              <w:top w:val="nil"/>
              <w:left w:val="nil"/>
              <w:bottom w:val="single" w:sz="4" w:space="0" w:color="auto"/>
              <w:right w:val="single" w:sz="4" w:space="0" w:color="auto"/>
            </w:tcBorders>
            <w:vAlign w:val="center"/>
            <w:hideMark/>
          </w:tcPr>
          <w:p w14:paraId="5EABF255"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 xml:space="preserve"> -0,5 (-2;2)</w:t>
            </w:r>
          </w:p>
        </w:tc>
        <w:tc>
          <w:tcPr>
            <w:tcW w:w="1170" w:type="dxa"/>
            <w:tcBorders>
              <w:top w:val="nil"/>
              <w:left w:val="nil"/>
              <w:bottom w:val="single" w:sz="4" w:space="0" w:color="auto"/>
              <w:right w:val="single" w:sz="4" w:space="0" w:color="auto"/>
            </w:tcBorders>
            <w:vAlign w:val="center"/>
            <w:hideMark/>
          </w:tcPr>
          <w:p w14:paraId="057C963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179BDF67"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1D62BF6" w14:textId="77777777" w:rsidR="00703B09" w:rsidRDefault="00703B09" w:rsidP="00703B09">
            <w:pPr>
              <w:rPr>
                <w:sz w:val="20"/>
                <w:szCs w:val="20"/>
              </w:rPr>
            </w:pPr>
          </w:p>
        </w:tc>
      </w:tr>
      <w:tr w:rsidR="00703B09" w14:paraId="2C518001"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5414DFD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Artralgia</w:t>
            </w:r>
          </w:p>
        </w:tc>
        <w:tc>
          <w:tcPr>
            <w:tcW w:w="1482" w:type="dxa"/>
            <w:tcBorders>
              <w:top w:val="nil"/>
              <w:left w:val="nil"/>
              <w:bottom w:val="single" w:sz="4" w:space="0" w:color="auto"/>
              <w:right w:val="single" w:sz="4" w:space="0" w:color="auto"/>
            </w:tcBorders>
            <w:vAlign w:val="center"/>
            <w:hideMark/>
          </w:tcPr>
          <w:p w14:paraId="3FDB417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(1,2)</w:t>
            </w:r>
          </w:p>
        </w:tc>
        <w:tc>
          <w:tcPr>
            <w:tcW w:w="1595" w:type="dxa"/>
            <w:tcBorders>
              <w:top w:val="nil"/>
              <w:left w:val="nil"/>
              <w:bottom w:val="single" w:sz="4" w:space="0" w:color="auto"/>
              <w:right w:val="single" w:sz="4" w:space="0" w:color="auto"/>
            </w:tcBorders>
            <w:vAlign w:val="center"/>
            <w:hideMark/>
          </w:tcPr>
          <w:p w14:paraId="596C868B"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(0,5)</w:t>
            </w:r>
          </w:p>
        </w:tc>
        <w:tc>
          <w:tcPr>
            <w:tcW w:w="1180" w:type="dxa"/>
            <w:tcBorders>
              <w:top w:val="nil"/>
              <w:left w:val="nil"/>
              <w:bottom w:val="single" w:sz="4" w:space="0" w:color="auto"/>
              <w:right w:val="single" w:sz="4" w:space="0" w:color="auto"/>
            </w:tcBorders>
            <w:vAlign w:val="center"/>
            <w:hideMark/>
          </w:tcPr>
          <w:p w14:paraId="3372616E"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0,7 (-1;2)</w:t>
            </w:r>
          </w:p>
        </w:tc>
        <w:tc>
          <w:tcPr>
            <w:tcW w:w="1170" w:type="dxa"/>
            <w:tcBorders>
              <w:top w:val="nil"/>
              <w:left w:val="nil"/>
              <w:bottom w:val="single" w:sz="4" w:space="0" w:color="auto"/>
              <w:right w:val="single" w:sz="4" w:space="0" w:color="auto"/>
            </w:tcBorders>
            <w:vAlign w:val="center"/>
            <w:hideMark/>
          </w:tcPr>
          <w:p w14:paraId="4610981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05A8AAF7"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32B38712" w14:textId="77777777" w:rsidR="00703B09" w:rsidRDefault="00703B09" w:rsidP="00703B09">
            <w:pPr>
              <w:rPr>
                <w:sz w:val="20"/>
                <w:szCs w:val="20"/>
              </w:rPr>
            </w:pPr>
          </w:p>
        </w:tc>
      </w:tr>
      <w:tr w:rsidR="00703B09" w14:paraId="5395BF81"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4DA85E4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Cefalea</w:t>
            </w:r>
          </w:p>
        </w:tc>
        <w:tc>
          <w:tcPr>
            <w:tcW w:w="1482" w:type="dxa"/>
            <w:tcBorders>
              <w:top w:val="nil"/>
              <w:left w:val="nil"/>
              <w:bottom w:val="single" w:sz="4" w:space="0" w:color="auto"/>
              <w:right w:val="single" w:sz="4" w:space="0" w:color="auto"/>
            </w:tcBorders>
            <w:vAlign w:val="center"/>
            <w:hideMark/>
          </w:tcPr>
          <w:p w14:paraId="4F34F725"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7 (4,2)</w:t>
            </w:r>
          </w:p>
        </w:tc>
        <w:tc>
          <w:tcPr>
            <w:tcW w:w="1595" w:type="dxa"/>
            <w:tcBorders>
              <w:top w:val="nil"/>
              <w:left w:val="nil"/>
              <w:bottom w:val="single" w:sz="4" w:space="0" w:color="auto"/>
              <w:right w:val="single" w:sz="4" w:space="0" w:color="auto"/>
            </w:tcBorders>
            <w:vAlign w:val="center"/>
            <w:hideMark/>
          </w:tcPr>
          <w:p w14:paraId="3DFA393B"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4 (2,2)</w:t>
            </w:r>
          </w:p>
        </w:tc>
        <w:tc>
          <w:tcPr>
            <w:tcW w:w="1180" w:type="dxa"/>
            <w:tcBorders>
              <w:top w:val="nil"/>
              <w:left w:val="nil"/>
              <w:bottom w:val="single" w:sz="4" w:space="0" w:color="auto"/>
              <w:right w:val="single" w:sz="4" w:space="0" w:color="auto"/>
            </w:tcBorders>
            <w:vAlign w:val="center"/>
            <w:hideMark/>
          </w:tcPr>
          <w:p w14:paraId="437270C3"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(-2;6)</w:t>
            </w:r>
          </w:p>
        </w:tc>
        <w:tc>
          <w:tcPr>
            <w:tcW w:w="1170" w:type="dxa"/>
            <w:tcBorders>
              <w:top w:val="nil"/>
              <w:left w:val="nil"/>
              <w:bottom w:val="single" w:sz="4" w:space="0" w:color="auto"/>
              <w:right w:val="single" w:sz="4" w:space="0" w:color="auto"/>
            </w:tcBorders>
            <w:vAlign w:val="center"/>
            <w:hideMark/>
          </w:tcPr>
          <w:p w14:paraId="185CCB00"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3AE47087"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68BDC75A" w14:textId="77777777" w:rsidR="00703B09" w:rsidRDefault="00703B09" w:rsidP="00703B09">
            <w:pPr>
              <w:rPr>
                <w:sz w:val="20"/>
                <w:szCs w:val="20"/>
              </w:rPr>
            </w:pPr>
          </w:p>
        </w:tc>
      </w:tr>
      <w:tr w:rsidR="00703B09" w14:paraId="103902B8"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32E0A2B6"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Trastornos psiquiátricos</w:t>
            </w:r>
          </w:p>
        </w:tc>
        <w:tc>
          <w:tcPr>
            <w:tcW w:w="1482" w:type="dxa"/>
            <w:tcBorders>
              <w:top w:val="nil"/>
              <w:left w:val="nil"/>
              <w:bottom w:val="single" w:sz="4" w:space="0" w:color="auto"/>
              <w:right w:val="single" w:sz="4" w:space="0" w:color="auto"/>
            </w:tcBorders>
            <w:vAlign w:val="center"/>
            <w:hideMark/>
          </w:tcPr>
          <w:p w14:paraId="6ECEFAB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(1,2)</w:t>
            </w:r>
          </w:p>
        </w:tc>
        <w:tc>
          <w:tcPr>
            <w:tcW w:w="1595" w:type="dxa"/>
            <w:tcBorders>
              <w:top w:val="nil"/>
              <w:left w:val="nil"/>
              <w:bottom w:val="single" w:sz="4" w:space="0" w:color="auto"/>
              <w:right w:val="single" w:sz="4" w:space="0" w:color="auto"/>
            </w:tcBorders>
            <w:vAlign w:val="center"/>
            <w:hideMark/>
          </w:tcPr>
          <w:p w14:paraId="1574BC63"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3 (1,6)</w:t>
            </w:r>
          </w:p>
        </w:tc>
        <w:tc>
          <w:tcPr>
            <w:tcW w:w="1180" w:type="dxa"/>
            <w:tcBorders>
              <w:top w:val="nil"/>
              <w:left w:val="nil"/>
              <w:bottom w:val="single" w:sz="4" w:space="0" w:color="auto"/>
              <w:right w:val="single" w:sz="4" w:space="0" w:color="auto"/>
            </w:tcBorders>
            <w:vAlign w:val="center"/>
            <w:hideMark/>
          </w:tcPr>
          <w:p w14:paraId="3A6BD225"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 xml:space="preserve"> -0,5(-3;2)</w:t>
            </w:r>
          </w:p>
        </w:tc>
        <w:tc>
          <w:tcPr>
            <w:tcW w:w="1170" w:type="dxa"/>
            <w:tcBorders>
              <w:top w:val="nil"/>
              <w:left w:val="nil"/>
              <w:bottom w:val="single" w:sz="4" w:space="0" w:color="auto"/>
              <w:right w:val="single" w:sz="4" w:space="0" w:color="auto"/>
            </w:tcBorders>
            <w:vAlign w:val="center"/>
            <w:hideMark/>
          </w:tcPr>
          <w:p w14:paraId="5569A76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51485C68"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600DE5E2" w14:textId="77777777" w:rsidR="00703B09" w:rsidRDefault="00703B09" w:rsidP="00703B09">
            <w:pPr>
              <w:rPr>
                <w:sz w:val="20"/>
                <w:szCs w:val="20"/>
              </w:rPr>
            </w:pPr>
          </w:p>
        </w:tc>
      </w:tr>
      <w:tr w:rsidR="00703B09" w14:paraId="5664A96D"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762A0ABB"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Sistema reproductivo y</w:t>
            </w:r>
            <w:r>
              <w:rPr>
                <w:rFonts w:ascii="Arial" w:hAnsi="Arial" w:cs="Arial"/>
                <w:b/>
                <w:bCs/>
                <w:i/>
                <w:iCs/>
                <w:color w:val="000000"/>
                <w:sz w:val="16"/>
                <w:szCs w:val="16"/>
              </w:rPr>
              <w:br/>
              <w:t>trastornos mamarios</w:t>
            </w:r>
          </w:p>
        </w:tc>
        <w:tc>
          <w:tcPr>
            <w:tcW w:w="1482" w:type="dxa"/>
            <w:tcBorders>
              <w:top w:val="nil"/>
              <w:left w:val="nil"/>
              <w:bottom w:val="single" w:sz="4" w:space="0" w:color="auto"/>
              <w:right w:val="single" w:sz="4" w:space="0" w:color="auto"/>
            </w:tcBorders>
            <w:vAlign w:val="center"/>
            <w:hideMark/>
          </w:tcPr>
          <w:p w14:paraId="45EAA97C"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(1,2)</w:t>
            </w:r>
          </w:p>
        </w:tc>
        <w:tc>
          <w:tcPr>
            <w:tcW w:w="1595" w:type="dxa"/>
            <w:tcBorders>
              <w:top w:val="nil"/>
              <w:left w:val="nil"/>
              <w:bottom w:val="single" w:sz="4" w:space="0" w:color="auto"/>
              <w:right w:val="single" w:sz="4" w:space="0" w:color="auto"/>
            </w:tcBorders>
            <w:vAlign w:val="center"/>
            <w:hideMark/>
          </w:tcPr>
          <w:p w14:paraId="5674D62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3 (1,6)</w:t>
            </w:r>
          </w:p>
        </w:tc>
        <w:tc>
          <w:tcPr>
            <w:tcW w:w="1180" w:type="dxa"/>
            <w:tcBorders>
              <w:top w:val="nil"/>
              <w:left w:val="nil"/>
              <w:bottom w:val="single" w:sz="4" w:space="0" w:color="auto"/>
              <w:right w:val="single" w:sz="4" w:space="0" w:color="auto"/>
            </w:tcBorders>
            <w:vAlign w:val="center"/>
            <w:hideMark/>
          </w:tcPr>
          <w:p w14:paraId="5B47B94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 xml:space="preserve"> -0,5(-3;2)</w:t>
            </w:r>
          </w:p>
        </w:tc>
        <w:tc>
          <w:tcPr>
            <w:tcW w:w="1170" w:type="dxa"/>
            <w:tcBorders>
              <w:top w:val="nil"/>
              <w:left w:val="nil"/>
              <w:bottom w:val="single" w:sz="4" w:space="0" w:color="auto"/>
              <w:right w:val="single" w:sz="4" w:space="0" w:color="auto"/>
            </w:tcBorders>
            <w:vAlign w:val="center"/>
            <w:hideMark/>
          </w:tcPr>
          <w:p w14:paraId="699AE9D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77091D1D"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33AEDD18" w14:textId="77777777" w:rsidR="00703B09" w:rsidRDefault="00703B09" w:rsidP="00703B09">
            <w:pPr>
              <w:rPr>
                <w:sz w:val="20"/>
                <w:szCs w:val="20"/>
              </w:rPr>
            </w:pPr>
          </w:p>
        </w:tc>
      </w:tr>
      <w:tr w:rsidR="00703B09" w14:paraId="07F16932" w14:textId="77777777" w:rsidTr="00E134B9">
        <w:trPr>
          <w:trHeight w:val="630"/>
        </w:trPr>
        <w:tc>
          <w:tcPr>
            <w:tcW w:w="2061" w:type="dxa"/>
            <w:tcBorders>
              <w:top w:val="nil"/>
              <w:left w:val="single" w:sz="8" w:space="0" w:color="auto"/>
              <w:bottom w:val="single" w:sz="4" w:space="0" w:color="auto"/>
              <w:right w:val="single" w:sz="4" w:space="0" w:color="auto"/>
            </w:tcBorders>
            <w:vAlign w:val="center"/>
            <w:hideMark/>
          </w:tcPr>
          <w:p w14:paraId="6EC48DEA"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Alteraciones respiratorias y torácicas</w:t>
            </w:r>
          </w:p>
        </w:tc>
        <w:tc>
          <w:tcPr>
            <w:tcW w:w="1482" w:type="dxa"/>
            <w:tcBorders>
              <w:top w:val="nil"/>
              <w:left w:val="nil"/>
              <w:bottom w:val="single" w:sz="4" w:space="0" w:color="auto"/>
              <w:right w:val="single" w:sz="4" w:space="0" w:color="auto"/>
            </w:tcBorders>
            <w:vAlign w:val="center"/>
            <w:hideMark/>
          </w:tcPr>
          <w:p w14:paraId="0585499D"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15 (9,0)</w:t>
            </w:r>
          </w:p>
        </w:tc>
        <w:tc>
          <w:tcPr>
            <w:tcW w:w="1595" w:type="dxa"/>
            <w:tcBorders>
              <w:top w:val="nil"/>
              <w:left w:val="nil"/>
              <w:bottom w:val="single" w:sz="4" w:space="0" w:color="auto"/>
              <w:right w:val="single" w:sz="4" w:space="0" w:color="auto"/>
            </w:tcBorders>
            <w:vAlign w:val="center"/>
            <w:hideMark/>
          </w:tcPr>
          <w:p w14:paraId="6565CC6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9 (5)</w:t>
            </w:r>
          </w:p>
        </w:tc>
        <w:tc>
          <w:tcPr>
            <w:tcW w:w="1180" w:type="dxa"/>
            <w:tcBorders>
              <w:top w:val="nil"/>
              <w:left w:val="nil"/>
              <w:bottom w:val="single" w:sz="4" w:space="0" w:color="auto"/>
              <w:right w:val="single" w:sz="4" w:space="0" w:color="auto"/>
            </w:tcBorders>
            <w:vAlign w:val="center"/>
            <w:hideMark/>
          </w:tcPr>
          <w:p w14:paraId="0D5F4005"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4 (-1;9)</w:t>
            </w:r>
          </w:p>
        </w:tc>
        <w:tc>
          <w:tcPr>
            <w:tcW w:w="1170" w:type="dxa"/>
            <w:tcBorders>
              <w:top w:val="nil"/>
              <w:left w:val="nil"/>
              <w:bottom w:val="single" w:sz="4" w:space="0" w:color="auto"/>
              <w:right w:val="single" w:sz="4" w:space="0" w:color="auto"/>
            </w:tcBorders>
            <w:vAlign w:val="center"/>
            <w:hideMark/>
          </w:tcPr>
          <w:p w14:paraId="1A27C6ED"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0307340A"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4664111D" w14:textId="77777777" w:rsidR="00703B09" w:rsidRDefault="00703B09" w:rsidP="00703B09">
            <w:pPr>
              <w:rPr>
                <w:sz w:val="20"/>
                <w:szCs w:val="20"/>
              </w:rPr>
            </w:pPr>
          </w:p>
        </w:tc>
      </w:tr>
      <w:tr w:rsidR="00703B09" w14:paraId="5906B6DB"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535D5D9B"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Asma</w:t>
            </w:r>
          </w:p>
        </w:tc>
        <w:tc>
          <w:tcPr>
            <w:tcW w:w="1482" w:type="dxa"/>
            <w:tcBorders>
              <w:top w:val="nil"/>
              <w:left w:val="nil"/>
              <w:bottom w:val="single" w:sz="4" w:space="0" w:color="auto"/>
              <w:right w:val="single" w:sz="4" w:space="0" w:color="auto"/>
            </w:tcBorders>
            <w:vAlign w:val="center"/>
            <w:hideMark/>
          </w:tcPr>
          <w:p w14:paraId="3FDCF73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6 (3,6)</w:t>
            </w:r>
          </w:p>
        </w:tc>
        <w:tc>
          <w:tcPr>
            <w:tcW w:w="1595" w:type="dxa"/>
            <w:tcBorders>
              <w:top w:val="nil"/>
              <w:left w:val="nil"/>
              <w:bottom w:val="single" w:sz="4" w:space="0" w:color="auto"/>
              <w:right w:val="single" w:sz="4" w:space="0" w:color="auto"/>
            </w:tcBorders>
            <w:vAlign w:val="center"/>
            <w:hideMark/>
          </w:tcPr>
          <w:p w14:paraId="1B051F7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5 (2,7)</w:t>
            </w:r>
          </w:p>
        </w:tc>
        <w:tc>
          <w:tcPr>
            <w:tcW w:w="1180" w:type="dxa"/>
            <w:tcBorders>
              <w:top w:val="nil"/>
              <w:left w:val="nil"/>
              <w:bottom w:val="single" w:sz="4" w:space="0" w:color="auto"/>
              <w:right w:val="single" w:sz="4" w:space="0" w:color="auto"/>
            </w:tcBorders>
            <w:vAlign w:val="center"/>
            <w:hideMark/>
          </w:tcPr>
          <w:p w14:paraId="2E952FA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(-3;5)</w:t>
            </w:r>
          </w:p>
        </w:tc>
        <w:tc>
          <w:tcPr>
            <w:tcW w:w="1170" w:type="dxa"/>
            <w:tcBorders>
              <w:top w:val="nil"/>
              <w:left w:val="nil"/>
              <w:bottom w:val="single" w:sz="4" w:space="0" w:color="auto"/>
              <w:right w:val="single" w:sz="4" w:space="0" w:color="auto"/>
            </w:tcBorders>
            <w:vAlign w:val="center"/>
            <w:hideMark/>
          </w:tcPr>
          <w:p w14:paraId="2C5243E8"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6B03E921"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10138CA1" w14:textId="77777777" w:rsidR="00703B09" w:rsidRDefault="00703B09" w:rsidP="00703B09">
            <w:pPr>
              <w:rPr>
                <w:sz w:val="20"/>
                <w:szCs w:val="20"/>
              </w:rPr>
            </w:pPr>
          </w:p>
        </w:tc>
      </w:tr>
      <w:tr w:rsidR="00703B09" w14:paraId="2F656ED0"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71A1DC80"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Rinorrea</w:t>
            </w:r>
          </w:p>
        </w:tc>
        <w:tc>
          <w:tcPr>
            <w:tcW w:w="1482" w:type="dxa"/>
            <w:tcBorders>
              <w:top w:val="nil"/>
              <w:left w:val="nil"/>
              <w:bottom w:val="single" w:sz="4" w:space="0" w:color="auto"/>
              <w:right w:val="single" w:sz="4" w:space="0" w:color="auto"/>
            </w:tcBorders>
            <w:vAlign w:val="center"/>
            <w:hideMark/>
          </w:tcPr>
          <w:p w14:paraId="69951EB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 (1,2)</w:t>
            </w:r>
          </w:p>
        </w:tc>
        <w:tc>
          <w:tcPr>
            <w:tcW w:w="1595" w:type="dxa"/>
            <w:tcBorders>
              <w:top w:val="nil"/>
              <w:left w:val="nil"/>
              <w:bottom w:val="single" w:sz="4" w:space="0" w:color="auto"/>
              <w:right w:val="single" w:sz="4" w:space="0" w:color="auto"/>
            </w:tcBorders>
            <w:vAlign w:val="center"/>
            <w:hideMark/>
          </w:tcPr>
          <w:p w14:paraId="18C97628"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(0,5)</w:t>
            </w:r>
          </w:p>
        </w:tc>
        <w:tc>
          <w:tcPr>
            <w:tcW w:w="1180" w:type="dxa"/>
            <w:tcBorders>
              <w:top w:val="nil"/>
              <w:left w:val="nil"/>
              <w:bottom w:val="single" w:sz="4" w:space="0" w:color="auto"/>
              <w:right w:val="single" w:sz="4" w:space="0" w:color="auto"/>
            </w:tcBorders>
            <w:vAlign w:val="center"/>
            <w:hideMark/>
          </w:tcPr>
          <w:p w14:paraId="03C69E2C"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0,65 (-1;3)</w:t>
            </w:r>
          </w:p>
        </w:tc>
        <w:tc>
          <w:tcPr>
            <w:tcW w:w="1170" w:type="dxa"/>
            <w:tcBorders>
              <w:top w:val="nil"/>
              <w:left w:val="nil"/>
              <w:bottom w:val="single" w:sz="4" w:space="0" w:color="auto"/>
              <w:right w:val="single" w:sz="4" w:space="0" w:color="auto"/>
            </w:tcBorders>
            <w:vAlign w:val="center"/>
            <w:hideMark/>
          </w:tcPr>
          <w:p w14:paraId="75AEB5F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4A8745C7"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428CD21D" w14:textId="77777777" w:rsidR="00703B09" w:rsidRDefault="00703B09" w:rsidP="00703B09">
            <w:pPr>
              <w:rPr>
                <w:sz w:val="20"/>
                <w:szCs w:val="20"/>
              </w:rPr>
            </w:pPr>
          </w:p>
        </w:tc>
      </w:tr>
      <w:tr w:rsidR="00703B09" w14:paraId="01808365"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6158F7F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 xml:space="preserve">Dolor </w:t>
            </w:r>
            <w:r w:rsidR="000F3C61">
              <w:rPr>
                <w:rFonts w:ascii="Arial" w:hAnsi="Arial" w:cs="Arial"/>
                <w:i/>
                <w:iCs/>
                <w:color w:val="000000"/>
                <w:sz w:val="16"/>
                <w:szCs w:val="16"/>
              </w:rPr>
              <w:t>orofaríngeo</w:t>
            </w:r>
          </w:p>
        </w:tc>
        <w:tc>
          <w:tcPr>
            <w:tcW w:w="1482" w:type="dxa"/>
            <w:tcBorders>
              <w:top w:val="nil"/>
              <w:left w:val="nil"/>
              <w:bottom w:val="single" w:sz="4" w:space="0" w:color="auto"/>
              <w:right w:val="single" w:sz="4" w:space="0" w:color="auto"/>
            </w:tcBorders>
            <w:vAlign w:val="center"/>
            <w:hideMark/>
          </w:tcPr>
          <w:p w14:paraId="2D2D360A"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3 (1,8)</w:t>
            </w:r>
          </w:p>
        </w:tc>
        <w:tc>
          <w:tcPr>
            <w:tcW w:w="1595" w:type="dxa"/>
            <w:tcBorders>
              <w:top w:val="nil"/>
              <w:left w:val="nil"/>
              <w:bottom w:val="single" w:sz="4" w:space="0" w:color="auto"/>
              <w:right w:val="single" w:sz="4" w:space="0" w:color="auto"/>
            </w:tcBorders>
            <w:vAlign w:val="center"/>
            <w:hideMark/>
          </w:tcPr>
          <w:p w14:paraId="3A7EF4C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w:t>
            </w:r>
          </w:p>
        </w:tc>
        <w:tc>
          <w:tcPr>
            <w:tcW w:w="1180" w:type="dxa"/>
            <w:tcBorders>
              <w:top w:val="nil"/>
              <w:left w:val="nil"/>
              <w:bottom w:val="single" w:sz="4" w:space="0" w:color="auto"/>
              <w:right w:val="single" w:sz="4" w:space="0" w:color="auto"/>
            </w:tcBorders>
            <w:vAlign w:val="center"/>
            <w:hideMark/>
          </w:tcPr>
          <w:p w14:paraId="3381334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1,8 (0;3)</w:t>
            </w:r>
          </w:p>
        </w:tc>
        <w:tc>
          <w:tcPr>
            <w:tcW w:w="1170" w:type="dxa"/>
            <w:tcBorders>
              <w:top w:val="nil"/>
              <w:left w:val="nil"/>
              <w:bottom w:val="single" w:sz="4" w:space="0" w:color="auto"/>
              <w:right w:val="single" w:sz="4" w:space="0" w:color="auto"/>
            </w:tcBorders>
            <w:vAlign w:val="center"/>
            <w:hideMark/>
          </w:tcPr>
          <w:p w14:paraId="7E994BCF"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59FE51AA"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0C8FBE34" w14:textId="77777777" w:rsidR="00703B09" w:rsidRDefault="00703B09" w:rsidP="00703B09">
            <w:pPr>
              <w:rPr>
                <w:sz w:val="20"/>
                <w:szCs w:val="20"/>
              </w:rPr>
            </w:pPr>
          </w:p>
        </w:tc>
      </w:tr>
      <w:tr w:rsidR="00703B09" w14:paraId="3EA1A4DB"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3A3D7D81" w14:textId="77777777" w:rsidR="00703B09" w:rsidRDefault="00703B09" w:rsidP="00703B09">
            <w:pPr>
              <w:jc w:val="center"/>
              <w:rPr>
                <w:rFonts w:ascii="Arial" w:hAnsi="Arial" w:cs="Arial"/>
                <w:b/>
                <w:bCs/>
                <w:i/>
                <w:iCs/>
                <w:color w:val="000000"/>
                <w:sz w:val="16"/>
                <w:szCs w:val="16"/>
              </w:rPr>
            </w:pPr>
            <w:r>
              <w:rPr>
                <w:rFonts w:ascii="Arial" w:hAnsi="Arial" w:cs="Arial"/>
                <w:b/>
                <w:bCs/>
                <w:i/>
                <w:iCs/>
                <w:color w:val="000000"/>
                <w:sz w:val="16"/>
                <w:szCs w:val="16"/>
              </w:rPr>
              <w:t>Trastornos de la piel</w:t>
            </w:r>
          </w:p>
        </w:tc>
        <w:tc>
          <w:tcPr>
            <w:tcW w:w="1482" w:type="dxa"/>
            <w:tcBorders>
              <w:top w:val="nil"/>
              <w:left w:val="nil"/>
              <w:bottom w:val="single" w:sz="4" w:space="0" w:color="auto"/>
              <w:right w:val="single" w:sz="4" w:space="0" w:color="auto"/>
            </w:tcBorders>
            <w:vAlign w:val="center"/>
            <w:hideMark/>
          </w:tcPr>
          <w:p w14:paraId="64048019"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18 (10,8)</w:t>
            </w:r>
          </w:p>
        </w:tc>
        <w:tc>
          <w:tcPr>
            <w:tcW w:w="1595" w:type="dxa"/>
            <w:tcBorders>
              <w:top w:val="nil"/>
              <w:left w:val="nil"/>
              <w:bottom w:val="single" w:sz="4" w:space="0" w:color="auto"/>
              <w:right w:val="single" w:sz="4" w:space="0" w:color="auto"/>
            </w:tcBorders>
            <w:vAlign w:val="center"/>
            <w:hideMark/>
          </w:tcPr>
          <w:p w14:paraId="1BB33A4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22 (12,0)</w:t>
            </w:r>
          </w:p>
        </w:tc>
        <w:tc>
          <w:tcPr>
            <w:tcW w:w="1180" w:type="dxa"/>
            <w:tcBorders>
              <w:top w:val="nil"/>
              <w:left w:val="nil"/>
              <w:bottom w:val="single" w:sz="4" w:space="0" w:color="auto"/>
              <w:right w:val="single" w:sz="4" w:space="0" w:color="auto"/>
            </w:tcBorders>
            <w:vAlign w:val="center"/>
            <w:hideMark/>
          </w:tcPr>
          <w:p w14:paraId="45CF0DDB"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 xml:space="preserve"> -1,2 (-8;6)</w:t>
            </w:r>
          </w:p>
        </w:tc>
        <w:tc>
          <w:tcPr>
            <w:tcW w:w="1170" w:type="dxa"/>
            <w:tcBorders>
              <w:top w:val="nil"/>
              <w:left w:val="nil"/>
              <w:bottom w:val="single" w:sz="4" w:space="0" w:color="auto"/>
              <w:right w:val="single" w:sz="4" w:space="0" w:color="auto"/>
            </w:tcBorders>
            <w:vAlign w:val="center"/>
            <w:hideMark/>
          </w:tcPr>
          <w:p w14:paraId="33536B84"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22508271"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05A8FA94" w14:textId="77777777" w:rsidR="00703B09" w:rsidRDefault="00703B09" w:rsidP="00703B09">
            <w:pPr>
              <w:rPr>
                <w:sz w:val="20"/>
                <w:szCs w:val="20"/>
              </w:rPr>
            </w:pPr>
          </w:p>
        </w:tc>
      </w:tr>
      <w:tr w:rsidR="00703B09" w14:paraId="4DDA753C" w14:textId="77777777" w:rsidTr="00E134B9">
        <w:trPr>
          <w:trHeight w:val="450"/>
        </w:trPr>
        <w:tc>
          <w:tcPr>
            <w:tcW w:w="2061" w:type="dxa"/>
            <w:tcBorders>
              <w:top w:val="nil"/>
              <w:left w:val="single" w:sz="8" w:space="0" w:color="auto"/>
              <w:bottom w:val="single" w:sz="4" w:space="0" w:color="auto"/>
              <w:right w:val="single" w:sz="4" w:space="0" w:color="auto"/>
            </w:tcBorders>
            <w:vAlign w:val="center"/>
            <w:hideMark/>
          </w:tcPr>
          <w:p w14:paraId="5A3E3C0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Dermatitis atópica</w:t>
            </w:r>
          </w:p>
        </w:tc>
        <w:tc>
          <w:tcPr>
            <w:tcW w:w="1482" w:type="dxa"/>
            <w:tcBorders>
              <w:top w:val="nil"/>
              <w:left w:val="nil"/>
              <w:bottom w:val="single" w:sz="4" w:space="0" w:color="auto"/>
              <w:right w:val="single" w:sz="4" w:space="0" w:color="auto"/>
            </w:tcBorders>
            <w:vAlign w:val="center"/>
            <w:hideMark/>
          </w:tcPr>
          <w:p w14:paraId="2091A38C"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11 (6,6)</w:t>
            </w:r>
          </w:p>
        </w:tc>
        <w:tc>
          <w:tcPr>
            <w:tcW w:w="1595" w:type="dxa"/>
            <w:tcBorders>
              <w:top w:val="nil"/>
              <w:left w:val="nil"/>
              <w:bottom w:val="single" w:sz="4" w:space="0" w:color="auto"/>
              <w:right w:val="single" w:sz="4" w:space="0" w:color="auto"/>
            </w:tcBorders>
            <w:vAlign w:val="center"/>
            <w:hideMark/>
          </w:tcPr>
          <w:p w14:paraId="0E3C04E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15 (8,2)</w:t>
            </w:r>
          </w:p>
        </w:tc>
        <w:tc>
          <w:tcPr>
            <w:tcW w:w="1180" w:type="dxa"/>
            <w:tcBorders>
              <w:top w:val="nil"/>
              <w:left w:val="nil"/>
              <w:bottom w:val="single" w:sz="4" w:space="0" w:color="auto"/>
              <w:right w:val="single" w:sz="4" w:space="0" w:color="auto"/>
            </w:tcBorders>
            <w:vAlign w:val="center"/>
            <w:hideMark/>
          </w:tcPr>
          <w:p w14:paraId="2F940F78"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 xml:space="preserve"> -1,6 (-7;4)</w:t>
            </w:r>
          </w:p>
        </w:tc>
        <w:tc>
          <w:tcPr>
            <w:tcW w:w="1170" w:type="dxa"/>
            <w:tcBorders>
              <w:top w:val="nil"/>
              <w:left w:val="nil"/>
              <w:bottom w:val="single" w:sz="4" w:space="0" w:color="auto"/>
              <w:right w:val="single" w:sz="4" w:space="0" w:color="auto"/>
            </w:tcBorders>
            <w:vAlign w:val="center"/>
            <w:hideMark/>
          </w:tcPr>
          <w:p w14:paraId="5E223F5D"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4" w:space="0" w:color="auto"/>
              <w:right w:val="single" w:sz="8" w:space="0" w:color="auto"/>
            </w:tcBorders>
            <w:vAlign w:val="center"/>
            <w:hideMark/>
          </w:tcPr>
          <w:p w14:paraId="62E5CBA5"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24C25242" w14:textId="77777777" w:rsidR="00703B09" w:rsidRDefault="00703B09" w:rsidP="00703B09">
            <w:pPr>
              <w:rPr>
                <w:sz w:val="20"/>
                <w:szCs w:val="20"/>
              </w:rPr>
            </w:pPr>
          </w:p>
        </w:tc>
      </w:tr>
      <w:tr w:rsidR="00703B09" w14:paraId="33BCE901" w14:textId="77777777" w:rsidTr="00E134B9">
        <w:trPr>
          <w:trHeight w:val="465"/>
        </w:trPr>
        <w:tc>
          <w:tcPr>
            <w:tcW w:w="2061" w:type="dxa"/>
            <w:tcBorders>
              <w:top w:val="nil"/>
              <w:left w:val="single" w:sz="8" w:space="0" w:color="auto"/>
              <w:bottom w:val="single" w:sz="8" w:space="0" w:color="auto"/>
              <w:right w:val="single" w:sz="4" w:space="0" w:color="auto"/>
            </w:tcBorders>
            <w:vAlign w:val="center"/>
            <w:hideMark/>
          </w:tcPr>
          <w:p w14:paraId="50D04EAB"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Urticaria</w:t>
            </w:r>
          </w:p>
        </w:tc>
        <w:tc>
          <w:tcPr>
            <w:tcW w:w="1482" w:type="dxa"/>
            <w:tcBorders>
              <w:top w:val="nil"/>
              <w:left w:val="nil"/>
              <w:bottom w:val="single" w:sz="8" w:space="0" w:color="auto"/>
              <w:right w:val="single" w:sz="4" w:space="0" w:color="auto"/>
            </w:tcBorders>
            <w:vAlign w:val="center"/>
            <w:hideMark/>
          </w:tcPr>
          <w:p w14:paraId="6266E81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(0,6)</w:t>
            </w:r>
          </w:p>
        </w:tc>
        <w:tc>
          <w:tcPr>
            <w:tcW w:w="1595" w:type="dxa"/>
            <w:tcBorders>
              <w:top w:val="nil"/>
              <w:left w:val="nil"/>
              <w:bottom w:val="single" w:sz="8" w:space="0" w:color="auto"/>
              <w:right w:val="single" w:sz="4" w:space="0" w:color="auto"/>
            </w:tcBorders>
            <w:vAlign w:val="center"/>
            <w:hideMark/>
          </w:tcPr>
          <w:p w14:paraId="20E27866"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1 (0,5)</w:t>
            </w:r>
          </w:p>
        </w:tc>
        <w:tc>
          <w:tcPr>
            <w:tcW w:w="1180" w:type="dxa"/>
            <w:tcBorders>
              <w:top w:val="nil"/>
              <w:left w:val="nil"/>
              <w:bottom w:val="single" w:sz="8" w:space="0" w:color="auto"/>
              <w:right w:val="single" w:sz="4" w:space="0" w:color="auto"/>
            </w:tcBorders>
            <w:vAlign w:val="center"/>
            <w:hideMark/>
          </w:tcPr>
          <w:p w14:paraId="2B31A3D1"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0 (-1;1)</w:t>
            </w:r>
          </w:p>
        </w:tc>
        <w:tc>
          <w:tcPr>
            <w:tcW w:w="1170" w:type="dxa"/>
            <w:tcBorders>
              <w:top w:val="nil"/>
              <w:left w:val="nil"/>
              <w:bottom w:val="single" w:sz="8" w:space="0" w:color="auto"/>
              <w:right w:val="single" w:sz="4" w:space="0" w:color="auto"/>
            </w:tcBorders>
            <w:vAlign w:val="center"/>
            <w:hideMark/>
          </w:tcPr>
          <w:p w14:paraId="2A665CB2" w14:textId="77777777" w:rsidR="00703B09" w:rsidRDefault="00703B09" w:rsidP="00703B09">
            <w:pPr>
              <w:jc w:val="center"/>
              <w:rPr>
                <w:rFonts w:ascii="Arial" w:hAnsi="Arial" w:cs="Arial"/>
                <w:i/>
                <w:iCs/>
                <w:color w:val="000000"/>
                <w:sz w:val="16"/>
                <w:szCs w:val="16"/>
              </w:rPr>
            </w:pPr>
            <w:r>
              <w:rPr>
                <w:rFonts w:ascii="Arial" w:hAnsi="Arial" w:cs="Arial"/>
                <w:i/>
                <w:iCs/>
                <w:color w:val="000000"/>
                <w:sz w:val="16"/>
                <w:szCs w:val="16"/>
              </w:rPr>
              <w:t>P&gt;0,05</w:t>
            </w:r>
          </w:p>
        </w:tc>
        <w:tc>
          <w:tcPr>
            <w:tcW w:w="1186" w:type="dxa"/>
            <w:tcBorders>
              <w:top w:val="nil"/>
              <w:left w:val="nil"/>
              <w:bottom w:val="single" w:sz="8" w:space="0" w:color="auto"/>
              <w:right w:val="single" w:sz="8" w:space="0" w:color="auto"/>
            </w:tcBorders>
            <w:vAlign w:val="center"/>
            <w:hideMark/>
          </w:tcPr>
          <w:p w14:paraId="33FEF55A" w14:textId="77777777" w:rsidR="00703B09" w:rsidRDefault="00703B09" w:rsidP="00703B09">
            <w:pPr>
              <w:rPr>
                <w:rFonts w:ascii="Arial" w:hAnsi="Arial" w:cs="Arial"/>
                <w:i/>
                <w:iCs/>
                <w:color w:val="000000"/>
                <w:sz w:val="16"/>
                <w:szCs w:val="16"/>
              </w:rPr>
            </w:pPr>
            <w:r>
              <w:rPr>
                <w:rFonts w:ascii="Arial" w:hAnsi="Arial" w:cs="Arial"/>
                <w:i/>
                <w:iCs/>
                <w:color w:val="000000"/>
                <w:sz w:val="16"/>
                <w:szCs w:val="16"/>
              </w:rPr>
              <w:t>No significativo</w:t>
            </w:r>
          </w:p>
        </w:tc>
        <w:tc>
          <w:tcPr>
            <w:tcW w:w="146" w:type="dxa"/>
            <w:vAlign w:val="center"/>
            <w:hideMark/>
          </w:tcPr>
          <w:p w14:paraId="57174B9F" w14:textId="77777777" w:rsidR="00703B09" w:rsidRDefault="00703B09" w:rsidP="00703B09">
            <w:pPr>
              <w:rPr>
                <w:sz w:val="20"/>
                <w:szCs w:val="20"/>
              </w:rPr>
            </w:pPr>
          </w:p>
        </w:tc>
      </w:tr>
    </w:tbl>
    <w:p w14:paraId="7143A7D2" w14:textId="77777777" w:rsidR="002C5A05" w:rsidRDefault="002C5A05" w:rsidP="00BC3E8E">
      <w:pPr>
        <w:shd w:val="clear" w:color="auto" w:fill="FFFFFF"/>
        <w:jc w:val="both"/>
        <w:rPr>
          <w:rFonts w:ascii="Arial" w:hAnsi="Arial" w:cs="Arial"/>
          <w:sz w:val="20"/>
          <w:szCs w:val="20"/>
        </w:rPr>
      </w:pPr>
    </w:p>
    <w:p w14:paraId="4B8A2909" w14:textId="77777777" w:rsidR="002C5A05" w:rsidRDefault="006F4D6A" w:rsidP="00BC3E8E">
      <w:pPr>
        <w:shd w:val="clear" w:color="auto" w:fill="FFFFFF"/>
        <w:jc w:val="both"/>
        <w:rPr>
          <w:rFonts w:ascii="Arial" w:hAnsi="Arial" w:cs="Arial"/>
          <w:sz w:val="20"/>
          <w:szCs w:val="20"/>
        </w:rPr>
      </w:pPr>
      <w:r w:rsidRPr="006F4D6A">
        <w:rPr>
          <w:rFonts w:ascii="Arial" w:hAnsi="Arial" w:cs="Arial"/>
          <w:sz w:val="20"/>
          <w:szCs w:val="20"/>
        </w:rPr>
        <w:t xml:space="preserve">Los </w:t>
      </w:r>
      <w:r w:rsidRPr="00DB2899">
        <w:rPr>
          <w:rFonts w:ascii="Arial" w:hAnsi="Arial" w:cs="Arial"/>
          <w:b/>
          <w:bCs/>
          <w:sz w:val="20"/>
          <w:szCs w:val="20"/>
        </w:rPr>
        <w:t>Acontecimientos Adversos de Especial Interés (AESI)</w:t>
      </w:r>
      <w:r w:rsidRPr="006F4D6A">
        <w:rPr>
          <w:rFonts w:ascii="Arial" w:hAnsi="Arial" w:cs="Arial"/>
          <w:sz w:val="20"/>
          <w:szCs w:val="20"/>
        </w:rPr>
        <w:t xml:space="preserve"> se definieron como </w:t>
      </w:r>
      <w:r w:rsidR="00DB2899">
        <w:rPr>
          <w:rFonts w:ascii="Arial" w:hAnsi="Arial" w:cs="Arial"/>
          <w:sz w:val="20"/>
          <w:szCs w:val="20"/>
        </w:rPr>
        <w:t>EAs</w:t>
      </w:r>
      <w:r w:rsidRPr="006F4D6A">
        <w:rPr>
          <w:rFonts w:ascii="Arial" w:hAnsi="Arial" w:cs="Arial"/>
          <w:sz w:val="20"/>
          <w:szCs w:val="20"/>
        </w:rPr>
        <w:t xml:space="preserve"> relevantes que requerían vigilancia estrecha y notificación rápida. Se consideraron AESI: reacciones relacionadas con la inyección (incluyendo anafilaxia, reacciones alérgicas agudas que precisan tratamiento y reacciones locales graves &gt;24 h), asma de nueva aparición o empeoramiento, infecciones graves o que requieren antibióticos/antivirales/antifúngicos prolongados, infecciones confirmadas o sospechosas por COVID-19, edema periférico (extremidades, bilateral), edema facial, y elevaciones de ALT/AST &gt;3×ULN asociadas a bilirrubina &gt;2×ULN.</w:t>
      </w:r>
    </w:p>
    <w:p w14:paraId="0E5520F4" w14:textId="77777777" w:rsidR="005077DB" w:rsidRDefault="005077DB" w:rsidP="00BC3E8E">
      <w:pPr>
        <w:shd w:val="clear" w:color="auto" w:fill="FFFFFF"/>
        <w:jc w:val="both"/>
        <w:rPr>
          <w:rFonts w:ascii="Arial" w:hAnsi="Arial" w:cs="Arial"/>
          <w:sz w:val="20"/>
          <w:szCs w:val="20"/>
        </w:rPr>
      </w:pPr>
    </w:p>
    <w:p w14:paraId="72DDEC95" w14:textId="77777777" w:rsidR="00407DEE" w:rsidRDefault="005077DB" w:rsidP="00B41EE5">
      <w:pPr>
        <w:jc w:val="both"/>
        <w:rPr>
          <w:rFonts w:ascii="Arial" w:hAnsi="Arial" w:cs="Arial"/>
          <w:sz w:val="20"/>
          <w:szCs w:val="20"/>
        </w:rPr>
      </w:pPr>
      <w:r w:rsidRPr="005077DB">
        <w:rPr>
          <w:rFonts w:ascii="Arial" w:hAnsi="Arial" w:cs="Arial"/>
          <w:sz w:val="20"/>
          <w:szCs w:val="20"/>
        </w:rPr>
        <w:t xml:space="preserve">Durante el periodo de tratamiento, los </w:t>
      </w:r>
      <w:r>
        <w:rPr>
          <w:rFonts w:ascii="Arial" w:hAnsi="Arial" w:cs="Arial"/>
          <w:sz w:val="20"/>
          <w:szCs w:val="20"/>
        </w:rPr>
        <w:t xml:space="preserve">AESI </w:t>
      </w:r>
      <w:r w:rsidRPr="005077DB">
        <w:rPr>
          <w:rFonts w:ascii="Arial" w:hAnsi="Arial" w:cs="Arial"/>
          <w:sz w:val="20"/>
          <w:szCs w:val="20"/>
        </w:rPr>
        <w:t>fueron poco frecuentes y de intensidad principalmente leve</w:t>
      </w:r>
      <w:r w:rsidR="00407DEE">
        <w:rPr>
          <w:rFonts w:ascii="Arial" w:hAnsi="Arial" w:cs="Arial"/>
          <w:sz w:val="20"/>
          <w:szCs w:val="20"/>
        </w:rPr>
        <w:t>, se notificaron en el 9,0% de los tratados con nemolizumab y en el 6,6% de los tratados con placebo</w:t>
      </w:r>
      <w:r w:rsidRPr="005077DB">
        <w:rPr>
          <w:rFonts w:ascii="Arial" w:hAnsi="Arial" w:cs="Arial"/>
          <w:sz w:val="20"/>
          <w:szCs w:val="20"/>
        </w:rPr>
        <w:t xml:space="preserve">. </w:t>
      </w:r>
    </w:p>
    <w:p w14:paraId="46C9F5F5" w14:textId="77777777" w:rsidR="00407DEE" w:rsidRDefault="00407DEE" w:rsidP="00407DEE">
      <w:pPr>
        <w:jc w:val="both"/>
        <w:rPr>
          <w:rFonts w:ascii="Arial" w:hAnsi="Arial" w:cs="Arial"/>
          <w:sz w:val="20"/>
          <w:szCs w:val="20"/>
        </w:rPr>
      </w:pPr>
    </w:p>
    <w:p w14:paraId="4CED8C26" w14:textId="77777777" w:rsidR="00407DEE" w:rsidRPr="00407DEE" w:rsidRDefault="00407DEE" w:rsidP="00407DEE">
      <w:pPr>
        <w:jc w:val="both"/>
        <w:rPr>
          <w:rFonts w:ascii="Arial" w:hAnsi="Arial" w:cs="Arial"/>
          <w:sz w:val="20"/>
          <w:szCs w:val="20"/>
        </w:rPr>
      </w:pPr>
    </w:p>
    <w:p w14:paraId="502666F8" w14:textId="77777777" w:rsidR="006A3B4B" w:rsidRDefault="006A3B4B" w:rsidP="006A3B4B">
      <w:pPr>
        <w:jc w:val="both"/>
        <w:rPr>
          <w:rFonts w:ascii="Arial" w:hAnsi="Arial" w:cs="Arial"/>
          <w:sz w:val="20"/>
          <w:szCs w:val="20"/>
        </w:rPr>
      </w:pPr>
      <w:r w:rsidRPr="006A3B4B">
        <w:rPr>
          <w:rFonts w:ascii="Arial" w:hAnsi="Arial" w:cs="Arial"/>
          <w:sz w:val="20"/>
          <w:szCs w:val="20"/>
        </w:rPr>
        <w:t xml:space="preserve">El </w:t>
      </w:r>
      <w:r w:rsidRPr="006A3B4B">
        <w:rPr>
          <w:rFonts w:ascii="Arial" w:hAnsi="Arial" w:cs="Arial"/>
          <w:b/>
          <w:bCs/>
          <w:sz w:val="20"/>
          <w:szCs w:val="20"/>
        </w:rPr>
        <w:t>asma</w:t>
      </w:r>
      <w:r w:rsidRPr="006A3B4B">
        <w:rPr>
          <w:rFonts w:ascii="Arial" w:hAnsi="Arial" w:cs="Arial"/>
          <w:sz w:val="20"/>
          <w:szCs w:val="20"/>
        </w:rPr>
        <w:t xml:space="preserve"> fue una comorbilidad frecuente y prevalente en la población de estudio, aproximadamente un 30% de los pacientes de cada brazo. </w:t>
      </w:r>
    </w:p>
    <w:p w14:paraId="6C4917C6" w14:textId="77777777" w:rsidR="00407DEE" w:rsidRDefault="00407DEE" w:rsidP="00407DEE">
      <w:pPr>
        <w:jc w:val="both"/>
        <w:rPr>
          <w:rFonts w:ascii="Arial" w:hAnsi="Arial" w:cs="Arial"/>
          <w:sz w:val="20"/>
          <w:szCs w:val="20"/>
        </w:rPr>
      </w:pPr>
    </w:p>
    <w:p w14:paraId="4B220569" w14:textId="77777777" w:rsidR="00407DEE" w:rsidRPr="00407DEE" w:rsidRDefault="00407DEE" w:rsidP="00407DEE">
      <w:pPr>
        <w:jc w:val="both"/>
        <w:rPr>
          <w:rFonts w:ascii="Arial" w:hAnsi="Arial" w:cs="Arial"/>
          <w:sz w:val="20"/>
          <w:szCs w:val="20"/>
        </w:rPr>
      </w:pPr>
      <w:r w:rsidRPr="00407DEE">
        <w:rPr>
          <w:rFonts w:ascii="Arial" w:hAnsi="Arial" w:cs="Arial"/>
          <w:sz w:val="20"/>
          <w:szCs w:val="20"/>
        </w:rPr>
        <w:t>Durante el Periodo Inicial, un total de 51 sujetos (4,3%) tratados con nemolizumab 30 mg</w:t>
      </w:r>
      <w:r>
        <w:rPr>
          <w:rFonts w:ascii="Arial" w:hAnsi="Arial" w:cs="Arial"/>
          <w:sz w:val="20"/>
          <w:szCs w:val="20"/>
        </w:rPr>
        <w:t xml:space="preserve"> Q4W</w:t>
      </w:r>
      <w:r w:rsidRPr="00407DEE">
        <w:rPr>
          <w:rFonts w:ascii="Arial" w:hAnsi="Arial" w:cs="Arial"/>
          <w:sz w:val="20"/>
          <w:szCs w:val="20"/>
        </w:rPr>
        <w:t>, frente a 20 sujetos (3,1%) tratados con placebo, experimentaron un AESI que cumplía la definición por protocolo de asma de nuevo diagnóstico o empeoramiento del asma. Durante el Periodo de Mantenimiento, la frecuencia de estos AESI también fue mayor en los sujetos tratados con nemolizumab en comparación con los sujetos que recibieron placebo (4,1% en el grupo nemolizumab 30 mg Q4W→Q4W, 3,6% en nemolizumab 30 mg Q4W→Q8W, 2,4% en nemolizumab 30 mg Q4W→placebo y 2,7% en los reasignados a placebo).</w:t>
      </w:r>
    </w:p>
    <w:p w14:paraId="733657FF" w14:textId="77777777" w:rsidR="00407DEE" w:rsidRDefault="00407DEE" w:rsidP="006A3B4B">
      <w:pPr>
        <w:jc w:val="both"/>
        <w:rPr>
          <w:rFonts w:ascii="Arial" w:hAnsi="Arial" w:cs="Arial"/>
          <w:sz w:val="20"/>
          <w:szCs w:val="20"/>
        </w:rPr>
      </w:pPr>
    </w:p>
    <w:p w14:paraId="06DABD16" w14:textId="77777777" w:rsidR="006A3B4B" w:rsidRPr="006A3B4B" w:rsidRDefault="006A3B4B" w:rsidP="006A3B4B">
      <w:pPr>
        <w:jc w:val="both"/>
        <w:rPr>
          <w:rFonts w:ascii="Arial" w:hAnsi="Arial" w:cs="Arial"/>
          <w:sz w:val="20"/>
          <w:szCs w:val="20"/>
        </w:rPr>
      </w:pPr>
      <w:r w:rsidRPr="006A3B4B">
        <w:rPr>
          <w:rFonts w:ascii="Arial" w:hAnsi="Arial" w:cs="Arial"/>
          <w:sz w:val="20"/>
          <w:szCs w:val="20"/>
        </w:rPr>
        <w:t xml:space="preserve">Los EA relacionados con el asma se monitorizaron estrechamente, incluso a través de un Comité de Adjudicación Independiente (IAC). La evaluación posterior de seguridad (pool de seguridad primario) </w:t>
      </w:r>
      <w:bookmarkStart w:id="122" w:name="_Hlk216196902"/>
      <w:r w:rsidRPr="006A3B4B">
        <w:rPr>
          <w:rFonts w:ascii="Arial" w:hAnsi="Arial" w:cs="Arial"/>
          <w:sz w:val="20"/>
          <w:szCs w:val="20"/>
        </w:rPr>
        <w:t xml:space="preserve">observó que los </w:t>
      </w:r>
      <w:r>
        <w:rPr>
          <w:rFonts w:ascii="Arial" w:hAnsi="Arial" w:cs="Arial"/>
          <w:sz w:val="20"/>
          <w:szCs w:val="20"/>
        </w:rPr>
        <w:t>EAs</w:t>
      </w:r>
      <w:r w:rsidRPr="006A3B4B">
        <w:rPr>
          <w:rFonts w:ascii="Arial" w:hAnsi="Arial" w:cs="Arial"/>
          <w:sz w:val="20"/>
          <w:szCs w:val="20"/>
        </w:rPr>
        <w:t xml:space="preserve"> relacionados con el asma adjudicados por el IAC fueron más comunes en los sujetos tratados con nemolizumab (5.3%) que en los sujetos con placebo (4.3%) durante el Periodo Inicial.</w:t>
      </w:r>
      <w:bookmarkEnd w:id="122"/>
      <w:r w:rsidRPr="006A3B4B">
        <w:rPr>
          <w:rFonts w:ascii="Arial" w:hAnsi="Arial" w:cs="Arial"/>
          <w:sz w:val="20"/>
          <w:szCs w:val="20"/>
        </w:rPr>
        <w:t xml:space="preserve"> Todos los eventos confirmados de asma de nueva aparición o empeoramiento del asma fueron de intensidad leve o moderada según el IAC.</w:t>
      </w:r>
    </w:p>
    <w:p w14:paraId="1094BAC1" w14:textId="77777777" w:rsidR="006A3B4B" w:rsidRDefault="006A3B4B" w:rsidP="006A3B4B">
      <w:pPr>
        <w:jc w:val="both"/>
        <w:rPr>
          <w:rFonts w:ascii="Arial" w:hAnsi="Arial" w:cs="Arial"/>
          <w:sz w:val="20"/>
          <w:szCs w:val="20"/>
        </w:rPr>
      </w:pPr>
      <w:r w:rsidRPr="006A3B4B">
        <w:rPr>
          <w:rFonts w:ascii="Arial" w:hAnsi="Arial" w:cs="Arial"/>
          <w:sz w:val="20"/>
          <w:szCs w:val="20"/>
        </w:rPr>
        <w:t>Es importante destacar que los estudios ARCADIA excluyeron a pacientes con asma mal controlada o antecedentes de exacerbación asmática que requiriera hospitalización en los 12 meses anteriores. Por lo tanto, no se dispone de información sobre la eficacia o seguridad de nemolizumab en dichos pacientes</w:t>
      </w:r>
      <w:r w:rsidR="003F3B19">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{"citationID":"lERf5Wfu","properties":{"formattedCitation":"(5,13)","plainCitation":"(5,13)","noteIndex":0},"citationItems":[{"id":22,"uris":["http://zotero.org/users/18702181/items/5JWGRDEH"],"itemData":{"id":22,"type":"webpage","language":"en","title":"Informe EPAR Nemluvio","URL":"https://www.ema.europa.eu/en/medicines/human/EPAR/nemluvio","author":[{"family":"European Medicines Agency (EMA)","given":""}],"accessed":{"date-parts":[["2025",11,5]]},"issued":{"date-parts":[["2024",12,13]]}}},{"id":31,"uris":["http://zotero.org/users/18702181/items/7H7KVXVG"],"itemData":{"id":31,"type":"article-journal","container-title":"The Lancet","DOI":"10.1016/S0140-6736(24)01203-0","ISSN":"0140-6736, 1474-547X","issue":"10451","journalAbbreviation":"The Lancet","language":"English","page":"445-460","PMID":"39067461","publisher":"Elsevier","source":"www.thelancet.com","title":"Nemolizumab with concomitant topical therapy in adolescents and adults with moderate-to-severe atopic dermatitis (ARCADIA 1 and ARCADIA 2): results from two replicate, double-blind, randomised controlled phase 3 trials","title-short":"Nemolizumab with concomitant topical therapy in adolescents and adults with moderate-to-severe atopic dermatitis (ARCADIA 1 and ARCADIA 2)","volume":"404","author":[{"family":"Silverberg","given":"Jonathan I."},{"family":"Wollenberg","given":"Andreas"},{"family":"Reich","given":"Adam"},{"family":"Thaçi","given":"Diamant"},{"family":"Legat","given":"Franz J."},{"family":"Papp","given":"Kim A."},{"family":"Gold","given":"Linda Stein"},{"family":"Bouaziz","given":"Jean-David"},{"family":"Pink","given":"Andrew E."},{"family":"Carrascosa","given":"José Manuel"},{"family":"Rewerska","given":"Barbara"},{"family":"Szepietowski","given":"Jacek C."},{"family":"Krasowska","given":"Dorota"},{"family":"Havlíčková","given":"Blanka"},{"family":"Kalowska","given":"Monika"},{"family":"Magnolo","given":"Nina"},{"family":"Pauser","given":"Sylvia"},{"family":"Nami","given":"Navid"},{"family":"Sauder","given":"Maxwell B."},{"family":"Jain","given":"Vipul"},{"family":"Padlewska","given":"Kamila"},{"family":"Cheong","given":"Soo Yeon"},{"family":"Morel","given":"Patricia Fleuranceau"},{"family":"Ulianov","given":"Liliana"},{"family":"Piketty","given":"Christophe"}],"issued":{"date-parts":[["2024",8,3]]}}}],"schema":"https://github.com/citation-style-language/schema/raw/master/csl-citation.json"} </w:instrText>
      </w:r>
      <w:r w:rsidR="00646A51">
        <w:rPr>
          <w:rFonts w:ascii="Arial" w:hAnsi="Arial" w:cs="Arial"/>
          <w:sz w:val="20"/>
          <w:szCs w:val="20"/>
        </w:rPr>
        <w:fldChar w:fldCharType="separate"/>
      </w:r>
      <w:r w:rsidR="00AB2E8A" w:rsidRPr="00AB2E8A">
        <w:rPr>
          <w:rFonts w:ascii="Arial" w:hAnsi="Arial" w:cs="Arial"/>
          <w:sz w:val="20"/>
        </w:rPr>
        <w:t>(5,13)</w:t>
      </w:r>
      <w:r w:rsidR="00646A51">
        <w:rPr>
          <w:rFonts w:ascii="Arial" w:hAnsi="Arial" w:cs="Arial"/>
          <w:sz w:val="20"/>
          <w:szCs w:val="20"/>
        </w:rPr>
        <w:fldChar w:fldCharType="end"/>
      </w:r>
      <w:r w:rsidRPr="006A3B4B">
        <w:rPr>
          <w:rFonts w:ascii="Arial" w:hAnsi="Arial" w:cs="Arial"/>
          <w:sz w:val="20"/>
          <w:szCs w:val="20"/>
        </w:rPr>
        <w:t>.</w:t>
      </w:r>
    </w:p>
    <w:p w14:paraId="34CD35B6" w14:textId="77777777" w:rsidR="00DB2899" w:rsidRPr="006A3B4B" w:rsidRDefault="00DB2899" w:rsidP="006A3B4B">
      <w:pPr>
        <w:jc w:val="both"/>
        <w:rPr>
          <w:rFonts w:ascii="Arial" w:hAnsi="Arial" w:cs="Arial"/>
          <w:sz w:val="20"/>
          <w:szCs w:val="20"/>
        </w:rPr>
      </w:pPr>
    </w:p>
    <w:p w14:paraId="3F92586A" w14:textId="77777777" w:rsidR="006A3B4B" w:rsidRPr="006A3B4B" w:rsidRDefault="006A3B4B" w:rsidP="006A3B4B">
      <w:pPr>
        <w:jc w:val="both"/>
        <w:rPr>
          <w:rFonts w:ascii="Arial" w:hAnsi="Arial" w:cs="Arial"/>
          <w:b/>
          <w:bCs/>
          <w:sz w:val="20"/>
          <w:szCs w:val="20"/>
        </w:rPr>
      </w:pPr>
      <w:r w:rsidRPr="006A3B4B">
        <w:rPr>
          <w:rFonts w:ascii="Arial" w:hAnsi="Arial" w:cs="Arial"/>
          <w:b/>
          <w:bCs/>
          <w:sz w:val="20"/>
          <w:szCs w:val="20"/>
        </w:rPr>
        <w:t>Perfil General de Seguridad</w:t>
      </w:r>
    </w:p>
    <w:p w14:paraId="6C56B76B" w14:textId="77777777" w:rsidR="006A3B4B" w:rsidRPr="006A3B4B" w:rsidRDefault="006A3B4B" w:rsidP="006A3B4B">
      <w:pPr>
        <w:jc w:val="both"/>
        <w:rPr>
          <w:rFonts w:ascii="Arial" w:hAnsi="Arial" w:cs="Arial"/>
          <w:sz w:val="20"/>
          <w:szCs w:val="20"/>
        </w:rPr>
      </w:pPr>
      <w:r w:rsidRPr="006A3B4B">
        <w:rPr>
          <w:rFonts w:ascii="Arial" w:hAnsi="Arial" w:cs="Arial"/>
          <w:sz w:val="20"/>
          <w:szCs w:val="20"/>
        </w:rPr>
        <w:t xml:space="preserve">El perfil de seguridad general de nemolizumab más TCS–TCI </w:t>
      </w:r>
      <w:r w:rsidR="00CC3BBC">
        <w:rPr>
          <w:rFonts w:ascii="Arial" w:hAnsi="Arial" w:cs="Arial"/>
          <w:sz w:val="20"/>
          <w:szCs w:val="20"/>
        </w:rPr>
        <w:t>no mostró diferencias apreciables frente a</w:t>
      </w:r>
      <w:r w:rsidRPr="006A3B4B">
        <w:rPr>
          <w:rFonts w:ascii="Arial" w:hAnsi="Arial" w:cs="Arial"/>
          <w:sz w:val="20"/>
          <w:szCs w:val="20"/>
        </w:rPr>
        <w:t xml:space="preserve"> placebo más TCS–TCI durante el período de tratamiento inicial de 16 semanas. La mayoría de los E</w:t>
      </w:r>
      <w:r>
        <w:rPr>
          <w:rFonts w:ascii="Arial" w:hAnsi="Arial" w:cs="Arial"/>
          <w:sz w:val="20"/>
          <w:szCs w:val="20"/>
        </w:rPr>
        <w:t xml:space="preserve">A </w:t>
      </w:r>
      <w:r w:rsidRPr="006A3B4B">
        <w:rPr>
          <w:rFonts w:ascii="Arial" w:hAnsi="Arial" w:cs="Arial"/>
          <w:sz w:val="20"/>
          <w:szCs w:val="20"/>
        </w:rPr>
        <w:t xml:space="preserve">fueron </w:t>
      </w:r>
      <w:r w:rsidRPr="006A3B4B">
        <w:rPr>
          <w:rFonts w:ascii="Arial" w:hAnsi="Arial" w:cs="Arial"/>
          <w:b/>
          <w:bCs/>
          <w:sz w:val="20"/>
          <w:szCs w:val="20"/>
        </w:rPr>
        <w:t>no graves</w:t>
      </w:r>
      <w:r w:rsidRPr="006A3B4B">
        <w:rPr>
          <w:rFonts w:ascii="Arial" w:hAnsi="Arial" w:cs="Arial"/>
          <w:sz w:val="20"/>
          <w:szCs w:val="20"/>
        </w:rPr>
        <w:t xml:space="preserve"> y de intensidad </w:t>
      </w:r>
      <w:r w:rsidRPr="006A3B4B">
        <w:rPr>
          <w:rFonts w:ascii="Arial" w:hAnsi="Arial" w:cs="Arial"/>
          <w:b/>
          <w:bCs/>
          <w:sz w:val="20"/>
          <w:szCs w:val="20"/>
        </w:rPr>
        <w:t>leve o moderada</w:t>
      </w:r>
      <w:r w:rsidRPr="006A3B4B">
        <w:rPr>
          <w:rFonts w:ascii="Arial" w:hAnsi="Arial" w:cs="Arial"/>
          <w:sz w:val="20"/>
          <w:szCs w:val="20"/>
        </w:rPr>
        <w:t>.</w:t>
      </w:r>
    </w:p>
    <w:p w14:paraId="55C766B3" w14:textId="77777777" w:rsidR="006A3B4B" w:rsidRDefault="006A3B4B" w:rsidP="00B41EE5">
      <w:pPr>
        <w:jc w:val="both"/>
        <w:rPr>
          <w:rFonts w:ascii="Arial" w:hAnsi="Arial" w:cs="Arial"/>
          <w:sz w:val="20"/>
          <w:szCs w:val="20"/>
        </w:rPr>
      </w:pPr>
    </w:p>
    <w:p w14:paraId="5DBBD158" w14:textId="77777777" w:rsidR="00EB3025" w:rsidRPr="00EB3025" w:rsidRDefault="00EB3025" w:rsidP="00B41EE5">
      <w:pPr>
        <w:jc w:val="both"/>
        <w:rPr>
          <w:rFonts w:ascii="Arial" w:hAnsi="Arial" w:cs="Arial"/>
          <w:b/>
          <w:bCs/>
          <w:sz w:val="20"/>
          <w:szCs w:val="20"/>
        </w:rPr>
      </w:pPr>
    </w:p>
    <w:p w14:paraId="095B0187" w14:textId="77777777" w:rsidR="00EB3025" w:rsidRPr="00EB3025" w:rsidRDefault="00EB3025" w:rsidP="00B41EE5">
      <w:pPr>
        <w:jc w:val="both"/>
        <w:rPr>
          <w:rFonts w:ascii="Arial" w:hAnsi="Arial" w:cs="Arial"/>
          <w:b/>
          <w:bCs/>
          <w:sz w:val="20"/>
          <w:szCs w:val="20"/>
        </w:rPr>
      </w:pPr>
      <w:r w:rsidRPr="00EB3025">
        <w:rPr>
          <w:rFonts w:ascii="Arial" w:hAnsi="Arial" w:cs="Arial"/>
          <w:b/>
          <w:bCs/>
          <w:sz w:val="20"/>
          <w:szCs w:val="20"/>
        </w:rPr>
        <w:t>EVENTOS ADVERSOS FRECUENTES CON OTRAS ALTERNATIVAS</w:t>
      </w:r>
      <w:r>
        <w:rPr>
          <w:rFonts w:ascii="Arial" w:hAnsi="Arial" w:cs="Arial"/>
          <w:b/>
          <w:bCs/>
          <w:sz w:val="20"/>
          <w:szCs w:val="20"/>
        </w:rPr>
        <w:t xml:space="preserve"> </w:t>
      </w:r>
      <w:r w:rsidR="00646A51">
        <w:rPr>
          <w:rFonts w:ascii="Arial" w:hAnsi="Arial" w:cs="Arial"/>
          <w:b/>
          <w:bCs/>
          <w:sz w:val="20"/>
          <w:szCs w:val="20"/>
        </w:rPr>
        <w:fldChar w:fldCharType="begin"/>
      </w:r>
      <w:r w:rsidR="00511A83">
        <w:rPr>
          <w:rFonts w:ascii="Arial" w:hAnsi="Arial" w:cs="Arial"/>
          <w:b/>
          <w:bCs/>
          <w:sz w:val="20"/>
          <w:szCs w:val="20"/>
        </w:rPr>
        <w:instrText xml:space="preserve"> ADDIN ZOTERO_ITEM CSL_CITATION {"citationID":"flhDvElj","properties":{"formattedCitation":"(35)","plainCitation":"(35)","noteIndex":0},"citationItems":[{"id":115,"uris":["http://zotero.org/users/18702181/items/6SV7NL8E"],"itemData":{"id":115,"type":"article-journal","container-title":"The Journal of Allergy and Clinical Immunology: In Practice","DOI":"10.1016/j.jaip.2025.04.042","ISSN":"2213-2198, 2213-2201","issue":"8","journalAbbreviation":"The Journal of Allergy and Clinical Immunology: In Practice","language":"English","page":"1901-1910.e1","PMID":"40368249","publisher":"Elsevier","source":"www.jaci-inpractice.org","title":"Deciding Which Patients With Atopic Dermatitis to Prioritize for Biologics and Janus Kinase Inhibitors","volume":"13","author":[{"family":"Kamata","given":"Masahiro"},{"family":"Sun","given":"Dingyuan I."},{"family":"Paller","given":"Amy S."}],"issued":{"date-parts":[["2025",8,1]]}}}],"schema":"https://github.com/citation-style-language/schema/raw/master/csl-citation.json"} </w:instrText>
      </w:r>
      <w:r w:rsidR="00646A51">
        <w:rPr>
          <w:rFonts w:ascii="Arial" w:hAnsi="Arial" w:cs="Arial"/>
          <w:b/>
          <w:bCs/>
          <w:sz w:val="20"/>
          <w:szCs w:val="20"/>
        </w:rPr>
        <w:fldChar w:fldCharType="separate"/>
      </w:r>
      <w:r w:rsidR="00511A83" w:rsidRPr="00511A83">
        <w:rPr>
          <w:rFonts w:ascii="Arial" w:hAnsi="Arial" w:cs="Arial"/>
          <w:sz w:val="20"/>
        </w:rPr>
        <w:t>(35)</w:t>
      </w:r>
      <w:r w:rsidR="00646A51">
        <w:rPr>
          <w:rFonts w:ascii="Arial" w:hAnsi="Arial" w:cs="Arial"/>
          <w:b/>
          <w:bCs/>
          <w:sz w:val="20"/>
          <w:szCs w:val="20"/>
        </w:rPr>
        <w:fldChar w:fldCharType="end"/>
      </w:r>
    </w:p>
    <w:p w14:paraId="03564262" w14:textId="77777777" w:rsidR="00EB3025" w:rsidRPr="00EB3025" w:rsidRDefault="00EB3025" w:rsidP="00B41EE5">
      <w:pPr>
        <w:jc w:val="both"/>
        <w:rPr>
          <w:rFonts w:ascii="Arial" w:hAnsi="Arial" w:cs="Arial"/>
          <w:sz w:val="20"/>
          <w:szCs w:val="20"/>
        </w:rPr>
      </w:pPr>
    </w:p>
    <w:p w14:paraId="1F3D4EC5" w14:textId="77777777" w:rsidR="00EB3025" w:rsidRDefault="00EB3025" w:rsidP="00B41EE5">
      <w:pPr>
        <w:jc w:val="both"/>
        <w:rPr>
          <w:rFonts w:ascii="Arial" w:hAnsi="Arial" w:cs="Arial"/>
          <w:sz w:val="20"/>
          <w:szCs w:val="20"/>
        </w:rPr>
      </w:pPr>
      <w:r w:rsidRPr="00EB3025">
        <w:rPr>
          <w:rFonts w:ascii="Arial" w:hAnsi="Arial" w:cs="Arial"/>
          <w:sz w:val="20"/>
          <w:szCs w:val="20"/>
        </w:rPr>
        <w:t xml:space="preserve">Los </w:t>
      </w:r>
      <w:r w:rsidRPr="00EB3025">
        <w:rPr>
          <w:rFonts w:ascii="Arial" w:hAnsi="Arial" w:cs="Arial"/>
          <w:b/>
          <w:bCs/>
          <w:sz w:val="20"/>
          <w:szCs w:val="20"/>
        </w:rPr>
        <w:t>biológicos</w:t>
      </w:r>
      <w:r w:rsidRPr="00EB3025">
        <w:rPr>
          <w:rFonts w:ascii="Arial" w:hAnsi="Arial" w:cs="Arial"/>
          <w:sz w:val="20"/>
          <w:szCs w:val="20"/>
        </w:rPr>
        <w:t xml:space="preserve"> para DA presentan en general un perfil de seguridad muy favorable frente a inmunosupresores sistémicos tradicionales. El principal </w:t>
      </w:r>
      <w:r>
        <w:rPr>
          <w:rFonts w:ascii="Arial" w:hAnsi="Arial" w:cs="Arial"/>
          <w:sz w:val="20"/>
          <w:szCs w:val="20"/>
        </w:rPr>
        <w:t xml:space="preserve">EA </w:t>
      </w:r>
      <w:r w:rsidRPr="00EB3025">
        <w:rPr>
          <w:rFonts w:ascii="Arial" w:hAnsi="Arial" w:cs="Arial"/>
          <w:sz w:val="20"/>
          <w:szCs w:val="20"/>
        </w:rPr>
        <w:t>relevante para dupilumab, tralokinumab y lebrikizumab es la enfermedad ocular de la superficie, que aparece en aproximadamente 20–30% de los adultos y 5–10% de los niños tratados con dupilumab, y en torno a 10% de los pacientes tratados con tralokinumab o lebrikizumab. Suelen ser cuadros leves-moderados, manejables con lubricantes o tratamiento tópico antiinflamatorio. Otros riesgos poco frecuentes descritos con dupilumab incluyen eritema cabeza-cuello, psoriasis de novo, artritis/artralgia/entesitis, aunque no se han observado de forma consistente con otros biológicos. No se requiere monitorización analítica rutinaria, y el aumento transitorio de eosinófilos observado con dupilumab no suele tener relevancia clínica</w:t>
      </w:r>
      <w:r>
        <w:rPr>
          <w:rFonts w:ascii="Arial" w:hAnsi="Arial" w:cs="Arial"/>
          <w:sz w:val="20"/>
          <w:szCs w:val="20"/>
        </w:rPr>
        <w:t>.</w:t>
      </w:r>
    </w:p>
    <w:p w14:paraId="0E0392A4" w14:textId="77777777" w:rsidR="00EB3025" w:rsidRDefault="00EB3025" w:rsidP="00B41EE5">
      <w:pPr>
        <w:jc w:val="both"/>
        <w:rPr>
          <w:rFonts w:ascii="Arial" w:hAnsi="Arial" w:cs="Arial"/>
          <w:sz w:val="20"/>
          <w:szCs w:val="20"/>
        </w:rPr>
      </w:pPr>
    </w:p>
    <w:p w14:paraId="3A1D6476" w14:textId="77777777" w:rsidR="00EB3025" w:rsidRPr="00EB3025" w:rsidRDefault="00EB3025" w:rsidP="00EB3025">
      <w:pPr>
        <w:jc w:val="both"/>
        <w:rPr>
          <w:rFonts w:ascii="Arial" w:hAnsi="Arial" w:cs="Arial"/>
          <w:sz w:val="20"/>
          <w:szCs w:val="20"/>
        </w:rPr>
      </w:pPr>
      <w:r w:rsidRPr="00EB3025">
        <w:rPr>
          <w:rFonts w:ascii="Arial" w:hAnsi="Arial" w:cs="Arial"/>
          <w:sz w:val="20"/>
          <w:szCs w:val="20"/>
        </w:rPr>
        <w:t xml:space="preserve">En cuanto a la </w:t>
      </w:r>
      <w:r w:rsidRPr="00EB3025">
        <w:rPr>
          <w:rFonts w:ascii="Arial" w:hAnsi="Arial" w:cs="Arial"/>
          <w:b/>
          <w:bCs/>
          <w:sz w:val="20"/>
          <w:szCs w:val="20"/>
        </w:rPr>
        <w:t xml:space="preserve">seguridad de los iJAK, </w:t>
      </w:r>
      <w:r w:rsidRPr="00EB3025">
        <w:rPr>
          <w:rFonts w:ascii="Arial" w:hAnsi="Arial" w:cs="Arial"/>
          <w:sz w:val="20"/>
          <w:szCs w:val="20"/>
        </w:rPr>
        <w:t xml:space="preserve">los </w:t>
      </w:r>
      <w:r>
        <w:rPr>
          <w:rFonts w:ascii="Arial" w:hAnsi="Arial" w:cs="Arial"/>
          <w:sz w:val="20"/>
          <w:szCs w:val="20"/>
        </w:rPr>
        <w:t xml:space="preserve">EA </w:t>
      </w:r>
      <w:r w:rsidRPr="00EB3025">
        <w:rPr>
          <w:rFonts w:ascii="Arial" w:hAnsi="Arial" w:cs="Arial"/>
          <w:sz w:val="20"/>
          <w:szCs w:val="20"/>
        </w:rPr>
        <w:t xml:space="preserve">más frecuentes son herpes zóster y acné. Los pacientes con antecedentes de herpes zóster presentan un mayor riesgo de reactivación durante el tratamiento con </w:t>
      </w:r>
      <w:r>
        <w:rPr>
          <w:rFonts w:ascii="Arial" w:hAnsi="Arial" w:cs="Arial"/>
          <w:sz w:val="20"/>
          <w:szCs w:val="20"/>
        </w:rPr>
        <w:t>i</w:t>
      </w:r>
      <w:r w:rsidRPr="00EB3025">
        <w:rPr>
          <w:rFonts w:ascii="Arial" w:hAnsi="Arial" w:cs="Arial"/>
          <w:sz w:val="20"/>
          <w:szCs w:val="20"/>
        </w:rPr>
        <w:t>JAK, por lo que en estos casos se prefieren los biológicos. El riesgo de herpes zóster varía según el fármaco y se relaciona con su potencia, siendo upadacitinib el que presenta la mayor incidencia, seguido de abrocitinib y baricitinib. Por ello, baricitinib puede ser preferible en DA moderada por su mejor perfil de seguridad, mientras que upadacitinib o abrocitinib se reservan para enfermedad más grave.</w:t>
      </w:r>
    </w:p>
    <w:p w14:paraId="14A3D644" w14:textId="77777777" w:rsidR="00EB3025" w:rsidRPr="00EB3025" w:rsidRDefault="00EB3025" w:rsidP="00EB3025">
      <w:pPr>
        <w:jc w:val="both"/>
        <w:rPr>
          <w:rFonts w:ascii="Arial" w:hAnsi="Arial" w:cs="Arial"/>
          <w:sz w:val="20"/>
          <w:szCs w:val="20"/>
        </w:rPr>
      </w:pPr>
      <w:r w:rsidRPr="00EB3025">
        <w:rPr>
          <w:rFonts w:ascii="Arial" w:hAnsi="Arial" w:cs="Arial"/>
          <w:sz w:val="20"/>
          <w:szCs w:val="20"/>
        </w:rPr>
        <w:t xml:space="preserve">Las náuseas son un evento adverso particularmente asociado a abrocitinib. Se recomienda una monitorización trimestral del hemograma, sobre todo para detectar neutropenia, aunque reducciones transitorias de leucocitos pueden deberse a infecciones virales y deben reevaluarse. Los </w:t>
      </w:r>
      <w:r>
        <w:rPr>
          <w:rFonts w:ascii="Arial" w:hAnsi="Arial" w:cs="Arial"/>
          <w:sz w:val="20"/>
          <w:szCs w:val="20"/>
        </w:rPr>
        <w:t>i</w:t>
      </w:r>
      <w:r w:rsidRPr="00EB3025">
        <w:rPr>
          <w:rFonts w:ascii="Arial" w:hAnsi="Arial" w:cs="Arial"/>
          <w:sz w:val="20"/>
          <w:szCs w:val="20"/>
        </w:rPr>
        <w:t xml:space="preserve">JAK pueden producir un aumento leve del colesterol LDL y HDL, que rara vez requiere intervención. </w:t>
      </w:r>
    </w:p>
    <w:p w14:paraId="6C5FA88C" w14:textId="77777777" w:rsidR="00EB3025" w:rsidRPr="00EB3025" w:rsidRDefault="00EB3025" w:rsidP="00EB3025">
      <w:pPr>
        <w:jc w:val="both"/>
        <w:rPr>
          <w:rFonts w:ascii="Arial" w:hAnsi="Arial" w:cs="Arial"/>
          <w:sz w:val="20"/>
          <w:szCs w:val="20"/>
        </w:rPr>
      </w:pPr>
      <w:r w:rsidRPr="00EB3025">
        <w:rPr>
          <w:rFonts w:ascii="Arial" w:hAnsi="Arial" w:cs="Arial"/>
          <w:sz w:val="20"/>
          <w:szCs w:val="20"/>
        </w:rPr>
        <w:t xml:space="preserve">Aunque en artritis reumatoide el uso de tofacitinib en adultos mayores con factores de riesgo se asoció a un aumento de eventos cardiovasculares, trombóticos, infecciones graves y cáncer, estos riesgos no se han observado en DA con upadacitinib, abrocitinib o baricitinib, probablemente debido al menor riesgo basal y la mayor juventud de la población con DA. Aun así, los </w:t>
      </w:r>
      <w:r>
        <w:rPr>
          <w:rFonts w:ascii="Arial" w:hAnsi="Arial" w:cs="Arial"/>
          <w:sz w:val="20"/>
          <w:szCs w:val="20"/>
        </w:rPr>
        <w:t>i</w:t>
      </w:r>
      <w:r w:rsidRPr="00EB3025">
        <w:rPr>
          <w:rFonts w:ascii="Arial" w:hAnsi="Arial" w:cs="Arial"/>
          <w:sz w:val="20"/>
          <w:szCs w:val="20"/>
        </w:rPr>
        <w:t>JAK deben evitarse en pacientes con antecedentes o alto riesgo de malignidad, eventos cardiovasculares mayores, trombosis/embolia o perforación intestinal.</w:t>
      </w:r>
    </w:p>
    <w:p w14:paraId="2CD1E564" w14:textId="77777777" w:rsidR="00EB3025" w:rsidRPr="00EB3025" w:rsidRDefault="00EB3025" w:rsidP="00EB3025">
      <w:pPr>
        <w:jc w:val="both"/>
        <w:rPr>
          <w:rFonts w:ascii="Arial" w:hAnsi="Arial" w:cs="Arial"/>
          <w:sz w:val="20"/>
          <w:szCs w:val="20"/>
        </w:rPr>
      </w:pPr>
    </w:p>
    <w:p w14:paraId="0B5A01C7" w14:textId="77777777" w:rsidR="00EB3025" w:rsidRPr="00EB3025" w:rsidRDefault="00EB3025" w:rsidP="00EB3025">
      <w:pPr>
        <w:jc w:val="both"/>
        <w:rPr>
          <w:rFonts w:ascii="Arial" w:hAnsi="Arial" w:cs="Arial"/>
          <w:sz w:val="20"/>
          <w:szCs w:val="20"/>
        </w:rPr>
      </w:pPr>
      <w:r w:rsidRPr="00EB3025">
        <w:rPr>
          <w:rFonts w:ascii="Arial" w:hAnsi="Arial" w:cs="Arial"/>
          <w:sz w:val="20"/>
          <w:szCs w:val="20"/>
        </w:rPr>
        <w:t>No están aprobados para preadolescentes en EE. UU. y deben usarse con precaución en personas de mayor edad que no respondan a biológicos, dado que en ensayos clínicos con upadacitinib los eventos adversos graves y discontinuaciones fueron más frecuentes en pacientes ≥65 años.</w:t>
      </w:r>
    </w:p>
    <w:p w14:paraId="1702D79B" w14:textId="77777777" w:rsidR="00EB3025" w:rsidRPr="00EB3025" w:rsidRDefault="00EB3025" w:rsidP="00EB3025">
      <w:pPr>
        <w:jc w:val="both"/>
        <w:rPr>
          <w:rFonts w:ascii="Arial" w:hAnsi="Arial" w:cs="Arial"/>
          <w:sz w:val="20"/>
          <w:szCs w:val="20"/>
        </w:rPr>
      </w:pPr>
    </w:p>
    <w:p w14:paraId="63162482" w14:textId="77777777" w:rsidR="00EB3025" w:rsidRPr="00EB3025" w:rsidRDefault="00EB3025" w:rsidP="00EB3025">
      <w:pPr>
        <w:jc w:val="both"/>
        <w:rPr>
          <w:rFonts w:ascii="Arial" w:hAnsi="Arial" w:cs="Arial"/>
          <w:sz w:val="20"/>
          <w:szCs w:val="20"/>
        </w:rPr>
      </w:pPr>
      <w:r w:rsidRPr="00EB3025">
        <w:rPr>
          <w:rFonts w:ascii="Arial" w:hAnsi="Arial" w:cs="Arial"/>
          <w:sz w:val="20"/>
          <w:szCs w:val="20"/>
        </w:rPr>
        <w:t>Antes de iniciar tratamiento se requiere un cribado de infecciones graves (hepatitis y tuberculosis) y la verificación de hemograma, perfil lipídico y bioquímica. Posteriormente, se recomienda monitorización cada 3 meses.</w:t>
      </w:r>
    </w:p>
    <w:p w14:paraId="638368D7" w14:textId="77777777" w:rsidR="005077DB" w:rsidRPr="0023608B" w:rsidRDefault="005077DB" w:rsidP="00B41EE5">
      <w:pPr>
        <w:jc w:val="both"/>
        <w:rPr>
          <w:rFonts w:ascii="Arial" w:hAnsi="Arial" w:cs="Arial"/>
          <w:sz w:val="20"/>
          <w:szCs w:val="20"/>
        </w:rPr>
      </w:pPr>
    </w:p>
    <w:p w14:paraId="4359E33C" w14:textId="77777777" w:rsidR="00BC3E8E" w:rsidRPr="0023608B" w:rsidRDefault="00BC3E8E" w:rsidP="00BC3E8E">
      <w:pPr>
        <w:rPr>
          <w:rFonts w:ascii="Arial" w:hAnsi="Arial" w:cs="Arial"/>
          <w:sz w:val="20"/>
          <w:szCs w:val="20"/>
        </w:rPr>
      </w:pPr>
    </w:p>
    <w:p w14:paraId="6A6F5A8C"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23" w:name="_Toc344399653"/>
      <w:bookmarkStart w:id="124" w:name="_Toc348931384"/>
      <w:bookmarkStart w:id="125" w:name="_Toc216191107"/>
      <w:r w:rsidRPr="00E3472F">
        <w:rPr>
          <w:rFonts w:cs="Arial"/>
          <w:sz w:val="20"/>
        </w:rPr>
        <w:t>6.2 Ensayos Clínicos comparativos.</w:t>
      </w:r>
      <w:bookmarkEnd w:id="123"/>
      <w:bookmarkEnd w:id="124"/>
      <w:bookmarkEnd w:id="125"/>
      <w:r w:rsidRPr="00E3472F">
        <w:rPr>
          <w:rFonts w:cs="Arial"/>
          <w:sz w:val="20"/>
        </w:rPr>
        <w:t xml:space="preserve"> </w:t>
      </w:r>
    </w:p>
    <w:p w14:paraId="4CF1A053" w14:textId="77777777" w:rsidR="00BC3E8E" w:rsidRDefault="00BC3E8E" w:rsidP="00BC3E8E">
      <w:pPr>
        <w:pStyle w:val="Ttulo2"/>
        <w:rPr>
          <w:rFonts w:cs="Arial"/>
          <w:b w:val="0"/>
          <w:bCs w:val="0"/>
          <w:sz w:val="20"/>
        </w:rPr>
      </w:pPr>
    </w:p>
    <w:p w14:paraId="6CA06678" w14:textId="77777777" w:rsidR="00BC3E8E" w:rsidRDefault="00BD3A56" w:rsidP="00BC3E8E">
      <w:pPr>
        <w:jc w:val="both"/>
        <w:rPr>
          <w:rFonts w:ascii="Arial" w:hAnsi="Arial" w:cs="Arial"/>
          <w:bCs/>
          <w:sz w:val="20"/>
        </w:rPr>
      </w:pPr>
      <w:r>
        <w:rPr>
          <w:rFonts w:ascii="Arial" w:hAnsi="Arial" w:cs="Arial"/>
          <w:bCs/>
          <w:sz w:val="20"/>
        </w:rPr>
        <w:t xml:space="preserve">Comentado en el apartado 6.1. </w:t>
      </w:r>
    </w:p>
    <w:p w14:paraId="6087ED06" w14:textId="77777777" w:rsidR="00BD3A56" w:rsidRPr="006F6ABB" w:rsidRDefault="00BD3A56" w:rsidP="00BC3E8E">
      <w:pPr>
        <w:jc w:val="both"/>
        <w:rPr>
          <w:rFonts w:ascii="Arial" w:hAnsi="Arial" w:cs="Arial"/>
          <w:b/>
          <w:color w:val="000080"/>
          <w:sz w:val="20"/>
          <w:szCs w:val="20"/>
        </w:rPr>
      </w:pPr>
    </w:p>
    <w:p w14:paraId="599CDA84"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26" w:name="_Toc344399654"/>
      <w:bookmarkStart w:id="127" w:name="_Toc348931385"/>
      <w:bookmarkStart w:id="128" w:name="_Toc216191108"/>
      <w:r w:rsidRPr="00E3472F">
        <w:rPr>
          <w:rFonts w:cs="Arial"/>
          <w:sz w:val="20"/>
        </w:rPr>
        <w:t>6.3 Fuentes secundarias sobre seguridad</w:t>
      </w:r>
      <w:bookmarkEnd w:id="126"/>
      <w:bookmarkEnd w:id="127"/>
      <w:bookmarkEnd w:id="128"/>
    </w:p>
    <w:p w14:paraId="7177E3E6" w14:textId="77777777" w:rsidR="00BC3E8E" w:rsidRDefault="00BC3E8E" w:rsidP="00BC3E8E">
      <w:pPr>
        <w:jc w:val="both"/>
        <w:rPr>
          <w:rFonts w:ascii="Arial" w:hAnsi="Arial" w:cs="Arial"/>
          <w:sz w:val="20"/>
          <w:szCs w:val="20"/>
        </w:rPr>
      </w:pPr>
    </w:p>
    <w:p w14:paraId="1F6EE89D" w14:textId="77777777" w:rsidR="00A9314D" w:rsidRDefault="00EB6837" w:rsidP="00BC3E8E">
      <w:pPr>
        <w:jc w:val="both"/>
        <w:rPr>
          <w:rFonts w:ascii="Arial" w:hAnsi="Arial" w:cs="Arial"/>
          <w:sz w:val="20"/>
          <w:szCs w:val="20"/>
        </w:rPr>
      </w:pPr>
      <w:r w:rsidRPr="00813662">
        <w:rPr>
          <w:rFonts w:ascii="Arial" w:hAnsi="Arial" w:cs="Arial"/>
          <w:b/>
          <w:bCs/>
          <w:sz w:val="20"/>
          <w:szCs w:val="20"/>
        </w:rPr>
        <w:t>-EPAR:</w:t>
      </w:r>
      <w:r>
        <w:rPr>
          <w:rFonts w:ascii="Arial" w:hAnsi="Arial" w:cs="Arial"/>
          <w:sz w:val="20"/>
          <w:szCs w:val="20"/>
        </w:rPr>
        <w:t xml:space="preserve"> </w:t>
      </w:r>
      <w:r w:rsidRPr="00EB6837">
        <w:rPr>
          <w:rFonts w:ascii="Arial" w:hAnsi="Arial" w:cs="Arial"/>
          <w:sz w:val="20"/>
          <w:szCs w:val="20"/>
        </w:rPr>
        <w:t xml:space="preserve">concluye que nemolizumab presenta un perfil de seguridad aceptable en </w:t>
      </w:r>
      <w:r>
        <w:rPr>
          <w:rFonts w:ascii="Arial" w:hAnsi="Arial" w:cs="Arial"/>
          <w:sz w:val="20"/>
          <w:szCs w:val="20"/>
        </w:rPr>
        <w:t xml:space="preserve">DA </w:t>
      </w:r>
      <w:r w:rsidRPr="00EB6837">
        <w:rPr>
          <w:rFonts w:ascii="Arial" w:hAnsi="Arial" w:cs="Arial"/>
          <w:sz w:val="20"/>
          <w:szCs w:val="20"/>
        </w:rPr>
        <w:t>moderada-grave, con un balance beneficio-riesgo favorable según la evaluación del CHMP. No se identificaron riesgos importantes ni riesgos potenciales importantes, si bien el Plan de Gestión de Riesgos señala como información faltante el uso durante el embarazo y la seguridad a largo plazo más allá de 1 año, aspectos que están siendo estudiados en extensiones abiertas. Las infecciones graves fueron infrecuentes y comparables entre nemolizumab y placebo, sin evidencia de un riesgo aumentado; las malignidades fueron poco frecuentes y sin señal clara de causalidad. El empeoramiento del asma se consideró una posible reacción adversa,</w:t>
      </w:r>
      <w:r w:rsidR="00666DDC">
        <w:rPr>
          <w:rFonts w:ascii="Arial" w:hAnsi="Arial" w:cs="Arial"/>
          <w:sz w:val="20"/>
          <w:szCs w:val="20"/>
        </w:rPr>
        <w:t xml:space="preserve"> a alta dosis</w:t>
      </w:r>
      <w:r w:rsidRPr="00EB6837">
        <w:rPr>
          <w:rFonts w:ascii="Arial" w:hAnsi="Arial" w:cs="Arial"/>
          <w:sz w:val="20"/>
          <w:szCs w:val="20"/>
        </w:rPr>
        <w:t xml:space="preserve"> incorporándose en las advertencias de la Ficha Técnica</w:t>
      </w:r>
      <w:r w:rsidR="00666DDC">
        <w:rPr>
          <w:rFonts w:ascii="Arial" w:hAnsi="Arial" w:cs="Arial"/>
          <w:sz w:val="20"/>
          <w:szCs w:val="20"/>
        </w:rPr>
        <w:t xml:space="preserve"> en los pacientes con prurigo nodular, no con DA</w:t>
      </w:r>
      <w:r w:rsidRPr="00EB6837">
        <w:rPr>
          <w:rFonts w:ascii="Arial" w:hAnsi="Arial" w:cs="Arial"/>
          <w:sz w:val="20"/>
          <w:szCs w:val="20"/>
        </w:rPr>
        <w:t>. En conjunto, la EMA considera que los datos disponibles apoyan un perfil de seguridad consistente y manejable, sin necesidad de medidas regulatorias adicionales más allá del seguimiento rutinario y la generación de evidencia a largo plazo.</w:t>
      </w:r>
    </w:p>
    <w:p w14:paraId="7CDEA4D3" w14:textId="77777777" w:rsidR="00A9314D" w:rsidRDefault="00A9314D" w:rsidP="00BC3E8E">
      <w:pPr>
        <w:jc w:val="both"/>
        <w:rPr>
          <w:rFonts w:ascii="Arial" w:hAnsi="Arial" w:cs="Arial"/>
          <w:sz w:val="20"/>
          <w:szCs w:val="20"/>
        </w:rPr>
      </w:pPr>
    </w:p>
    <w:p w14:paraId="04663209" w14:textId="77777777" w:rsidR="00A9314D" w:rsidRDefault="00A9314D" w:rsidP="00BC3E8E">
      <w:pPr>
        <w:jc w:val="both"/>
        <w:rPr>
          <w:rFonts w:ascii="Arial" w:hAnsi="Arial" w:cs="Arial"/>
          <w:sz w:val="20"/>
          <w:szCs w:val="20"/>
        </w:rPr>
      </w:pPr>
      <w:r>
        <w:rPr>
          <w:rFonts w:ascii="Arial" w:hAnsi="Arial" w:cs="Arial"/>
          <w:sz w:val="20"/>
          <w:szCs w:val="20"/>
        </w:rPr>
        <w:t>-</w:t>
      </w:r>
      <w:r w:rsidRPr="00A9314D">
        <w:t xml:space="preserve"> </w:t>
      </w:r>
      <w:r w:rsidRPr="00A9314D">
        <w:rPr>
          <w:rFonts w:ascii="Arial" w:hAnsi="Arial" w:cs="Arial"/>
          <w:sz w:val="20"/>
          <w:szCs w:val="20"/>
        </w:rPr>
        <w:t xml:space="preserve">El estudio </w:t>
      </w:r>
      <w:r w:rsidRPr="00A9314D">
        <w:rPr>
          <w:rFonts w:ascii="Arial" w:hAnsi="Arial" w:cs="Arial"/>
          <w:b/>
          <w:bCs/>
          <w:sz w:val="20"/>
          <w:szCs w:val="20"/>
        </w:rPr>
        <w:t>ARCADIA LTE</w:t>
      </w:r>
      <w:r>
        <w:rPr>
          <w:rFonts w:ascii="Arial" w:hAnsi="Arial" w:cs="Arial"/>
          <w:b/>
          <w:bCs/>
          <w:sz w:val="20"/>
          <w:szCs w:val="20"/>
        </w:rPr>
        <w:t xml:space="preserve"> </w:t>
      </w:r>
      <w:r w:rsidR="00646A51">
        <w:rPr>
          <w:rFonts w:ascii="Arial" w:hAnsi="Arial" w:cs="Arial"/>
          <w:b/>
          <w:bCs/>
          <w:sz w:val="20"/>
          <w:szCs w:val="20"/>
        </w:rPr>
        <w:fldChar w:fldCharType="begin"/>
      </w:r>
      <w:r w:rsidR="00511A83">
        <w:rPr>
          <w:rFonts w:ascii="Arial" w:hAnsi="Arial" w:cs="Arial"/>
          <w:b/>
          <w:bCs/>
          <w:sz w:val="20"/>
          <w:szCs w:val="20"/>
        </w:rPr>
        <w:instrText xml:space="preserve"> ADDIN ZOTERO_ITEM CSL_CITATION {"citationID":"ykGmRJ0n","properties":{"formattedCitation":"(36)","plainCitation":"(36)","noteIndex":0},"citationItems":[{"id":113,"uris":["http://zotero.org/users/18702181/items/5ZD9UH7E"],"itemData":{"id":113,"type":"article-journal","abstract":"BACKGROUND: Atopic dermatitis (AD) is a common, chronic, relapsing, pruritic, neuroimmune skin disease, requiring long-term symptom control.\nOBJECTIVES: The ARCADIA long-term extension (LTE) study evaluates nemolizumab safety and efficacy in ≥12-year-old patients with moderate-to-severe AD up to 200 weeks.\nMETHODS: Patients from previous nemolizumab AD trials (Phase 2/3) or newly recruited adolescents with moderate-to-severe AD were enrolled. A background regimen of topical corticosteroids with/without topical calcineurin inhibitors was permitted based on disease control. Long-term safety was the primary endpoint. Efficacy assessments were secondary endpoints, including the proportion of patients achieving Investigator's Global Assessment (IGA) 0/1 (clear/almost clear), Eczema Area and Severity Index (EASI)-75 (75% improvement from lead-in baseline in EASI), Visual Analogue Scale (VAS) Pruritus and VAS sleep loss ≥4-point improvement from lead-in baseline and quality of life. Observed data up to Week (W) 104 are presented for patients with previous nemolizumab experience (PNE) and no previous nemolizumab experience (NNE) at LTE baseline.\nRESULTS: At interim analysis data cut-off (21 July 2024), 1062 of 1901 patients completed W104. Exposure to nemolizumab in this study was equal across cohorts. The majority (92.6%) of treatment-emergent adverse events (TEAEs) were mild/moderate in severity; only 22.1% were considered related to nemolizumab. The most common (≥5.0%) TEAEs were COVID-19 (19.6%), nasopharyngitis (19.5%), atopic dermatitis (18.1%), upper respiratory tract infection (12.7%), headache (6.5%) and asthma (5.5%). At LTE baseline, the proportion of PNE and NNE patients was IGA 0/1: 27.1% and 17.1%; EASI-75: 38.8% and 25.8%; VAS Pruritus ≥4-point improvement: 58.7% and 31.6%; and VAS sleep loss ≥4-point improvement: 52.9% and 31.6%, respectively. At W104, this proportion was IGA 0/1: 62.6% and 58.2%; EASI-75: 88.2% and 85.4%; VAS Pruritus ≥4-point improvement: 87.2% and 82.0%; and VAS sleep loss ≥4-point improvement: 70.8% and 68.9%, respectively.\nCONCLUSIONS: Continuous nemolizumab treatment was well-tolerated through W104 with clinically meaningful improvements in AD signs and symptoms and patient-reported outcomes.\nTRIAL REGISTRATION: NCT03989206: https://clinicaltrials.gov/search?term=NCT03989206; EUDRACT number: 2019-001889-15. Data available upon request: clinical.studies@galderma.com.","container-title":"Journal of the European Academy of Dermatology and Venereology: JEADV","DOI":"10.1111/jdv.70080","ISSN":"1468-3083","journalAbbreviation":"J Eur Acad Dermatol Venereol","language":"eng","PMID":"41081535","source":"PubMed","title":"Safety and efficacy of nemolizumab for atopic dermatitis up to 2 years in open-label extension study","author":[{"family":"Augustin","given":"Matthias"},{"family":"Tauber","given":"Marie"},{"family":"Sidbury","given":"Robert"},{"family":"Silverberg","given":"Jonathan I."},{"family":"Papp","given":"Kim A."},{"family":"Thaçi","given":"Diamant"},{"family":"De Bruin-Weller","given":"Marjolein S."},{"family":"Reich","given":"Adam"},{"family":"Peris","given":"Ketty"},{"family":"Barber","given":"Kirk"},{"family":"Galus","given":"Ryszard"},{"family":"Kaszuba","given":"Andrzej"},{"family":"Zirwas","given":"Matthew"},{"family":"Nahm","given":"Walter K."},{"family":"Trullenque","given":"Gretel"},{"family":"Maintz","given":"Laura"},{"family":"Alpizar","given":"Sady"},{"family":"Son","given":"Sang Wook"},{"family":"Laquer","given":"Vivian"},{"family":"Gold","given":"Linda Stein"},{"family":"Cheong","given":"Soo Yeon"},{"family":"Ryzhkova","given":"Anna"},{"family":"Drahos","given":"Agnes"},{"family":"Ulianov","given":"Liliana"},{"family":"Piketty","given":"Christophe"}],"issued":{"date-parts":[["2025",10,13]]}}}],"schema":"https://github.com/citation-style-language/schema/raw/master/csl-citation.json"} </w:instrText>
      </w:r>
      <w:r w:rsidR="00646A51">
        <w:rPr>
          <w:rFonts w:ascii="Arial" w:hAnsi="Arial" w:cs="Arial"/>
          <w:b/>
          <w:bCs/>
          <w:sz w:val="20"/>
          <w:szCs w:val="20"/>
        </w:rPr>
        <w:fldChar w:fldCharType="separate"/>
      </w:r>
      <w:r w:rsidR="00511A83" w:rsidRPr="00511A83">
        <w:rPr>
          <w:rFonts w:ascii="Arial" w:hAnsi="Arial" w:cs="Arial"/>
          <w:sz w:val="20"/>
        </w:rPr>
        <w:t>(36)</w:t>
      </w:r>
      <w:r w:rsidR="00646A51">
        <w:rPr>
          <w:rFonts w:ascii="Arial" w:hAnsi="Arial" w:cs="Arial"/>
          <w:b/>
          <w:bCs/>
          <w:sz w:val="20"/>
          <w:szCs w:val="20"/>
        </w:rPr>
        <w:fldChar w:fldCharType="end"/>
      </w:r>
      <w:r w:rsidRPr="00A9314D">
        <w:rPr>
          <w:rFonts w:ascii="Arial" w:hAnsi="Arial" w:cs="Arial"/>
          <w:sz w:val="20"/>
          <w:szCs w:val="20"/>
        </w:rPr>
        <w:t xml:space="preserve"> es una extensión abierta y multicéntrica diseñada para evaluar la </w:t>
      </w:r>
      <w:r w:rsidRPr="00A9314D">
        <w:rPr>
          <w:rFonts w:ascii="Arial" w:hAnsi="Arial" w:cs="Arial"/>
          <w:b/>
          <w:bCs/>
          <w:sz w:val="20"/>
          <w:szCs w:val="20"/>
        </w:rPr>
        <w:t>seguridad y eficacia a largo plazo</w:t>
      </w:r>
      <w:r w:rsidRPr="00A9314D">
        <w:rPr>
          <w:rFonts w:ascii="Arial" w:hAnsi="Arial" w:cs="Arial"/>
          <w:sz w:val="20"/>
          <w:szCs w:val="20"/>
        </w:rPr>
        <w:t xml:space="preserve"> de </w:t>
      </w:r>
      <w:r w:rsidRPr="00A9314D">
        <w:rPr>
          <w:rFonts w:ascii="Arial" w:hAnsi="Arial" w:cs="Arial"/>
          <w:b/>
          <w:bCs/>
          <w:sz w:val="20"/>
          <w:szCs w:val="20"/>
        </w:rPr>
        <w:t xml:space="preserve">nemolizumab 30 mg </w:t>
      </w:r>
      <w:r w:rsidR="004D1E1A">
        <w:rPr>
          <w:rFonts w:ascii="Arial" w:hAnsi="Arial" w:cs="Arial"/>
          <w:b/>
          <w:bCs/>
          <w:sz w:val="20"/>
          <w:szCs w:val="20"/>
        </w:rPr>
        <w:t xml:space="preserve">Q4W </w:t>
      </w:r>
      <w:r w:rsidRPr="00A9314D">
        <w:rPr>
          <w:rFonts w:ascii="Arial" w:hAnsi="Arial" w:cs="Arial"/>
          <w:sz w:val="20"/>
          <w:szCs w:val="20"/>
        </w:rPr>
        <w:t xml:space="preserve">en pacientes ≥12 años con </w:t>
      </w:r>
      <w:r w:rsidR="00BD5ED6">
        <w:rPr>
          <w:rFonts w:ascii="Arial" w:hAnsi="Arial" w:cs="Arial"/>
          <w:sz w:val="20"/>
          <w:szCs w:val="20"/>
        </w:rPr>
        <w:t>DA</w:t>
      </w:r>
      <w:r w:rsidRPr="00A9314D">
        <w:rPr>
          <w:rFonts w:ascii="Arial" w:hAnsi="Arial" w:cs="Arial"/>
          <w:sz w:val="20"/>
          <w:szCs w:val="20"/>
        </w:rPr>
        <w:t xml:space="preserve"> moderada-grave, durante </w:t>
      </w:r>
      <w:r w:rsidRPr="00A9314D">
        <w:rPr>
          <w:rFonts w:ascii="Arial" w:hAnsi="Arial" w:cs="Arial"/>
          <w:b/>
          <w:bCs/>
          <w:sz w:val="20"/>
          <w:szCs w:val="20"/>
        </w:rPr>
        <w:t>hasta 200 semanas</w:t>
      </w:r>
      <w:r w:rsidRPr="00A9314D">
        <w:rPr>
          <w:rFonts w:ascii="Arial" w:hAnsi="Arial" w:cs="Arial"/>
          <w:sz w:val="20"/>
          <w:szCs w:val="20"/>
        </w:rPr>
        <w:t xml:space="preserve">. Incluye participantes de estudios previos de Fase 2–3 y nuevos adolescentes. En el análisis interino (julio 2024), más de 1.000 de los 1.901 pacientes habían completado 104 semanas; la exposición media fue de 1.1 años y más del 57% acumuló ≥1 año de tratamiento. El </w:t>
      </w:r>
      <w:r w:rsidRPr="00A9314D">
        <w:rPr>
          <w:rFonts w:ascii="Arial" w:hAnsi="Arial" w:cs="Arial"/>
          <w:b/>
          <w:bCs/>
          <w:sz w:val="20"/>
          <w:szCs w:val="20"/>
        </w:rPr>
        <w:t>perfil de seguridad</w:t>
      </w:r>
      <w:r w:rsidRPr="00A9314D">
        <w:rPr>
          <w:rFonts w:ascii="Arial" w:hAnsi="Arial" w:cs="Arial"/>
          <w:sz w:val="20"/>
          <w:szCs w:val="20"/>
        </w:rPr>
        <w:t xml:space="preserve"> hasta la Semana 104 fue consistente con los ensayos pivotales, sin nuevas señales, con TEAEs mayoritariamente leves/moderados (92.6%); los más frecuentes fueron COVID-19 (19.6%), nasofaringitis (19.5%), dermatitis atópica (18.1%), infecciones respiratorias altas (12.7%), cefalea (6.5%) y asma (5.5%). La </w:t>
      </w:r>
      <w:r w:rsidRPr="00A9314D">
        <w:rPr>
          <w:rFonts w:ascii="Arial" w:hAnsi="Arial" w:cs="Arial"/>
          <w:b/>
          <w:bCs/>
          <w:sz w:val="20"/>
          <w:szCs w:val="20"/>
        </w:rPr>
        <w:t>eficacia se mantuvo estable</w:t>
      </w:r>
      <w:r w:rsidRPr="00A9314D">
        <w:rPr>
          <w:rFonts w:ascii="Arial" w:hAnsi="Arial" w:cs="Arial"/>
          <w:sz w:val="20"/>
          <w:szCs w:val="20"/>
        </w:rPr>
        <w:t xml:space="preserve">, con respuestas IGA 0/1 del 62.6% (PNE) y 58.2% (NNE), y tasas de EASI-75 del 88.2% y 85.4%, respectivamente, en la Semana 104. El informe final del estudio está previsto para </w:t>
      </w:r>
      <w:r w:rsidRPr="00A9314D">
        <w:rPr>
          <w:rFonts w:ascii="Arial" w:hAnsi="Arial" w:cs="Arial"/>
          <w:b/>
          <w:bCs/>
          <w:sz w:val="20"/>
          <w:szCs w:val="20"/>
        </w:rPr>
        <w:t>Q1 2027</w:t>
      </w:r>
      <w:r w:rsidRPr="00A9314D">
        <w:rPr>
          <w:rFonts w:ascii="Arial" w:hAnsi="Arial" w:cs="Arial"/>
          <w:sz w:val="20"/>
          <w:szCs w:val="20"/>
        </w:rPr>
        <w:t>.</w:t>
      </w:r>
    </w:p>
    <w:p w14:paraId="5F9A2EA7" w14:textId="77777777" w:rsidR="00EB6837" w:rsidRDefault="00EB6837" w:rsidP="00BC3E8E">
      <w:pPr>
        <w:jc w:val="both"/>
        <w:rPr>
          <w:rFonts w:ascii="Arial" w:hAnsi="Arial" w:cs="Arial"/>
          <w:sz w:val="20"/>
          <w:szCs w:val="20"/>
        </w:rPr>
      </w:pPr>
    </w:p>
    <w:p w14:paraId="38FC9D07" w14:textId="77777777" w:rsidR="00813662" w:rsidRDefault="00813662" w:rsidP="00813662">
      <w:pPr>
        <w:jc w:val="both"/>
        <w:rPr>
          <w:rFonts w:ascii="Arial" w:hAnsi="Arial" w:cs="Arial"/>
          <w:sz w:val="20"/>
          <w:szCs w:val="20"/>
        </w:rPr>
      </w:pPr>
      <w:r w:rsidRPr="00813662">
        <w:rPr>
          <w:rFonts w:ascii="Arial" w:hAnsi="Arial" w:cs="Arial"/>
          <w:b/>
          <w:bCs/>
          <w:sz w:val="20"/>
          <w:szCs w:val="20"/>
        </w:rPr>
        <w:t>Francia – Haute Autorité de Santé (HAS):</w:t>
      </w:r>
      <w:r>
        <w:rPr>
          <w:rFonts w:ascii="Arial" w:hAnsi="Arial" w:cs="Arial"/>
          <w:sz w:val="20"/>
          <w:szCs w:val="20"/>
        </w:rPr>
        <w:t xml:space="preserve"> </w:t>
      </w:r>
      <w:r w:rsidRPr="00813662">
        <w:rPr>
          <w:rFonts w:ascii="Arial" w:hAnsi="Arial" w:cs="Arial"/>
          <w:sz w:val="20"/>
          <w:szCs w:val="20"/>
        </w:rPr>
        <w:t xml:space="preserve">La </w:t>
      </w:r>
      <w:r>
        <w:rPr>
          <w:rFonts w:ascii="Arial" w:hAnsi="Arial" w:cs="Arial"/>
          <w:sz w:val="20"/>
          <w:szCs w:val="20"/>
        </w:rPr>
        <w:t xml:space="preserve">HAS </w:t>
      </w:r>
      <w:r w:rsidRPr="00813662">
        <w:rPr>
          <w:rFonts w:ascii="Arial" w:hAnsi="Arial" w:cs="Arial"/>
          <w:sz w:val="20"/>
          <w:szCs w:val="20"/>
        </w:rPr>
        <w:t>a través de su Comisión de la Transparencia, evaluó el perfil de seguridad de nemolizumab basándose en los ensayos clínicos de fase III ARCADIA 1, ARCADIA 2. El perfil de tolerancia a medio plazo de nemolizumab se caracteriza principalmente por reacciones de hipersensibilidad de tipo I y reacciones en el sitio de inyección. Los eventos adversos más frecuentes incluyen el empeoramiento de la dermatitis atópica, rinofaringitis e infecciones de las vías respiratorias superiores, de manera consistente con otros anticuerpos anti-interleucinas disponibles, como dupilumab, tralokinumab y lebrikizumab. También se han registrado casos de agravación del asma y reacciones alérgicas como urticaria y angioedema, siendo los más frecuentes la hipersensibilidad de tipo I (1,1%), la urticaria (1,0%), el angioedema (0,1%) y las reacciones en el sitio de inyección (1,2%). El Plan de Gestión de Riesgos de NEMLUVIO no identificó ningún riesgo importante ni potencialmente importante. La Comisión destacó, sin embargo, la falta de datos a largo plazo más allá de las 56 semanas, limitación relevante dado el posible riesgo de efectos derivados de la inmunosupresión, como infecciones graves o cáncer. Los resultados finales del estudio de extensión ARCADIA LTE, con un seguimiento previsto de 200 semanas, se esperan para principios de 2027. Por último, la HAS considera que el cociente eficacia/efectos indeseables de nemolizumab es importante tanto para adultos que han fracasado o son intolerantes a la ciclosporina como para adolescentes a partir de 12 años.</w:t>
      </w:r>
    </w:p>
    <w:p w14:paraId="4E20DFA6" w14:textId="77777777" w:rsidR="00813662" w:rsidRDefault="00813662" w:rsidP="00813662">
      <w:pPr>
        <w:jc w:val="both"/>
        <w:rPr>
          <w:rFonts w:ascii="Arial" w:hAnsi="Arial" w:cs="Arial"/>
          <w:sz w:val="20"/>
          <w:szCs w:val="20"/>
        </w:rPr>
      </w:pPr>
    </w:p>
    <w:p w14:paraId="5E30AF6E" w14:textId="77777777" w:rsidR="00813662" w:rsidRPr="00813662" w:rsidRDefault="00813662" w:rsidP="00813662">
      <w:pPr>
        <w:jc w:val="both"/>
        <w:rPr>
          <w:rFonts w:ascii="Arial" w:hAnsi="Arial" w:cs="Arial"/>
          <w:sz w:val="20"/>
          <w:szCs w:val="20"/>
        </w:rPr>
      </w:pPr>
      <w:r w:rsidRPr="00813662">
        <w:rPr>
          <w:rFonts w:ascii="Arial" w:hAnsi="Arial" w:cs="Arial"/>
          <w:sz w:val="20"/>
          <w:szCs w:val="20"/>
        </w:rPr>
        <w:t>El</w:t>
      </w:r>
      <w:r w:rsidRPr="00813662">
        <w:rPr>
          <w:rFonts w:ascii="Arial" w:hAnsi="Arial" w:cs="Arial"/>
          <w:b/>
          <w:bCs/>
          <w:sz w:val="20"/>
          <w:szCs w:val="20"/>
        </w:rPr>
        <w:t xml:space="preserve"> NICE</w:t>
      </w:r>
      <w:r w:rsidRPr="00813662">
        <w:rPr>
          <w:rFonts w:ascii="Arial" w:hAnsi="Arial" w:cs="Arial"/>
          <w:sz w:val="20"/>
          <w:szCs w:val="20"/>
        </w:rPr>
        <w:t xml:space="preserve"> evaluó nemolizumab considerando su perfil de seguridad y las ventajas frente a otros tratamientos disponibles. Los expertos en pacientes destacaron que algunos tratamientos actuales presentan efectos secundarios problemáticos, como alteraciones oculares, que podrían evitarse con nemolizumab. En comparación con los inhibidores de JAK, considerados </w:t>
      </w:r>
      <w:r>
        <w:rPr>
          <w:rFonts w:ascii="Arial" w:hAnsi="Arial" w:cs="Arial"/>
          <w:sz w:val="20"/>
          <w:szCs w:val="20"/>
        </w:rPr>
        <w:t>alternativas</w:t>
      </w:r>
      <w:r w:rsidRPr="00813662">
        <w:rPr>
          <w:rFonts w:ascii="Arial" w:hAnsi="Arial" w:cs="Arial"/>
          <w:sz w:val="20"/>
          <w:szCs w:val="20"/>
        </w:rPr>
        <w:t xml:space="preserve"> relevantes, se señaló que estos últimos no son adecuados para todos los pacientes debido a un mayor riesgo de tromboembolismo venoso y eventos cardiovasculares, lo que posiciona a nemolizumab como una opción más segura en determinados perfiles. Los expertos también valoraron la frecuencia reducida de inyecciones de nemolizumab como una ventaja adicional. NICE subrayó, además, la importancia de considerar el color de la piel en la evaluación de la puntuación EASI, ya que en personas con piel oscura la gravedad podría ser subestimada, lo que podría conducir a un tratamiento insuficiente o a la exclusión de ensayos clínicos.</w:t>
      </w:r>
    </w:p>
    <w:p w14:paraId="0CC6FDC9" w14:textId="77777777" w:rsidR="00813662" w:rsidRPr="00813662" w:rsidRDefault="00813662" w:rsidP="00813662">
      <w:pPr>
        <w:jc w:val="both"/>
        <w:rPr>
          <w:rFonts w:ascii="Arial" w:hAnsi="Arial" w:cs="Arial"/>
          <w:sz w:val="20"/>
          <w:szCs w:val="20"/>
        </w:rPr>
      </w:pPr>
    </w:p>
    <w:p w14:paraId="4902ADEF" w14:textId="77777777" w:rsidR="00813662" w:rsidRDefault="00813662" w:rsidP="00813662">
      <w:pPr>
        <w:jc w:val="both"/>
        <w:rPr>
          <w:rFonts w:ascii="Arial" w:hAnsi="Arial" w:cs="Arial"/>
          <w:sz w:val="20"/>
          <w:szCs w:val="20"/>
        </w:rPr>
      </w:pPr>
      <w:r w:rsidRPr="00813662">
        <w:rPr>
          <w:rFonts w:ascii="Arial" w:hAnsi="Arial" w:cs="Arial"/>
          <w:sz w:val="20"/>
          <w:szCs w:val="20"/>
        </w:rPr>
        <w:t xml:space="preserve">La </w:t>
      </w:r>
      <w:r w:rsidRPr="00813662">
        <w:rPr>
          <w:rFonts w:ascii="Arial" w:hAnsi="Arial" w:cs="Arial"/>
          <w:b/>
          <w:bCs/>
          <w:sz w:val="20"/>
          <w:szCs w:val="20"/>
        </w:rPr>
        <w:t>evaluación del IQWiG alemán</w:t>
      </w:r>
      <w:r w:rsidRPr="00813662">
        <w:rPr>
          <w:rFonts w:ascii="Arial" w:hAnsi="Arial" w:cs="Arial"/>
          <w:sz w:val="20"/>
          <w:szCs w:val="20"/>
        </w:rPr>
        <w:t xml:space="preserve">, </w:t>
      </w:r>
      <w:r>
        <w:rPr>
          <w:rFonts w:ascii="Arial" w:hAnsi="Arial" w:cs="Arial"/>
          <w:sz w:val="20"/>
          <w:szCs w:val="20"/>
        </w:rPr>
        <w:t>d</w:t>
      </w:r>
      <w:r w:rsidRPr="00813662">
        <w:rPr>
          <w:rFonts w:ascii="Arial" w:hAnsi="Arial" w:cs="Arial"/>
          <w:sz w:val="20"/>
          <w:szCs w:val="20"/>
        </w:rPr>
        <w:t>ebido a la falta de comparador directo, no proporciona un análisis detallado del perfil de seguridad de nemolizumab frente a dupilumab, limitando la posibilidad de evaluar ventajas o desventajas relativas en términos de tolerancia y efectos adversos.</w:t>
      </w:r>
    </w:p>
    <w:p w14:paraId="06D78038" w14:textId="77777777" w:rsidR="00813662" w:rsidRDefault="00813662" w:rsidP="00BC3E8E">
      <w:pPr>
        <w:jc w:val="both"/>
        <w:rPr>
          <w:rFonts w:ascii="Arial" w:hAnsi="Arial" w:cs="Arial"/>
          <w:sz w:val="20"/>
          <w:szCs w:val="20"/>
        </w:rPr>
      </w:pPr>
    </w:p>
    <w:p w14:paraId="145EA862" w14:textId="77777777" w:rsidR="00BC3E8E" w:rsidRPr="006F6ABB" w:rsidRDefault="00BC3E8E" w:rsidP="00BC3E8E">
      <w:pPr>
        <w:jc w:val="right"/>
        <w:rPr>
          <w:rFonts w:ascii="Arial" w:hAnsi="Arial" w:cs="Arial"/>
          <w:sz w:val="20"/>
          <w:szCs w:val="20"/>
          <w:lang w:val="es-ES_tradnl"/>
        </w:rPr>
      </w:pPr>
    </w:p>
    <w:p w14:paraId="0E6E6862" w14:textId="77777777"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29" w:name="_Toc344399655"/>
      <w:bookmarkStart w:id="130" w:name="_Toc348931386"/>
      <w:bookmarkStart w:id="131" w:name="_Toc216191109"/>
      <w:r w:rsidRPr="00E3472F">
        <w:rPr>
          <w:rFonts w:cs="Arial"/>
          <w:sz w:val="20"/>
        </w:rPr>
        <w:t>6.4 Precauciones de empleo</w:t>
      </w:r>
      <w:r w:rsidRPr="006F6ABB">
        <w:rPr>
          <w:rFonts w:cs="Arial"/>
          <w:sz w:val="20"/>
        </w:rPr>
        <w:t xml:space="preserve"> </w:t>
      </w:r>
      <w:r w:rsidRPr="00E3472F">
        <w:rPr>
          <w:rFonts w:cs="Arial"/>
          <w:sz w:val="20"/>
        </w:rPr>
        <w:t>en casos especiales</w:t>
      </w:r>
      <w:bookmarkEnd w:id="129"/>
      <w:bookmarkEnd w:id="130"/>
      <w:r w:rsidRPr="006F6ABB">
        <w:rPr>
          <w:rFonts w:cs="Arial"/>
          <w:sz w:val="20"/>
        </w:rPr>
        <w:t xml:space="preserve"> </w:t>
      </w:r>
      <w:r w:rsidR="00646A51">
        <w:rPr>
          <w:rFonts w:cs="Arial"/>
          <w:sz w:val="20"/>
        </w:rPr>
        <w:fldChar w:fldCharType="begin"/>
      </w:r>
      <w:r w:rsidR="00AB2E8A">
        <w:rPr>
          <w:rFonts w:cs="Arial"/>
          <w:sz w:val="20"/>
        </w:rPr>
        <w:instrText xml:space="preserve"> ADDIN ZOTERO_ITEM CSL_CITATION {"citationID":"YBMJ2Bda","properties":{"formattedCitation":"(12)","plainCitation":"(12)","noteIndex":0},"citationItems":[{"id":27,"uris":["http://zotero.org/users/18702181/items/NKHW6L5M"],"itemData":{"id":27,"type":"webpage","title":"CIMA. Ficha técnica Nemluvio 30 mg polvo y disolvente para solución inyectable en pluma precargada.","URL":"https://cima.aemps.es/cima/dochtml/ft/1241901001/FT_1241901001.html","author":[{"family":"Agencia Española del Medicamento (AEMPS)","given":""}],"accessed":{"date-parts":[["2025",11,5]]}}}],"schema":"https://github.com/citation-style-language/schema/raw/master/csl-citation.json"} </w:instrText>
      </w:r>
      <w:r w:rsidR="00646A51">
        <w:rPr>
          <w:rFonts w:cs="Arial"/>
          <w:sz w:val="20"/>
        </w:rPr>
        <w:fldChar w:fldCharType="separate"/>
      </w:r>
      <w:r w:rsidR="00AB2E8A" w:rsidRPr="00AB2E8A">
        <w:rPr>
          <w:rFonts w:cs="Arial"/>
          <w:sz w:val="20"/>
        </w:rPr>
        <w:t>(12)</w:t>
      </w:r>
      <w:bookmarkEnd w:id="131"/>
      <w:r w:rsidR="00646A51">
        <w:rPr>
          <w:rFonts w:cs="Arial"/>
          <w:sz w:val="20"/>
        </w:rPr>
        <w:fldChar w:fldCharType="end"/>
      </w:r>
    </w:p>
    <w:p w14:paraId="3CA73498" w14:textId="77777777" w:rsidR="00BC3E8E" w:rsidRDefault="00BC3E8E" w:rsidP="00BC3E8E">
      <w:pPr>
        <w:rPr>
          <w:rFonts w:ascii="Arial" w:hAnsi="Arial" w:cs="Arial"/>
          <w:sz w:val="20"/>
          <w:szCs w:val="20"/>
        </w:rPr>
      </w:pPr>
    </w:p>
    <w:p w14:paraId="75997F83" w14:textId="77777777" w:rsidR="002269D0" w:rsidRPr="002269D0" w:rsidRDefault="002269D0" w:rsidP="002269D0">
      <w:pPr>
        <w:jc w:val="both"/>
        <w:rPr>
          <w:rFonts w:ascii="Arial" w:hAnsi="Arial" w:cs="Arial"/>
          <w:sz w:val="20"/>
          <w:szCs w:val="20"/>
        </w:rPr>
      </w:pPr>
      <w:r w:rsidRPr="002269D0">
        <w:rPr>
          <w:rFonts w:ascii="Arial" w:hAnsi="Arial" w:cs="Arial"/>
          <w:sz w:val="20"/>
          <w:szCs w:val="20"/>
          <w:u w:val="single"/>
        </w:rPr>
        <w:t>Pacientes de edad avanzada (≥65 años):</w:t>
      </w:r>
      <w:r>
        <w:rPr>
          <w:rFonts w:ascii="Arial" w:hAnsi="Arial" w:cs="Arial"/>
          <w:sz w:val="20"/>
          <w:szCs w:val="20"/>
        </w:rPr>
        <w:t xml:space="preserve"> </w:t>
      </w:r>
      <w:r w:rsidRPr="002269D0">
        <w:rPr>
          <w:rFonts w:ascii="Arial" w:hAnsi="Arial" w:cs="Arial"/>
          <w:sz w:val="20"/>
          <w:szCs w:val="20"/>
        </w:rPr>
        <w:t>No se recomienda ajustar la dosis</w:t>
      </w:r>
      <w:r>
        <w:rPr>
          <w:rFonts w:ascii="Arial" w:hAnsi="Arial" w:cs="Arial"/>
          <w:sz w:val="20"/>
          <w:szCs w:val="20"/>
        </w:rPr>
        <w:t>.</w:t>
      </w:r>
    </w:p>
    <w:p w14:paraId="1CBDABB2" w14:textId="77777777" w:rsidR="002269D0" w:rsidRPr="002269D0" w:rsidRDefault="002269D0" w:rsidP="002269D0">
      <w:pPr>
        <w:jc w:val="both"/>
        <w:rPr>
          <w:rFonts w:ascii="Arial" w:hAnsi="Arial" w:cs="Arial"/>
          <w:sz w:val="20"/>
          <w:szCs w:val="20"/>
        </w:rPr>
      </w:pPr>
    </w:p>
    <w:p w14:paraId="33707CBE" w14:textId="77777777" w:rsidR="002269D0" w:rsidRPr="002269D0" w:rsidRDefault="002269D0" w:rsidP="002269D0">
      <w:pPr>
        <w:jc w:val="both"/>
        <w:rPr>
          <w:rFonts w:ascii="Arial" w:hAnsi="Arial" w:cs="Arial"/>
          <w:sz w:val="20"/>
          <w:szCs w:val="20"/>
        </w:rPr>
      </w:pPr>
      <w:r w:rsidRPr="002269D0">
        <w:rPr>
          <w:rFonts w:ascii="Arial" w:hAnsi="Arial" w:cs="Arial"/>
          <w:sz w:val="20"/>
          <w:szCs w:val="20"/>
          <w:u w:val="single"/>
        </w:rPr>
        <w:t>Insuficiencia renal y hepática</w:t>
      </w:r>
      <w:r>
        <w:rPr>
          <w:rFonts w:ascii="Arial" w:hAnsi="Arial" w:cs="Arial"/>
          <w:sz w:val="20"/>
          <w:szCs w:val="20"/>
        </w:rPr>
        <w:t xml:space="preserve">: </w:t>
      </w:r>
      <w:r w:rsidRPr="002269D0">
        <w:rPr>
          <w:rFonts w:ascii="Arial" w:hAnsi="Arial" w:cs="Arial"/>
          <w:sz w:val="20"/>
          <w:szCs w:val="20"/>
        </w:rPr>
        <w:t xml:space="preserve">No es necesario ajustar la dosis </w:t>
      </w:r>
    </w:p>
    <w:p w14:paraId="7D6E5DE3" w14:textId="77777777" w:rsidR="002269D0" w:rsidRPr="002269D0" w:rsidRDefault="002269D0" w:rsidP="002269D0">
      <w:pPr>
        <w:jc w:val="both"/>
        <w:rPr>
          <w:rFonts w:ascii="Arial" w:hAnsi="Arial" w:cs="Arial"/>
          <w:sz w:val="20"/>
          <w:szCs w:val="20"/>
        </w:rPr>
      </w:pPr>
    </w:p>
    <w:p w14:paraId="0E14B7A4" w14:textId="77777777" w:rsidR="002269D0" w:rsidRDefault="002269D0" w:rsidP="002269D0">
      <w:pPr>
        <w:jc w:val="both"/>
        <w:rPr>
          <w:rFonts w:ascii="Arial" w:hAnsi="Arial" w:cs="Arial"/>
          <w:sz w:val="20"/>
          <w:szCs w:val="20"/>
        </w:rPr>
      </w:pPr>
      <w:r w:rsidRPr="002269D0">
        <w:rPr>
          <w:rFonts w:ascii="Arial" w:hAnsi="Arial" w:cs="Arial"/>
          <w:sz w:val="20"/>
          <w:szCs w:val="20"/>
          <w:u w:val="single"/>
        </w:rPr>
        <w:t>Población pediátrica</w:t>
      </w:r>
      <w:r>
        <w:rPr>
          <w:rFonts w:ascii="Arial" w:hAnsi="Arial" w:cs="Arial"/>
          <w:sz w:val="20"/>
          <w:szCs w:val="20"/>
        </w:rPr>
        <w:t xml:space="preserve">: </w:t>
      </w:r>
      <w:r w:rsidRPr="002269D0">
        <w:rPr>
          <w:rFonts w:ascii="Arial" w:hAnsi="Arial" w:cs="Arial"/>
          <w:sz w:val="20"/>
          <w:szCs w:val="20"/>
        </w:rPr>
        <w:t>No se ha establecido todavía la seguridad y eficacia de nemolizumab en niños menores de 12 años y peso corporal &lt;30 kg. No se dispone de datos.</w:t>
      </w:r>
    </w:p>
    <w:p w14:paraId="4BD5D0E4" w14:textId="77777777" w:rsidR="002269D0" w:rsidRDefault="002269D0" w:rsidP="002269D0">
      <w:pPr>
        <w:jc w:val="both"/>
        <w:rPr>
          <w:rFonts w:ascii="Arial" w:hAnsi="Arial" w:cs="Arial"/>
          <w:sz w:val="20"/>
          <w:szCs w:val="20"/>
        </w:rPr>
      </w:pPr>
    </w:p>
    <w:p w14:paraId="64BB8B26" w14:textId="77777777" w:rsidR="00BD3A56" w:rsidRPr="00BD3A56" w:rsidRDefault="00BD3A56" w:rsidP="002269D0">
      <w:pPr>
        <w:jc w:val="both"/>
        <w:rPr>
          <w:rFonts w:ascii="Arial" w:hAnsi="Arial" w:cs="Arial"/>
          <w:sz w:val="20"/>
          <w:szCs w:val="20"/>
        </w:rPr>
      </w:pPr>
      <w:r w:rsidRPr="002269D0">
        <w:rPr>
          <w:rFonts w:ascii="Arial" w:hAnsi="Arial" w:cs="Arial"/>
          <w:sz w:val="20"/>
          <w:szCs w:val="20"/>
          <w:u w:val="single"/>
        </w:rPr>
        <w:t>Embarazo:</w:t>
      </w:r>
      <w:r>
        <w:rPr>
          <w:rFonts w:ascii="Arial" w:hAnsi="Arial" w:cs="Arial"/>
          <w:sz w:val="20"/>
          <w:szCs w:val="20"/>
        </w:rPr>
        <w:t xml:space="preserve"> </w:t>
      </w:r>
      <w:r w:rsidRPr="00BD3A56">
        <w:rPr>
          <w:rFonts w:ascii="Arial" w:hAnsi="Arial" w:cs="Arial"/>
          <w:sz w:val="20"/>
          <w:szCs w:val="20"/>
        </w:rPr>
        <w:t>Hay datos limitados relativos al uso de nemolizumab en mujeres embarazadas. Los estudios en animales no sugieren efectos perjudiciales directos ni indirectos en términos de toxicidad para la reproducción</w:t>
      </w:r>
      <w:r w:rsidR="002269D0">
        <w:rPr>
          <w:rFonts w:ascii="Arial" w:hAnsi="Arial" w:cs="Arial"/>
          <w:sz w:val="20"/>
          <w:szCs w:val="20"/>
        </w:rPr>
        <w:t xml:space="preserve">. </w:t>
      </w:r>
      <w:r w:rsidRPr="00BD3A56">
        <w:rPr>
          <w:rFonts w:ascii="Arial" w:hAnsi="Arial" w:cs="Arial"/>
          <w:sz w:val="20"/>
          <w:szCs w:val="20"/>
        </w:rPr>
        <w:t>Como medida de precaución, es preferible evitar el uso de nemolizumab durante el embarazo.</w:t>
      </w:r>
    </w:p>
    <w:p w14:paraId="09D62639" w14:textId="77777777" w:rsidR="00BD3A56" w:rsidRPr="00BD3A56" w:rsidRDefault="00BD3A56" w:rsidP="002269D0">
      <w:pPr>
        <w:jc w:val="both"/>
        <w:rPr>
          <w:rFonts w:ascii="Arial" w:hAnsi="Arial" w:cs="Arial"/>
          <w:sz w:val="20"/>
          <w:szCs w:val="20"/>
        </w:rPr>
      </w:pPr>
    </w:p>
    <w:p w14:paraId="7784FE05" w14:textId="77777777" w:rsidR="00BD3A56" w:rsidRPr="00BD3A56" w:rsidRDefault="00BD3A56" w:rsidP="002269D0">
      <w:pPr>
        <w:jc w:val="both"/>
        <w:rPr>
          <w:rFonts w:ascii="Arial" w:hAnsi="Arial" w:cs="Arial"/>
          <w:sz w:val="20"/>
          <w:szCs w:val="20"/>
        </w:rPr>
      </w:pPr>
      <w:r w:rsidRPr="002269D0">
        <w:rPr>
          <w:rFonts w:ascii="Arial" w:hAnsi="Arial" w:cs="Arial"/>
          <w:sz w:val="20"/>
          <w:szCs w:val="20"/>
          <w:u w:val="single"/>
        </w:rPr>
        <w:t>Lactancia</w:t>
      </w:r>
      <w:r w:rsidR="002269D0" w:rsidRPr="002269D0">
        <w:rPr>
          <w:rFonts w:ascii="Arial" w:hAnsi="Arial" w:cs="Arial"/>
          <w:sz w:val="20"/>
          <w:szCs w:val="20"/>
          <w:u w:val="single"/>
        </w:rPr>
        <w:t>:</w:t>
      </w:r>
      <w:r w:rsidR="002269D0">
        <w:rPr>
          <w:rFonts w:ascii="Arial" w:hAnsi="Arial" w:cs="Arial"/>
          <w:sz w:val="20"/>
          <w:szCs w:val="20"/>
        </w:rPr>
        <w:t xml:space="preserve"> </w:t>
      </w:r>
      <w:r w:rsidRPr="00BD3A56">
        <w:rPr>
          <w:rFonts w:ascii="Arial" w:hAnsi="Arial" w:cs="Arial"/>
          <w:sz w:val="20"/>
          <w:szCs w:val="20"/>
        </w:rPr>
        <w:t>No se dispone de información relativa a la excreción de nemolizumab en la leche materna. En los seres humanos, la excreción de anticuerpos de tipo IgG en la leche se produce durante los primeros días tras el nacimiento y va disminuyendo a concentraciones bajas poco después. En consecuencia, es posible que se transfieran anticuerpos de tipo IgG a los recién nacidos a través de la leche materna durante los primeros días. En este breve periodo, no se puede excluir el riesgo en niños lactantes. Después, nemolizumab se podría utilizar durante la lactancia si fuera clínicamente necesario.</w:t>
      </w:r>
    </w:p>
    <w:p w14:paraId="4411F130" w14:textId="77777777" w:rsidR="00BD3A56" w:rsidRPr="00BD3A56" w:rsidRDefault="00BD3A56" w:rsidP="002269D0">
      <w:pPr>
        <w:jc w:val="both"/>
        <w:rPr>
          <w:rFonts w:ascii="Arial" w:hAnsi="Arial" w:cs="Arial"/>
          <w:sz w:val="20"/>
          <w:szCs w:val="20"/>
        </w:rPr>
      </w:pPr>
    </w:p>
    <w:p w14:paraId="7F5EA383" w14:textId="77777777" w:rsidR="00BD3A56" w:rsidRDefault="00BD3A56" w:rsidP="002269D0">
      <w:pPr>
        <w:jc w:val="both"/>
        <w:rPr>
          <w:rFonts w:ascii="Arial" w:hAnsi="Arial" w:cs="Arial"/>
          <w:sz w:val="20"/>
          <w:szCs w:val="20"/>
        </w:rPr>
      </w:pPr>
      <w:r w:rsidRPr="002269D0">
        <w:rPr>
          <w:rFonts w:ascii="Arial" w:hAnsi="Arial" w:cs="Arial"/>
          <w:sz w:val="20"/>
          <w:szCs w:val="20"/>
          <w:u w:val="single"/>
        </w:rPr>
        <w:t xml:space="preserve"> Fertilidad</w:t>
      </w:r>
      <w:r w:rsidR="002269D0">
        <w:rPr>
          <w:rFonts w:ascii="Arial" w:hAnsi="Arial" w:cs="Arial"/>
          <w:sz w:val="20"/>
          <w:szCs w:val="20"/>
        </w:rPr>
        <w:t xml:space="preserve">: </w:t>
      </w:r>
      <w:r w:rsidRPr="00BD3A56">
        <w:rPr>
          <w:rFonts w:ascii="Arial" w:hAnsi="Arial" w:cs="Arial"/>
          <w:sz w:val="20"/>
          <w:szCs w:val="20"/>
        </w:rPr>
        <w:t>Los estudios realizados en animales no han mostrado una disminución de la fertilidad</w:t>
      </w:r>
      <w:r w:rsidR="002269D0">
        <w:rPr>
          <w:rFonts w:ascii="Arial" w:hAnsi="Arial" w:cs="Arial"/>
          <w:sz w:val="20"/>
          <w:szCs w:val="20"/>
        </w:rPr>
        <w:t>.</w:t>
      </w:r>
    </w:p>
    <w:p w14:paraId="6CB3DA10" w14:textId="77777777" w:rsidR="002269D0" w:rsidRDefault="002269D0" w:rsidP="002269D0">
      <w:pPr>
        <w:jc w:val="both"/>
        <w:rPr>
          <w:rFonts w:ascii="Arial" w:hAnsi="Arial" w:cs="Arial"/>
          <w:sz w:val="20"/>
          <w:szCs w:val="20"/>
        </w:rPr>
      </w:pPr>
    </w:p>
    <w:p w14:paraId="4AC19338" w14:textId="77777777" w:rsidR="002269D0" w:rsidRDefault="002269D0" w:rsidP="002269D0">
      <w:pPr>
        <w:jc w:val="both"/>
        <w:rPr>
          <w:rFonts w:ascii="Arial" w:hAnsi="Arial" w:cs="Arial"/>
          <w:sz w:val="20"/>
          <w:szCs w:val="20"/>
        </w:rPr>
      </w:pPr>
      <w:r w:rsidRPr="002269D0">
        <w:rPr>
          <w:rFonts w:ascii="Arial" w:hAnsi="Arial" w:cs="Arial"/>
          <w:sz w:val="20"/>
          <w:szCs w:val="20"/>
        </w:rPr>
        <w:t xml:space="preserve">No se ha evaluado la seguridad ni la eficacia del uso concomitante de nemolizumab con </w:t>
      </w:r>
      <w:r w:rsidRPr="002269D0">
        <w:rPr>
          <w:rFonts w:ascii="Arial" w:hAnsi="Arial" w:cs="Arial"/>
          <w:sz w:val="20"/>
          <w:szCs w:val="20"/>
          <w:u w:val="single"/>
        </w:rPr>
        <w:t>vacunas</w:t>
      </w:r>
      <w:r w:rsidRPr="002269D0">
        <w:rPr>
          <w:rFonts w:ascii="Arial" w:hAnsi="Arial" w:cs="Arial"/>
          <w:sz w:val="20"/>
          <w:szCs w:val="20"/>
        </w:rPr>
        <w:t>, tanto de microorganismos vivos atenuados como inactivadas. En consecuencia, no deben administrarse vacunas vivas junto con nemolizumab, y se desconoce el perfil de seguridad de su administración concomitante con vacunas no vivas</w:t>
      </w:r>
    </w:p>
    <w:p w14:paraId="7F39AB79" w14:textId="77777777" w:rsidR="00BD3A56" w:rsidRDefault="00BD3A56" w:rsidP="00BC3E8E">
      <w:pPr>
        <w:rPr>
          <w:rFonts w:ascii="Arial" w:hAnsi="Arial" w:cs="Arial"/>
          <w:sz w:val="20"/>
          <w:szCs w:val="20"/>
        </w:rPr>
      </w:pPr>
    </w:p>
    <w:p w14:paraId="627442E2" w14:textId="77777777" w:rsidR="00BC3E8E" w:rsidRPr="00B35A86" w:rsidRDefault="00BC3E8E" w:rsidP="00BC3E8E">
      <w:pPr>
        <w:pStyle w:val="Encabezado"/>
        <w:tabs>
          <w:tab w:val="clear" w:pos="4252"/>
          <w:tab w:val="clear" w:pos="8504"/>
        </w:tabs>
        <w:rPr>
          <w:rFonts w:ascii="Arial" w:hAnsi="Arial" w:cs="Arial"/>
          <w:lang w:val="es-ES_tradnl"/>
        </w:rPr>
      </w:pPr>
    </w:p>
    <w:tbl>
      <w:tblPr>
        <w:tblW w:w="11996"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6"/>
      </w:tblGrid>
      <w:tr w:rsidR="00BC3E8E" w:rsidRPr="00DA38F3" w14:paraId="4A273E4B" w14:textId="77777777" w:rsidTr="00BB0A3B">
        <w:tc>
          <w:tcPr>
            <w:tcW w:w="11996" w:type="dxa"/>
            <w:tcBorders>
              <w:top w:val="single" w:sz="4" w:space="0" w:color="auto"/>
              <w:left w:val="single" w:sz="4" w:space="0" w:color="auto"/>
              <w:bottom w:val="single" w:sz="4" w:space="0" w:color="auto"/>
              <w:right w:val="single" w:sz="4" w:space="0" w:color="auto"/>
            </w:tcBorders>
            <w:shd w:val="clear" w:color="auto" w:fill="B3B3B3"/>
          </w:tcPr>
          <w:p w14:paraId="2136B0BE" w14:textId="77777777" w:rsidR="00BC3E8E" w:rsidRPr="00AA1167" w:rsidRDefault="00BC3E8E" w:rsidP="00BC3E8E">
            <w:pPr>
              <w:pStyle w:val="Ttulo1"/>
              <w:shd w:val="clear" w:color="auto" w:fill="A6A6A6"/>
              <w:rPr>
                <w:rFonts w:ascii="Arial" w:hAnsi="Arial" w:cs="Arial"/>
                <w:bCs w:val="0"/>
                <w:kern w:val="0"/>
                <w:sz w:val="20"/>
                <w:szCs w:val="20"/>
              </w:rPr>
            </w:pPr>
            <w:bookmarkStart w:id="132" w:name="_Toc344399656"/>
            <w:bookmarkStart w:id="133" w:name="_Toc348931387"/>
            <w:bookmarkStart w:id="134" w:name="_Toc216191110"/>
            <w:r w:rsidRPr="00AA1167">
              <w:rPr>
                <w:rFonts w:ascii="Arial" w:hAnsi="Arial" w:cs="Arial"/>
                <w:bCs w:val="0"/>
                <w:kern w:val="0"/>
                <w:sz w:val="20"/>
                <w:szCs w:val="20"/>
              </w:rPr>
              <w:t>7. AREA ECONÓMICA</w:t>
            </w:r>
            <w:bookmarkEnd w:id="132"/>
            <w:bookmarkEnd w:id="133"/>
            <w:bookmarkEnd w:id="134"/>
          </w:p>
        </w:tc>
      </w:tr>
    </w:tbl>
    <w:p w14:paraId="5E8D91D8" w14:textId="77777777" w:rsidR="00BC3E8E" w:rsidRPr="006F6ABB" w:rsidRDefault="00BC3E8E" w:rsidP="00BC3E8E">
      <w:pPr>
        <w:jc w:val="both"/>
        <w:rPr>
          <w:rFonts w:ascii="Arial" w:hAnsi="Arial" w:cs="Arial"/>
          <w:b/>
          <w:sz w:val="20"/>
          <w:szCs w:val="20"/>
          <w:shd w:val="clear" w:color="auto" w:fill="C0C0C0"/>
        </w:rPr>
      </w:pPr>
    </w:p>
    <w:p w14:paraId="7820FA0F"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35" w:name="_Toc344399657"/>
      <w:bookmarkStart w:id="136" w:name="_Toc348931388"/>
      <w:bookmarkStart w:id="137" w:name="_Toc216191111"/>
      <w:r w:rsidRPr="00E3472F">
        <w:rPr>
          <w:rFonts w:cs="Arial"/>
          <w:sz w:val="20"/>
        </w:rPr>
        <w:t>7.1 Coste tratamiento.</w:t>
      </w:r>
      <w:r w:rsidRPr="006F6ABB">
        <w:rPr>
          <w:rFonts w:cs="Arial"/>
          <w:sz w:val="20"/>
        </w:rPr>
        <w:t xml:space="preserve"> </w:t>
      </w:r>
      <w:r w:rsidRPr="00E3472F">
        <w:rPr>
          <w:rFonts w:cs="Arial"/>
          <w:sz w:val="20"/>
        </w:rPr>
        <w:t>Coste incremental</w:t>
      </w:r>
      <w:bookmarkEnd w:id="135"/>
      <w:bookmarkEnd w:id="136"/>
      <w:bookmarkEnd w:id="137"/>
    </w:p>
    <w:p w14:paraId="2426158D" w14:textId="77777777" w:rsidR="00BC3E8E" w:rsidRDefault="00BC3E8E" w:rsidP="00BC3E8E">
      <w:pPr>
        <w:jc w:val="both"/>
        <w:rPr>
          <w:rFonts w:ascii="Arial" w:hAnsi="Arial" w:cs="Arial"/>
          <w:b/>
          <w:sz w:val="20"/>
          <w:szCs w:val="20"/>
          <w:shd w:val="clear" w:color="auto" w:fill="C0C0C0"/>
        </w:rPr>
      </w:pPr>
    </w:p>
    <w:p w14:paraId="64157EB0" w14:textId="77777777" w:rsidR="00C3159D" w:rsidRPr="00C3159D" w:rsidRDefault="00C3159D" w:rsidP="00C3159D">
      <w:pPr>
        <w:jc w:val="both"/>
        <w:rPr>
          <w:rFonts w:ascii="Arial" w:hAnsi="Arial" w:cs="Arial"/>
          <w:sz w:val="20"/>
          <w:szCs w:val="20"/>
        </w:rPr>
      </w:pPr>
      <w:r w:rsidRPr="00C3159D">
        <w:rPr>
          <w:rFonts w:ascii="Arial" w:hAnsi="Arial" w:cs="Arial"/>
          <w:sz w:val="20"/>
          <w:szCs w:val="20"/>
        </w:rPr>
        <w:t>Para la evaluación económica se realiza un análisis de costes utilizando el precio de nemolizumab indicado en la página de medicamentos en situaciones especiales para su adquisición como medicamento extranjero, dado que actualmente no se encuentra comercializado en España.</w:t>
      </w:r>
    </w:p>
    <w:p w14:paraId="27AA162F" w14:textId="77777777" w:rsidR="00C3159D" w:rsidRPr="00C3159D" w:rsidRDefault="00C3159D" w:rsidP="00C3159D">
      <w:pPr>
        <w:jc w:val="both"/>
        <w:rPr>
          <w:rFonts w:ascii="Arial" w:hAnsi="Arial" w:cs="Arial"/>
          <w:sz w:val="20"/>
          <w:szCs w:val="20"/>
        </w:rPr>
      </w:pPr>
    </w:p>
    <w:p w14:paraId="4321C04C" w14:textId="77777777" w:rsidR="00C3159D" w:rsidRPr="00C3159D" w:rsidRDefault="00C3159D" w:rsidP="00C3159D">
      <w:pPr>
        <w:jc w:val="both"/>
        <w:rPr>
          <w:rFonts w:ascii="Arial" w:hAnsi="Arial" w:cs="Arial"/>
          <w:sz w:val="20"/>
          <w:szCs w:val="20"/>
        </w:rPr>
      </w:pPr>
      <w:r w:rsidRPr="00C3159D">
        <w:rPr>
          <w:rFonts w:ascii="Arial" w:hAnsi="Arial" w:cs="Arial"/>
          <w:sz w:val="20"/>
          <w:szCs w:val="20"/>
        </w:rPr>
        <w:t xml:space="preserve">El análisis </w:t>
      </w:r>
      <w:r>
        <w:rPr>
          <w:rFonts w:ascii="Arial" w:hAnsi="Arial" w:cs="Arial"/>
          <w:sz w:val="20"/>
          <w:szCs w:val="20"/>
        </w:rPr>
        <w:t xml:space="preserve">reflejado en la primera tabla, </w:t>
      </w:r>
      <w:r w:rsidRPr="00C3159D">
        <w:rPr>
          <w:rFonts w:ascii="Arial" w:hAnsi="Arial" w:cs="Arial"/>
          <w:sz w:val="20"/>
          <w:szCs w:val="20"/>
        </w:rPr>
        <w:t xml:space="preserve">calcula el coste incremental de nemolizumab </w:t>
      </w:r>
      <w:r>
        <w:rPr>
          <w:rFonts w:ascii="Arial" w:hAnsi="Arial" w:cs="Arial"/>
          <w:sz w:val="20"/>
          <w:szCs w:val="20"/>
        </w:rPr>
        <w:t>y de</w:t>
      </w:r>
      <w:r w:rsidRPr="00C3159D">
        <w:rPr>
          <w:rFonts w:ascii="Arial" w:hAnsi="Arial" w:cs="Arial"/>
          <w:sz w:val="20"/>
          <w:szCs w:val="20"/>
        </w:rPr>
        <w:t xml:space="preserve"> las alternativas terapéuticas disponibles, tomando como comparador principal a dupilumab, considerado el fármaco de referencia en esta indicación.</w:t>
      </w:r>
    </w:p>
    <w:p w14:paraId="00DAF86F" w14:textId="77777777" w:rsidR="00C3159D" w:rsidRPr="00C3159D" w:rsidRDefault="00C3159D" w:rsidP="00C3159D">
      <w:pPr>
        <w:jc w:val="both"/>
        <w:rPr>
          <w:rFonts w:ascii="Arial" w:hAnsi="Arial" w:cs="Arial"/>
          <w:sz w:val="20"/>
          <w:szCs w:val="20"/>
        </w:rPr>
      </w:pPr>
    </w:p>
    <w:p w14:paraId="6B795F1D" w14:textId="77777777" w:rsidR="003752E2" w:rsidRDefault="00C3159D" w:rsidP="00C3159D">
      <w:pPr>
        <w:jc w:val="both"/>
        <w:rPr>
          <w:rFonts w:ascii="Arial" w:hAnsi="Arial" w:cs="Arial"/>
          <w:sz w:val="20"/>
          <w:szCs w:val="20"/>
        </w:rPr>
      </w:pPr>
      <w:r w:rsidRPr="00C3159D">
        <w:rPr>
          <w:rFonts w:ascii="Arial" w:hAnsi="Arial" w:cs="Arial"/>
          <w:sz w:val="20"/>
          <w:szCs w:val="20"/>
        </w:rPr>
        <w:t>Para la estimación del coste del tratamiento se aplica una deducción del 7,5 %, conforme a lo establecido en el Real Decreto-ley 8/2010, así como un IVA reducido del 4 % correspondiente a los medicamentos de uso humano.</w:t>
      </w:r>
    </w:p>
    <w:p w14:paraId="2A42BC7F" w14:textId="77777777" w:rsidR="00C3159D" w:rsidRDefault="00C3159D" w:rsidP="00C3159D">
      <w:pPr>
        <w:jc w:val="both"/>
        <w:rPr>
          <w:rFonts w:ascii="Arial" w:hAnsi="Arial" w:cs="Arial"/>
          <w:sz w:val="20"/>
          <w:szCs w:val="20"/>
        </w:rPr>
      </w:pPr>
    </w:p>
    <w:p w14:paraId="5D4614CC" w14:textId="3233AA4A" w:rsidR="003752E2" w:rsidRPr="006F6ABB" w:rsidRDefault="00C3159D" w:rsidP="00BC3E8E">
      <w:pPr>
        <w:jc w:val="both"/>
        <w:rPr>
          <w:rFonts w:ascii="Arial" w:hAnsi="Arial" w:cs="Arial"/>
          <w:b/>
          <w:sz w:val="20"/>
          <w:szCs w:val="20"/>
          <w:shd w:val="clear" w:color="auto" w:fill="C0C0C0"/>
        </w:rPr>
      </w:pPr>
      <w:r>
        <w:rPr>
          <w:rFonts w:ascii="Arial" w:hAnsi="Arial" w:cs="Arial"/>
          <w:sz w:val="20"/>
          <w:szCs w:val="20"/>
        </w:rPr>
        <w:t xml:space="preserve">Se realizará un </w:t>
      </w:r>
      <w:bookmarkStart w:id="138" w:name="_Hlk215228886"/>
      <w:r>
        <w:rPr>
          <w:rFonts w:ascii="Arial" w:hAnsi="Arial" w:cs="Arial"/>
          <w:sz w:val="20"/>
          <w:szCs w:val="20"/>
        </w:rPr>
        <w:t xml:space="preserve">análisis de sensibilidad </w:t>
      </w:r>
      <w:r w:rsidR="00BA413B">
        <w:rPr>
          <w:rFonts w:ascii="Arial" w:hAnsi="Arial" w:cs="Arial"/>
          <w:sz w:val="20"/>
          <w:szCs w:val="20"/>
        </w:rPr>
        <w:t>de los precios aplicando posibles descuentos</w:t>
      </w:r>
      <w:bookmarkEnd w:id="138"/>
      <w:r w:rsidR="00BA413B">
        <w:rPr>
          <w:rFonts w:ascii="Arial" w:hAnsi="Arial" w:cs="Arial"/>
          <w:sz w:val="20"/>
          <w:szCs w:val="20"/>
        </w:rPr>
        <w:t>, que se refleja en l</w:t>
      </w:r>
      <w:r w:rsidR="00DB2899">
        <w:rPr>
          <w:rFonts w:ascii="Arial" w:hAnsi="Arial" w:cs="Arial"/>
          <w:sz w:val="20"/>
          <w:szCs w:val="20"/>
        </w:rPr>
        <w:t>as tablas 25 y 27</w:t>
      </w:r>
      <w:r w:rsidR="00BA413B">
        <w:rPr>
          <w:rFonts w:ascii="Arial" w:hAnsi="Arial" w:cs="Arial"/>
          <w:sz w:val="20"/>
          <w:szCs w:val="20"/>
        </w:rPr>
        <w:t xml:space="preserve">. </w:t>
      </w:r>
      <w:r w:rsidR="00842DBE">
        <w:rPr>
          <w:rFonts w:ascii="Arial" w:hAnsi="Arial" w:cs="Arial"/>
          <w:sz w:val="20"/>
          <w:szCs w:val="20"/>
        </w:rPr>
        <w:t xml:space="preserve">Este coste es el que se ha utilizado como referencia en los análisis posteriores. </w:t>
      </w:r>
    </w:p>
    <w:p w14:paraId="6498CCF2" w14:textId="77777777" w:rsidR="00BA360A" w:rsidRDefault="00BA360A" w:rsidP="00BC3E8E">
      <w:pPr>
        <w:jc w:val="both"/>
        <w:rPr>
          <w:rFonts w:ascii="Arial" w:hAnsi="Arial" w:cs="Arial"/>
        </w:rPr>
      </w:pPr>
    </w:p>
    <w:p w14:paraId="54FB3CE6" w14:textId="77777777" w:rsidR="00BA360A" w:rsidRDefault="00BA360A" w:rsidP="00BC3E8E">
      <w:pPr>
        <w:jc w:val="both"/>
        <w:rPr>
          <w:rFonts w:ascii="Arial" w:hAnsi="Arial" w:cs="Arial"/>
          <w:sz w:val="20"/>
          <w:szCs w:val="20"/>
        </w:rPr>
      </w:pPr>
      <w:r w:rsidRPr="00BA360A">
        <w:rPr>
          <w:rFonts w:ascii="Arial" w:hAnsi="Arial" w:cs="Arial"/>
          <w:sz w:val="20"/>
          <w:szCs w:val="20"/>
        </w:rPr>
        <w:t>Para estimar los costes directos se toma como referencia un estudio español de datos en vida real</w:t>
      </w:r>
      <w:r>
        <w:rPr>
          <w:rFonts w:ascii="Arial" w:hAnsi="Arial" w:cs="Arial"/>
          <w:sz w:val="20"/>
          <w:szCs w:val="20"/>
        </w:rPr>
        <w:t xml:space="preserve"> </w:t>
      </w:r>
      <w:r w:rsidR="00646A51">
        <w:rPr>
          <w:rFonts w:ascii="Arial" w:hAnsi="Arial" w:cs="Arial"/>
          <w:sz w:val="20"/>
          <w:szCs w:val="20"/>
        </w:rPr>
        <w:fldChar w:fldCharType="begin"/>
      </w:r>
      <w:r w:rsidR="00511A83">
        <w:rPr>
          <w:rFonts w:ascii="Arial" w:hAnsi="Arial" w:cs="Arial"/>
          <w:sz w:val="20"/>
          <w:szCs w:val="20"/>
        </w:rPr>
        <w:instrText xml:space="preserve"> ADDIN ZOTERO_ITEM CSL_CITATION {"citationID":"sfzBuImF","properties":{"formattedCitation":"(37)","plainCitation":"(37)","noteIndex":0},"citationItems":[{"id":118,"uris":["http://zotero.org/users/18702181/items/YC7SGVVK"],"itemData":{"id":118,"type":"article-journal","abstract":"BACKGROUND: Moderate-severe atopic dermatitis (AD) has a significant impact on patients' lives, with many requiring systemic treatment to manage symptoms (e.g., pruritus). Several drugs are used off-label to treat AD. This study describes sociodemographic/clinical characteristics, treatment patterns, health resource use (HRU) and costs in adults with AD who initiated systemic treatment or phototherapy in routine practice.\nMETHODS: This retrospective observational study of electronic medical records in the BIG-PAC database identified adults with prior diagnosis of AD (ICD-9: 691.8 or 692.9) starting oral corticosteroids, immunosuppressants, biologics or phototherapy between 01/01/2012 and 31/12/2016. Patients were followed for 3 years from treatment initiation, up to 31/12/2019. Data on patient characteristics, treatment patterns, HRU and costs were analyzed descriptively.\nRESULTS: Patients (N=1995) had a mean age of 60 years, 64% were female, with a mean time of 23 years since diagnosis (84% were ≥18 years at AD onset). Main comorbidities were anxiety (38%), arterial hypertension (36%) and dyslipidemia (35%). Most patients used oral corticosteroids as first systemic (84%; median duration 29 days) and immunosuppressants in 13% of patients (median duration 117 days, 5% cyclosporine and 4% methotrexate). Half of patients required a second line systemic and 12% a third line. The use of immunosuppressants and biologics increased with treatment lines. About 13% of patients received systemic treatments continuously over the 3-year follow-up. The average 3-year per patient cost was 3835 euros, with an average annual cost of 1278 euros.\nCONCLUSIONS: Results suggest a high comorbidity and economic burden in this real-world adult population with AD, and the need for systemic treatments indicated for use in AD.","container-title":"Actas Dermo-Sifiliograficas","DOI":"10.1016/j.ad.2022.08.015","ISSN":"1578-2190","issue":"1","journalAbbreviation":"Actas Dermosifiliogr","language":"eng, spa","page":"9-18","PMID":"36030827","source":"PubMed","title":"Real-World Treatment Patterns, Resource Use and Costs in Adult Patients With Atopic Dermatitis Receiving Systemic Treatment: Derma-Atopic Study in Spain","title-short":"Real-World Treatment Patterns, Resource Use and Costs in Adult Patients With Atopic Dermatitis Receiving Systemic Treatment","volume":"114","author":[{"family":"Artime","given":"E."},{"family":"Serra","given":"E."},{"family":"Mert","given":"C."},{"family":"Díaz-Cerezo","given":"S."},{"family":"Huete","given":"T."},{"family":"Hernández-Subirá","given":"I."},{"family":"Lledo-Bryant","given":"L."},{"family":"Sicras-Mainar","given":"A."}],"issued":{"date-parts":[["2023",1]]}}}],"schema":"https://github.com/citation-style-language/schema/raw/master/csl-citation.json"} </w:instrText>
      </w:r>
      <w:r w:rsidR="00646A51">
        <w:rPr>
          <w:rFonts w:ascii="Arial" w:hAnsi="Arial" w:cs="Arial"/>
          <w:sz w:val="20"/>
          <w:szCs w:val="20"/>
        </w:rPr>
        <w:fldChar w:fldCharType="separate"/>
      </w:r>
      <w:r w:rsidR="00511A83" w:rsidRPr="00511A83">
        <w:rPr>
          <w:rFonts w:ascii="Arial" w:hAnsi="Arial" w:cs="Arial"/>
          <w:sz w:val="20"/>
        </w:rPr>
        <w:t>(37)</w:t>
      </w:r>
      <w:r w:rsidR="00646A51">
        <w:rPr>
          <w:rFonts w:ascii="Arial" w:hAnsi="Arial" w:cs="Arial"/>
          <w:sz w:val="20"/>
          <w:szCs w:val="20"/>
        </w:rPr>
        <w:fldChar w:fldCharType="end"/>
      </w:r>
      <w:r>
        <w:rPr>
          <w:rFonts w:ascii="Arial" w:hAnsi="Arial" w:cs="Arial"/>
          <w:sz w:val="20"/>
          <w:szCs w:val="20"/>
        </w:rPr>
        <w:t xml:space="preserve">. Se ha considerado el mismo coste directo independientemente de la terapia, por lo que los resultados en cuanto a coste incremental son exclusivamente debido a las diferencias de coste entre tratamientos. </w:t>
      </w:r>
    </w:p>
    <w:p w14:paraId="455C2D5A" w14:textId="77777777" w:rsidR="00E740D6" w:rsidRPr="007E78CA" w:rsidRDefault="00E740D6" w:rsidP="00BC3E8E">
      <w:pPr>
        <w:jc w:val="both"/>
        <w:rPr>
          <w:rFonts w:ascii="Arial" w:hAnsi="Arial" w:cs="Arial"/>
          <w:sz w:val="20"/>
          <w:szCs w:val="20"/>
        </w:rPr>
      </w:pPr>
    </w:p>
    <w:p w14:paraId="7C44C1D0" w14:textId="77777777" w:rsidR="00BA360A" w:rsidRDefault="00E740D6" w:rsidP="00BC3E8E">
      <w:pPr>
        <w:jc w:val="both"/>
        <w:rPr>
          <w:rFonts w:ascii="Arial" w:hAnsi="Arial" w:cs="Arial"/>
          <w:sz w:val="20"/>
          <w:szCs w:val="20"/>
        </w:rPr>
      </w:pPr>
      <w:bookmarkStart w:id="139" w:name="_Hlk215229834"/>
      <w:r w:rsidRPr="007E78CA">
        <w:rPr>
          <w:rFonts w:ascii="Arial" w:hAnsi="Arial" w:cs="Arial"/>
          <w:sz w:val="20"/>
          <w:szCs w:val="20"/>
        </w:rPr>
        <w:t xml:space="preserve">Dupilumab fue el primero que se autorizó en 2017 y se comercializó en </w:t>
      </w:r>
      <w:r w:rsidR="007E78CA" w:rsidRPr="007E78CA">
        <w:rPr>
          <w:rFonts w:ascii="Arial" w:hAnsi="Arial" w:cs="Arial"/>
          <w:sz w:val="20"/>
          <w:szCs w:val="20"/>
        </w:rPr>
        <w:t xml:space="preserve">España </w:t>
      </w:r>
      <w:r w:rsidRPr="007E78CA">
        <w:rPr>
          <w:rFonts w:ascii="Arial" w:hAnsi="Arial" w:cs="Arial"/>
          <w:sz w:val="20"/>
          <w:szCs w:val="20"/>
        </w:rPr>
        <w:t>2020</w:t>
      </w:r>
      <w:r w:rsidR="007E78CA" w:rsidRPr="007E78CA">
        <w:rPr>
          <w:rFonts w:ascii="Arial" w:hAnsi="Arial" w:cs="Arial"/>
          <w:sz w:val="20"/>
          <w:szCs w:val="20"/>
        </w:rPr>
        <w:t>. La</w:t>
      </w:r>
      <w:r w:rsidRPr="007E78CA">
        <w:rPr>
          <w:rFonts w:ascii="Arial" w:hAnsi="Arial" w:cs="Arial"/>
          <w:sz w:val="20"/>
          <w:szCs w:val="20"/>
        </w:rPr>
        <w:t xml:space="preserve"> fecha de fin de protección de Dupixent® (dupilumab) </w:t>
      </w:r>
      <w:r w:rsidR="007E78CA" w:rsidRPr="007E78CA">
        <w:rPr>
          <w:rFonts w:ascii="Arial" w:hAnsi="Arial" w:cs="Arial"/>
          <w:sz w:val="20"/>
          <w:szCs w:val="20"/>
        </w:rPr>
        <w:t xml:space="preserve">aunque </w:t>
      </w:r>
      <w:r w:rsidRPr="007E78CA">
        <w:rPr>
          <w:rFonts w:ascii="Arial" w:hAnsi="Arial" w:cs="Arial"/>
          <w:sz w:val="20"/>
          <w:szCs w:val="20"/>
        </w:rPr>
        <w:t>depende de múltiples patentes (principales + follow-on), posibles extensiones y litigio</w:t>
      </w:r>
      <w:r w:rsidR="007E78CA" w:rsidRPr="007E78CA">
        <w:rPr>
          <w:rFonts w:ascii="Arial" w:hAnsi="Arial" w:cs="Arial"/>
          <w:sz w:val="20"/>
          <w:szCs w:val="20"/>
        </w:rPr>
        <w:t xml:space="preserve">s, se estima </w:t>
      </w:r>
      <w:r w:rsidRPr="007E78CA">
        <w:rPr>
          <w:rFonts w:ascii="Arial" w:hAnsi="Arial" w:cs="Arial"/>
          <w:sz w:val="20"/>
          <w:szCs w:val="20"/>
        </w:rPr>
        <w:t xml:space="preserve"> en la literatura comercial y de prensa </w:t>
      </w:r>
      <w:r w:rsidR="007E78CA" w:rsidRPr="007E78CA">
        <w:rPr>
          <w:rFonts w:ascii="Arial" w:hAnsi="Arial" w:cs="Arial"/>
          <w:sz w:val="20"/>
          <w:szCs w:val="20"/>
        </w:rPr>
        <w:t xml:space="preserve">que será </w:t>
      </w:r>
      <w:r w:rsidRPr="007E78CA">
        <w:rPr>
          <w:rFonts w:ascii="Arial" w:hAnsi="Arial" w:cs="Arial"/>
          <w:sz w:val="20"/>
          <w:szCs w:val="20"/>
        </w:rPr>
        <w:t xml:space="preserve">en torno a 2030–2031 </w:t>
      </w:r>
      <w:r w:rsidR="00646A51" w:rsidRPr="007E78CA">
        <w:rPr>
          <w:rFonts w:ascii="Arial" w:hAnsi="Arial" w:cs="Arial"/>
          <w:sz w:val="20"/>
          <w:szCs w:val="20"/>
        </w:rPr>
        <w:fldChar w:fldCharType="begin"/>
      </w:r>
      <w:r w:rsidR="00511A83">
        <w:rPr>
          <w:rFonts w:ascii="Arial" w:hAnsi="Arial" w:cs="Arial"/>
          <w:sz w:val="20"/>
          <w:szCs w:val="20"/>
        </w:rPr>
        <w:instrText xml:space="preserve"> ADDIN ZOTERO_ITEM CSL_CITATION {"citationID":"uBkzlJbg","properties":{"formattedCitation":"(38)","plainCitation":"(38)","noteIndex":0},"citationItems":[{"id":120,"uris":["http://zotero.org/users/18702181/items/NU78NYLD"],"itemData":{"id":120,"type":"webpage","abstract":"Discover detailed patent information and market exclusivity data for DUPIXENT Get insights on key patent expiration dates and emerging competition.","container-title":"Deep knowledge on small-molecule drugs and the global patents covering them","language":"en","title":"When do the patents on DUPIXENT expire, and when will biosimilar DUPIXENT launch?","URL":"//www.DrugPatentWatch.com/p/biologics/tradename/DUPIXENT?srsltid=AfmBOopSYUe8tkp1eX2a9sVEWZHtCdAc38J6re5T3DzyWl7V5JhgaAod&amp;utm_source=chatgpt.com","accessed":{"date-parts":[["2025",11,26]]}}}],"schema":"https://github.com/citation-style-language/schema/raw/master/csl-citation.json"} </w:instrText>
      </w:r>
      <w:r w:rsidR="00646A51" w:rsidRPr="007E78CA">
        <w:rPr>
          <w:rFonts w:ascii="Arial" w:hAnsi="Arial" w:cs="Arial"/>
          <w:sz w:val="20"/>
          <w:szCs w:val="20"/>
        </w:rPr>
        <w:fldChar w:fldCharType="separate"/>
      </w:r>
      <w:r w:rsidR="00511A83" w:rsidRPr="00511A83">
        <w:rPr>
          <w:rFonts w:ascii="Arial" w:hAnsi="Arial" w:cs="Arial"/>
          <w:sz w:val="20"/>
        </w:rPr>
        <w:t>(38)</w:t>
      </w:r>
      <w:r w:rsidR="00646A51" w:rsidRPr="007E78CA">
        <w:rPr>
          <w:rFonts w:ascii="Arial" w:hAnsi="Arial" w:cs="Arial"/>
          <w:sz w:val="20"/>
          <w:szCs w:val="20"/>
        </w:rPr>
        <w:fldChar w:fldCharType="end"/>
      </w:r>
      <w:r w:rsidRPr="007E78CA">
        <w:rPr>
          <w:rFonts w:ascii="Arial" w:hAnsi="Arial" w:cs="Arial"/>
          <w:sz w:val="20"/>
          <w:szCs w:val="20"/>
        </w:rPr>
        <w:t>.</w:t>
      </w:r>
      <w:r w:rsidR="007E78CA">
        <w:rPr>
          <w:rFonts w:ascii="Arial" w:hAnsi="Arial" w:cs="Arial"/>
          <w:sz w:val="20"/>
          <w:szCs w:val="20"/>
        </w:rPr>
        <w:t xml:space="preserve"> En ese momento, la competencia entre los biológicos en cuanto al precio aumentará. Actualmente no hay grandes diferencias entre los precios de los medicamentos. </w:t>
      </w:r>
    </w:p>
    <w:bookmarkEnd w:id="139"/>
    <w:p w14:paraId="74CC4CE2" w14:textId="77777777" w:rsidR="00BB0A3B" w:rsidRDefault="00BB0A3B" w:rsidP="00BC3E8E">
      <w:pPr>
        <w:jc w:val="both"/>
        <w:rPr>
          <w:rFonts w:ascii="Arial" w:hAnsi="Arial" w:cs="Arial"/>
          <w:sz w:val="20"/>
          <w:szCs w:val="20"/>
        </w:rPr>
      </w:pPr>
    </w:p>
    <w:p w14:paraId="5CAE71E9" w14:textId="77777777" w:rsidR="001F7F82" w:rsidRDefault="001F7F82" w:rsidP="00BC3E8E">
      <w:pPr>
        <w:jc w:val="both"/>
        <w:rPr>
          <w:rFonts w:ascii="Arial" w:hAnsi="Arial" w:cs="Arial"/>
          <w:sz w:val="20"/>
          <w:szCs w:val="20"/>
        </w:rPr>
      </w:pPr>
    </w:p>
    <w:p w14:paraId="2B54E292" w14:textId="77777777" w:rsidR="001F7F82" w:rsidRDefault="001F7F82" w:rsidP="00BC3E8E">
      <w:pPr>
        <w:jc w:val="both"/>
        <w:rPr>
          <w:rFonts w:ascii="Arial" w:hAnsi="Arial" w:cs="Arial"/>
          <w:sz w:val="20"/>
          <w:szCs w:val="20"/>
        </w:rPr>
      </w:pPr>
    </w:p>
    <w:p w14:paraId="7284B63B" w14:textId="77777777" w:rsidR="001F7F82" w:rsidRDefault="001F7F82" w:rsidP="00BC3E8E">
      <w:pPr>
        <w:jc w:val="both"/>
        <w:rPr>
          <w:rFonts w:ascii="Arial" w:hAnsi="Arial" w:cs="Arial"/>
          <w:sz w:val="20"/>
          <w:szCs w:val="20"/>
        </w:rPr>
      </w:pPr>
    </w:p>
    <w:p w14:paraId="684FE24D" w14:textId="77777777" w:rsidR="001F7F82" w:rsidRDefault="001F7F82" w:rsidP="00BC3E8E">
      <w:pPr>
        <w:jc w:val="both"/>
        <w:rPr>
          <w:rFonts w:ascii="Arial" w:hAnsi="Arial" w:cs="Arial"/>
          <w:sz w:val="20"/>
          <w:szCs w:val="20"/>
        </w:rPr>
      </w:pPr>
    </w:p>
    <w:p w14:paraId="5BA9A154" w14:textId="77777777" w:rsidR="001F7F82" w:rsidRDefault="001F7F82" w:rsidP="00BC3E8E">
      <w:pPr>
        <w:jc w:val="both"/>
        <w:rPr>
          <w:rFonts w:ascii="Arial" w:hAnsi="Arial" w:cs="Arial"/>
          <w:sz w:val="20"/>
          <w:szCs w:val="20"/>
        </w:rPr>
      </w:pPr>
    </w:p>
    <w:p w14:paraId="159EE8F0" w14:textId="77777777" w:rsidR="001F7F82" w:rsidRDefault="001F7F82" w:rsidP="00BC3E8E">
      <w:pPr>
        <w:jc w:val="both"/>
        <w:rPr>
          <w:rFonts w:ascii="Arial" w:hAnsi="Arial" w:cs="Arial"/>
          <w:sz w:val="20"/>
          <w:szCs w:val="20"/>
        </w:rPr>
      </w:pPr>
    </w:p>
    <w:tbl>
      <w:tblPr>
        <w:tblpPr w:leftFromText="141" w:rightFromText="141" w:vertAnchor="text" w:horzAnchor="margin" w:tblpXSpec="center" w:tblpY="203"/>
        <w:tblW w:w="10282" w:type="dxa"/>
        <w:tblCellMar>
          <w:left w:w="0" w:type="dxa"/>
          <w:right w:w="0" w:type="dxa"/>
        </w:tblCellMar>
        <w:tblLook w:val="04A0" w:firstRow="1" w:lastRow="0" w:firstColumn="1" w:lastColumn="0" w:noHBand="0" w:noVBand="1"/>
      </w:tblPr>
      <w:tblGrid>
        <w:gridCol w:w="2492"/>
        <w:gridCol w:w="1893"/>
        <w:gridCol w:w="1812"/>
        <w:gridCol w:w="1997"/>
        <w:gridCol w:w="2088"/>
      </w:tblGrid>
      <w:tr w:rsidR="00DC274C" w14:paraId="1883B0C7" w14:textId="77777777" w:rsidTr="00DC274C">
        <w:trPr>
          <w:trHeight w:val="282"/>
        </w:trPr>
        <w:tc>
          <w:tcPr>
            <w:tcW w:w="10282" w:type="dxa"/>
            <w:gridSpan w:val="5"/>
            <w:tcBorders>
              <w:top w:val="single" w:sz="8" w:space="0" w:color="auto"/>
              <w:left w:val="single" w:sz="8" w:space="0" w:color="auto"/>
              <w:bottom w:val="single" w:sz="8" w:space="0" w:color="auto"/>
              <w:right w:val="single" w:sz="8" w:space="0" w:color="000000"/>
            </w:tcBorders>
            <w:shd w:val="clear" w:color="000000" w:fill="CCFFCC"/>
            <w:tcMar>
              <w:top w:w="15" w:type="dxa"/>
              <w:left w:w="15" w:type="dxa"/>
              <w:bottom w:w="0" w:type="dxa"/>
              <w:right w:w="15" w:type="dxa"/>
            </w:tcMar>
            <w:vAlign w:val="center"/>
            <w:hideMark/>
          </w:tcPr>
          <w:p w14:paraId="0C5AF55D" w14:textId="77777777" w:rsidR="00DC274C" w:rsidRDefault="00DB2899" w:rsidP="00DC274C">
            <w:pPr>
              <w:jc w:val="center"/>
              <w:rPr>
                <w:rFonts w:ascii="Arial" w:hAnsi="Arial" w:cs="Arial"/>
                <w:b/>
                <w:bCs/>
                <w:color w:val="000000"/>
                <w:sz w:val="16"/>
                <w:szCs w:val="16"/>
              </w:rPr>
            </w:pPr>
            <w:r>
              <w:rPr>
                <w:rFonts w:ascii="Arial" w:hAnsi="Arial" w:cs="Arial"/>
                <w:b/>
                <w:bCs/>
                <w:color w:val="000000"/>
                <w:sz w:val="16"/>
                <w:szCs w:val="16"/>
              </w:rPr>
              <w:t xml:space="preserve">Tabla 24. </w:t>
            </w:r>
            <w:r w:rsidR="00DC274C">
              <w:rPr>
                <w:rFonts w:ascii="Arial" w:hAnsi="Arial" w:cs="Arial"/>
                <w:b/>
                <w:bCs/>
                <w:color w:val="000000"/>
                <w:sz w:val="16"/>
                <w:szCs w:val="16"/>
              </w:rPr>
              <w:t xml:space="preserve">Comparación de costes </w:t>
            </w:r>
            <w:r w:rsidR="00DC274C" w:rsidRPr="00DB2899">
              <w:rPr>
                <w:rFonts w:ascii="Arial" w:hAnsi="Arial" w:cs="Arial"/>
                <w:b/>
                <w:bCs/>
                <w:color w:val="000000"/>
                <w:sz w:val="16"/>
                <w:szCs w:val="16"/>
                <w:u w:val="single"/>
              </w:rPr>
              <w:t>notificados</w:t>
            </w:r>
            <w:r w:rsidR="00DC274C">
              <w:rPr>
                <w:rFonts w:ascii="Arial" w:hAnsi="Arial" w:cs="Arial"/>
                <w:b/>
                <w:bCs/>
                <w:color w:val="000000"/>
                <w:sz w:val="16"/>
                <w:szCs w:val="16"/>
              </w:rPr>
              <w:t xml:space="preserve"> del tratamiento evaluado frente a otra/s  alternativa/s </w:t>
            </w:r>
          </w:p>
        </w:tc>
      </w:tr>
      <w:tr w:rsidR="00DC274C" w14:paraId="12621039" w14:textId="77777777" w:rsidTr="00DC274C">
        <w:trPr>
          <w:trHeight w:val="197"/>
        </w:trPr>
        <w:tc>
          <w:tcPr>
            <w:tcW w:w="10282" w:type="dxa"/>
            <w:gridSpan w:val="5"/>
            <w:tcBorders>
              <w:top w:val="single" w:sz="8" w:space="0" w:color="auto"/>
              <w:left w:val="single" w:sz="8" w:space="0" w:color="auto"/>
              <w:bottom w:val="single" w:sz="8" w:space="0" w:color="auto"/>
              <w:right w:val="single" w:sz="8" w:space="0" w:color="000000"/>
            </w:tcBorders>
            <w:shd w:val="clear" w:color="000000" w:fill="CCFFCC"/>
            <w:tcMar>
              <w:top w:w="15" w:type="dxa"/>
              <w:left w:w="15" w:type="dxa"/>
              <w:bottom w:w="0" w:type="dxa"/>
              <w:right w:w="15" w:type="dxa"/>
            </w:tcMar>
            <w:vAlign w:val="center"/>
            <w:hideMark/>
          </w:tcPr>
          <w:p w14:paraId="0F217A6B"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Medicamento</w:t>
            </w:r>
          </w:p>
        </w:tc>
      </w:tr>
      <w:tr w:rsidR="00DC274C" w14:paraId="085282CD" w14:textId="77777777" w:rsidTr="00364834">
        <w:trPr>
          <w:trHeight w:val="197"/>
        </w:trPr>
        <w:tc>
          <w:tcPr>
            <w:tcW w:w="2492" w:type="dxa"/>
            <w:vMerge w:val="restart"/>
            <w:tcBorders>
              <w:top w:val="nil"/>
              <w:left w:val="single" w:sz="8" w:space="0" w:color="auto"/>
              <w:bottom w:val="single" w:sz="8" w:space="0" w:color="000000"/>
              <w:right w:val="single" w:sz="8" w:space="0" w:color="auto"/>
            </w:tcBorders>
            <w:shd w:val="clear" w:color="000000" w:fill="E6E6E6"/>
            <w:tcMar>
              <w:top w:w="15" w:type="dxa"/>
              <w:left w:w="15" w:type="dxa"/>
              <w:bottom w:w="0" w:type="dxa"/>
              <w:right w:w="15" w:type="dxa"/>
            </w:tcMar>
            <w:vAlign w:val="center"/>
            <w:hideMark/>
          </w:tcPr>
          <w:p w14:paraId="57151AC5" w14:textId="77777777" w:rsidR="00DC274C" w:rsidRDefault="00DC274C" w:rsidP="00DC274C">
            <w:pPr>
              <w:jc w:val="center"/>
              <w:rPr>
                <w:rFonts w:ascii="Arial" w:hAnsi="Arial" w:cs="Arial"/>
                <w:color w:val="000000"/>
              </w:rPr>
            </w:pPr>
            <w:r>
              <w:rPr>
                <w:rFonts w:ascii="Arial" w:hAnsi="Arial" w:cs="Arial"/>
                <w:color w:val="000000"/>
              </w:rPr>
              <w:t> </w:t>
            </w:r>
          </w:p>
        </w:tc>
        <w:tc>
          <w:tcPr>
            <w:tcW w:w="1893"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5FB0DD05"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Nemolizumab</w:t>
            </w:r>
          </w:p>
        </w:tc>
        <w:tc>
          <w:tcPr>
            <w:tcW w:w="1812"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1F1BE069"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Dupilumab</w:t>
            </w:r>
          </w:p>
        </w:tc>
        <w:tc>
          <w:tcPr>
            <w:tcW w:w="1997"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0B7CDC96"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Tralokinumab</w:t>
            </w:r>
          </w:p>
        </w:tc>
        <w:tc>
          <w:tcPr>
            <w:tcW w:w="2088"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5027220F"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Lebrikizumab</w:t>
            </w:r>
          </w:p>
        </w:tc>
      </w:tr>
      <w:tr w:rsidR="00DC274C" w14:paraId="5CC5CA85" w14:textId="77777777" w:rsidTr="00364834">
        <w:trPr>
          <w:trHeight w:val="574"/>
        </w:trPr>
        <w:tc>
          <w:tcPr>
            <w:tcW w:w="0" w:type="auto"/>
            <w:vMerge/>
            <w:tcBorders>
              <w:top w:val="nil"/>
              <w:left w:val="single" w:sz="8" w:space="0" w:color="auto"/>
              <w:bottom w:val="single" w:sz="8" w:space="0" w:color="000000"/>
              <w:right w:val="single" w:sz="8" w:space="0" w:color="auto"/>
            </w:tcBorders>
            <w:vAlign w:val="center"/>
            <w:hideMark/>
          </w:tcPr>
          <w:p w14:paraId="6070B4C8" w14:textId="77777777" w:rsidR="00DC274C" w:rsidRDefault="00DC274C" w:rsidP="00DC274C">
            <w:pPr>
              <w:rPr>
                <w:rFonts w:ascii="Arial" w:hAnsi="Arial" w:cs="Arial"/>
                <w:color w:val="000000"/>
              </w:rPr>
            </w:pPr>
          </w:p>
        </w:tc>
        <w:tc>
          <w:tcPr>
            <w:tcW w:w="1893"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5ED45357" w14:textId="77777777" w:rsidR="00DC274C" w:rsidRDefault="00DC274C" w:rsidP="00DC274C">
            <w:pPr>
              <w:jc w:val="center"/>
              <w:rPr>
                <w:rFonts w:ascii="Arial" w:hAnsi="Arial" w:cs="Arial"/>
                <w:sz w:val="16"/>
                <w:szCs w:val="16"/>
              </w:rPr>
            </w:pPr>
            <w:r>
              <w:rPr>
                <w:rFonts w:ascii="Arial" w:hAnsi="Arial" w:cs="Arial"/>
                <w:sz w:val="16"/>
                <w:szCs w:val="16"/>
              </w:rPr>
              <w:t>Nemluvio 30 mg jeringas precargadas (CN: 767379) (Env:1)</w:t>
            </w:r>
          </w:p>
        </w:tc>
        <w:tc>
          <w:tcPr>
            <w:tcW w:w="1812"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128E2605"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Dupixent 300 mg jeringa (CN:718735) o pluma precargada (CN:758028) (Env:2)</w:t>
            </w:r>
          </w:p>
        </w:tc>
        <w:tc>
          <w:tcPr>
            <w:tcW w:w="1997"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7255597E"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Adtralza 300 mg pluma precargada (CN:763390)(Env:2)</w:t>
            </w:r>
          </w:p>
        </w:tc>
        <w:tc>
          <w:tcPr>
            <w:tcW w:w="2088"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4F572225" w14:textId="77777777" w:rsidR="00DC274C" w:rsidRDefault="00DC274C" w:rsidP="00DC274C">
            <w:pPr>
              <w:jc w:val="center"/>
              <w:rPr>
                <w:rFonts w:ascii="Arial" w:hAnsi="Arial" w:cs="Arial"/>
                <w:sz w:val="16"/>
                <w:szCs w:val="16"/>
              </w:rPr>
            </w:pPr>
            <w:r>
              <w:rPr>
                <w:rFonts w:ascii="Arial" w:hAnsi="Arial" w:cs="Arial"/>
                <w:sz w:val="16"/>
                <w:szCs w:val="16"/>
              </w:rPr>
              <w:t>Ebglyss 250 mg pluma (CN:  763937) /jeringa precargada (CN: 763939) (Env:1)</w:t>
            </w:r>
          </w:p>
        </w:tc>
      </w:tr>
      <w:tr w:rsidR="00DC274C" w14:paraId="451DCD72" w14:textId="77777777" w:rsidTr="00364834">
        <w:trPr>
          <w:trHeight w:val="197"/>
        </w:trPr>
        <w:tc>
          <w:tcPr>
            <w:tcW w:w="24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AF72B6E"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Precio unitario (PVL+IVA) *</w:t>
            </w:r>
          </w:p>
        </w:tc>
        <w:tc>
          <w:tcPr>
            <w:tcW w:w="189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749F001"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1.979,95 € </w:t>
            </w:r>
          </w:p>
        </w:tc>
        <w:tc>
          <w:tcPr>
            <w:tcW w:w="181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A89366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582,75 € </w:t>
            </w:r>
          </w:p>
        </w:tc>
        <w:tc>
          <w:tcPr>
            <w:tcW w:w="199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CF9A1D5"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582,75 € </w:t>
            </w:r>
          </w:p>
        </w:tc>
        <w:tc>
          <w:tcPr>
            <w:tcW w:w="208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FC21EA1"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1.165,50 € </w:t>
            </w:r>
          </w:p>
        </w:tc>
      </w:tr>
      <w:tr w:rsidR="00DC274C" w14:paraId="05390988" w14:textId="77777777" w:rsidTr="00364834">
        <w:trPr>
          <w:trHeight w:val="858"/>
        </w:trPr>
        <w:tc>
          <w:tcPr>
            <w:tcW w:w="24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5F68C8"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Posología</w:t>
            </w:r>
          </w:p>
        </w:tc>
        <w:tc>
          <w:tcPr>
            <w:tcW w:w="189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E437662"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Induccion(D1: 60 mg; y 30 mg Q4W hasta semana 16). Dm: 30 mg Q8W</w:t>
            </w:r>
          </w:p>
        </w:tc>
        <w:tc>
          <w:tcPr>
            <w:tcW w:w="181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D214A25"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D1: 600 mg SC; Dm: 300 mg SC Q2W en adultos. </w:t>
            </w:r>
          </w:p>
        </w:tc>
        <w:tc>
          <w:tcPr>
            <w:tcW w:w="199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1263E4B"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D1: 600 mg SC; Dm: 300 mg SC Q2W en adultos. </w:t>
            </w:r>
          </w:p>
        </w:tc>
        <w:tc>
          <w:tcPr>
            <w:tcW w:w="208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3307659" w14:textId="77777777" w:rsidR="00DC274C" w:rsidRDefault="00DC274C" w:rsidP="00DC274C">
            <w:pPr>
              <w:jc w:val="center"/>
              <w:rPr>
                <w:rFonts w:ascii="Arial" w:hAnsi="Arial" w:cs="Arial"/>
                <w:sz w:val="16"/>
                <w:szCs w:val="16"/>
              </w:rPr>
            </w:pPr>
            <w:r>
              <w:rPr>
                <w:rFonts w:ascii="Arial" w:hAnsi="Arial" w:cs="Arial"/>
                <w:sz w:val="16"/>
                <w:szCs w:val="16"/>
              </w:rPr>
              <w:t>Inducción (500 mg en semanas 0,2, seguidos de 250 mg Q2W hasta semana 16). Posteriormente Dm: 250mg Q4W</w:t>
            </w:r>
          </w:p>
        </w:tc>
      </w:tr>
      <w:tr w:rsidR="00DC274C" w14:paraId="2B10B0E9" w14:textId="77777777" w:rsidTr="00364834">
        <w:trPr>
          <w:trHeight w:val="329"/>
        </w:trPr>
        <w:tc>
          <w:tcPr>
            <w:tcW w:w="24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82F47AC"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Coste/día (inducción)</w:t>
            </w:r>
          </w:p>
        </w:tc>
        <w:tc>
          <w:tcPr>
            <w:tcW w:w="189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8DD8433"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106,07 € </w:t>
            </w:r>
          </w:p>
        </w:tc>
        <w:tc>
          <w:tcPr>
            <w:tcW w:w="181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52575F6"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83,25 € </w:t>
            </w:r>
          </w:p>
        </w:tc>
        <w:tc>
          <w:tcPr>
            <w:tcW w:w="199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92B4B9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83,25 € </w:t>
            </w:r>
          </w:p>
        </w:tc>
        <w:tc>
          <w:tcPr>
            <w:tcW w:w="208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D009994"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114,47 € </w:t>
            </w:r>
          </w:p>
        </w:tc>
      </w:tr>
      <w:tr w:rsidR="00DC274C" w14:paraId="0B346CFC" w14:textId="77777777" w:rsidTr="00364834">
        <w:trPr>
          <w:trHeight w:val="197"/>
        </w:trPr>
        <w:tc>
          <w:tcPr>
            <w:tcW w:w="24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A5FB4EF"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Coste/día (mantenimiento</w:t>
            </w:r>
          </w:p>
        </w:tc>
        <w:tc>
          <w:tcPr>
            <w:tcW w:w="189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4AD09F2"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35,36 € </w:t>
            </w:r>
          </w:p>
        </w:tc>
        <w:tc>
          <w:tcPr>
            <w:tcW w:w="181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D634993"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41,63 € </w:t>
            </w:r>
          </w:p>
        </w:tc>
        <w:tc>
          <w:tcPr>
            <w:tcW w:w="199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50A833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41,63 € </w:t>
            </w:r>
          </w:p>
        </w:tc>
        <w:tc>
          <w:tcPr>
            <w:tcW w:w="208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F59984B"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41,63 € </w:t>
            </w:r>
          </w:p>
        </w:tc>
      </w:tr>
      <w:tr w:rsidR="00DC274C" w14:paraId="37F61F06" w14:textId="77777777" w:rsidTr="00364834">
        <w:trPr>
          <w:trHeight w:val="460"/>
        </w:trPr>
        <w:tc>
          <w:tcPr>
            <w:tcW w:w="2492" w:type="dxa"/>
            <w:tcBorders>
              <w:top w:val="nil"/>
              <w:left w:val="single" w:sz="8" w:space="0" w:color="auto"/>
              <w:bottom w:val="single" w:sz="8" w:space="0" w:color="auto"/>
              <w:right w:val="single" w:sz="8" w:space="0" w:color="auto"/>
            </w:tcBorders>
            <w:shd w:val="clear" w:color="000000" w:fill="D0CECE"/>
            <w:tcMar>
              <w:top w:w="15" w:type="dxa"/>
              <w:left w:w="15" w:type="dxa"/>
              <w:bottom w:w="0" w:type="dxa"/>
              <w:right w:w="15" w:type="dxa"/>
            </w:tcMar>
            <w:vAlign w:val="center"/>
            <w:hideMark/>
          </w:tcPr>
          <w:p w14:paraId="7545BD0F"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Coste tratamiento 1º año</w:t>
            </w:r>
          </w:p>
        </w:tc>
        <w:tc>
          <w:tcPr>
            <w:tcW w:w="189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F72ED86"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20.824,83 € </w:t>
            </w:r>
          </w:p>
        </w:tc>
        <w:tc>
          <w:tcPr>
            <w:tcW w:w="181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70EF7EF"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15.775,90 € </w:t>
            </w:r>
          </w:p>
        </w:tc>
        <w:tc>
          <w:tcPr>
            <w:tcW w:w="199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44A65E4"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15.775,90 € </w:t>
            </w:r>
          </w:p>
        </w:tc>
        <w:tc>
          <w:tcPr>
            <w:tcW w:w="208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5339C0A"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23.351,65 € </w:t>
            </w:r>
          </w:p>
        </w:tc>
      </w:tr>
      <w:tr w:rsidR="00DC274C" w14:paraId="44657623" w14:textId="77777777" w:rsidTr="00364834">
        <w:trPr>
          <w:trHeight w:val="489"/>
        </w:trPr>
        <w:tc>
          <w:tcPr>
            <w:tcW w:w="2492" w:type="dxa"/>
            <w:tcBorders>
              <w:top w:val="nil"/>
              <w:left w:val="single" w:sz="8" w:space="0" w:color="auto"/>
              <w:bottom w:val="single" w:sz="8" w:space="0" w:color="auto"/>
              <w:right w:val="single" w:sz="8" w:space="0" w:color="auto"/>
            </w:tcBorders>
            <w:shd w:val="clear" w:color="000000" w:fill="FFE699"/>
            <w:tcMar>
              <w:top w:w="15" w:type="dxa"/>
              <w:left w:w="15" w:type="dxa"/>
              <w:bottom w:w="0" w:type="dxa"/>
              <w:right w:w="15" w:type="dxa"/>
            </w:tcMar>
            <w:vAlign w:val="center"/>
            <w:hideMark/>
          </w:tcPr>
          <w:p w14:paraId="7810F887"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Coste tratamiento/año &gt;1º año</w:t>
            </w:r>
          </w:p>
        </w:tc>
        <w:tc>
          <w:tcPr>
            <w:tcW w:w="189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E1B3A98"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12.905,03 € </w:t>
            </w:r>
          </w:p>
        </w:tc>
        <w:tc>
          <w:tcPr>
            <w:tcW w:w="181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5A3B442"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15.193,14 € </w:t>
            </w:r>
          </w:p>
        </w:tc>
        <w:tc>
          <w:tcPr>
            <w:tcW w:w="1997"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6447160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15.193,14 € </w:t>
            </w:r>
          </w:p>
        </w:tc>
        <w:tc>
          <w:tcPr>
            <w:tcW w:w="2088"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1625D4E8"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15.193,14 € </w:t>
            </w:r>
          </w:p>
        </w:tc>
      </w:tr>
      <w:tr w:rsidR="00DC274C" w14:paraId="22FF729C" w14:textId="77777777" w:rsidTr="00364834">
        <w:trPr>
          <w:trHeight w:val="395"/>
        </w:trPr>
        <w:tc>
          <w:tcPr>
            <w:tcW w:w="24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371FCDA" w14:textId="76293946"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 xml:space="preserve">Costes directos </w:t>
            </w:r>
            <w:r w:rsidR="00364834">
              <w:rPr>
                <w:rFonts w:ascii="Arial" w:hAnsi="Arial" w:cs="Arial"/>
                <w:b/>
                <w:bCs/>
                <w:color w:val="000000"/>
                <w:sz w:val="16"/>
                <w:szCs w:val="16"/>
              </w:rPr>
              <w:t>**</w:t>
            </w:r>
          </w:p>
        </w:tc>
        <w:tc>
          <w:tcPr>
            <w:tcW w:w="1893" w:type="dxa"/>
            <w:tcBorders>
              <w:top w:val="nil"/>
              <w:left w:val="nil"/>
              <w:bottom w:val="single" w:sz="8" w:space="0" w:color="auto"/>
              <w:right w:val="nil"/>
            </w:tcBorders>
            <w:tcMar>
              <w:top w:w="15" w:type="dxa"/>
              <w:left w:w="15" w:type="dxa"/>
              <w:bottom w:w="0" w:type="dxa"/>
              <w:right w:w="15" w:type="dxa"/>
            </w:tcMar>
            <w:vAlign w:val="center"/>
            <w:hideMark/>
          </w:tcPr>
          <w:p w14:paraId="46FDEC65"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806 € (DE 1.545 €)</w:t>
            </w:r>
          </w:p>
        </w:tc>
        <w:tc>
          <w:tcPr>
            <w:tcW w:w="1812" w:type="dxa"/>
            <w:tcBorders>
              <w:top w:val="nil"/>
              <w:left w:val="single" w:sz="8" w:space="0" w:color="auto"/>
              <w:bottom w:val="single" w:sz="8" w:space="0" w:color="auto"/>
              <w:right w:val="single" w:sz="4" w:space="0" w:color="auto"/>
            </w:tcBorders>
            <w:tcMar>
              <w:top w:w="15" w:type="dxa"/>
              <w:left w:w="15" w:type="dxa"/>
              <w:bottom w:w="0" w:type="dxa"/>
              <w:right w:w="15" w:type="dxa"/>
            </w:tcMar>
            <w:vAlign w:val="center"/>
            <w:hideMark/>
          </w:tcPr>
          <w:p w14:paraId="1662B72F"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806 € (DE 1.545 €)</w:t>
            </w:r>
          </w:p>
        </w:tc>
        <w:tc>
          <w:tcPr>
            <w:tcW w:w="19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41A4D67"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806 € (DE 1.545 €)</w:t>
            </w:r>
          </w:p>
        </w:tc>
        <w:tc>
          <w:tcPr>
            <w:tcW w:w="208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18659F"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806 € (DE 1.545 €)</w:t>
            </w:r>
          </w:p>
        </w:tc>
      </w:tr>
      <w:tr w:rsidR="00DC274C" w14:paraId="3E8D3891" w14:textId="77777777" w:rsidTr="00364834">
        <w:trPr>
          <w:trHeight w:val="310"/>
        </w:trPr>
        <w:tc>
          <w:tcPr>
            <w:tcW w:w="24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DC8916"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Coste global/año &gt;1º año</w:t>
            </w:r>
          </w:p>
        </w:tc>
        <w:tc>
          <w:tcPr>
            <w:tcW w:w="1893" w:type="dxa"/>
            <w:tcBorders>
              <w:top w:val="nil"/>
              <w:left w:val="nil"/>
              <w:bottom w:val="single" w:sz="8" w:space="0" w:color="auto"/>
              <w:right w:val="nil"/>
            </w:tcBorders>
            <w:tcMar>
              <w:top w:w="15" w:type="dxa"/>
              <w:left w:w="15" w:type="dxa"/>
              <w:bottom w:w="0" w:type="dxa"/>
              <w:right w:w="15" w:type="dxa"/>
            </w:tcMar>
            <w:vAlign w:val="center"/>
            <w:hideMark/>
          </w:tcPr>
          <w:p w14:paraId="7383F698" w14:textId="77777777" w:rsidR="00DC274C" w:rsidRDefault="00DC274C" w:rsidP="00DC274C">
            <w:pPr>
              <w:rPr>
                <w:rFonts w:ascii="Arial" w:hAnsi="Arial" w:cs="Arial"/>
                <w:color w:val="000000"/>
                <w:sz w:val="16"/>
                <w:szCs w:val="16"/>
              </w:rPr>
            </w:pPr>
            <w:r>
              <w:rPr>
                <w:rFonts w:ascii="Arial" w:hAnsi="Arial" w:cs="Arial"/>
                <w:color w:val="000000"/>
                <w:sz w:val="16"/>
                <w:szCs w:val="16"/>
              </w:rPr>
              <w:t xml:space="preserve">                   13.711,03 € </w:t>
            </w:r>
          </w:p>
        </w:tc>
        <w:tc>
          <w:tcPr>
            <w:tcW w:w="1812" w:type="dxa"/>
            <w:tcBorders>
              <w:top w:val="nil"/>
              <w:left w:val="single" w:sz="8" w:space="0" w:color="auto"/>
              <w:bottom w:val="single" w:sz="8" w:space="0" w:color="auto"/>
              <w:right w:val="nil"/>
            </w:tcBorders>
            <w:tcMar>
              <w:top w:w="15" w:type="dxa"/>
              <w:left w:w="15" w:type="dxa"/>
              <w:bottom w:w="0" w:type="dxa"/>
              <w:right w:w="15" w:type="dxa"/>
            </w:tcMar>
            <w:vAlign w:val="center"/>
            <w:hideMark/>
          </w:tcPr>
          <w:p w14:paraId="28980AC0" w14:textId="77777777" w:rsidR="00DC274C" w:rsidRDefault="00DC274C" w:rsidP="00DC274C">
            <w:pPr>
              <w:rPr>
                <w:rFonts w:ascii="Arial" w:hAnsi="Arial" w:cs="Arial"/>
                <w:color w:val="000000"/>
                <w:sz w:val="16"/>
                <w:szCs w:val="16"/>
              </w:rPr>
            </w:pPr>
            <w:r>
              <w:rPr>
                <w:rFonts w:ascii="Arial" w:hAnsi="Arial" w:cs="Arial"/>
                <w:color w:val="000000"/>
                <w:sz w:val="16"/>
                <w:szCs w:val="16"/>
              </w:rPr>
              <w:t xml:space="preserve">                 15.999,14 € </w:t>
            </w:r>
          </w:p>
        </w:tc>
        <w:tc>
          <w:tcPr>
            <w:tcW w:w="1997" w:type="dxa"/>
            <w:tcBorders>
              <w:top w:val="single" w:sz="4" w:space="0" w:color="auto"/>
              <w:left w:val="single" w:sz="8" w:space="0" w:color="auto"/>
              <w:bottom w:val="single" w:sz="8" w:space="0" w:color="auto"/>
              <w:right w:val="single" w:sz="4" w:space="0" w:color="auto"/>
            </w:tcBorders>
            <w:tcMar>
              <w:top w:w="15" w:type="dxa"/>
              <w:left w:w="15" w:type="dxa"/>
              <w:bottom w:w="0" w:type="dxa"/>
              <w:right w:w="15" w:type="dxa"/>
            </w:tcMar>
            <w:vAlign w:val="center"/>
            <w:hideMark/>
          </w:tcPr>
          <w:p w14:paraId="6BE12005" w14:textId="77777777" w:rsidR="00DC274C" w:rsidRDefault="00DC274C" w:rsidP="00DC274C">
            <w:pPr>
              <w:rPr>
                <w:rFonts w:ascii="Arial" w:hAnsi="Arial" w:cs="Arial"/>
                <w:color w:val="000000"/>
                <w:sz w:val="16"/>
                <w:szCs w:val="16"/>
              </w:rPr>
            </w:pPr>
            <w:r>
              <w:rPr>
                <w:rFonts w:ascii="Arial" w:hAnsi="Arial" w:cs="Arial"/>
                <w:color w:val="000000"/>
                <w:sz w:val="16"/>
                <w:szCs w:val="16"/>
              </w:rPr>
              <w:t xml:space="preserve">                     15.999,14 € </w:t>
            </w:r>
          </w:p>
        </w:tc>
        <w:tc>
          <w:tcPr>
            <w:tcW w:w="208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6964977" w14:textId="77777777" w:rsidR="00DC274C" w:rsidRDefault="00DC274C" w:rsidP="00DC274C">
            <w:pPr>
              <w:rPr>
                <w:rFonts w:ascii="Arial" w:hAnsi="Arial" w:cs="Arial"/>
                <w:color w:val="000000"/>
                <w:sz w:val="16"/>
                <w:szCs w:val="16"/>
              </w:rPr>
            </w:pPr>
            <w:r>
              <w:rPr>
                <w:rFonts w:ascii="Arial" w:hAnsi="Arial" w:cs="Arial"/>
                <w:color w:val="000000"/>
                <w:sz w:val="16"/>
                <w:szCs w:val="16"/>
              </w:rPr>
              <w:t xml:space="preserve">                       15.999,14 € </w:t>
            </w:r>
          </w:p>
        </w:tc>
      </w:tr>
      <w:tr w:rsidR="00DC274C" w14:paraId="4022C745" w14:textId="77777777" w:rsidTr="00364834">
        <w:trPr>
          <w:trHeight w:val="314"/>
        </w:trPr>
        <w:tc>
          <w:tcPr>
            <w:tcW w:w="2492" w:type="dxa"/>
            <w:tcBorders>
              <w:top w:val="nil"/>
              <w:left w:val="single" w:sz="8" w:space="0" w:color="auto"/>
              <w:bottom w:val="single" w:sz="8" w:space="0" w:color="auto"/>
              <w:right w:val="single" w:sz="8" w:space="0" w:color="auto"/>
            </w:tcBorders>
            <w:shd w:val="clear" w:color="000000" w:fill="D0CECE"/>
            <w:tcMar>
              <w:top w:w="15" w:type="dxa"/>
              <w:left w:w="15" w:type="dxa"/>
              <w:bottom w:w="0" w:type="dxa"/>
              <w:right w:w="15" w:type="dxa"/>
            </w:tcMar>
            <w:vAlign w:val="center"/>
            <w:hideMark/>
          </w:tcPr>
          <w:p w14:paraId="4ABFE073"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Coste incremental 1º año respecto a Dupilumab</w:t>
            </w:r>
          </w:p>
        </w:tc>
        <w:tc>
          <w:tcPr>
            <w:tcW w:w="189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E128A72"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5.048,94 € </w:t>
            </w:r>
          </w:p>
        </w:tc>
        <w:tc>
          <w:tcPr>
            <w:tcW w:w="181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8561C1E"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   € </w:t>
            </w:r>
          </w:p>
        </w:tc>
        <w:tc>
          <w:tcPr>
            <w:tcW w:w="199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A818988"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   € </w:t>
            </w:r>
          </w:p>
        </w:tc>
        <w:tc>
          <w:tcPr>
            <w:tcW w:w="208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hideMark/>
          </w:tcPr>
          <w:p w14:paraId="6686100E"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7.575,76 € </w:t>
            </w:r>
          </w:p>
        </w:tc>
      </w:tr>
      <w:tr w:rsidR="00DC274C" w14:paraId="316D2A5A" w14:textId="77777777" w:rsidTr="00364834">
        <w:trPr>
          <w:trHeight w:val="467"/>
        </w:trPr>
        <w:tc>
          <w:tcPr>
            <w:tcW w:w="2492" w:type="dxa"/>
            <w:tcBorders>
              <w:top w:val="nil"/>
              <w:left w:val="single" w:sz="8" w:space="0" w:color="auto"/>
              <w:bottom w:val="single" w:sz="4" w:space="0" w:color="auto"/>
              <w:right w:val="single" w:sz="8" w:space="0" w:color="auto"/>
            </w:tcBorders>
            <w:shd w:val="clear" w:color="000000" w:fill="FFE699"/>
            <w:tcMar>
              <w:top w:w="15" w:type="dxa"/>
              <w:left w:w="15" w:type="dxa"/>
              <w:bottom w:w="0" w:type="dxa"/>
              <w:right w:w="15" w:type="dxa"/>
            </w:tcMar>
            <w:vAlign w:val="center"/>
            <w:hideMark/>
          </w:tcPr>
          <w:p w14:paraId="11438846" w14:textId="77777777" w:rsidR="00DC274C" w:rsidRDefault="00DC274C" w:rsidP="00DC274C">
            <w:pPr>
              <w:jc w:val="center"/>
              <w:rPr>
                <w:rFonts w:ascii="Arial" w:hAnsi="Arial" w:cs="Arial"/>
                <w:b/>
                <w:bCs/>
                <w:color w:val="000000"/>
                <w:sz w:val="16"/>
                <w:szCs w:val="16"/>
              </w:rPr>
            </w:pPr>
            <w:r>
              <w:rPr>
                <w:rFonts w:ascii="Arial" w:hAnsi="Arial" w:cs="Arial"/>
                <w:b/>
                <w:bCs/>
                <w:color w:val="000000"/>
                <w:sz w:val="16"/>
                <w:szCs w:val="16"/>
              </w:rPr>
              <w:t>Coste incremental &gt;1º año respecto a Dupilumab</w:t>
            </w:r>
          </w:p>
        </w:tc>
        <w:tc>
          <w:tcPr>
            <w:tcW w:w="1893"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66CF8F9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2.288,11 € </w:t>
            </w:r>
          </w:p>
        </w:tc>
        <w:tc>
          <w:tcPr>
            <w:tcW w:w="1812"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43C55DF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   € </w:t>
            </w:r>
          </w:p>
        </w:tc>
        <w:tc>
          <w:tcPr>
            <w:tcW w:w="1997"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05B39897"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   € </w:t>
            </w:r>
          </w:p>
        </w:tc>
        <w:tc>
          <w:tcPr>
            <w:tcW w:w="2088"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55F19EF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 xml:space="preserve">                                   -   € </w:t>
            </w:r>
          </w:p>
        </w:tc>
      </w:tr>
      <w:tr w:rsidR="00364834" w14:paraId="42C8B3EE" w14:textId="77777777" w:rsidTr="00364834">
        <w:trPr>
          <w:trHeight w:val="467"/>
        </w:trPr>
        <w:tc>
          <w:tcPr>
            <w:tcW w:w="10282"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15" w:type="dxa"/>
              <w:left w:w="15" w:type="dxa"/>
              <w:bottom w:w="0" w:type="dxa"/>
              <w:right w:w="15" w:type="dxa"/>
            </w:tcMar>
            <w:vAlign w:val="center"/>
          </w:tcPr>
          <w:p w14:paraId="59746FA5" w14:textId="77777777" w:rsidR="00364834" w:rsidRPr="006F6ABB" w:rsidRDefault="00364834" w:rsidP="00364834">
            <w:pPr>
              <w:jc w:val="both"/>
              <w:rPr>
                <w:rFonts w:ascii="Arial" w:hAnsi="Arial" w:cs="Arial"/>
                <w:sz w:val="16"/>
              </w:rPr>
            </w:pPr>
            <w:r w:rsidRPr="006F6ABB">
              <w:rPr>
                <w:rFonts w:ascii="Arial" w:hAnsi="Arial" w:cs="Arial"/>
                <w:sz w:val="16"/>
              </w:rPr>
              <w:t xml:space="preserve">* </w:t>
            </w:r>
            <w:r>
              <w:rPr>
                <w:rFonts w:ascii="Arial" w:hAnsi="Arial" w:cs="Arial"/>
                <w:sz w:val="16"/>
              </w:rPr>
              <w:t xml:space="preserve">Se refiere al coste de la forma farmacéutica (vial, jeringa, comprimido…). </w:t>
            </w:r>
            <w:r w:rsidRPr="006F6ABB">
              <w:rPr>
                <w:rFonts w:ascii="Arial" w:hAnsi="Arial" w:cs="Arial"/>
                <w:sz w:val="16"/>
              </w:rPr>
              <w:t>Para informes de un hospital, valorar precio del medicamento según ofertas</w:t>
            </w:r>
            <w:r>
              <w:rPr>
                <w:rFonts w:ascii="Arial" w:hAnsi="Arial" w:cs="Arial"/>
                <w:sz w:val="16"/>
              </w:rPr>
              <w:t>, precios de acuerdo marco, concurso centralizado, etc</w:t>
            </w:r>
            <w:r w:rsidRPr="006F6ABB">
              <w:rPr>
                <w:rFonts w:ascii="Arial" w:hAnsi="Arial" w:cs="Arial"/>
                <w:sz w:val="16"/>
              </w:rPr>
              <w:t xml:space="preserve">. </w:t>
            </w:r>
          </w:p>
          <w:p w14:paraId="62EBF83D" w14:textId="2BBF81D3" w:rsidR="00364834" w:rsidRPr="006F6ABB" w:rsidRDefault="00364834" w:rsidP="00364834">
            <w:pPr>
              <w:jc w:val="both"/>
              <w:rPr>
                <w:rFonts w:ascii="Arial" w:hAnsi="Arial" w:cs="Arial"/>
                <w:sz w:val="16"/>
              </w:rPr>
            </w:pPr>
            <w:r w:rsidRPr="006F6ABB">
              <w:rPr>
                <w:rFonts w:ascii="Arial" w:hAnsi="Arial" w:cs="Arial"/>
                <w:sz w:val="16"/>
              </w:rPr>
              <w:t xml:space="preserve">**Costes directos asociados: Son costes que podemos considerar además del coste del medicamento estudiado. Por ejemplo otros medicamentos adicionales requeridos, pruebas de monitorización y laboratorio, pruebas de cribado (farmacogenética, biomarcadores…), material de infusión o manejo de complicaciones. Se tendrán en cuenta cuando sean relevantes. </w:t>
            </w:r>
          </w:p>
          <w:p w14:paraId="2C68927E" w14:textId="26873315" w:rsidR="00364834" w:rsidRDefault="00364834" w:rsidP="00364834">
            <w:pPr>
              <w:rPr>
                <w:rFonts w:ascii="Arial" w:hAnsi="Arial" w:cs="Arial"/>
                <w:color w:val="000000"/>
                <w:sz w:val="16"/>
                <w:szCs w:val="16"/>
              </w:rPr>
            </w:pPr>
          </w:p>
        </w:tc>
      </w:tr>
    </w:tbl>
    <w:p w14:paraId="43FE7B63" w14:textId="77777777" w:rsidR="00BB0A3B" w:rsidRDefault="00BB0A3B" w:rsidP="00BC3E8E">
      <w:pPr>
        <w:jc w:val="both"/>
        <w:rPr>
          <w:rFonts w:ascii="Arial" w:hAnsi="Arial" w:cs="Arial"/>
          <w:sz w:val="20"/>
          <w:szCs w:val="20"/>
        </w:rPr>
      </w:pPr>
    </w:p>
    <w:p w14:paraId="14D063C1" w14:textId="77777777" w:rsidR="00BB0A3B" w:rsidRDefault="00BB0A3B" w:rsidP="00BC3E8E">
      <w:pPr>
        <w:jc w:val="both"/>
        <w:rPr>
          <w:rFonts w:ascii="Arial" w:hAnsi="Arial" w:cs="Arial"/>
          <w:sz w:val="20"/>
          <w:szCs w:val="20"/>
        </w:rPr>
      </w:pPr>
    </w:p>
    <w:p w14:paraId="198F8DFA" w14:textId="77777777" w:rsidR="00BB0A3B" w:rsidRDefault="00BB0A3B" w:rsidP="00BC3E8E">
      <w:pPr>
        <w:jc w:val="both"/>
        <w:rPr>
          <w:rFonts w:ascii="Arial" w:hAnsi="Arial" w:cs="Arial"/>
          <w:sz w:val="20"/>
          <w:szCs w:val="20"/>
        </w:rPr>
      </w:pPr>
    </w:p>
    <w:p w14:paraId="33465F67" w14:textId="77777777" w:rsidR="00BB0A3B" w:rsidRPr="007E78CA" w:rsidRDefault="00BB0A3B" w:rsidP="00BC3E8E">
      <w:pPr>
        <w:jc w:val="both"/>
        <w:rPr>
          <w:rFonts w:ascii="Arial" w:hAnsi="Arial" w:cs="Arial"/>
          <w:sz w:val="20"/>
          <w:szCs w:val="20"/>
        </w:rPr>
      </w:pPr>
    </w:p>
    <w:tbl>
      <w:tblPr>
        <w:tblpPr w:leftFromText="141" w:rightFromText="141" w:vertAnchor="text" w:horzAnchor="margin" w:tblpXSpec="center" w:tblpY="138"/>
        <w:tblW w:w="10764" w:type="dxa"/>
        <w:tblCellMar>
          <w:left w:w="70" w:type="dxa"/>
          <w:right w:w="70" w:type="dxa"/>
        </w:tblCellMar>
        <w:tblLook w:val="04A0" w:firstRow="1" w:lastRow="0" w:firstColumn="1" w:lastColumn="0" w:noHBand="0" w:noVBand="1"/>
      </w:tblPr>
      <w:tblGrid>
        <w:gridCol w:w="2301"/>
        <w:gridCol w:w="2057"/>
        <w:gridCol w:w="1966"/>
        <w:gridCol w:w="2168"/>
        <w:gridCol w:w="2272"/>
      </w:tblGrid>
      <w:tr w:rsidR="00BB0A3B" w14:paraId="3ACE1D3B" w14:textId="77777777" w:rsidTr="00DC274C">
        <w:trPr>
          <w:trHeight w:val="296"/>
        </w:trPr>
        <w:tc>
          <w:tcPr>
            <w:tcW w:w="10764" w:type="dxa"/>
            <w:gridSpan w:val="5"/>
            <w:tcBorders>
              <w:top w:val="single" w:sz="8" w:space="0" w:color="auto"/>
              <w:left w:val="single" w:sz="8" w:space="0" w:color="auto"/>
              <w:bottom w:val="single" w:sz="8" w:space="0" w:color="auto"/>
              <w:right w:val="single" w:sz="8" w:space="0" w:color="000000"/>
            </w:tcBorders>
            <w:shd w:val="clear" w:color="000000" w:fill="CCFFCC"/>
            <w:vAlign w:val="center"/>
            <w:hideMark/>
          </w:tcPr>
          <w:p w14:paraId="2DC6B302" w14:textId="3DEC7F68" w:rsidR="00BB0A3B" w:rsidRDefault="00DB2899" w:rsidP="00BB0A3B">
            <w:pPr>
              <w:jc w:val="center"/>
              <w:rPr>
                <w:rFonts w:ascii="Arial" w:hAnsi="Arial" w:cs="Arial"/>
                <w:b/>
                <w:bCs/>
                <w:color w:val="000000"/>
                <w:sz w:val="16"/>
                <w:szCs w:val="16"/>
              </w:rPr>
            </w:pPr>
            <w:bookmarkStart w:id="140" w:name="_Hlk215228949"/>
            <w:r>
              <w:rPr>
                <w:rFonts w:ascii="Arial" w:hAnsi="Arial" w:cs="Arial"/>
                <w:b/>
                <w:bCs/>
                <w:color w:val="000000"/>
                <w:sz w:val="16"/>
                <w:szCs w:val="16"/>
              </w:rPr>
              <w:t xml:space="preserve">Tabla 25. </w:t>
            </w:r>
            <w:r w:rsidR="00BB0A3B">
              <w:rPr>
                <w:rFonts w:ascii="Arial" w:hAnsi="Arial" w:cs="Arial"/>
                <w:b/>
                <w:bCs/>
                <w:color w:val="000000"/>
                <w:sz w:val="16"/>
                <w:szCs w:val="16"/>
              </w:rPr>
              <w:t xml:space="preserve">Comparación de costes del tratamiento evaluado frente a otra/s  alternativa/s </w:t>
            </w:r>
            <w:r w:rsidR="00364834">
              <w:rPr>
                <w:rFonts w:ascii="Arial" w:hAnsi="Arial" w:cs="Arial"/>
                <w:b/>
                <w:bCs/>
                <w:color w:val="000000"/>
                <w:sz w:val="16"/>
                <w:szCs w:val="16"/>
              </w:rPr>
              <w:t>(tras análisis de sensibilidad)</w:t>
            </w:r>
          </w:p>
        </w:tc>
      </w:tr>
      <w:tr w:rsidR="00BB0A3B" w14:paraId="2593348F" w14:textId="77777777" w:rsidTr="00DC274C">
        <w:trPr>
          <w:trHeight w:val="207"/>
        </w:trPr>
        <w:tc>
          <w:tcPr>
            <w:tcW w:w="10764" w:type="dxa"/>
            <w:gridSpan w:val="5"/>
            <w:tcBorders>
              <w:top w:val="single" w:sz="8" w:space="0" w:color="auto"/>
              <w:left w:val="single" w:sz="8" w:space="0" w:color="auto"/>
              <w:bottom w:val="single" w:sz="8" w:space="0" w:color="auto"/>
              <w:right w:val="single" w:sz="8" w:space="0" w:color="000000"/>
            </w:tcBorders>
            <w:shd w:val="clear" w:color="000000" w:fill="CCFFCC"/>
            <w:vAlign w:val="center"/>
            <w:hideMark/>
          </w:tcPr>
          <w:p w14:paraId="1044418B"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Medicamento</w:t>
            </w:r>
          </w:p>
        </w:tc>
      </w:tr>
      <w:tr w:rsidR="00BB0A3B" w14:paraId="077514B1" w14:textId="77777777" w:rsidTr="00364834">
        <w:trPr>
          <w:trHeight w:val="207"/>
        </w:trPr>
        <w:tc>
          <w:tcPr>
            <w:tcW w:w="2301" w:type="dxa"/>
            <w:vMerge w:val="restart"/>
            <w:tcBorders>
              <w:top w:val="nil"/>
              <w:left w:val="single" w:sz="8" w:space="0" w:color="auto"/>
              <w:bottom w:val="single" w:sz="8" w:space="0" w:color="000000"/>
              <w:right w:val="single" w:sz="8" w:space="0" w:color="auto"/>
            </w:tcBorders>
            <w:shd w:val="clear" w:color="000000" w:fill="E6E6E6"/>
            <w:vAlign w:val="center"/>
            <w:hideMark/>
          </w:tcPr>
          <w:p w14:paraId="1B541B3B" w14:textId="77777777" w:rsidR="00BB0A3B" w:rsidRDefault="00BB0A3B" w:rsidP="00BB0A3B">
            <w:pPr>
              <w:jc w:val="center"/>
              <w:rPr>
                <w:rFonts w:ascii="Arial" w:hAnsi="Arial" w:cs="Arial"/>
                <w:color w:val="000000"/>
              </w:rPr>
            </w:pPr>
            <w:r>
              <w:rPr>
                <w:rFonts w:ascii="Arial" w:hAnsi="Arial" w:cs="Arial"/>
                <w:color w:val="000000"/>
              </w:rPr>
              <w:t> </w:t>
            </w:r>
          </w:p>
        </w:tc>
        <w:tc>
          <w:tcPr>
            <w:tcW w:w="2057" w:type="dxa"/>
            <w:tcBorders>
              <w:top w:val="nil"/>
              <w:left w:val="nil"/>
              <w:bottom w:val="single" w:sz="8" w:space="0" w:color="auto"/>
              <w:right w:val="single" w:sz="8" w:space="0" w:color="auto"/>
            </w:tcBorders>
            <w:shd w:val="clear" w:color="000000" w:fill="E6E6E6"/>
            <w:vAlign w:val="center"/>
            <w:hideMark/>
          </w:tcPr>
          <w:p w14:paraId="04A572A4"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Nemolizumab</w:t>
            </w:r>
          </w:p>
        </w:tc>
        <w:tc>
          <w:tcPr>
            <w:tcW w:w="1966" w:type="dxa"/>
            <w:tcBorders>
              <w:top w:val="nil"/>
              <w:left w:val="nil"/>
              <w:bottom w:val="single" w:sz="8" w:space="0" w:color="auto"/>
              <w:right w:val="single" w:sz="8" w:space="0" w:color="auto"/>
            </w:tcBorders>
            <w:shd w:val="clear" w:color="000000" w:fill="E6E6E6"/>
            <w:vAlign w:val="center"/>
            <w:hideMark/>
          </w:tcPr>
          <w:p w14:paraId="5A2BA6A3"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Dupilumab</w:t>
            </w:r>
          </w:p>
        </w:tc>
        <w:tc>
          <w:tcPr>
            <w:tcW w:w="2168" w:type="dxa"/>
            <w:tcBorders>
              <w:top w:val="nil"/>
              <w:left w:val="nil"/>
              <w:bottom w:val="single" w:sz="8" w:space="0" w:color="auto"/>
              <w:right w:val="single" w:sz="8" w:space="0" w:color="auto"/>
            </w:tcBorders>
            <w:shd w:val="clear" w:color="000000" w:fill="E6E6E6"/>
            <w:vAlign w:val="center"/>
            <w:hideMark/>
          </w:tcPr>
          <w:p w14:paraId="57A4A9BC"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Tralokinumab</w:t>
            </w:r>
          </w:p>
        </w:tc>
        <w:tc>
          <w:tcPr>
            <w:tcW w:w="2272" w:type="dxa"/>
            <w:tcBorders>
              <w:top w:val="nil"/>
              <w:left w:val="nil"/>
              <w:bottom w:val="single" w:sz="8" w:space="0" w:color="auto"/>
              <w:right w:val="single" w:sz="8" w:space="0" w:color="auto"/>
            </w:tcBorders>
            <w:shd w:val="clear" w:color="000000" w:fill="E6E6E6"/>
            <w:vAlign w:val="center"/>
            <w:hideMark/>
          </w:tcPr>
          <w:p w14:paraId="63106810"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Lebrikizumab</w:t>
            </w:r>
          </w:p>
        </w:tc>
      </w:tr>
      <w:tr w:rsidR="00BB0A3B" w14:paraId="3256126E" w14:textId="77777777" w:rsidTr="00364834">
        <w:trPr>
          <w:trHeight w:val="604"/>
        </w:trPr>
        <w:tc>
          <w:tcPr>
            <w:tcW w:w="2301" w:type="dxa"/>
            <w:vMerge/>
            <w:tcBorders>
              <w:top w:val="nil"/>
              <w:left w:val="single" w:sz="8" w:space="0" w:color="auto"/>
              <w:bottom w:val="single" w:sz="8" w:space="0" w:color="000000"/>
              <w:right w:val="single" w:sz="8" w:space="0" w:color="auto"/>
            </w:tcBorders>
            <w:vAlign w:val="center"/>
            <w:hideMark/>
          </w:tcPr>
          <w:p w14:paraId="31A78CD7" w14:textId="77777777" w:rsidR="00BB0A3B" w:rsidRDefault="00BB0A3B" w:rsidP="00BB0A3B">
            <w:pPr>
              <w:rPr>
                <w:rFonts w:ascii="Arial" w:hAnsi="Arial" w:cs="Arial"/>
                <w:color w:val="000000"/>
              </w:rPr>
            </w:pPr>
          </w:p>
        </w:tc>
        <w:tc>
          <w:tcPr>
            <w:tcW w:w="2057" w:type="dxa"/>
            <w:tcBorders>
              <w:top w:val="nil"/>
              <w:left w:val="nil"/>
              <w:bottom w:val="single" w:sz="8" w:space="0" w:color="auto"/>
              <w:right w:val="single" w:sz="8" w:space="0" w:color="auto"/>
            </w:tcBorders>
            <w:shd w:val="clear" w:color="000000" w:fill="E6E6E6"/>
            <w:vAlign w:val="center"/>
            <w:hideMark/>
          </w:tcPr>
          <w:p w14:paraId="03D2D2F9" w14:textId="77777777" w:rsidR="00BB0A3B" w:rsidRDefault="00BB0A3B" w:rsidP="00BB0A3B">
            <w:pPr>
              <w:jc w:val="center"/>
              <w:rPr>
                <w:rFonts w:ascii="Arial" w:hAnsi="Arial" w:cs="Arial"/>
                <w:sz w:val="16"/>
                <w:szCs w:val="16"/>
              </w:rPr>
            </w:pPr>
            <w:r>
              <w:rPr>
                <w:rFonts w:ascii="Arial" w:hAnsi="Arial" w:cs="Arial"/>
                <w:sz w:val="16"/>
                <w:szCs w:val="16"/>
              </w:rPr>
              <w:t>Nemluvio 30 mg jeringas precargadas (CN: 767379) (Env:1)</w:t>
            </w:r>
          </w:p>
        </w:tc>
        <w:tc>
          <w:tcPr>
            <w:tcW w:w="1966" w:type="dxa"/>
            <w:tcBorders>
              <w:top w:val="nil"/>
              <w:left w:val="nil"/>
              <w:bottom w:val="single" w:sz="8" w:space="0" w:color="auto"/>
              <w:right w:val="single" w:sz="8" w:space="0" w:color="auto"/>
            </w:tcBorders>
            <w:shd w:val="clear" w:color="000000" w:fill="E6E6E6"/>
            <w:vAlign w:val="center"/>
            <w:hideMark/>
          </w:tcPr>
          <w:p w14:paraId="49F45D25"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Dupixent 300 mg jeringa (CN:718735) o pluma precargada (CN:758028) (Env:2)</w:t>
            </w:r>
          </w:p>
        </w:tc>
        <w:tc>
          <w:tcPr>
            <w:tcW w:w="2168" w:type="dxa"/>
            <w:tcBorders>
              <w:top w:val="nil"/>
              <w:left w:val="nil"/>
              <w:bottom w:val="single" w:sz="8" w:space="0" w:color="auto"/>
              <w:right w:val="single" w:sz="8" w:space="0" w:color="auto"/>
            </w:tcBorders>
            <w:shd w:val="clear" w:color="000000" w:fill="E6E6E6"/>
            <w:vAlign w:val="center"/>
            <w:hideMark/>
          </w:tcPr>
          <w:p w14:paraId="3EA6213E"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Adtralza 300 mg pluma precargada (CN:763390)(Env:2)</w:t>
            </w:r>
          </w:p>
        </w:tc>
        <w:tc>
          <w:tcPr>
            <w:tcW w:w="2272" w:type="dxa"/>
            <w:tcBorders>
              <w:top w:val="nil"/>
              <w:left w:val="nil"/>
              <w:bottom w:val="single" w:sz="8" w:space="0" w:color="auto"/>
              <w:right w:val="single" w:sz="8" w:space="0" w:color="auto"/>
            </w:tcBorders>
            <w:shd w:val="clear" w:color="000000" w:fill="E6E6E6"/>
            <w:vAlign w:val="center"/>
            <w:hideMark/>
          </w:tcPr>
          <w:p w14:paraId="06562856" w14:textId="77777777" w:rsidR="00BB0A3B" w:rsidRDefault="00BB0A3B" w:rsidP="00BB0A3B">
            <w:pPr>
              <w:jc w:val="center"/>
              <w:rPr>
                <w:rFonts w:ascii="Arial" w:hAnsi="Arial" w:cs="Arial"/>
                <w:sz w:val="16"/>
                <w:szCs w:val="16"/>
              </w:rPr>
            </w:pPr>
            <w:r>
              <w:rPr>
                <w:rFonts w:ascii="Arial" w:hAnsi="Arial" w:cs="Arial"/>
                <w:sz w:val="16"/>
                <w:szCs w:val="16"/>
              </w:rPr>
              <w:t>Ebglyss 250 mg pluma (CN:  763937) /jeringa precargada (CN: 763939) (Env:1)</w:t>
            </w:r>
          </w:p>
        </w:tc>
      </w:tr>
      <w:tr w:rsidR="00BB0A3B" w14:paraId="4B814EC1" w14:textId="77777777" w:rsidTr="00364834">
        <w:trPr>
          <w:trHeight w:val="306"/>
        </w:trPr>
        <w:tc>
          <w:tcPr>
            <w:tcW w:w="2301" w:type="dxa"/>
            <w:tcBorders>
              <w:top w:val="nil"/>
              <w:left w:val="single" w:sz="8" w:space="0" w:color="auto"/>
              <w:bottom w:val="single" w:sz="8" w:space="0" w:color="auto"/>
              <w:right w:val="single" w:sz="8" w:space="0" w:color="auto"/>
            </w:tcBorders>
            <w:vAlign w:val="center"/>
            <w:hideMark/>
          </w:tcPr>
          <w:p w14:paraId="2B0DDFBA"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Precio unitario (PVL+IVA) *</w:t>
            </w:r>
          </w:p>
        </w:tc>
        <w:tc>
          <w:tcPr>
            <w:tcW w:w="2057" w:type="dxa"/>
            <w:tcBorders>
              <w:top w:val="nil"/>
              <w:left w:val="nil"/>
              <w:bottom w:val="single" w:sz="8" w:space="0" w:color="auto"/>
              <w:right w:val="single" w:sz="8" w:space="0" w:color="auto"/>
            </w:tcBorders>
            <w:vAlign w:val="center"/>
            <w:hideMark/>
          </w:tcPr>
          <w:p w14:paraId="4E4CAD46"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1.008,00 € </w:t>
            </w:r>
          </w:p>
        </w:tc>
        <w:tc>
          <w:tcPr>
            <w:tcW w:w="1966" w:type="dxa"/>
            <w:tcBorders>
              <w:top w:val="nil"/>
              <w:left w:val="nil"/>
              <w:bottom w:val="single" w:sz="8" w:space="0" w:color="auto"/>
              <w:right w:val="single" w:sz="8" w:space="0" w:color="auto"/>
            </w:tcBorders>
            <w:vAlign w:val="center"/>
            <w:hideMark/>
          </w:tcPr>
          <w:p w14:paraId="6EA033F0"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280,00 € </w:t>
            </w:r>
          </w:p>
        </w:tc>
        <w:tc>
          <w:tcPr>
            <w:tcW w:w="2168" w:type="dxa"/>
            <w:tcBorders>
              <w:top w:val="nil"/>
              <w:left w:val="nil"/>
              <w:bottom w:val="single" w:sz="8" w:space="0" w:color="auto"/>
              <w:right w:val="single" w:sz="8" w:space="0" w:color="auto"/>
            </w:tcBorders>
            <w:vAlign w:val="center"/>
            <w:hideMark/>
          </w:tcPr>
          <w:p w14:paraId="12F57268"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270,00 € </w:t>
            </w:r>
          </w:p>
        </w:tc>
        <w:tc>
          <w:tcPr>
            <w:tcW w:w="2272" w:type="dxa"/>
            <w:tcBorders>
              <w:top w:val="nil"/>
              <w:left w:val="nil"/>
              <w:bottom w:val="single" w:sz="8" w:space="0" w:color="auto"/>
              <w:right w:val="single" w:sz="8" w:space="0" w:color="auto"/>
            </w:tcBorders>
            <w:shd w:val="clear" w:color="000000" w:fill="FFFFFF"/>
            <w:vAlign w:val="center"/>
            <w:hideMark/>
          </w:tcPr>
          <w:p w14:paraId="6D32A8C4"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540,00 € </w:t>
            </w:r>
          </w:p>
        </w:tc>
      </w:tr>
      <w:tr w:rsidR="00BB0A3B" w14:paraId="2BA43466" w14:textId="77777777" w:rsidTr="00364834">
        <w:trPr>
          <w:trHeight w:val="903"/>
        </w:trPr>
        <w:tc>
          <w:tcPr>
            <w:tcW w:w="2301" w:type="dxa"/>
            <w:tcBorders>
              <w:top w:val="nil"/>
              <w:left w:val="single" w:sz="8" w:space="0" w:color="auto"/>
              <w:bottom w:val="single" w:sz="8" w:space="0" w:color="auto"/>
              <w:right w:val="single" w:sz="8" w:space="0" w:color="auto"/>
            </w:tcBorders>
            <w:vAlign w:val="center"/>
            <w:hideMark/>
          </w:tcPr>
          <w:p w14:paraId="3AB71D27"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Posología</w:t>
            </w:r>
          </w:p>
        </w:tc>
        <w:tc>
          <w:tcPr>
            <w:tcW w:w="2057" w:type="dxa"/>
            <w:tcBorders>
              <w:top w:val="nil"/>
              <w:left w:val="nil"/>
              <w:bottom w:val="single" w:sz="8" w:space="0" w:color="auto"/>
              <w:right w:val="single" w:sz="8" w:space="0" w:color="auto"/>
            </w:tcBorders>
            <w:vAlign w:val="center"/>
            <w:hideMark/>
          </w:tcPr>
          <w:p w14:paraId="1DE62F3F"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Induccion(D1: 60 mg; y 30 mg Q4W hasta semana 16). Dm: 30 mg Q8W</w:t>
            </w:r>
          </w:p>
        </w:tc>
        <w:tc>
          <w:tcPr>
            <w:tcW w:w="1966" w:type="dxa"/>
            <w:tcBorders>
              <w:top w:val="nil"/>
              <w:left w:val="nil"/>
              <w:bottom w:val="single" w:sz="8" w:space="0" w:color="auto"/>
              <w:right w:val="single" w:sz="8" w:space="0" w:color="auto"/>
            </w:tcBorders>
            <w:vAlign w:val="center"/>
            <w:hideMark/>
          </w:tcPr>
          <w:p w14:paraId="22AF41B4"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D1: 600 mg SC; Dm: 300 mg SC Q2W en adultos. </w:t>
            </w:r>
          </w:p>
        </w:tc>
        <w:tc>
          <w:tcPr>
            <w:tcW w:w="2168" w:type="dxa"/>
            <w:tcBorders>
              <w:top w:val="nil"/>
              <w:left w:val="nil"/>
              <w:bottom w:val="single" w:sz="8" w:space="0" w:color="auto"/>
              <w:right w:val="single" w:sz="8" w:space="0" w:color="auto"/>
            </w:tcBorders>
            <w:vAlign w:val="center"/>
            <w:hideMark/>
          </w:tcPr>
          <w:p w14:paraId="38786A9C"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D1: 600 mg SC; Dm: 300 mg SC Q2W en adultos. </w:t>
            </w:r>
          </w:p>
        </w:tc>
        <w:tc>
          <w:tcPr>
            <w:tcW w:w="2272" w:type="dxa"/>
            <w:tcBorders>
              <w:top w:val="nil"/>
              <w:left w:val="nil"/>
              <w:bottom w:val="single" w:sz="8" w:space="0" w:color="auto"/>
              <w:right w:val="single" w:sz="8" w:space="0" w:color="auto"/>
            </w:tcBorders>
            <w:vAlign w:val="center"/>
            <w:hideMark/>
          </w:tcPr>
          <w:p w14:paraId="7E9EC2CD" w14:textId="77777777" w:rsidR="00BB0A3B" w:rsidRDefault="00BB0A3B" w:rsidP="00BB0A3B">
            <w:pPr>
              <w:jc w:val="center"/>
              <w:rPr>
                <w:rFonts w:ascii="Arial" w:hAnsi="Arial" w:cs="Arial"/>
                <w:sz w:val="16"/>
                <w:szCs w:val="16"/>
              </w:rPr>
            </w:pPr>
            <w:r>
              <w:rPr>
                <w:rFonts w:ascii="Arial" w:hAnsi="Arial" w:cs="Arial"/>
                <w:sz w:val="16"/>
                <w:szCs w:val="16"/>
              </w:rPr>
              <w:t>Inducción (500 mg en semanas 0,2, seguidos de 250 mg Q2W hasta semana 16). Posteriormente Dm: 250mg Q4W</w:t>
            </w:r>
          </w:p>
        </w:tc>
      </w:tr>
      <w:tr w:rsidR="00BB0A3B" w14:paraId="15D9C9DD" w14:textId="77777777" w:rsidTr="00364834">
        <w:trPr>
          <w:trHeight w:val="207"/>
        </w:trPr>
        <w:tc>
          <w:tcPr>
            <w:tcW w:w="2301" w:type="dxa"/>
            <w:tcBorders>
              <w:top w:val="nil"/>
              <w:left w:val="single" w:sz="8" w:space="0" w:color="auto"/>
              <w:bottom w:val="single" w:sz="8" w:space="0" w:color="auto"/>
              <w:right w:val="single" w:sz="8" w:space="0" w:color="auto"/>
            </w:tcBorders>
            <w:vAlign w:val="center"/>
            <w:hideMark/>
          </w:tcPr>
          <w:p w14:paraId="557B05B2"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Coste/día (inducción)</w:t>
            </w:r>
          </w:p>
        </w:tc>
        <w:tc>
          <w:tcPr>
            <w:tcW w:w="2057" w:type="dxa"/>
            <w:tcBorders>
              <w:top w:val="nil"/>
              <w:left w:val="nil"/>
              <w:bottom w:val="single" w:sz="8" w:space="0" w:color="auto"/>
              <w:right w:val="single" w:sz="8" w:space="0" w:color="auto"/>
            </w:tcBorders>
            <w:vAlign w:val="center"/>
            <w:hideMark/>
          </w:tcPr>
          <w:p w14:paraId="6B9652EE"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54,00 € </w:t>
            </w:r>
          </w:p>
        </w:tc>
        <w:tc>
          <w:tcPr>
            <w:tcW w:w="1966" w:type="dxa"/>
            <w:tcBorders>
              <w:top w:val="nil"/>
              <w:left w:val="nil"/>
              <w:bottom w:val="single" w:sz="8" w:space="0" w:color="auto"/>
              <w:right w:val="single" w:sz="8" w:space="0" w:color="auto"/>
            </w:tcBorders>
            <w:vAlign w:val="center"/>
            <w:hideMark/>
          </w:tcPr>
          <w:p w14:paraId="00F8696E"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40,00 € </w:t>
            </w:r>
          </w:p>
        </w:tc>
        <w:tc>
          <w:tcPr>
            <w:tcW w:w="2168" w:type="dxa"/>
            <w:tcBorders>
              <w:top w:val="nil"/>
              <w:left w:val="nil"/>
              <w:bottom w:val="single" w:sz="8" w:space="0" w:color="auto"/>
              <w:right w:val="single" w:sz="8" w:space="0" w:color="auto"/>
            </w:tcBorders>
            <w:vAlign w:val="center"/>
            <w:hideMark/>
          </w:tcPr>
          <w:p w14:paraId="54F142E7"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38,57 € </w:t>
            </w:r>
          </w:p>
        </w:tc>
        <w:tc>
          <w:tcPr>
            <w:tcW w:w="2272" w:type="dxa"/>
            <w:tcBorders>
              <w:top w:val="nil"/>
              <w:left w:val="nil"/>
              <w:bottom w:val="single" w:sz="8" w:space="0" w:color="auto"/>
              <w:right w:val="single" w:sz="8" w:space="0" w:color="auto"/>
            </w:tcBorders>
            <w:vAlign w:val="center"/>
            <w:hideMark/>
          </w:tcPr>
          <w:p w14:paraId="46A07C9F"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53,04 € </w:t>
            </w:r>
          </w:p>
        </w:tc>
      </w:tr>
      <w:tr w:rsidR="00BB0A3B" w14:paraId="2E7C29CE" w14:textId="77777777" w:rsidTr="00364834">
        <w:trPr>
          <w:trHeight w:val="306"/>
        </w:trPr>
        <w:tc>
          <w:tcPr>
            <w:tcW w:w="2301" w:type="dxa"/>
            <w:tcBorders>
              <w:top w:val="nil"/>
              <w:left w:val="single" w:sz="8" w:space="0" w:color="auto"/>
              <w:bottom w:val="single" w:sz="8" w:space="0" w:color="auto"/>
              <w:right w:val="single" w:sz="8" w:space="0" w:color="auto"/>
            </w:tcBorders>
            <w:vAlign w:val="center"/>
            <w:hideMark/>
          </w:tcPr>
          <w:p w14:paraId="5F21DE8D"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Coste/día (mantenimiento</w:t>
            </w:r>
          </w:p>
        </w:tc>
        <w:tc>
          <w:tcPr>
            <w:tcW w:w="2057" w:type="dxa"/>
            <w:tcBorders>
              <w:top w:val="nil"/>
              <w:left w:val="nil"/>
              <w:bottom w:val="single" w:sz="8" w:space="0" w:color="auto"/>
              <w:right w:val="single" w:sz="8" w:space="0" w:color="auto"/>
            </w:tcBorders>
            <w:vAlign w:val="center"/>
            <w:hideMark/>
          </w:tcPr>
          <w:p w14:paraId="3163BB10"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18,00 € </w:t>
            </w:r>
          </w:p>
        </w:tc>
        <w:tc>
          <w:tcPr>
            <w:tcW w:w="1966" w:type="dxa"/>
            <w:tcBorders>
              <w:top w:val="nil"/>
              <w:left w:val="nil"/>
              <w:bottom w:val="single" w:sz="8" w:space="0" w:color="auto"/>
              <w:right w:val="single" w:sz="8" w:space="0" w:color="auto"/>
            </w:tcBorders>
            <w:vAlign w:val="center"/>
            <w:hideMark/>
          </w:tcPr>
          <w:p w14:paraId="5A0C279B"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20,00 € </w:t>
            </w:r>
          </w:p>
        </w:tc>
        <w:tc>
          <w:tcPr>
            <w:tcW w:w="2168" w:type="dxa"/>
            <w:tcBorders>
              <w:top w:val="nil"/>
              <w:left w:val="nil"/>
              <w:bottom w:val="single" w:sz="8" w:space="0" w:color="auto"/>
              <w:right w:val="single" w:sz="8" w:space="0" w:color="auto"/>
            </w:tcBorders>
            <w:vAlign w:val="center"/>
            <w:hideMark/>
          </w:tcPr>
          <w:p w14:paraId="1F585A80"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19,29 € </w:t>
            </w:r>
          </w:p>
        </w:tc>
        <w:tc>
          <w:tcPr>
            <w:tcW w:w="2272" w:type="dxa"/>
            <w:tcBorders>
              <w:top w:val="nil"/>
              <w:left w:val="nil"/>
              <w:bottom w:val="single" w:sz="8" w:space="0" w:color="auto"/>
              <w:right w:val="single" w:sz="8" w:space="0" w:color="auto"/>
            </w:tcBorders>
            <w:vAlign w:val="center"/>
            <w:hideMark/>
          </w:tcPr>
          <w:p w14:paraId="1B949746"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18,00 € </w:t>
            </w:r>
          </w:p>
        </w:tc>
      </w:tr>
      <w:tr w:rsidR="00BB0A3B" w14:paraId="6481EF46" w14:textId="77777777" w:rsidTr="00364834">
        <w:trPr>
          <w:trHeight w:val="306"/>
        </w:trPr>
        <w:tc>
          <w:tcPr>
            <w:tcW w:w="2301" w:type="dxa"/>
            <w:tcBorders>
              <w:top w:val="nil"/>
              <w:left w:val="single" w:sz="8" w:space="0" w:color="auto"/>
              <w:bottom w:val="single" w:sz="8" w:space="0" w:color="auto"/>
              <w:right w:val="single" w:sz="8" w:space="0" w:color="auto"/>
            </w:tcBorders>
            <w:shd w:val="clear" w:color="000000" w:fill="D0CECE"/>
            <w:vAlign w:val="center"/>
            <w:hideMark/>
          </w:tcPr>
          <w:p w14:paraId="6C5C815A"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Coste tratamiento 1º año</w:t>
            </w:r>
          </w:p>
        </w:tc>
        <w:tc>
          <w:tcPr>
            <w:tcW w:w="2057" w:type="dxa"/>
            <w:tcBorders>
              <w:top w:val="nil"/>
              <w:left w:val="nil"/>
              <w:bottom w:val="single" w:sz="8" w:space="0" w:color="auto"/>
              <w:right w:val="single" w:sz="8" w:space="0" w:color="auto"/>
            </w:tcBorders>
            <w:vAlign w:val="center"/>
            <w:hideMark/>
          </w:tcPr>
          <w:p w14:paraId="33DB3868"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10.602,00 € </w:t>
            </w:r>
          </w:p>
        </w:tc>
        <w:tc>
          <w:tcPr>
            <w:tcW w:w="1966" w:type="dxa"/>
            <w:tcBorders>
              <w:top w:val="nil"/>
              <w:left w:val="nil"/>
              <w:bottom w:val="single" w:sz="8" w:space="0" w:color="auto"/>
              <w:right w:val="single" w:sz="8" w:space="0" w:color="auto"/>
            </w:tcBorders>
            <w:vAlign w:val="center"/>
            <w:hideMark/>
          </w:tcPr>
          <w:p w14:paraId="7C0FB808"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7.580,00 € </w:t>
            </w:r>
          </w:p>
        </w:tc>
        <w:tc>
          <w:tcPr>
            <w:tcW w:w="2168" w:type="dxa"/>
            <w:tcBorders>
              <w:top w:val="nil"/>
              <w:left w:val="nil"/>
              <w:bottom w:val="single" w:sz="8" w:space="0" w:color="auto"/>
              <w:right w:val="single" w:sz="8" w:space="0" w:color="auto"/>
            </w:tcBorders>
            <w:vAlign w:val="center"/>
            <w:hideMark/>
          </w:tcPr>
          <w:p w14:paraId="02140B56"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7.309,29 € </w:t>
            </w:r>
          </w:p>
        </w:tc>
        <w:tc>
          <w:tcPr>
            <w:tcW w:w="2272" w:type="dxa"/>
            <w:tcBorders>
              <w:top w:val="nil"/>
              <w:left w:val="nil"/>
              <w:bottom w:val="single" w:sz="8" w:space="0" w:color="auto"/>
              <w:right w:val="single" w:sz="8" w:space="0" w:color="auto"/>
            </w:tcBorders>
            <w:vAlign w:val="center"/>
            <w:hideMark/>
          </w:tcPr>
          <w:p w14:paraId="5603A29B"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10.494,00 € </w:t>
            </w:r>
          </w:p>
        </w:tc>
      </w:tr>
      <w:tr w:rsidR="00BB0A3B" w14:paraId="1899A88E" w14:textId="77777777" w:rsidTr="00364834">
        <w:trPr>
          <w:trHeight w:val="306"/>
        </w:trPr>
        <w:tc>
          <w:tcPr>
            <w:tcW w:w="2301" w:type="dxa"/>
            <w:tcBorders>
              <w:top w:val="nil"/>
              <w:left w:val="single" w:sz="8" w:space="0" w:color="auto"/>
              <w:bottom w:val="single" w:sz="8" w:space="0" w:color="auto"/>
              <w:right w:val="single" w:sz="8" w:space="0" w:color="auto"/>
            </w:tcBorders>
            <w:shd w:val="clear" w:color="000000" w:fill="FFE699"/>
            <w:vAlign w:val="center"/>
            <w:hideMark/>
          </w:tcPr>
          <w:p w14:paraId="67C52E8A"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Coste tratamiento/año &gt;1º año</w:t>
            </w:r>
          </w:p>
        </w:tc>
        <w:tc>
          <w:tcPr>
            <w:tcW w:w="2057" w:type="dxa"/>
            <w:tcBorders>
              <w:top w:val="nil"/>
              <w:left w:val="nil"/>
              <w:bottom w:val="single" w:sz="8" w:space="0" w:color="auto"/>
              <w:right w:val="single" w:sz="8" w:space="0" w:color="auto"/>
            </w:tcBorders>
            <w:vAlign w:val="center"/>
            <w:hideMark/>
          </w:tcPr>
          <w:p w14:paraId="1297435F"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6.570,00 € </w:t>
            </w:r>
          </w:p>
        </w:tc>
        <w:tc>
          <w:tcPr>
            <w:tcW w:w="1966" w:type="dxa"/>
            <w:tcBorders>
              <w:top w:val="nil"/>
              <w:left w:val="nil"/>
              <w:bottom w:val="single" w:sz="8" w:space="0" w:color="auto"/>
              <w:right w:val="single" w:sz="8" w:space="0" w:color="auto"/>
            </w:tcBorders>
            <w:vAlign w:val="center"/>
            <w:hideMark/>
          </w:tcPr>
          <w:p w14:paraId="500041D1"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7.300,00 € </w:t>
            </w:r>
          </w:p>
        </w:tc>
        <w:tc>
          <w:tcPr>
            <w:tcW w:w="2168" w:type="dxa"/>
            <w:tcBorders>
              <w:top w:val="nil"/>
              <w:left w:val="nil"/>
              <w:bottom w:val="single" w:sz="8" w:space="0" w:color="auto"/>
              <w:right w:val="single" w:sz="8" w:space="0" w:color="auto"/>
            </w:tcBorders>
            <w:vAlign w:val="center"/>
            <w:hideMark/>
          </w:tcPr>
          <w:p w14:paraId="34E9D282"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7.039,29 € </w:t>
            </w:r>
          </w:p>
        </w:tc>
        <w:tc>
          <w:tcPr>
            <w:tcW w:w="2272" w:type="dxa"/>
            <w:tcBorders>
              <w:top w:val="nil"/>
              <w:left w:val="nil"/>
              <w:bottom w:val="single" w:sz="4" w:space="0" w:color="auto"/>
              <w:right w:val="single" w:sz="8" w:space="0" w:color="auto"/>
            </w:tcBorders>
            <w:vAlign w:val="center"/>
            <w:hideMark/>
          </w:tcPr>
          <w:p w14:paraId="093D8811"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6.570,00 € </w:t>
            </w:r>
          </w:p>
        </w:tc>
      </w:tr>
      <w:tr w:rsidR="00BB0A3B" w14:paraId="5DC81968" w14:textId="77777777" w:rsidTr="00364834">
        <w:trPr>
          <w:trHeight w:val="326"/>
        </w:trPr>
        <w:tc>
          <w:tcPr>
            <w:tcW w:w="2301" w:type="dxa"/>
            <w:tcBorders>
              <w:top w:val="nil"/>
              <w:left w:val="single" w:sz="8" w:space="0" w:color="auto"/>
              <w:bottom w:val="single" w:sz="8" w:space="0" w:color="auto"/>
              <w:right w:val="single" w:sz="8" w:space="0" w:color="auto"/>
            </w:tcBorders>
            <w:vAlign w:val="center"/>
            <w:hideMark/>
          </w:tcPr>
          <w:p w14:paraId="59E401C9" w14:textId="021FB60A"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 xml:space="preserve">Costes directos </w:t>
            </w:r>
            <w:r w:rsidR="00364834">
              <w:rPr>
                <w:rFonts w:ascii="Arial" w:hAnsi="Arial" w:cs="Arial"/>
                <w:b/>
                <w:bCs/>
                <w:color w:val="000000"/>
                <w:sz w:val="16"/>
                <w:szCs w:val="16"/>
              </w:rPr>
              <w:t>**</w:t>
            </w:r>
          </w:p>
        </w:tc>
        <w:tc>
          <w:tcPr>
            <w:tcW w:w="2057" w:type="dxa"/>
            <w:tcBorders>
              <w:top w:val="nil"/>
              <w:left w:val="nil"/>
              <w:bottom w:val="single" w:sz="8" w:space="0" w:color="auto"/>
              <w:right w:val="nil"/>
            </w:tcBorders>
            <w:vAlign w:val="center"/>
            <w:hideMark/>
          </w:tcPr>
          <w:p w14:paraId="1B2570AF" w14:textId="77777777" w:rsidR="00BB0A3B" w:rsidRPr="00DC274C" w:rsidRDefault="00BB0A3B" w:rsidP="00DC274C">
            <w:pPr>
              <w:jc w:val="center"/>
              <w:rPr>
                <w:rFonts w:ascii="Arial" w:hAnsi="Arial" w:cs="Arial"/>
                <w:color w:val="000000"/>
                <w:sz w:val="16"/>
                <w:szCs w:val="16"/>
              </w:rPr>
            </w:pPr>
            <w:r w:rsidRPr="00DC274C">
              <w:rPr>
                <w:rFonts w:ascii="Arial" w:hAnsi="Arial" w:cs="Arial"/>
                <w:color w:val="000000"/>
                <w:sz w:val="16"/>
                <w:szCs w:val="16"/>
              </w:rPr>
              <w:t>806 € (DE 1.545 €)</w:t>
            </w:r>
          </w:p>
        </w:tc>
        <w:tc>
          <w:tcPr>
            <w:tcW w:w="1966" w:type="dxa"/>
            <w:tcBorders>
              <w:top w:val="nil"/>
              <w:left w:val="single" w:sz="8" w:space="0" w:color="auto"/>
              <w:bottom w:val="single" w:sz="8" w:space="0" w:color="auto"/>
              <w:right w:val="nil"/>
            </w:tcBorders>
            <w:vAlign w:val="center"/>
            <w:hideMark/>
          </w:tcPr>
          <w:p w14:paraId="0660BC4D" w14:textId="77777777" w:rsidR="00BB0A3B" w:rsidRPr="00DC274C" w:rsidRDefault="00BB0A3B" w:rsidP="00DC274C">
            <w:pPr>
              <w:jc w:val="center"/>
              <w:rPr>
                <w:rFonts w:ascii="Arial" w:hAnsi="Arial" w:cs="Arial"/>
                <w:color w:val="000000"/>
                <w:sz w:val="16"/>
                <w:szCs w:val="16"/>
              </w:rPr>
            </w:pPr>
            <w:r w:rsidRPr="00DC274C">
              <w:rPr>
                <w:rFonts w:ascii="Arial" w:hAnsi="Arial" w:cs="Arial"/>
                <w:color w:val="000000"/>
                <w:sz w:val="16"/>
                <w:szCs w:val="16"/>
              </w:rPr>
              <w:t>806 € (DE 1.545 €)</w:t>
            </w:r>
          </w:p>
        </w:tc>
        <w:tc>
          <w:tcPr>
            <w:tcW w:w="2168" w:type="dxa"/>
            <w:tcBorders>
              <w:top w:val="nil"/>
              <w:left w:val="single" w:sz="8" w:space="0" w:color="auto"/>
              <w:bottom w:val="single" w:sz="8" w:space="0" w:color="auto"/>
              <w:right w:val="single" w:sz="4" w:space="0" w:color="auto"/>
            </w:tcBorders>
            <w:vAlign w:val="center"/>
            <w:hideMark/>
          </w:tcPr>
          <w:p w14:paraId="48247777" w14:textId="77777777" w:rsidR="00BB0A3B" w:rsidRPr="00DC274C" w:rsidRDefault="00BB0A3B" w:rsidP="00DC274C">
            <w:pPr>
              <w:jc w:val="center"/>
              <w:rPr>
                <w:rFonts w:ascii="Arial" w:hAnsi="Arial" w:cs="Arial"/>
                <w:color w:val="000000"/>
                <w:sz w:val="16"/>
                <w:szCs w:val="16"/>
              </w:rPr>
            </w:pPr>
            <w:r w:rsidRPr="00DC274C">
              <w:rPr>
                <w:rFonts w:ascii="Arial" w:hAnsi="Arial" w:cs="Arial"/>
                <w:color w:val="000000"/>
                <w:sz w:val="16"/>
                <w:szCs w:val="16"/>
              </w:rPr>
              <w:t>806 € (DE 1.545 €)</w:t>
            </w:r>
          </w:p>
        </w:tc>
        <w:tc>
          <w:tcPr>
            <w:tcW w:w="2272" w:type="dxa"/>
            <w:tcBorders>
              <w:top w:val="single" w:sz="4" w:space="0" w:color="auto"/>
              <w:left w:val="single" w:sz="4" w:space="0" w:color="auto"/>
              <w:bottom w:val="single" w:sz="4" w:space="0" w:color="auto"/>
              <w:right w:val="single" w:sz="4" w:space="0" w:color="auto"/>
            </w:tcBorders>
            <w:vAlign w:val="center"/>
            <w:hideMark/>
          </w:tcPr>
          <w:p w14:paraId="3A07F17D" w14:textId="77777777" w:rsidR="00BB0A3B" w:rsidRPr="00DC274C" w:rsidRDefault="00BB0A3B" w:rsidP="00DC274C">
            <w:pPr>
              <w:jc w:val="center"/>
              <w:rPr>
                <w:rFonts w:ascii="Arial" w:hAnsi="Arial" w:cs="Arial"/>
                <w:color w:val="000000"/>
                <w:sz w:val="16"/>
                <w:szCs w:val="16"/>
              </w:rPr>
            </w:pPr>
            <w:r w:rsidRPr="00DC274C">
              <w:rPr>
                <w:rFonts w:ascii="Arial" w:hAnsi="Arial" w:cs="Arial"/>
                <w:color w:val="000000"/>
                <w:sz w:val="16"/>
                <w:szCs w:val="16"/>
              </w:rPr>
              <w:t>806 € (DE 1.545 €)</w:t>
            </w:r>
          </w:p>
        </w:tc>
      </w:tr>
      <w:tr w:rsidR="00BB0A3B" w14:paraId="7FE1CE44" w14:textId="77777777" w:rsidTr="00364834">
        <w:trPr>
          <w:trHeight w:val="326"/>
        </w:trPr>
        <w:tc>
          <w:tcPr>
            <w:tcW w:w="2301" w:type="dxa"/>
            <w:tcBorders>
              <w:top w:val="nil"/>
              <w:left w:val="single" w:sz="8" w:space="0" w:color="auto"/>
              <w:bottom w:val="single" w:sz="8" w:space="0" w:color="auto"/>
              <w:right w:val="single" w:sz="8" w:space="0" w:color="auto"/>
            </w:tcBorders>
            <w:vAlign w:val="center"/>
            <w:hideMark/>
          </w:tcPr>
          <w:p w14:paraId="6083922E"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Coste global/año &gt;1 año</w:t>
            </w:r>
          </w:p>
        </w:tc>
        <w:tc>
          <w:tcPr>
            <w:tcW w:w="2057" w:type="dxa"/>
            <w:tcBorders>
              <w:top w:val="nil"/>
              <w:left w:val="nil"/>
              <w:bottom w:val="single" w:sz="8" w:space="0" w:color="auto"/>
              <w:right w:val="nil"/>
            </w:tcBorders>
            <w:vAlign w:val="center"/>
            <w:hideMark/>
          </w:tcPr>
          <w:p w14:paraId="328BE207" w14:textId="77777777" w:rsidR="00BB0A3B" w:rsidRPr="00DC274C" w:rsidRDefault="00BB0A3B" w:rsidP="00DC274C">
            <w:pPr>
              <w:jc w:val="right"/>
              <w:rPr>
                <w:rFonts w:ascii="Arial" w:hAnsi="Arial" w:cs="Arial"/>
                <w:color w:val="000000"/>
                <w:sz w:val="16"/>
                <w:szCs w:val="16"/>
              </w:rPr>
            </w:pPr>
            <w:r w:rsidRPr="00DC274C">
              <w:rPr>
                <w:rFonts w:ascii="Arial" w:hAnsi="Arial" w:cs="Arial"/>
                <w:color w:val="000000"/>
                <w:sz w:val="16"/>
                <w:szCs w:val="16"/>
              </w:rPr>
              <w:t>7.376,00 €</w:t>
            </w:r>
          </w:p>
        </w:tc>
        <w:tc>
          <w:tcPr>
            <w:tcW w:w="1966" w:type="dxa"/>
            <w:tcBorders>
              <w:top w:val="nil"/>
              <w:left w:val="single" w:sz="8" w:space="0" w:color="auto"/>
              <w:bottom w:val="single" w:sz="8" w:space="0" w:color="auto"/>
              <w:right w:val="nil"/>
            </w:tcBorders>
            <w:vAlign w:val="center"/>
            <w:hideMark/>
          </w:tcPr>
          <w:p w14:paraId="3B6AEEED" w14:textId="77777777" w:rsidR="00BB0A3B" w:rsidRPr="00DC274C" w:rsidRDefault="00BB0A3B" w:rsidP="00DC274C">
            <w:pPr>
              <w:jc w:val="right"/>
              <w:rPr>
                <w:rFonts w:ascii="Arial" w:hAnsi="Arial" w:cs="Arial"/>
                <w:color w:val="000000"/>
                <w:sz w:val="16"/>
                <w:szCs w:val="16"/>
              </w:rPr>
            </w:pPr>
            <w:r w:rsidRPr="00DC274C">
              <w:rPr>
                <w:rFonts w:ascii="Arial" w:hAnsi="Arial" w:cs="Arial"/>
                <w:color w:val="000000"/>
                <w:sz w:val="16"/>
                <w:szCs w:val="16"/>
              </w:rPr>
              <w:t>8.106,00 €</w:t>
            </w:r>
          </w:p>
        </w:tc>
        <w:tc>
          <w:tcPr>
            <w:tcW w:w="2168" w:type="dxa"/>
            <w:tcBorders>
              <w:top w:val="nil"/>
              <w:left w:val="single" w:sz="8" w:space="0" w:color="auto"/>
              <w:bottom w:val="single" w:sz="8" w:space="0" w:color="auto"/>
              <w:right w:val="single" w:sz="4" w:space="0" w:color="auto"/>
            </w:tcBorders>
            <w:vAlign w:val="center"/>
            <w:hideMark/>
          </w:tcPr>
          <w:p w14:paraId="105CBF69" w14:textId="77777777" w:rsidR="00BB0A3B" w:rsidRPr="00DC274C" w:rsidRDefault="00BB0A3B" w:rsidP="00DC274C">
            <w:pPr>
              <w:jc w:val="right"/>
              <w:rPr>
                <w:rFonts w:ascii="Arial" w:hAnsi="Arial" w:cs="Arial"/>
                <w:color w:val="000000"/>
                <w:sz w:val="16"/>
                <w:szCs w:val="16"/>
              </w:rPr>
            </w:pPr>
            <w:r w:rsidRPr="00DC274C">
              <w:rPr>
                <w:rFonts w:ascii="Arial" w:hAnsi="Arial" w:cs="Arial"/>
                <w:color w:val="000000"/>
                <w:sz w:val="16"/>
                <w:szCs w:val="16"/>
              </w:rPr>
              <w:t>7.845,29 €</w:t>
            </w:r>
          </w:p>
        </w:tc>
        <w:tc>
          <w:tcPr>
            <w:tcW w:w="2272" w:type="dxa"/>
            <w:tcBorders>
              <w:top w:val="single" w:sz="4" w:space="0" w:color="auto"/>
              <w:left w:val="single" w:sz="4" w:space="0" w:color="auto"/>
              <w:bottom w:val="single" w:sz="4" w:space="0" w:color="auto"/>
              <w:right w:val="single" w:sz="4" w:space="0" w:color="auto"/>
            </w:tcBorders>
            <w:vAlign w:val="center"/>
            <w:hideMark/>
          </w:tcPr>
          <w:p w14:paraId="5127D34B" w14:textId="77777777" w:rsidR="00BB0A3B" w:rsidRPr="00DC274C" w:rsidRDefault="00BB0A3B" w:rsidP="00DC274C">
            <w:pPr>
              <w:jc w:val="right"/>
              <w:rPr>
                <w:rFonts w:ascii="Arial" w:hAnsi="Arial" w:cs="Arial"/>
                <w:color w:val="000000"/>
                <w:sz w:val="16"/>
                <w:szCs w:val="16"/>
              </w:rPr>
            </w:pPr>
            <w:r w:rsidRPr="00DC274C">
              <w:rPr>
                <w:rFonts w:ascii="Arial" w:hAnsi="Arial" w:cs="Arial"/>
                <w:color w:val="000000"/>
                <w:sz w:val="16"/>
                <w:szCs w:val="16"/>
              </w:rPr>
              <w:t>7.376,00 €</w:t>
            </w:r>
          </w:p>
        </w:tc>
      </w:tr>
      <w:tr w:rsidR="00BB0A3B" w14:paraId="4382487F" w14:textId="77777777" w:rsidTr="00364834">
        <w:trPr>
          <w:trHeight w:val="525"/>
        </w:trPr>
        <w:tc>
          <w:tcPr>
            <w:tcW w:w="2301" w:type="dxa"/>
            <w:tcBorders>
              <w:top w:val="nil"/>
              <w:left w:val="single" w:sz="8" w:space="0" w:color="auto"/>
              <w:bottom w:val="single" w:sz="8" w:space="0" w:color="auto"/>
              <w:right w:val="single" w:sz="8" w:space="0" w:color="auto"/>
            </w:tcBorders>
            <w:shd w:val="clear" w:color="000000" w:fill="D0CECE"/>
            <w:vAlign w:val="center"/>
            <w:hideMark/>
          </w:tcPr>
          <w:p w14:paraId="14B307BC"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Coste incremental 1º año respecto a Dupilumab</w:t>
            </w:r>
          </w:p>
        </w:tc>
        <w:tc>
          <w:tcPr>
            <w:tcW w:w="2057" w:type="dxa"/>
            <w:tcBorders>
              <w:top w:val="nil"/>
              <w:left w:val="nil"/>
              <w:bottom w:val="single" w:sz="8" w:space="0" w:color="auto"/>
              <w:right w:val="single" w:sz="8" w:space="0" w:color="auto"/>
            </w:tcBorders>
            <w:vAlign w:val="center"/>
            <w:hideMark/>
          </w:tcPr>
          <w:p w14:paraId="333C62AE"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3.022,00 € </w:t>
            </w:r>
          </w:p>
        </w:tc>
        <w:tc>
          <w:tcPr>
            <w:tcW w:w="1966" w:type="dxa"/>
            <w:tcBorders>
              <w:top w:val="nil"/>
              <w:left w:val="nil"/>
              <w:bottom w:val="single" w:sz="8" w:space="0" w:color="auto"/>
              <w:right w:val="single" w:sz="8" w:space="0" w:color="auto"/>
            </w:tcBorders>
            <w:vAlign w:val="center"/>
            <w:hideMark/>
          </w:tcPr>
          <w:p w14:paraId="2EA28D92"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   € </w:t>
            </w:r>
          </w:p>
        </w:tc>
        <w:tc>
          <w:tcPr>
            <w:tcW w:w="2168" w:type="dxa"/>
            <w:tcBorders>
              <w:top w:val="nil"/>
              <w:left w:val="nil"/>
              <w:bottom w:val="single" w:sz="8" w:space="0" w:color="auto"/>
              <w:right w:val="single" w:sz="8" w:space="0" w:color="auto"/>
            </w:tcBorders>
            <w:vAlign w:val="center"/>
            <w:hideMark/>
          </w:tcPr>
          <w:p w14:paraId="2D1DE425"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270,71 € </w:t>
            </w:r>
          </w:p>
        </w:tc>
        <w:tc>
          <w:tcPr>
            <w:tcW w:w="2272" w:type="dxa"/>
            <w:tcBorders>
              <w:top w:val="single" w:sz="4" w:space="0" w:color="auto"/>
              <w:left w:val="nil"/>
              <w:bottom w:val="single" w:sz="8" w:space="0" w:color="auto"/>
              <w:right w:val="single" w:sz="8" w:space="0" w:color="auto"/>
            </w:tcBorders>
            <w:vAlign w:val="center"/>
            <w:hideMark/>
          </w:tcPr>
          <w:p w14:paraId="6EC62B91"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2.914,00 € </w:t>
            </w:r>
          </w:p>
        </w:tc>
      </w:tr>
      <w:tr w:rsidR="00BB0A3B" w14:paraId="6EAA5EC5" w14:textId="77777777" w:rsidTr="00364834">
        <w:trPr>
          <w:trHeight w:val="406"/>
        </w:trPr>
        <w:tc>
          <w:tcPr>
            <w:tcW w:w="2301" w:type="dxa"/>
            <w:tcBorders>
              <w:top w:val="nil"/>
              <w:left w:val="single" w:sz="8" w:space="0" w:color="auto"/>
              <w:bottom w:val="single" w:sz="4" w:space="0" w:color="auto"/>
              <w:right w:val="single" w:sz="8" w:space="0" w:color="auto"/>
            </w:tcBorders>
            <w:shd w:val="clear" w:color="000000" w:fill="FFE699"/>
            <w:vAlign w:val="center"/>
            <w:hideMark/>
          </w:tcPr>
          <w:p w14:paraId="7823FC7C" w14:textId="77777777" w:rsidR="00BB0A3B" w:rsidRDefault="00BB0A3B" w:rsidP="00BB0A3B">
            <w:pPr>
              <w:jc w:val="center"/>
              <w:rPr>
                <w:rFonts w:ascii="Arial" w:hAnsi="Arial" w:cs="Arial"/>
                <w:b/>
                <w:bCs/>
                <w:color w:val="000000"/>
                <w:sz w:val="16"/>
                <w:szCs w:val="16"/>
              </w:rPr>
            </w:pPr>
            <w:r>
              <w:rPr>
                <w:rFonts w:ascii="Arial" w:hAnsi="Arial" w:cs="Arial"/>
                <w:b/>
                <w:bCs/>
                <w:color w:val="000000"/>
                <w:sz w:val="16"/>
                <w:szCs w:val="16"/>
              </w:rPr>
              <w:t>Coste incremental &gt;1º año respecto a Dupilumab</w:t>
            </w:r>
          </w:p>
        </w:tc>
        <w:tc>
          <w:tcPr>
            <w:tcW w:w="2057" w:type="dxa"/>
            <w:tcBorders>
              <w:top w:val="nil"/>
              <w:left w:val="nil"/>
              <w:bottom w:val="single" w:sz="4" w:space="0" w:color="auto"/>
              <w:right w:val="single" w:sz="8" w:space="0" w:color="auto"/>
            </w:tcBorders>
            <w:vAlign w:val="center"/>
            <w:hideMark/>
          </w:tcPr>
          <w:p w14:paraId="179A24C6"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730,00 € </w:t>
            </w:r>
          </w:p>
        </w:tc>
        <w:tc>
          <w:tcPr>
            <w:tcW w:w="1966" w:type="dxa"/>
            <w:tcBorders>
              <w:top w:val="nil"/>
              <w:left w:val="nil"/>
              <w:bottom w:val="single" w:sz="4" w:space="0" w:color="auto"/>
              <w:right w:val="single" w:sz="8" w:space="0" w:color="auto"/>
            </w:tcBorders>
            <w:vAlign w:val="center"/>
            <w:hideMark/>
          </w:tcPr>
          <w:p w14:paraId="0F817FFF"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   € </w:t>
            </w:r>
          </w:p>
        </w:tc>
        <w:tc>
          <w:tcPr>
            <w:tcW w:w="2168" w:type="dxa"/>
            <w:tcBorders>
              <w:top w:val="nil"/>
              <w:left w:val="nil"/>
              <w:bottom w:val="single" w:sz="4" w:space="0" w:color="auto"/>
              <w:right w:val="single" w:sz="8" w:space="0" w:color="auto"/>
            </w:tcBorders>
            <w:vAlign w:val="center"/>
            <w:hideMark/>
          </w:tcPr>
          <w:p w14:paraId="761818B9"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260,71 € </w:t>
            </w:r>
          </w:p>
        </w:tc>
        <w:tc>
          <w:tcPr>
            <w:tcW w:w="2272" w:type="dxa"/>
            <w:tcBorders>
              <w:top w:val="nil"/>
              <w:left w:val="nil"/>
              <w:bottom w:val="single" w:sz="4" w:space="0" w:color="auto"/>
              <w:right w:val="single" w:sz="8" w:space="0" w:color="auto"/>
            </w:tcBorders>
            <w:vAlign w:val="center"/>
            <w:hideMark/>
          </w:tcPr>
          <w:p w14:paraId="15796F2A" w14:textId="77777777" w:rsidR="00BB0A3B" w:rsidRDefault="00BB0A3B" w:rsidP="00BB0A3B">
            <w:pPr>
              <w:jc w:val="center"/>
              <w:rPr>
                <w:rFonts w:ascii="Arial" w:hAnsi="Arial" w:cs="Arial"/>
                <w:color w:val="000000"/>
                <w:sz w:val="16"/>
                <w:szCs w:val="16"/>
              </w:rPr>
            </w:pPr>
            <w:r>
              <w:rPr>
                <w:rFonts w:ascii="Arial" w:hAnsi="Arial" w:cs="Arial"/>
                <w:color w:val="000000"/>
                <w:sz w:val="16"/>
                <w:szCs w:val="16"/>
              </w:rPr>
              <w:t xml:space="preserve">-                          730,00 € </w:t>
            </w:r>
          </w:p>
        </w:tc>
      </w:tr>
      <w:tr w:rsidR="00364834" w14:paraId="4BDC2D6B" w14:textId="77777777" w:rsidTr="00364834">
        <w:trPr>
          <w:trHeight w:val="406"/>
        </w:trPr>
        <w:tc>
          <w:tcPr>
            <w:tcW w:w="10764"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BED2201" w14:textId="77777777" w:rsidR="00364834" w:rsidRPr="006F6ABB" w:rsidRDefault="00364834" w:rsidP="00364834">
            <w:pPr>
              <w:jc w:val="both"/>
              <w:rPr>
                <w:rFonts w:ascii="Arial" w:hAnsi="Arial" w:cs="Arial"/>
                <w:sz w:val="16"/>
              </w:rPr>
            </w:pPr>
            <w:r w:rsidRPr="006F6ABB">
              <w:rPr>
                <w:rFonts w:ascii="Arial" w:hAnsi="Arial" w:cs="Arial"/>
                <w:sz w:val="16"/>
              </w:rPr>
              <w:t xml:space="preserve">* </w:t>
            </w:r>
            <w:r>
              <w:rPr>
                <w:rFonts w:ascii="Arial" w:hAnsi="Arial" w:cs="Arial"/>
                <w:sz w:val="16"/>
              </w:rPr>
              <w:t xml:space="preserve">Se refiere al coste de la forma farmacéutica (vial, jeringa, comprimido…). </w:t>
            </w:r>
            <w:r w:rsidRPr="006F6ABB">
              <w:rPr>
                <w:rFonts w:ascii="Arial" w:hAnsi="Arial" w:cs="Arial"/>
                <w:sz w:val="16"/>
              </w:rPr>
              <w:t>Para informes de un hospital, valorar precio del medicamento según ofertas</w:t>
            </w:r>
            <w:r>
              <w:rPr>
                <w:rFonts w:ascii="Arial" w:hAnsi="Arial" w:cs="Arial"/>
                <w:sz w:val="16"/>
              </w:rPr>
              <w:t>, precios de acuerdo marco, concurso centralizado, etc</w:t>
            </w:r>
            <w:r w:rsidRPr="006F6ABB">
              <w:rPr>
                <w:rFonts w:ascii="Arial" w:hAnsi="Arial" w:cs="Arial"/>
                <w:sz w:val="16"/>
              </w:rPr>
              <w:t xml:space="preserve">. </w:t>
            </w:r>
          </w:p>
          <w:p w14:paraId="533E89DB" w14:textId="77777777" w:rsidR="00364834" w:rsidRPr="006F6ABB" w:rsidRDefault="00364834" w:rsidP="00364834">
            <w:pPr>
              <w:jc w:val="both"/>
              <w:rPr>
                <w:rFonts w:ascii="Arial" w:hAnsi="Arial" w:cs="Arial"/>
                <w:sz w:val="16"/>
              </w:rPr>
            </w:pPr>
            <w:r w:rsidRPr="006F6ABB">
              <w:rPr>
                <w:rFonts w:ascii="Arial" w:hAnsi="Arial" w:cs="Arial"/>
                <w:sz w:val="16"/>
              </w:rPr>
              <w:t xml:space="preserve">**Costes directos asociados: Son costes que podemos considerar además del coste del medicamento estudiado. Por ejemplo otros medicamentos adicionales requeridos, pruebas de monitorización y laboratorio, pruebas de cribado (farmacogenética, biomarcadores…), material de infusión o manejo de complicaciones. Se tendrán en cuenta cuando sean relevantes. </w:t>
            </w:r>
          </w:p>
          <w:p w14:paraId="24181B4D" w14:textId="77777777" w:rsidR="00364834" w:rsidRDefault="00364834" w:rsidP="00BB0A3B">
            <w:pPr>
              <w:jc w:val="center"/>
              <w:rPr>
                <w:rFonts w:ascii="Arial" w:hAnsi="Arial" w:cs="Arial"/>
                <w:color w:val="000000"/>
                <w:sz w:val="16"/>
                <w:szCs w:val="16"/>
              </w:rPr>
            </w:pPr>
          </w:p>
        </w:tc>
      </w:tr>
    </w:tbl>
    <w:bookmarkEnd w:id="140"/>
    <w:p w14:paraId="19029478" w14:textId="77777777" w:rsidR="00850189" w:rsidRDefault="00BB0A3B" w:rsidP="00BA360A">
      <w:r>
        <w:t xml:space="preserve"> </w:t>
      </w:r>
    </w:p>
    <w:tbl>
      <w:tblPr>
        <w:tblpPr w:leftFromText="141" w:rightFromText="141" w:vertAnchor="text" w:horzAnchor="page" w:tblpX="1140" w:tblpY="-165"/>
        <w:tblW w:w="10743" w:type="dxa"/>
        <w:tblCellMar>
          <w:left w:w="0" w:type="dxa"/>
          <w:right w:w="0" w:type="dxa"/>
        </w:tblCellMar>
        <w:tblLook w:val="04A0" w:firstRow="1" w:lastRow="0" w:firstColumn="1" w:lastColumn="0" w:noHBand="0" w:noVBand="1"/>
      </w:tblPr>
      <w:tblGrid>
        <w:gridCol w:w="1924"/>
        <w:gridCol w:w="1563"/>
        <w:gridCol w:w="1680"/>
        <w:gridCol w:w="1314"/>
        <w:gridCol w:w="1298"/>
        <w:gridCol w:w="1485"/>
        <w:gridCol w:w="1479"/>
      </w:tblGrid>
      <w:tr w:rsidR="00364834" w14:paraId="7E897233" w14:textId="77777777" w:rsidTr="00364834">
        <w:trPr>
          <w:trHeight w:val="235"/>
        </w:trPr>
        <w:tc>
          <w:tcPr>
            <w:tcW w:w="1924" w:type="dxa"/>
            <w:tcBorders>
              <w:top w:val="single" w:sz="8" w:space="0" w:color="auto"/>
              <w:left w:val="nil"/>
              <w:bottom w:val="single" w:sz="8" w:space="0" w:color="auto"/>
              <w:right w:val="nil"/>
            </w:tcBorders>
            <w:shd w:val="clear" w:color="000000" w:fill="CCFFCC"/>
            <w:tcMar>
              <w:top w:w="15" w:type="dxa"/>
              <w:left w:w="15" w:type="dxa"/>
              <w:bottom w:w="0" w:type="dxa"/>
              <w:right w:w="15" w:type="dxa"/>
            </w:tcMar>
            <w:vAlign w:val="center"/>
            <w:hideMark/>
          </w:tcPr>
          <w:p w14:paraId="2AF1605E" w14:textId="77777777" w:rsidR="00364834" w:rsidRDefault="00364834" w:rsidP="00364834">
            <w:pPr>
              <w:rPr>
                <w:rFonts w:ascii="Arial" w:hAnsi="Arial" w:cs="Arial"/>
                <w:b/>
                <w:bCs/>
                <w:color w:val="000000"/>
                <w:sz w:val="16"/>
                <w:szCs w:val="16"/>
              </w:rPr>
            </w:pPr>
            <w:r>
              <w:rPr>
                <w:rFonts w:ascii="Arial" w:hAnsi="Arial" w:cs="Arial"/>
                <w:b/>
                <w:bCs/>
                <w:color w:val="000000"/>
                <w:sz w:val="16"/>
                <w:szCs w:val="16"/>
              </w:rPr>
              <w:t> </w:t>
            </w:r>
          </w:p>
        </w:tc>
        <w:tc>
          <w:tcPr>
            <w:tcW w:w="8819" w:type="dxa"/>
            <w:gridSpan w:val="6"/>
            <w:tcBorders>
              <w:top w:val="single" w:sz="8" w:space="0" w:color="auto"/>
              <w:left w:val="single" w:sz="8" w:space="0" w:color="auto"/>
              <w:bottom w:val="single" w:sz="8" w:space="0" w:color="auto"/>
              <w:right w:val="single" w:sz="8" w:space="0" w:color="000000"/>
            </w:tcBorders>
            <w:shd w:val="clear" w:color="000000" w:fill="CCFFCC"/>
            <w:tcMar>
              <w:top w:w="15" w:type="dxa"/>
              <w:left w:w="15" w:type="dxa"/>
              <w:bottom w:w="0" w:type="dxa"/>
              <w:right w:w="15" w:type="dxa"/>
            </w:tcMar>
            <w:vAlign w:val="center"/>
            <w:hideMark/>
          </w:tcPr>
          <w:p w14:paraId="090ACDE5"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 xml:space="preserve">Tabla 26. Comparación de costes </w:t>
            </w:r>
            <w:r w:rsidRPr="00DB2899">
              <w:rPr>
                <w:rFonts w:ascii="Arial" w:hAnsi="Arial" w:cs="Arial"/>
                <w:b/>
                <w:bCs/>
                <w:color w:val="000000"/>
                <w:sz w:val="16"/>
                <w:szCs w:val="16"/>
                <w:u w:val="single"/>
              </w:rPr>
              <w:t>notificados</w:t>
            </w:r>
            <w:r>
              <w:rPr>
                <w:rFonts w:ascii="Arial" w:hAnsi="Arial" w:cs="Arial"/>
                <w:b/>
                <w:bCs/>
                <w:color w:val="000000"/>
                <w:sz w:val="16"/>
                <w:szCs w:val="16"/>
              </w:rPr>
              <w:t xml:space="preserve"> del tratamiento evaluado frente a otra/s  alternativa/s </w:t>
            </w:r>
          </w:p>
        </w:tc>
      </w:tr>
      <w:tr w:rsidR="00364834" w14:paraId="586238DC" w14:textId="77777777" w:rsidTr="00364834">
        <w:trPr>
          <w:trHeight w:val="165"/>
        </w:trPr>
        <w:tc>
          <w:tcPr>
            <w:tcW w:w="1924" w:type="dxa"/>
            <w:tcBorders>
              <w:top w:val="nil"/>
              <w:left w:val="nil"/>
              <w:bottom w:val="single" w:sz="8" w:space="0" w:color="auto"/>
              <w:right w:val="nil"/>
            </w:tcBorders>
            <w:shd w:val="clear" w:color="000000" w:fill="CCFFCC"/>
            <w:tcMar>
              <w:top w:w="15" w:type="dxa"/>
              <w:left w:w="15" w:type="dxa"/>
              <w:bottom w:w="0" w:type="dxa"/>
              <w:right w:w="15" w:type="dxa"/>
            </w:tcMar>
            <w:vAlign w:val="center"/>
            <w:hideMark/>
          </w:tcPr>
          <w:p w14:paraId="79EF0E94" w14:textId="77777777" w:rsidR="00364834" w:rsidRDefault="00364834" w:rsidP="00364834">
            <w:pPr>
              <w:rPr>
                <w:rFonts w:ascii="Arial" w:hAnsi="Arial" w:cs="Arial"/>
                <w:b/>
                <w:bCs/>
                <w:color w:val="000000"/>
                <w:sz w:val="16"/>
                <w:szCs w:val="16"/>
              </w:rPr>
            </w:pPr>
            <w:r>
              <w:rPr>
                <w:rFonts w:ascii="Arial" w:hAnsi="Arial" w:cs="Arial"/>
                <w:b/>
                <w:bCs/>
                <w:color w:val="000000"/>
                <w:sz w:val="16"/>
                <w:szCs w:val="16"/>
              </w:rPr>
              <w:t> </w:t>
            </w:r>
          </w:p>
        </w:tc>
        <w:tc>
          <w:tcPr>
            <w:tcW w:w="8819" w:type="dxa"/>
            <w:gridSpan w:val="6"/>
            <w:tcBorders>
              <w:top w:val="single" w:sz="8" w:space="0" w:color="auto"/>
              <w:left w:val="single" w:sz="8" w:space="0" w:color="auto"/>
              <w:bottom w:val="single" w:sz="8" w:space="0" w:color="auto"/>
              <w:right w:val="single" w:sz="8" w:space="0" w:color="000000"/>
            </w:tcBorders>
            <w:shd w:val="clear" w:color="000000" w:fill="CCFFCC"/>
            <w:tcMar>
              <w:top w:w="15" w:type="dxa"/>
              <w:left w:w="15" w:type="dxa"/>
              <w:bottom w:w="0" w:type="dxa"/>
              <w:right w:w="15" w:type="dxa"/>
            </w:tcMar>
            <w:vAlign w:val="center"/>
            <w:hideMark/>
          </w:tcPr>
          <w:p w14:paraId="630F2DF0"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Medicamento</w:t>
            </w:r>
          </w:p>
        </w:tc>
      </w:tr>
      <w:tr w:rsidR="00364834" w14:paraId="1DF980B4" w14:textId="77777777" w:rsidTr="00364834">
        <w:trPr>
          <w:trHeight w:val="165"/>
        </w:trPr>
        <w:tc>
          <w:tcPr>
            <w:tcW w:w="1924" w:type="dxa"/>
            <w:vMerge w:val="restart"/>
            <w:tcBorders>
              <w:top w:val="nil"/>
              <w:left w:val="single" w:sz="8" w:space="0" w:color="auto"/>
              <w:bottom w:val="single" w:sz="8" w:space="0" w:color="000000"/>
              <w:right w:val="single" w:sz="8" w:space="0" w:color="auto"/>
            </w:tcBorders>
            <w:shd w:val="clear" w:color="000000" w:fill="E6E6E6"/>
            <w:tcMar>
              <w:top w:w="15" w:type="dxa"/>
              <w:left w:w="15" w:type="dxa"/>
              <w:bottom w:w="0" w:type="dxa"/>
              <w:right w:w="15" w:type="dxa"/>
            </w:tcMar>
            <w:vAlign w:val="center"/>
            <w:hideMark/>
          </w:tcPr>
          <w:p w14:paraId="4B2C469C" w14:textId="77777777" w:rsidR="00364834" w:rsidRDefault="00364834" w:rsidP="00364834">
            <w:pPr>
              <w:jc w:val="center"/>
              <w:rPr>
                <w:rFonts w:ascii="Arial" w:hAnsi="Arial" w:cs="Arial"/>
                <w:color w:val="000000"/>
              </w:rPr>
            </w:pPr>
            <w:r>
              <w:rPr>
                <w:rFonts w:ascii="Arial" w:hAnsi="Arial" w:cs="Arial"/>
                <w:color w:val="000000"/>
              </w:rPr>
              <w:t> </w:t>
            </w:r>
          </w:p>
        </w:tc>
        <w:tc>
          <w:tcPr>
            <w:tcW w:w="3243" w:type="dxa"/>
            <w:gridSpan w:val="2"/>
            <w:tcBorders>
              <w:top w:val="single" w:sz="8" w:space="0" w:color="auto"/>
              <w:left w:val="nil"/>
              <w:bottom w:val="single" w:sz="8" w:space="0" w:color="auto"/>
              <w:right w:val="single" w:sz="8" w:space="0" w:color="000000"/>
            </w:tcBorders>
            <w:shd w:val="clear" w:color="000000" w:fill="E6E6E6"/>
            <w:tcMar>
              <w:top w:w="15" w:type="dxa"/>
              <w:left w:w="15" w:type="dxa"/>
              <w:bottom w:w="0" w:type="dxa"/>
              <w:right w:w="15" w:type="dxa"/>
            </w:tcMar>
            <w:vAlign w:val="center"/>
            <w:hideMark/>
          </w:tcPr>
          <w:p w14:paraId="7C9D9DB8"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Upadacitinib</w:t>
            </w:r>
          </w:p>
        </w:tc>
        <w:tc>
          <w:tcPr>
            <w:tcW w:w="2612" w:type="dxa"/>
            <w:gridSpan w:val="2"/>
            <w:tcBorders>
              <w:top w:val="single" w:sz="8" w:space="0" w:color="auto"/>
              <w:left w:val="nil"/>
              <w:bottom w:val="single" w:sz="8" w:space="0" w:color="auto"/>
              <w:right w:val="single" w:sz="8" w:space="0" w:color="000000"/>
            </w:tcBorders>
            <w:shd w:val="clear" w:color="000000" w:fill="E6E6E6"/>
            <w:tcMar>
              <w:top w:w="15" w:type="dxa"/>
              <w:left w:w="15" w:type="dxa"/>
              <w:bottom w:w="0" w:type="dxa"/>
              <w:right w:w="15" w:type="dxa"/>
            </w:tcMar>
            <w:vAlign w:val="center"/>
            <w:hideMark/>
          </w:tcPr>
          <w:p w14:paraId="45B88DE2"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Abroctinib</w:t>
            </w:r>
          </w:p>
        </w:tc>
        <w:tc>
          <w:tcPr>
            <w:tcW w:w="2964" w:type="dxa"/>
            <w:gridSpan w:val="2"/>
            <w:tcBorders>
              <w:top w:val="single" w:sz="8" w:space="0" w:color="auto"/>
              <w:left w:val="nil"/>
              <w:bottom w:val="single" w:sz="8" w:space="0" w:color="auto"/>
              <w:right w:val="single" w:sz="8" w:space="0" w:color="000000"/>
            </w:tcBorders>
            <w:shd w:val="clear" w:color="000000" w:fill="E6E6E6"/>
            <w:tcMar>
              <w:top w:w="15" w:type="dxa"/>
              <w:left w:w="15" w:type="dxa"/>
              <w:bottom w:w="0" w:type="dxa"/>
              <w:right w:w="15" w:type="dxa"/>
            </w:tcMar>
            <w:vAlign w:val="center"/>
            <w:hideMark/>
          </w:tcPr>
          <w:p w14:paraId="5428029F"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Baricitinib</w:t>
            </w:r>
          </w:p>
        </w:tc>
      </w:tr>
      <w:tr w:rsidR="00364834" w14:paraId="4369928C" w14:textId="77777777" w:rsidTr="00364834">
        <w:trPr>
          <w:trHeight w:val="486"/>
        </w:trPr>
        <w:tc>
          <w:tcPr>
            <w:tcW w:w="0" w:type="auto"/>
            <w:vMerge/>
            <w:tcBorders>
              <w:top w:val="nil"/>
              <w:left w:val="single" w:sz="8" w:space="0" w:color="auto"/>
              <w:bottom w:val="single" w:sz="8" w:space="0" w:color="000000"/>
              <w:right w:val="single" w:sz="8" w:space="0" w:color="auto"/>
            </w:tcBorders>
            <w:vAlign w:val="center"/>
            <w:hideMark/>
          </w:tcPr>
          <w:p w14:paraId="07CB454C" w14:textId="77777777" w:rsidR="00364834" w:rsidRDefault="00364834" w:rsidP="00364834">
            <w:pPr>
              <w:rPr>
                <w:rFonts w:ascii="Arial" w:hAnsi="Arial" w:cs="Arial"/>
                <w:color w:val="000000"/>
              </w:rPr>
            </w:pPr>
          </w:p>
        </w:tc>
        <w:tc>
          <w:tcPr>
            <w:tcW w:w="1563"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1C2E282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Rinvoq 15 mg comprimidos (Env: 28)(CN: 727711)</w:t>
            </w:r>
          </w:p>
        </w:tc>
        <w:tc>
          <w:tcPr>
            <w:tcW w:w="1680"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31C78589"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Rinvoq 30 mg comprimidos (Env:28) (CN:731564)</w:t>
            </w:r>
          </w:p>
        </w:tc>
        <w:tc>
          <w:tcPr>
            <w:tcW w:w="1314"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4E5AAE0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Cibinqo 100 mg comprimidos (Env:28) (CN: 732470)</w:t>
            </w:r>
          </w:p>
        </w:tc>
        <w:tc>
          <w:tcPr>
            <w:tcW w:w="1298"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07D3843D"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Cibinqo 200mg comprimidos (Env:28) (CN:732471)</w:t>
            </w:r>
          </w:p>
        </w:tc>
        <w:tc>
          <w:tcPr>
            <w:tcW w:w="1485"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5884BA07"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Olumiant 2 mg comprimidos (Env:28) (CN:715262)</w:t>
            </w:r>
          </w:p>
        </w:tc>
        <w:tc>
          <w:tcPr>
            <w:tcW w:w="1479" w:type="dxa"/>
            <w:tcBorders>
              <w:top w:val="nil"/>
              <w:left w:val="nil"/>
              <w:bottom w:val="single" w:sz="8" w:space="0" w:color="auto"/>
              <w:right w:val="single" w:sz="8" w:space="0" w:color="auto"/>
            </w:tcBorders>
            <w:shd w:val="clear" w:color="000000" w:fill="E6E6E6"/>
            <w:tcMar>
              <w:top w:w="15" w:type="dxa"/>
              <w:left w:w="15" w:type="dxa"/>
              <w:bottom w:w="0" w:type="dxa"/>
              <w:right w:w="15" w:type="dxa"/>
            </w:tcMar>
            <w:vAlign w:val="center"/>
            <w:hideMark/>
          </w:tcPr>
          <w:p w14:paraId="76E17C46"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Olumiant 4 mg comprimidos (Env:28) (CN:715264)</w:t>
            </w:r>
          </w:p>
        </w:tc>
      </w:tr>
      <w:tr w:rsidR="00364834" w14:paraId="2E7198FD" w14:textId="77777777" w:rsidTr="00364834">
        <w:trPr>
          <w:trHeight w:val="245"/>
        </w:trPr>
        <w:tc>
          <w:tcPr>
            <w:tcW w:w="1924"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427EE49"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Precio unitario (PVL+IVA) *</w:t>
            </w:r>
          </w:p>
        </w:tc>
        <w:tc>
          <w:tcPr>
            <w:tcW w:w="156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AED2FCD"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32,32 € </w:t>
            </w:r>
          </w:p>
        </w:tc>
        <w:tc>
          <w:tcPr>
            <w:tcW w:w="16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84F97AE"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62,24 € </w:t>
            </w:r>
          </w:p>
        </w:tc>
        <w:tc>
          <w:tcPr>
            <w:tcW w:w="1314"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07A9745"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33,00 € </w:t>
            </w:r>
          </w:p>
        </w:tc>
        <w:tc>
          <w:tcPr>
            <w:tcW w:w="129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A0A2096"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33,00 € </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190F155"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26,80 € </w:t>
            </w:r>
          </w:p>
        </w:tc>
        <w:tc>
          <w:tcPr>
            <w:tcW w:w="1479"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08737B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26,80 € </w:t>
            </w:r>
          </w:p>
        </w:tc>
      </w:tr>
      <w:tr w:rsidR="00364834" w14:paraId="31C298A8" w14:textId="77777777" w:rsidTr="00364834">
        <w:trPr>
          <w:trHeight w:val="413"/>
        </w:trPr>
        <w:tc>
          <w:tcPr>
            <w:tcW w:w="1924"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06E126"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Posología</w:t>
            </w:r>
          </w:p>
        </w:tc>
        <w:tc>
          <w:tcPr>
            <w:tcW w:w="156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DF85455"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15 mg/día  </w:t>
            </w:r>
          </w:p>
        </w:tc>
        <w:tc>
          <w:tcPr>
            <w:tcW w:w="16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AC81F6F"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30 mg/día</w:t>
            </w:r>
          </w:p>
        </w:tc>
        <w:tc>
          <w:tcPr>
            <w:tcW w:w="1314"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A6AEE5E"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100 mg/día</w:t>
            </w:r>
          </w:p>
        </w:tc>
        <w:tc>
          <w:tcPr>
            <w:tcW w:w="129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3476E88"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200 mg/día</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6681DD8"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2 mg/día</w:t>
            </w:r>
          </w:p>
        </w:tc>
        <w:tc>
          <w:tcPr>
            <w:tcW w:w="1479"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34D910D"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4 mg/día</w:t>
            </w:r>
          </w:p>
        </w:tc>
      </w:tr>
      <w:tr w:rsidR="00364834" w14:paraId="01933E2A" w14:textId="77777777" w:rsidTr="00364834">
        <w:trPr>
          <w:trHeight w:val="276"/>
        </w:trPr>
        <w:tc>
          <w:tcPr>
            <w:tcW w:w="1924"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1674551"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Coste/día (inducción)</w:t>
            </w:r>
          </w:p>
        </w:tc>
        <w:tc>
          <w:tcPr>
            <w:tcW w:w="156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1DAF790"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32,32 € </w:t>
            </w:r>
          </w:p>
        </w:tc>
        <w:tc>
          <w:tcPr>
            <w:tcW w:w="16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8581F90"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62,24 € </w:t>
            </w:r>
          </w:p>
        </w:tc>
        <w:tc>
          <w:tcPr>
            <w:tcW w:w="1314"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7BF9F65"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33,00 € </w:t>
            </w:r>
          </w:p>
        </w:tc>
        <w:tc>
          <w:tcPr>
            <w:tcW w:w="129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D52B57D"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33,00 € </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9096768"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26,80 € </w:t>
            </w:r>
          </w:p>
        </w:tc>
        <w:tc>
          <w:tcPr>
            <w:tcW w:w="1479"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8D0E94E"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26,80 € </w:t>
            </w:r>
          </w:p>
        </w:tc>
      </w:tr>
      <w:tr w:rsidR="00364834" w14:paraId="3BF3FD68" w14:textId="77777777" w:rsidTr="00364834">
        <w:trPr>
          <w:trHeight w:val="245"/>
        </w:trPr>
        <w:tc>
          <w:tcPr>
            <w:tcW w:w="1924"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8C4893C"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Coste/día (mantenimiento</w:t>
            </w:r>
          </w:p>
        </w:tc>
        <w:tc>
          <w:tcPr>
            <w:tcW w:w="156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6D16A35"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32,32 € </w:t>
            </w:r>
          </w:p>
        </w:tc>
        <w:tc>
          <w:tcPr>
            <w:tcW w:w="16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AE46D6C"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62,24 € </w:t>
            </w:r>
          </w:p>
        </w:tc>
        <w:tc>
          <w:tcPr>
            <w:tcW w:w="1314"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846BBB4"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33,00 € </w:t>
            </w:r>
          </w:p>
        </w:tc>
        <w:tc>
          <w:tcPr>
            <w:tcW w:w="129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C9B9859"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33,00 € </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8304B67"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26,80 € </w:t>
            </w:r>
          </w:p>
        </w:tc>
        <w:tc>
          <w:tcPr>
            <w:tcW w:w="1479"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FC96352"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26,80 € </w:t>
            </w:r>
          </w:p>
        </w:tc>
      </w:tr>
      <w:tr w:rsidR="00364834" w14:paraId="3C7A46AD" w14:textId="77777777" w:rsidTr="00364834">
        <w:trPr>
          <w:trHeight w:val="389"/>
        </w:trPr>
        <w:tc>
          <w:tcPr>
            <w:tcW w:w="1924" w:type="dxa"/>
            <w:tcBorders>
              <w:top w:val="nil"/>
              <w:left w:val="single" w:sz="8" w:space="0" w:color="auto"/>
              <w:bottom w:val="single" w:sz="8" w:space="0" w:color="auto"/>
              <w:right w:val="single" w:sz="8" w:space="0" w:color="auto"/>
            </w:tcBorders>
            <w:shd w:val="clear" w:color="000000" w:fill="D0CECE"/>
            <w:tcMar>
              <w:top w:w="15" w:type="dxa"/>
              <w:left w:w="15" w:type="dxa"/>
              <w:bottom w:w="0" w:type="dxa"/>
              <w:right w:w="15" w:type="dxa"/>
            </w:tcMar>
            <w:vAlign w:val="center"/>
            <w:hideMark/>
          </w:tcPr>
          <w:p w14:paraId="1A4D569A"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Coste tratamiento 1º año</w:t>
            </w:r>
          </w:p>
        </w:tc>
        <w:tc>
          <w:tcPr>
            <w:tcW w:w="156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40000ED"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11.797,97 € </w:t>
            </w:r>
          </w:p>
        </w:tc>
        <w:tc>
          <w:tcPr>
            <w:tcW w:w="16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F3059AB"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22.718,11 € </w:t>
            </w:r>
          </w:p>
        </w:tc>
        <w:tc>
          <w:tcPr>
            <w:tcW w:w="1314"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CECB93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12.043,76 € </w:t>
            </w:r>
          </w:p>
        </w:tc>
        <w:tc>
          <w:tcPr>
            <w:tcW w:w="129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08AEA8B"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12.043,76 € </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C54B5B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9.781,48 € </w:t>
            </w:r>
          </w:p>
        </w:tc>
        <w:tc>
          <w:tcPr>
            <w:tcW w:w="1479"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8CC9B9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9.781,48 € </w:t>
            </w:r>
          </w:p>
        </w:tc>
      </w:tr>
      <w:tr w:rsidR="00364834" w14:paraId="7F88E7ED" w14:textId="77777777" w:rsidTr="00364834">
        <w:trPr>
          <w:trHeight w:val="413"/>
        </w:trPr>
        <w:tc>
          <w:tcPr>
            <w:tcW w:w="1924" w:type="dxa"/>
            <w:tcBorders>
              <w:top w:val="nil"/>
              <w:left w:val="single" w:sz="8" w:space="0" w:color="auto"/>
              <w:bottom w:val="single" w:sz="8" w:space="0" w:color="auto"/>
              <w:right w:val="single" w:sz="8" w:space="0" w:color="auto"/>
            </w:tcBorders>
            <w:shd w:val="clear" w:color="000000" w:fill="FFE699"/>
            <w:tcMar>
              <w:top w:w="15" w:type="dxa"/>
              <w:left w:w="15" w:type="dxa"/>
              <w:bottom w:w="0" w:type="dxa"/>
              <w:right w:w="15" w:type="dxa"/>
            </w:tcMar>
            <w:vAlign w:val="center"/>
            <w:hideMark/>
          </w:tcPr>
          <w:p w14:paraId="39F62B9F"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Coste tratamiento/año &gt;1º año</w:t>
            </w:r>
          </w:p>
        </w:tc>
        <w:tc>
          <w:tcPr>
            <w:tcW w:w="156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3F44542"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11.797,97 € </w:t>
            </w:r>
          </w:p>
        </w:tc>
        <w:tc>
          <w:tcPr>
            <w:tcW w:w="16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D11CE4B"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22.718,11 € </w:t>
            </w:r>
          </w:p>
        </w:tc>
        <w:tc>
          <w:tcPr>
            <w:tcW w:w="1314"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F23DA80"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12.043,76 € </w:t>
            </w:r>
          </w:p>
        </w:tc>
        <w:tc>
          <w:tcPr>
            <w:tcW w:w="129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D8256BD"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12.043,76 € </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C465C6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9.781,48 € </w:t>
            </w:r>
          </w:p>
        </w:tc>
        <w:tc>
          <w:tcPr>
            <w:tcW w:w="1479"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2541A7C"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9.781,48 € </w:t>
            </w:r>
          </w:p>
        </w:tc>
      </w:tr>
      <w:tr w:rsidR="00364834" w14:paraId="42336C63" w14:textId="77777777" w:rsidTr="00364834">
        <w:trPr>
          <w:trHeight w:val="333"/>
        </w:trPr>
        <w:tc>
          <w:tcPr>
            <w:tcW w:w="1924"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23669FB"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 xml:space="preserve">Costes directos </w:t>
            </w:r>
          </w:p>
        </w:tc>
        <w:tc>
          <w:tcPr>
            <w:tcW w:w="1563" w:type="dxa"/>
            <w:tcBorders>
              <w:top w:val="nil"/>
              <w:left w:val="nil"/>
              <w:bottom w:val="single" w:sz="8" w:space="0" w:color="auto"/>
              <w:right w:val="nil"/>
            </w:tcBorders>
            <w:tcMar>
              <w:top w:w="15" w:type="dxa"/>
              <w:left w:w="15" w:type="dxa"/>
              <w:bottom w:w="0" w:type="dxa"/>
              <w:right w:w="15" w:type="dxa"/>
            </w:tcMar>
            <w:vAlign w:val="center"/>
            <w:hideMark/>
          </w:tcPr>
          <w:p w14:paraId="3C8C97D4"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806 € (DE 1.545 €)</w:t>
            </w:r>
          </w:p>
        </w:tc>
        <w:tc>
          <w:tcPr>
            <w:tcW w:w="1680" w:type="dxa"/>
            <w:tcBorders>
              <w:top w:val="nil"/>
              <w:left w:val="single" w:sz="8" w:space="0" w:color="auto"/>
              <w:bottom w:val="single" w:sz="8" w:space="0" w:color="auto"/>
              <w:right w:val="nil"/>
            </w:tcBorders>
            <w:tcMar>
              <w:top w:w="15" w:type="dxa"/>
              <w:left w:w="15" w:type="dxa"/>
              <w:bottom w:w="0" w:type="dxa"/>
              <w:right w:w="15" w:type="dxa"/>
            </w:tcMar>
            <w:vAlign w:val="center"/>
            <w:hideMark/>
          </w:tcPr>
          <w:p w14:paraId="78A96B17"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806 € (DE 1.545 €)</w:t>
            </w:r>
          </w:p>
        </w:tc>
        <w:tc>
          <w:tcPr>
            <w:tcW w:w="1314" w:type="dxa"/>
            <w:tcBorders>
              <w:top w:val="nil"/>
              <w:left w:val="single" w:sz="8" w:space="0" w:color="auto"/>
              <w:bottom w:val="single" w:sz="8" w:space="0" w:color="auto"/>
              <w:right w:val="nil"/>
            </w:tcBorders>
            <w:tcMar>
              <w:top w:w="15" w:type="dxa"/>
              <w:left w:w="15" w:type="dxa"/>
              <w:bottom w:w="0" w:type="dxa"/>
              <w:right w:w="15" w:type="dxa"/>
            </w:tcMar>
            <w:vAlign w:val="center"/>
            <w:hideMark/>
          </w:tcPr>
          <w:p w14:paraId="167E51B6"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806 € (DE 1.545 €)</w:t>
            </w:r>
          </w:p>
        </w:tc>
        <w:tc>
          <w:tcPr>
            <w:tcW w:w="1298" w:type="dxa"/>
            <w:tcBorders>
              <w:top w:val="nil"/>
              <w:left w:val="single" w:sz="8" w:space="0" w:color="auto"/>
              <w:bottom w:val="single" w:sz="8" w:space="0" w:color="auto"/>
              <w:right w:val="nil"/>
            </w:tcBorders>
            <w:tcMar>
              <w:top w:w="15" w:type="dxa"/>
              <w:left w:w="15" w:type="dxa"/>
              <w:bottom w:w="0" w:type="dxa"/>
              <w:right w:w="15" w:type="dxa"/>
            </w:tcMar>
            <w:vAlign w:val="center"/>
            <w:hideMark/>
          </w:tcPr>
          <w:p w14:paraId="07116C71"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806 € (DE 1.545 €)</w:t>
            </w:r>
          </w:p>
        </w:tc>
        <w:tc>
          <w:tcPr>
            <w:tcW w:w="1485" w:type="dxa"/>
            <w:tcBorders>
              <w:top w:val="nil"/>
              <w:left w:val="single" w:sz="8" w:space="0" w:color="auto"/>
              <w:bottom w:val="single" w:sz="8" w:space="0" w:color="auto"/>
              <w:right w:val="nil"/>
            </w:tcBorders>
            <w:tcMar>
              <w:top w:w="15" w:type="dxa"/>
              <w:left w:w="15" w:type="dxa"/>
              <w:bottom w:w="0" w:type="dxa"/>
              <w:right w:w="15" w:type="dxa"/>
            </w:tcMar>
            <w:vAlign w:val="center"/>
            <w:hideMark/>
          </w:tcPr>
          <w:p w14:paraId="4279DCCE"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806 € (DE 1.545 €)</w:t>
            </w:r>
          </w:p>
        </w:tc>
        <w:tc>
          <w:tcPr>
            <w:tcW w:w="147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81895B0"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806 € (DE 1.545 €)</w:t>
            </w:r>
          </w:p>
        </w:tc>
      </w:tr>
      <w:tr w:rsidR="00364834" w14:paraId="70FD5678" w14:textId="77777777" w:rsidTr="00364834">
        <w:trPr>
          <w:trHeight w:val="261"/>
        </w:trPr>
        <w:tc>
          <w:tcPr>
            <w:tcW w:w="1924"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9D1D793"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Coste global/año &gt;1º año</w:t>
            </w:r>
          </w:p>
        </w:tc>
        <w:tc>
          <w:tcPr>
            <w:tcW w:w="1563" w:type="dxa"/>
            <w:tcBorders>
              <w:top w:val="nil"/>
              <w:left w:val="nil"/>
              <w:bottom w:val="single" w:sz="8" w:space="0" w:color="auto"/>
              <w:right w:val="nil"/>
            </w:tcBorders>
            <w:tcMar>
              <w:top w:w="15" w:type="dxa"/>
              <w:left w:w="15" w:type="dxa"/>
              <w:bottom w:w="0" w:type="dxa"/>
              <w:right w:w="15" w:type="dxa"/>
            </w:tcMar>
            <w:vAlign w:val="center"/>
            <w:hideMark/>
          </w:tcPr>
          <w:p w14:paraId="1247F26E" w14:textId="77777777" w:rsidR="00364834" w:rsidRDefault="00364834" w:rsidP="00364834">
            <w:pPr>
              <w:rPr>
                <w:rFonts w:ascii="Arial" w:hAnsi="Arial" w:cs="Arial"/>
                <w:color w:val="000000"/>
                <w:sz w:val="16"/>
                <w:szCs w:val="16"/>
              </w:rPr>
            </w:pPr>
            <w:r>
              <w:rPr>
                <w:rFonts w:ascii="Arial" w:hAnsi="Arial" w:cs="Arial"/>
                <w:color w:val="000000"/>
                <w:sz w:val="16"/>
                <w:szCs w:val="16"/>
              </w:rPr>
              <w:t xml:space="preserve">              12.603,97 € </w:t>
            </w:r>
          </w:p>
        </w:tc>
        <w:tc>
          <w:tcPr>
            <w:tcW w:w="1680" w:type="dxa"/>
            <w:tcBorders>
              <w:top w:val="nil"/>
              <w:left w:val="single" w:sz="8" w:space="0" w:color="auto"/>
              <w:bottom w:val="single" w:sz="8" w:space="0" w:color="auto"/>
              <w:right w:val="nil"/>
            </w:tcBorders>
            <w:tcMar>
              <w:top w:w="15" w:type="dxa"/>
              <w:left w:w="15" w:type="dxa"/>
              <w:bottom w:w="0" w:type="dxa"/>
              <w:right w:w="15" w:type="dxa"/>
            </w:tcMar>
            <w:vAlign w:val="center"/>
            <w:hideMark/>
          </w:tcPr>
          <w:p w14:paraId="6D2C1922" w14:textId="77777777" w:rsidR="00364834" w:rsidRDefault="00364834" w:rsidP="00364834">
            <w:pPr>
              <w:rPr>
                <w:rFonts w:ascii="Arial" w:hAnsi="Arial" w:cs="Arial"/>
                <w:color w:val="000000"/>
                <w:sz w:val="16"/>
                <w:szCs w:val="16"/>
              </w:rPr>
            </w:pPr>
            <w:r>
              <w:rPr>
                <w:rFonts w:ascii="Arial" w:hAnsi="Arial" w:cs="Arial"/>
                <w:color w:val="000000"/>
                <w:sz w:val="16"/>
                <w:szCs w:val="16"/>
              </w:rPr>
              <w:t xml:space="preserve">                 23.524,11 € </w:t>
            </w:r>
          </w:p>
        </w:tc>
        <w:tc>
          <w:tcPr>
            <w:tcW w:w="1314" w:type="dxa"/>
            <w:tcBorders>
              <w:top w:val="nil"/>
              <w:left w:val="single" w:sz="8" w:space="0" w:color="auto"/>
              <w:bottom w:val="single" w:sz="8" w:space="0" w:color="auto"/>
              <w:right w:val="nil"/>
            </w:tcBorders>
            <w:tcMar>
              <w:top w:w="15" w:type="dxa"/>
              <w:left w:w="15" w:type="dxa"/>
              <w:bottom w:w="0" w:type="dxa"/>
              <w:right w:w="15" w:type="dxa"/>
            </w:tcMar>
            <w:vAlign w:val="center"/>
            <w:hideMark/>
          </w:tcPr>
          <w:p w14:paraId="4FCD2FE0" w14:textId="77777777" w:rsidR="00364834" w:rsidRDefault="00364834" w:rsidP="00364834">
            <w:pPr>
              <w:rPr>
                <w:rFonts w:ascii="Arial" w:hAnsi="Arial" w:cs="Arial"/>
                <w:color w:val="000000"/>
                <w:sz w:val="16"/>
                <w:szCs w:val="16"/>
              </w:rPr>
            </w:pPr>
            <w:r>
              <w:rPr>
                <w:rFonts w:ascii="Arial" w:hAnsi="Arial" w:cs="Arial"/>
                <w:color w:val="000000"/>
                <w:sz w:val="16"/>
                <w:szCs w:val="16"/>
              </w:rPr>
              <w:t xml:space="preserve">         12.849,76 € </w:t>
            </w:r>
          </w:p>
        </w:tc>
        <w:tc>
          <w:tcPr>
            <w:tcW w:w="1298" w:type="dxa"/>
            <w:tcBorders>
              <w:top w:val="nil"/>
              <w:left w:val="single" w:sz="8" w:space="0" w:color="auto"/>
              <w:bottom w:val="single" w:sz="8" w:space="0" w:color="auto"/>
              <w:right w:val="nil"/>
            </w:tcBorders>
            <w:tcMar>
              <w:top w:w="15" w:type="dxa"/>
              <w:left w:w="15" w:type="dxa"/>
              <w:bottom w:w="0" w:type="dxa"/>
              <w:right w:w="15" w:type="dxa"/>
            </w:tcMar>
            <w:vAlign w:val="center"/>
            <w:hideMark/>
          </w:tcPr>
          <w:p w14:paraId="0DB28E67" w14:textId="77777777" w:rsidR="00364834" w:rsidRDefault="00364834" w:rsidP="00364834">
            <w:pPr>
              <w:rPr>
                <w:rFonts w:ascii="Arial" w:hAnsi="Arial" w:cs="Arial"/>
                <w:color w:val="000000"/>
                <w:sz w:val="16"/>
                <w:szCs w:val="16"/>
              </w:rPr>
            </w:pPr>
            <w:r>
              <w:rPr>
                <w:rFonts w:ascii="Arial" w:hAnsi="Arial" w:cs="Arial"/>
                <w:color w:val="000000"/>
                <w:sz w:val="16"/>
                <w:szCs w:val="16"/>
              </w:rPr>
              <w:t xml:space="preserve">        12.849,76 € </w:t>
            </w:r>
          </w:p>
        </w:tc>
        <w:tc>
          <w:tcPr>
            <w:tcW w:w="1485" w:type="dxa"/>
            <w:tcBorders>
              <w:top w:val="nil"/>
              <w:left w:val="single" w:sz="8" w:space="0" w:color="auto"/>
              <w:bottom w:val="single" w:sz="8" w:space="0" w:color="auto"/>
              <w:right w:val="nil"/>
            </w:tcBorders>
            <w:tcMar>
              <w:top w:w="15" w:type="dxa"/>
              <w:left w:w="15" w:type="dxa"/>
              <w:bottom w:w="0" w:type="dxa"/>
              <w:right w:w="15" w:type="dxa"/>
            </w:tcMar>
            <w:vAlign w:val="center"/>
            <w:hideMark/>
          </w:tcPr>
          <w:p w14:paraId="160DB9B9" w14:textId="77777777" w:rsidR="00364834" w:rsidRDefault="00364834" w:rsidP="00364834">
            <w:pPr>
              <w:rPr>
                <w:rFonts w:ascii="Arial" w:hAnsi="Arial" w:cs="Arial"/>
                <w:color w:val="000000"/>
                <w:sz w:val="16"/>
                <w:szCs w:val="16"/>
              </w:rPr>
            </w:pPr>
            <w:r>
              <w:rPr>
                <w:rFonts w:ascii="Arial" w:hAnsi="Arial" w:cs="Arial"/>
                <w:color w:val="000000"/>
                <w:sz w:val="16"/>
                <w:szCs w:val="16"/>
              </w:rPr>
              <w:t xml:space="preserve">             10.587,48 € </w:t>
            </w:r>
          </w:p>
        </w:tc>
        <w:tc>
          <w:tcPr>
            <w:tcW w:w="147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79A9971" w14:textId="77777777" w:rsidR="00364834" w:rsidRDefault="00364834" w:rsidP="00364834">
            <w:pPr>
              <w:rPr>
                <w:rFonts w:ascii="Arial" w:hAnsi="Arial" w:cs="Arial"/>
                <w:color w:val="000000"/>
                <w:sz w:val="16"/>
                <w:szCs w:val="16"/>
              </w:rPr>
            </w:pPr>
            <w:r>
              <w:rPr>
                <w:rFonts w:ascii="Arial" w:hAnsi="Arial" w:cs="Arial"/>
                <w:color w:val="000000"/>
                <w:sz w:val="16"/>
                <w:szCs w:val="16"/>
              </w:rPr>
              <w:t xml:space="preserve">            10.587,48 € </w:t>
            </w:r>
          </w:p>
        </w:tc>
      </w:tr>
      <w:tr w:rsidR="00364834" w14:paraId="2148C1B9" w14:textId="77777777" w:rsidTr="00364834">
        <w:trPr>
          <w:trHeight w:val="573"/>
        </w:trPr>
        <w:tc>
          <w:tcPr>
            <w:tcW w:w="1924" w:type="dxa"/>
            <w:tcBorders>
              <w:top w:val="nil"/>
              <w:left w:val="single" w:sz="8" w:space="0" w:color="auto"/>
              <w:bottom w:val="single" w:sz="8" w:space="0" w:color="auto"/>
              <w:right w:val="single" w:sz="8" w:space="0" w:color="auto"/>
            </w:tcBorders>
            <w:shd w:val="clear" w:color="000000" w:fill="D0CECE"/>
            <w:tcMar>
              <w:top w:w="15" w:type="dxa"/>
              <w:left w:w="15" w:type="dxa"/>
              <w:bottom w:w="0" w:type="dxa"/>
              <w:right w:w="15" w:type="dxa"/>
            </w:tcMar>
            <w:vAlign w:val="center"/>
            <w:hideMark/>
          </w:tcPr>
          <w:p w14:paraId="41EB324E"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Coste incremental 1º año respecto a Dupilumab</w:t>
            </w:r>
          </w:p>
        </w:tc>
        <w:tc>
          <w:tcPr>
            <w:tcW w:w="1563"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6F5A5C9" w14:textId="77777777" w:rsidR="00364834" w:rsidRDefault="00364834" w:rsidP="00364834">
            <w:pPr>
              <w:jc w:val="right"/>
              <w:rPr>
                <w:rFonts w:ascii="Arial" w:hAnsi="Arial" w:cs="Arial"/>
                <w:color w:val="000000"/>
                <w:sz w:val="16"/>
                <w:szCs w:val="16"/>
              </w:rPr>
            </w:pPr>
            <w:r>
              <w:rPr>
                <w:rFonts w:ascii="Arial" w:hAnsi="Arial" w:cs="Arial"/>
                <w:color w:val="000000"/>
                <w:sz w:val="16"/>
                <w:szCs w:val="16"/>
              </w:rPr>
              <w:t xml:space="preserve">-               3.977,93 € </w:t>
            </w:r>
          </w:p>
        </w:tc>
        <w:tc>
          <w:tcPr>
            <w:tcW w:w="16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8E60CD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6.942,22 € </w:t>
            </w:r>
          </w:p>
        </w:tc>
        <w:tc>
          <w:tcPr>
            <w:tcW w:w="1314"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C87D259"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3.732,14 € </w:t>
            </w:r>
          </w:p>
        </w:tc>
        <w:tc>
          <w:tcPr>
            <w:tcW w:w="1298"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19D814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3.732,14 € </w:t>
            </w:r>
          </w:p>
        </w:tc>
        <w:tc>
          <w:tcPr>
            <w:tcW w:w="1485"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275CF5F"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5.994,42 € </w:t>
            </w:r>
          </w:p>
        </w:tc>
        <w:tc>
          <w:tcPr>
            <w:tcW w:w="1479"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CA1410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5.994,42 € </w:t>
            </w:r>
          </w:p>
        </w:tc>
      </w:tr>
      <w:tr w:rsidR="00364834" w14:paraId="0CE32FC3" w14:textId="77777777" w:rsidTr="00364834">
        <w:trPr>
          <w:trHeight w:val="598"/>
        </w:trPr>
        <w:tc>
          <w:tcPr>
            <w:tcW w:w="1924" w:type="dxa"/>
            <w:tcBorders>
              <w:top w:val="nil"/>
              <w:left w:val="single" w:sz="8" w:space="0" w:color="auto"/>
              <w:bottom w:val="single" w:sz="4" w:space="0" w:color="auto"/>
              <w:right w:val="single" w:sz="8" w:space="0" w:color="auto"/>
            </w:tcBorders>
            <w:shd w:val="clear" w:color="000000" w:fill="FFE699"/>
            <w:tcMar>
              <w:top w:w="15" w:type="dxa"/>
              <w:left w:w="15" w:type="dxa"/>
              <w:bottom w:w="0" w:type="dxa"/>
              <w:right w:w="15" w:type="dxa"/>
            </w:tcMar>
            <w:vAlign w:val="center"/>
            <w:hideMark/>
          </w:tcPr>
          <w:p w14:paraId="7F3CACAC" w14:textId="77777777" w:rsidR="00364834" w:rsidRDefault="00364834" w:rsidP="00364834">
            <w:pPr>
              <w:jc w:val="center"/>
              <w:rPr>
                <w:rFonts w:ascii="Arial" w:hAnsi="Arial" w:cs="Arial"/>
                <w:b/>
                <w:bCs/>
                <w:color w:val="000000"/>
                <w:sz w:val="16"/>
                <w:szCs w:val="16"/>
              </w:rPr>
            </w:pPr>
            <w:r>
              <w:rPr>
                <w:rFonts w:ascii="Arial" w:hAnsi="Arial" w:cs="Arial"/>
                <w:b/>
                <w:bCs/>
                <w:color w:val="000000"/>
                <w:sz w:val="16"/>
                <w:szCs w:val="16"/>
              </w:rPr>
              <w:t>Coste incremental &gt;1º año respecto a Dupilumab</w:t>
            </w:r>
          </w:p>
        </w:tc>
        <w:tc>
          <w:tcPr>
            <w:tcW w:w="1563"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55B933DA"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3.395,18 € </w:t>
            </w:r>
          </w:p>
        </w:tc>
        <w:tc>
          <w:tcPr>
            <w:tcW w:w="1680"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3D07054B"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7.524,97 € </w:t>
            </w:r>
          </w:p>
        </w:tc>
        <w:tc>
          <w:tcPr>
            <w:tcW w:w="1314"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5162D294"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3.149,39 € </w:t>
            </w:r>
          </w:p>
        </w:tc>
        <w:tc>
          <w:tcPr>
            <w:tcW w:w="1298"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57356AC8"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3.149,39 € </w:t>
            </w:r>
          </w:p>
        </w:tc>
        <w:tc>
          <w:tcPr>
            <w:tcW w:w="1485"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374E4D87"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5.411,67 € </w:t>
            </w:r>
          </w:p>
        </w:tc>
        <w:tc>
          <w:tcPr>
            <w:tcW w:w="1479"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520109D6" w14:textId="77777777" w:rsidR="00364834" w:rsidRDefault="00364834" w:rsidP="00364834">
            <w:pPr>
              <w:jc w:val="center"/>
              <w:rPr>
                <w:rFonts w:ascii="Arial" w:hAnsi="Arial" w:cs="Arial"/>
                <w:color w:val="000000"/>
                <w:sz w:val="16"/>
                <w:szCs w:val="16"/>
              </w:rPr>
            </w:pPr>
            <w:r>
              <w:rPr>
                <w:rFonts w:ascii="Arial" w:hAnsi="Arial" w:cs="Arial"/>
                <w:color w:val="000000"/>
                <w:sz w:val="16"/>
                <w:szCs w:val="16"/>
              </w:rPr>
              <w:t xml:space="preserve">-             5.411,67 € </w:t>
            </w:r>
          </w:p>
        </w:tc>
      </w:tr>
      <w:tr w:rsidR="00364834" w14:paraId="1A382611" w14:textId="77777777" w:rsidTr="00364834">
        <w:trPr>
          <w:trHeight w:val="598"/>
        </w:trPr>
        <w:tc>
          <w:tcPr>
            <w:tcW w:w="10743"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15" w:type="dxa"/>
              <w:left w:w="15" w:type="dxa"/>
              <w:bottom w:w="0" w:type="dxa"/>
              <w:right w:w="15" w:type="dxa"/>
            </w:tcMar>
            <w:vAlign w:val="center"/>
          </w:tcPr>
          <w:p w14:paraId="1B876BB6" w14:textId="77777777" w:rsidR="00364834" w:rsidRP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 xml:space="preserve">* Se refiere al coste de la forma farmacéutica (vial, jeringa, comprimido…). Para informes de un hospital, valorar precio del medicamento según ofertas, precios de acuerdo marco, concurso centralizado, etc. </w:t>
            </w:r>
          </w:p>
          <w:p w14:paraId="02ABF73A" w14:textId="353BDAEB" w:rsidR="00364834" w:rsidRDefault="00364834" w:rsidP="00364834">
            <w:pPr>
              <w:jc w:val="center"/>
              <w:rPr>
                <w:rFonts w:ascii="Arial" w:hAnsi="Arial" w:cs="Arial"/>
                <w:color w:val="000000"/>
                <w:sz w:val="16"/>
                <w:szCs w:val="16"/>
              </w:rPr>
            </w:pPr>
            <w:r w:rsidRPr="00364834">
              <w:rPr>
                <w:rFonts w:ascii="Arial" w:hAnsi="Arial" w:cs="Arial"/>
                <w:color w:val="000000"/>
                <w:sz w:val="16"/>
                <w:szCs w:val="16"/>
              </w:rPr>
              <w:t>**Costes directos asociados: Son costes que podemos considerar además del coste del medicamento estudiado. Por ejemplo otros medicamentos adicionales requeridos, pruebas de monitorización y laboratorio, pruebas de cribado (farmacogenética, biomarcadores…), material de infusión o manejo de complicaciones. Se tendrán en cuenta cuando sean relevantes.</w:t>
            </w:r>
          </w:p>
        </w:tc>
      </w:tr>
    </w:tbl>
    <w:p w14:paraId="13067E76" w14:textId="77777777" w:rsidR="00BB0A3B" w:rsidRDefault="00BB0A3B" w:rsidP="00850189">
      <w:r>
        <w:t xml:space="preserve"> </w:t>
      </w:r>
    </w:p>
    <w:tbl>
      <w:tblPr>
        <w:tblpPr w:leftFromText="141" w:rightFromText="141" w:vertAnchor="text" w:horzAnchor="margin" w:tblpXSpec="center" w:tblpY="-114"/>
        <w:tblW w:w="11260" w:type="dxa"/>
        <w:tblCellMar>
          <w:left w:w="70" w:type="dxa"/>
          <w:right w:w="70" w:type="dxa"/>
        </w:tblCellMar>
        <w:tblLook w:val="04A0" w:firstRow="1" w:lastRow="0" w:firstColumn="1" w:lastColumn="0" w:noHBand="0" w:noVBand="1"/>
      </w:tblPr>
      <w:tblGrid>
        <w:gridCol w:w="2020"/>
        <w:gridCol w:w="1640"/>
        <w:gridCol w:w="1760"/>
        <w:gridCol w:w="1380"/>
        <w:gridCol w:w="1360"/>
        <w:gridCol w:w="1560"/>
        <w:gridCol w:w="1540"/>
      </w:tblGrid>
      <w:tr w:rsidR="00842DBE" w14:paraId="43F492C1" w14:textId="77777777" w:rsidTr="00842DBE">
        <w:trPr>
          <w:trHeight w:val="450"/>
        </w:trPr>
        <w:tc>
          <w:tcPr>
            <w:tcW w:w="11260" w:type="dxa"/>
            <w:gridSpan w:val="7"/>
            <w:tcBorders>
              <w:top w:val="single" w:sz="8" w:space="0" w:color="auto"/>
              <w:left w:val="single" w:sz="8" w:space="0" w:color="auto"/>
              <w:bottom w:val="single" w:sz="8" w:space="0" w:color="auto"/>
              <w:right w:val="single" w:sz="8" w:space="0" w:color="000000"/>
            </w:tcBorders>
            <w:shd w:val="clear" w:color="000000" w:fill="CCFFCC"/>
            <w:vAlign w:val="center"/>
            <w:hideMark/>
          </w:tcPr>
          <w:p w14:paraId="659944E3"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Tabla 27. Comparación de costes del tratamiento evaluado frente a otra/s  alternativa/s (tras análisis de sensibilidad)</w:t>
            </w:r>
          </w:p>
        </w:tc>
      </w:tr>
      <w:tr w:rsidR="00842DBE" w14:paraId="04B77D77" w14:textId="77777777" w:rsidTr="00842DBE">
        <w:trPr>
          <w:trHeight w:val="315"/>
        </w:trPr>
        <w:tc>
          <w:tcPr>
            <w:tcW w:w="11260" w:type="dxa"/>
            <w:gridSpan w:val="7"/>
            <w:tcBorders>
              <w:top w:val="single" w:sz="8" w:space="0" w:color="auto"/>
              <w:left w:val="single" w:sz="8" w:space="0" w:color="auto"/>
              <w:bottom w:val="single" w:sz="8" w:space="0" w:color="auto"/>
              <w:right w:val="single" w:sz="8" w:space="0" w:color="000000"/>
            </w:tcBorders>
            <w:shd w:val="clear" w:color="000000" w:fill="CCFFCC"/>
            <w:vAlign w:val="center"/>
            <w:hideMark/>
          </w:tcPr>
          <w:p w14:paraId="18AECB3C"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Medicamento</w:t>
            </w:r>
          </w:p>
        </w:tc>
      </w:tr>
      <w:tr w:rsidR="00842DBE" w14:paraId="4D844D58" w14:textId="77777777" w:rsidTr="00842DBE">
        <w:trPr>
          <w:trHeight w:val="315"/>
        </w:trPr>
        <w:tc>
          <w:tcPr>
            <w:tcW w:w="2020" w:type="dxa"/>
            <w:vMerge w:val="restart"/>
            <w:tcBorders>
              <w:top w:val="nil"/>
              <w:left w:val="single" w:sz="8" w:space="0" w:color="auto"/>
              <w:bottom w:val="single" w:sz="8" w:space="0" w:color="000000"/>
              <w:right w:val="single" w:sz="8" w:space="0" w:color="auto"/>
            </w:tcBorders>
            <w:shd w:val="clear" w:color="000000" w:fill="E6E6E6"/>
            <w:vAlign w:val="center"/>
            <w:hideMark/>
          </w:tcPr>
          <w:p w14:paraId="0E54E858" w14:textId="77777777" w:rsidR="00842DBE" w:rsidRDefault="00842DBE" w:rsidP="00842DBE">
            <w:pPr>
              <w:jc w:val="center"/>
              <w:rPr>
                <w:rFonts w:ascii="Arial" w:hAnsi="Arial" w:cs="Arial"/>
                <w:color w:val="000000"/>
              </w:rPr>
            </w:pPr>
            <w:r>
              <w:rPr>
                <w:rFonts w:ascii="Arial" w:hAnsi="Arial" w:cs="Arial"/>
                <w:color w:val="000000"/>
              </w:rPr>
              <w:t> </w:t>
            </w:r>
          </w:p>
        </w:tc>
        <w:tc>
          <w:tcPr>
            <w:tcW w:w="3400" w:type="dxa"/>
            <w:gridSpan w:val="2"/>
            <w:tcBorders>
              <w:top w:val="single" w:sz="8" w:space="0" w:color="auto"/>
              <w:left w:val="nil"/>
              <w:bottom w:val="single" w:sz="8" w:space="0" w:color="auto"/>
              <w:right w:val="single" w:sz="8" w:space="0" w:color="000000"/>
            </w:tcBorders>
            <w:shd w:val="clear" w:color="000000" w:fill="E6E6E6"/>
            <w:vAlign w:val="center"/>
            <w:hideMark/>
          </w:tcPr>
          <w:p w14:paraId="6A622E97"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Upadacitinib</w:t>
            </w:r>
          </w:p>
        </w:tc>
        <w:tc>
          <w:tcPr>
            <w:tcW w:w="2740" w:type="dxa"/>
            <w:gridSpan w:val="2"/>
            <w:tcBorders>
              <w:top w:val="single" w:sz="8" w:space="0" w:color="auto"/>
              <w:left w:val="nil"/>
              <w:bottom w:val="single" w:sz="8" w:space="0" w:color="auto"/>
              <w:right w:val="single" w:sz="8" w:space="0" w:color="000000"/>
            </w:tcBorders>
            <w:shd w:val="clear" w:color="000000" w:fill="E6E6E6"/>
            <w:vAlign w:val="center"/>
            <w:hideMark/>
          </w:tcPr>
          <w:p w14:paraId="53A240A7"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Abroctinib</w:t>
            </w:r>
          </w:p>
        </w:tc>
        <w:tc>
          <w:tcPr>
            <w:tcW w:w="3100" w:type="dxa"/>
            <w:gridSpan w:val="2"/>
            <w:tcBorders>
              <w:top w:val="single" w:sz="8" w:space="0" w:color="auto"/>
              <w:left w:val="nil"/>
              <w:bottom w:val="single" w:sz="8" w:space="0" w:color="auto"/>
              <w:right w:val="single" w:sz="8" w:space="0" w:color="000000"/>
            </w:tcBorders>
            <w:shd w:val="clear" w:color="000000" w:fill="E6E6E6"/>
            <w:vAlign w:val="center"/>
            <w:hideMark/>
          </w:tcPr>
          <w:p w14:paraId="129732CB"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Baricitinib</w:t>
            </w:r>
          </w:p>
        </w:tc>
      </w:tr>
      <w:tr w:rsidR="00842DBE" w14:paraId="6A63E88E" w14:textId="77777777" w:rsidTr="00842DBE">
        <w:trPr>
          <w:trHeight w:val="915"/>
        </w:trPr>
        <w:tc>
          <w:tcPr>
            <w:tcW w:w="2020" w:type="dxa"/>
            <w:vMerge/>
            <w:tcBorders>
              <w:top w:val="nil"/>
              <w:left w:val="single" w:sz="8" w:space="0" w:color="auto"/>
              <w:bottom w:val="single" w:sz="8" w:space="0" w:color="000000"/>
              <w:right w:val="single" w:sz="8" w:space="0" w:color="auto"/>
            </w:tcBorders>
            <w:vAlign w:val="center"/>
            <w:hideMark/>
          </w:tcPr>
          <w:p w14:paraId="6797FA44" w14:textId="77777777" w:rsidR="00842DBE" w:rsidRDefault="00842DBE" w:rsidP="00842DBE">
            <w:pPr>
              <w:rPr>
                <w:rFonts w:ascii="Arial" w:hAnsi="Arial" w:cs="Arial"/>
                <w:color w:val="000000"/>
              </w:rPr>
            </w:pPr>
          </w:p>
        </w:tc>
        <w:tc>
          <w:tcPr>
            <w:tcW w:w="1640" w:type="dxa"/>
            <w:tcBorders>
              <w:top w:val="nil"/>
              <w:left w:val="nil"/>
              <w:bottom w:val="single" w:sz="8" w:space="0" w:color="auto"/>
              <w:right w:val="single" w:sz="8" w:space="0" w:color="auto"/>
            </w:tcBorders>
            <w:shd w:val="clear" w:color="000000" w:fill="E6E6E6"/>
            <w:vAlign w:val="center"/>
            <w:hideMark/>
          </w:tcPr>
          <w:p w14:paraId="4C68DF9D"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Rinvoq 15 mg comprimidos (Env: 28)(CN: 727711)</w:t>
            </w:r>
          </w:p>
        </w:tc>
        <w:tc>
          <w:tcPr>
            <w:tcW w:w="1760" w:type="dxa"/>
            <w:tcBorders>
              <w:top w:val="nil"/>
              <w:left w:val="nil"/>
              <w:bottom w:val="single" w:sz="8" w:space="0" w:color="auto"/>
              <w:right w:val="single" w:sz="8" w:space="0" w:color="auto"/>
            </w:tcBorders>
            <w:shd w:val="clear" w:color="000000" w:fill="E6E6E6"/>
            <w:vAlign w:val="center"/>
            <w:hideMark/>
          </w:tcPr>
          <w:p w14:paraId="6E576CDD"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Rinvoq 30 mg comprimidos (Env:28) (CN:731564)</w:t>
            </w:r>
          </w:p>
        </w:tc>
        <w:tc>
          <w:tcPr>
            <w:tcW w:w="1380" w:type="dxa"/>
            <w:tcBorders>
              <w:top w:val="nil"/>
              <w:left w:val="nil"/>
              <w:bottom w:val="single" w:sz="8" w:space="0" w:color="auto"/>
              <w:right w:val="single" w:sz="8" w:space="0" w:color="auto"/>
            </w:tcBorders>
            <w:shd w:val="clear" w:color="000000" w:fill="E6E6E6"/>
            <w:vAlign w:val="center"/>
            <w:hideMark/>
          </w:tcPr>
          <w:p w14:paraId="2AF84A88"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Cibinqo 100 mg comprimidos (Env:28) (CN: 732470)</w:t>
            </w:r>
          </w:p>
        </w:tc>
        <w:tc>
          <w:tcPr>
            <w:tcW w:w="1360" w:type="dxa"/>
            <w:tcBorders>
              <w:top w:val="nil"/>
              <w:left w:val="nil"/>
              <w:bottom w:val="single" w:sz="8" w:space="0" w:color="auto"/>
              <w:right w:val="single" w:sz="8" w:space="0" w:color="auto"/>
            </w:tcBorders>
            <w:shd w:val="clear" w:color="000000" w:fill="E6E6E6"/>
            <w:vAlign w:val="center"/>
            <w:hideMark/>
          </w:tcPr>
          <w:p w14:paraId="124FFAC8"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Cibinqo 200mg comprimidos (Env:28) (CN:732471)</w:t>
            </w:r>
          </w:p>
        </w:tc>
        <w:tc>
          <w:tcPr>
            <w:tcW w:w="1560" w:type="dxa"/>
            <w:tcBorders>
              <w:top w:val="nil"/>
              <w:left w:val="nil"/>
              <w:bottom w:val="single" w:sz="8" w:space="0" w:color="auto"/>
              <w:right w:val="single" w:sz="8" w:space="0" w:color="auto"/>
            </w:tcBorders>
            <w:shd w:val="clear" w:color="000000" w:fill="E6E6E6"/>
            <w:vAlign w:val="center"/>
            <w:hideMark/>
          </w:tcPr>
          <w:p w14:paraId="2154870D"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Olumiant 2 mg comprimidos (Env:28) (CN:715262)</w:t>
            </w:r>
          </w:p>
        </w:tc>
        <w:tc>
          <w:tcPr>
            <w:tcW w:w="1540" w:type="dxa"/>
            <w:tcBorders>
              <w:top w:val="nil"/>
              <w:left w:val="nil"/>
              <w:bottom w:val="single" w:sz="8" w:space="0" w:color="auto"/>
              <w:right w:val="single" w:sz="8" w:space="0" w:color="auto"/>
            </w:tcBorders>
            <w:shd w:val="clear" w:color="000000" w:fill="E6E6E6"/>
            <w:vAlign w:val="center"/>
            <w:hideMark/>
          </w:tcPr>
          <w:p w14:paraId="42CDC0A2"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Olumiant 4 mg comprimidos (Env:28) (CN:715264)</w:t>
            </w:r>
          </w:p>
        </w:tc>
      </w:tr>
      <w:tr w:rsidR="00842DBE" w14:paraId="2DB483E2" w14:textId="77777777" w:rsidTr="00842DBE">
        <w:trPr>
          <w:trHeight w:val="465"/>
        </w:trPr>
        <w:tc>
          <w:tcPr>
            <w:tcW w:w="2020" w:type="dxa"/>
            <w:tcBorders>
              <w:top w:val="nil"/>
              <w:left w:val="single" w:sz="8" w:space="0" w:color="auto"/>
              <w:bottom w:val="single" w:sz="8" w:space="0" w:color="auto"/>
              <w:right w:val="single" w:sz="8" w:space="0" w:color="auto"/>
            </w:tcBorders>
            <w:vAlign w:val="center"/>
            <w:hideMark/>
          </w:tcPr>
          <w:p w14:paraId="15DD8A65"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Precio unitario (PVL+IVA) *</w:t>
            </w:r>
          </w:p>
        </w:tc>
        <w:tc>
          <w:tcPr>
            <w:tcW w:w="1640" w:type="dxa"/>
            <w:tcBorders>
              <w:top w:val="nil"/>
              <w:left w:val="nil"/>
              <w:bottom w:val="single" w:sz="8" w:space="0" w:color="auto"/>
              <w:right w:val="single" w:sz="8" w:space="0" w:color="auto"/>
            </w:tcBorders>
            <w:vAlign w:val="center"/>
            <w:hideMark/>
          </w:tcPr>
          <w:p w14:paraId="6F13135D"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15,18 € </w:t>
            </w:r>
          </w:p>
        </w:tc>
        <w:tc>
          <w:tcPr>
            <w:tcW w:w="1760" w:type="dxa"/>
            <w:tcBorders>
              <w:top w:val="nil"/>
              <w:left w:val="nil"/>
              <w:bottom w:val="single" w:sz="8" w:space="0" w:color="auto"/>
              <w:right w:val="single" w:sz="8" w:space="0" w:color="auto"/>
            </w:tcBorders>
            <w:vAlign w:val="center"/>
            <w:hideMark/>
          </w:tcPr>
          <w:p w14:paraId="49DACC59"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15,18 € </w:t>
            </w:r>
          </w:p>
        </w:tc>
        <w:tc>
          <w:tcPr>
            <w:tcW w:w="1380" w:type="dxa"/>
            <w:tcBorders>
              <w:top w:val="nil"/>
              <w:left w:val="nil"/>
              <w:bottom w:val="single" w:sz="8" w:space="0" w:color="auto"/>
              <w:right w:val="single" w:sz="8" w:space="0" w:color="auto"/>
            </w:tcBorders>
            <w:vAlign w:val="center"/>
            <w:hideMark/>
          </w:tcPr>
          <w:p w14:paraId="69DE4C05"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12,93 € </w:t>
            </w:r>
          </w:p>
        </w:tc>
        <w:tc>
          <w:tcPr>
            <w:tcW w:w="1360" w:type="dxa"/>
            <w:tcBorders>
              <w:top w:val="nil"/>
              <w:left w:val="nil"/>
              <w:bottom w:val="single" w:sz="8" w:space="0" w:color="auto"/>
              <w:right w:val="single" w:sz="8" w:space="0" w:color="auto"/>
            </w:tcBorders>
            <w:vAlign w:val="center"/>
            <w:hideMark/>
          </w:tcPr>
          <w:p w14:paraId="101745EB"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12,93 € </w:t>
            </w:r>
          </w:p>
        </w:tc>
        <w:tc>
          <w:tcPr>
            <w:tcW w:w="1560" w:type="dxa"/>
            <w:tcBorders>
              <w:top w:val="nil"/>
              <w:left w:val="nil"/>
              <w:bottom w:val="single" w:sz="8" w:space="0" w:color="auto"/>
              <w:right w:val="single" w:sz="8" w:space="0" w:color="auto"/>
            </w:tcBorders>
            <w:vAlign w:val="center"/>
            <w:hideMark/>
          </w:tcPr>
          <w:p w14:paraId="67E203A3"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11,43 € </w:t>
            </w:r>
          </w:p>
        </w:tc>
        <w:tc>
          <w:tcPr>
            <w:tcW w:w="1540" w:type="dxa"/>
            <w:tcBorders>
              <w:top w:val="nil"/>
              <w:left w:val="nil"/>
              <w:bottom w:val="single" w:sz="8" w:space="0" w:color="auto"/>
              <w:right w:val="single" w:sz="8" w:space="0" w:color="auto"/>
            </w:tcBorders>
            <w:vAlign w:val="center"/>
            <w:hideMark/>
          </w:tcPr>
          <w:p w14:paraId="64B2780D"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15,36 € </w:t>
            </w:r>
          </w:p>
        </w:tc>
      </w:tr>
      <w:tr w:rsidR="00842DBE" w14:paraId="053771F0" w14:textId="77777777" w:rsidTr="00842DBE">
        <w:trPr>
          <w:trHeight w:val="263"/>
        </w:trPr>
        <w:tc>
          <w:tcPr>
            <w:tcW w:w="2020" w:type="dxa"/>
            <w:tcBorders>
              <w:top w:val="nil"/>
              <w:left w:val="single" w:sz="8" w:space="0" w:color="auto"/>
              <w:bottom w:val="single" w:sz="8" w:space="0" w:color="auto"/>
              <w:right w:val="single" w:sz="8" w:space="0" w:color="auto"/>
            </w:tcBorders>
            <w:vAlign w:val="center"/>
            <w:hideMark/>
          </w:tcPr>
          <w:p w14:paraId="013443EE"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Posología</w:t>
            </w:r>
          </w:p>
        </w:tc>
        <w:tc>
          <w:tcPr>
            <w:tcW w:w="1640" w:type="dxa"/>
            <w:tcBorders>
              <w:top w:val="nil"/>
              <w:left w:val="nil"/>
              <w:bottom w:val="single" w:sz="8" w:space="0" w:color="auto"/>
              <w:right w:val="single" w:sz="8" w:space="0" w:color="auto"/>
            </w:tcBorders>
            <w:vAlign w:val="center"/>
            <w:hideMark/>
          </w:tcPr>
          <w:p w14:paraId="4D1EB83C"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 mg/día  </w:t>
            </w:r>
          </w:p>
        </w:tc>
        <w:tc>
          <w:tcPr>
            <w:tcW w:w="1760" w:type="dxa"/>
            <w:tcBorders>
              <w:top w:val="nil"/>
              <w:left w:val="nil"/>
              <w:bottom w:val="single" w:sz="8" w:space="0" w:color="auto"/>
              <w:right w:val="single" w:sz="8" w:space="0" w:color="auto"/>
            </w:tcBorders>
            <w:vAlign w:val="center"/>
            <w:hideMark/>
          </w:tcPr>
          <w:p w14:paraId="2E8EA72C"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30 mg/día</w:t>
            </w:r>
          </w:p>
        </w:tc>
        <w:tc>
          <w:tcPr>
            <w:tcW w:w="1380" w:type="dxa"/>
            <w:tcBorders>
              <w:top w:val="nil"/>
              <w:left w:val="nil"/>
              <w:bottom w:val="single" w:sz="8" w:space="0" w:color="auto"/>
              <w:right w:val="single" w:sz="8" w:space="0" w:color="auto"/>
            </w:tcBorders>
            <w:vAlign w:val="center"/>
            <w:hideMark/>
          </w:tcPr>
          <w:p w14:paraId="31B00BF7"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100 mg/día</w:t>
            </w:r>
          </w:p>
        </w:tc>
        <w:tc>
          <w:tcPr>
            <w:tcW w:w="1360" w:type="dxa"/>
            <w:tcBorders>
              <w:top w:val="nil"/>
              <w:left w:val="nil"/>
              <w:bottom w:val="single" w:sz="8" w:space="0" w:color="auto"/>
              <w:right w:val="single" w:sz="8" w:space="0" w:color="auto"/>
            </w:tcBorders>
            <w:vAlign w:val="center"/>
            <w:hideMark/>
          </w:tcPr>
          <w:p w14:paraId="49C7D96C"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200 mg/día</w:t>
            </w:r>
          </w:p>
        </w:tc>
        <w:tc>
          <w:tcPr>
            <w:tcW w:w="1560" w:type="dxa"/>
            <w:tcBorders>
              <w:top w:val="nil"/>
              <w:left w:val="nil"/>
              <w:bottom w:val="single" w:sz="8" w:space="0" w:color="auto"/>
              <w:right w:val="single" w:sz="8" w:space="0" w:color="auto"/>
            </w:tcBorders>
            <w:vAlign w:val="center"/>
            <w:hideMark/>
          </w:tcPr>
          <w:p w14:paraId="12ECE425"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2 mg/día</w:t>
            </w:r>
          </w:p>
        </w:tc>
        <w:tc>
          <w:tcPr>
            <w:tcW w:w="1540" w:type="dxa"/>
            <w:tcBorders>
              <w:top w:val="nil"/>
              <w:left w:val="nil"/>
              <w:bottom w:val="single" w:sz="8" w:space="0" w:color="auto"/>
              <w:right w:val="single" w:sz="8" w:space="0" w:color="auto"/>
            </w:tcBorders>
            <w:vAlign w:val="center"/>
            <w:hideMark/>
          </w:tcPr>
          <w:p w14:paraId="24F9261A"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4 mg/día</w:t>
            </w:r>
          </w:p>
        </w:tc>
      </w:tr>
      <w:tr w:rsidR="00842DBE" w14:paraId="0C8E8F90" w14:textId="77777777" w:rsidTr="00842DBE">
        <w:trPr>
          <w:trHeight w:val="315"/>
        </w:trPr>
        <w:tc>
          <w:tcPr>
            <w:tcW w:w="2020" w:type="dxa"/>
            <w:tcBorders>
              <w:top w:val="nil"/>
              <w:left w:val="single" w:sz="8" w:space="0" w:color="auto"/>
              <w:bottom w:val="single" w:sz="8" w:space="0" w:color="auto"/>
              <w:right w:val="single" w:sz="8" w:space="0" w:color="auto"/>
            </w:tcBorders>
            <w:vAlign w:val="center"/>
            <w:hideMark/>
          </w:tcPr>
          <w:p w14:paraId="3B1ACA65"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Coste/día (inducción)</w:t>
            </w:r>
          </w:p>
        </w:tc>
        <w:tc>
          <w:tcPr>
            <w:tcW w:w="1640" w:type="dxa"/>
            <w:tcBorders>
              <w:top w:val="nil"/>
              <w:left w:val="nil"/>
              <w:bottom w:val="single" w:sz="8" w:space="0" w:color="auto"/>
              <w:right w:val="single" w:sz="8" w:space="0" w:color="auto"/>
            </w:tcBorders>
            <w:vAlign w:val="center"/>
            <w:hideMark/>
          </w:tcPr>
          <w:p w14:paraId="0DD3661A"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15,18 € </w:t>
            </w:r>
          </w:p>
        </w:tc>
        <w:tc>
          <w:tcPr>
            <w:tcW w:w="1760" w:type="dxa"/>
            <w:tcBorders>
              <w:top w:val="nil"/>
              <w:left w:val="nil"/>
              <w:bottom w:val="single" w:sz="8" w:space="0" w:color="auto"/>
              <w:right w:val="single" w:sz="8" w:space="0" w:color="auto"/>
            </w:tcBorders>
            <w:vAlign w:val="center"/>
            <w:hideMark/>
          </w:tcPr>
          <w:p w14:paraId="0200AC05"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15,18 € </w:t>
            </w:r>
          </w:p>
        </w:tc>
        <w:tc>
          <w:tcPr>
            <w:tcW w:w="1380" w:type="dxa"/>
            <w:tcBorders>
              <w:top w:val="nil"/>
              <w:left w:val="nil"/>
              <w:bottom w:val="single" w:sz="8" w:space="0" w:color="auto"/>
              <w:right w:val="single" w:sz="8" w:space="0" w:color="auto"/>
            </w:tcBorders>
            <w:vAlign w:val="center"/>
            <w:hideMark/>
          </w:tcPr>
          <w:p w14:paraId="6ED3F49C"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12,93 € </w:t>
            </w:r>
          </w:p>
        </w:tc>
        <w:tc>
          <w:tcPr>
            <w:tcW w:w="1360" w:type="dxa"/>
            <w:tcBorders>
              <w:top w:val="nil"/>
              <w:left w:val="nil"/>
              <w:bottom w:val="single" w:sz="8" w:space="0" w:color="auto"/>
              <w:right w:val="single" w:sz="8" w:space="0" w:color="auto"/>
            </w:tcBorders>
            <w:vAlign w:val="center"/>
            <w:hideMark/>
          </w:tcPr>
          <w:p w14:paraId="545BF8BD"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12,93 € </w:t>
            </w:r>
          </w:p>
        </w:tc>
        <w:tc>
          <w:tcPr>
            <w:tcW w:w="1560" w:type="dxa"/>
            <w:tcBorders>
              <w:top w:val="nil"/>
              <w:left w:val="nil"/>
              <w:bottom w:val="single" w:sz="8" w:space="0" w:color="auto"/>
              <w:right w:val="single" w:sz="8" w:space="0" w:color="auto"/>
            </w:tcBorders>
            <w:vAlign w:val="center"/>
            <w:hideMark/>
          </w:tcPr>
          <w:p w14:paraId="67624300"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11,43 € </w:t>
            </w:r>
          </w:p>
        </w:tc>
        <w:tc>
          <w:tcPr>
            <w:tcW w:w="1540" w:type="dxa"/>
            <w:tcBorders>
              <w:top w:val="nil"/>
              <w:left w:val="nil"/>
              <w:bottom w:val="single" w:sz="8" w:space="0" w:color="auto"/>
              <w:right w:val="single" w:sz="8" w:space="0" w:color="auto"/>
            </w:tcBorders>
            <w:vAlign w:val="center"/>
            <w:hideMark/>
          </w:tcPr>
          <w:p w14:paraId="3FB136C2"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15,36 € </w:t>
            </w:r>
          </w:p>
        </w:tc>
      </w:tr>
      <w:tr w:rsidR="00842DBE" w14:paraId="26F3EF37" w14:textId="77777777" w:rsidTr="00842DBE">
        <w:trPr>
          <w:trHeight w:val="465"/>
        </w:trPr>
        <w:tc>
          <w:tcPr>
            <w:tcW w:w="2020" w:type="dxa"/>
            <w:tcBorders>
              <w:top w:val="nil"/>
              <w:left w:val="single" w:sz="8" w:space="0" w:color="auto"/>
              <w:bottom w:val="single" w:sz="8" w:space="0" w:color="auto"/>
              <w:right w:val="single" w:sz="8" w:space="0" w:color="auto"/>
            </w:tcBorders>
            <w:vAlign w:val="center"/>
            <w:hideMark/>
          </w:tcPr>
          <w:p w14:paraId="54264E0B"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Coste/día (mantenimiento</w:t>
            </w:r>
          </w:p>
        </w:tc>
        <w:tc>
          <w:tcPr>
            <w:tcW w:w="1640" w:type="dxa"/>
            <w:tcBorders>
              <w:top w:val="nil"/>
              <w:left w:val="nil"/>
              <w:bottom w:val="single" w:sz="8" w:space="0" w:color="auto"/>
              <w:right w:val="single" w:sz="8" w:space="0" w:color="auto"/>
            </w:tcBorders>
            <w:vAlign w:val="center"/>
            <w:hideMark/>
          </w:tcPr>
          <w:p w14:paraId="5C8CE7D1"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15,18 € </w:t>
            </w:r>
          </w:p>
        </w:tc>
        <w:tc>
          <w:tcPr>
            <w:tcW w:w="1760" w:type="dxa"/>
            <w:tcBorders>
              <w:top w:val="nil"/>
              <w:left w:val="nil"/>
              <w:bottom w:val="single" w:sz="8" w:space="0" w:color="auto"/>
              <w:right w:val="single" w:sz="8" w:space="0" w:color="auto"/>
            </w:tcBorders>
            <w:vAlign w:val="center"/>
            <w:hideMark/>
          </w:tcPr>
          <w:p w14:paraId="24A62561"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15,18 € </w:t>
            </w:r>
          </w:p>
        </w:tc>
        <w:tc>
          <w:tcPr>
            <w:tcW w:w="1380" w:type="dxa"/>
            <w:tcBorders>
              <w:top w:val="nil"/>
              <w:left w:val="nil"/>
              <w:bottom w:val="single" w:sz="8" w:space="0" w:color="auto"/>
              <w:right w:val="single" w:sz="8" w:space="0" w:color="auto"/>
            </w:tcBorders>
            <w:vAlign w:val="center"/>
            <w:hideMark/>
          </w:tcPr>
          <w:p w14:paraId="14F4B5A9"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12,93 € </w:t>
            </w:r>
          </w:p>
        </w:tc>
        <w:tc>
          <w:tcPr>
            <w:tcW w:w="1360" w:type="dxa"/>
            <w:tcBorders>
              <w:top w:val="nil"/>
              <w:left w:val="nil"/>
              <w:bottom w:val="single" w:sz="8" w:space="0" w:color="auto"/>
              <w:right w:val="single" w:sz="8" w:space="0" w:color="auto"/>
            </w:tcBorders>
            <w:vAlign w:val="center"/>
            <w:hideMark/>
          </w:tcPr>
          <w:p w14:paraId="0AE9C973"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12,93 € </w:t>
            </w:r>
          </w:p>
        </w:tc>
        <w:tc>
          <w:tcPr>
            <w:tcW w:w="1560" w:type="dxa"/>
            <w:tcBorders>
              <w:top w:val="nil"/>
              <w:left w:val="nil"/>
              <w:bottom w:val="single" w:sz="8" w:space="0" w:color="auto"/>
              <w:right w:val="single" w:sz="8" w:space="0" w:color="auto"/>
            </w:tcBorders>
            <w:vAlign w:val="center"/>
            <w:hideMark/>
          </w:tcPr>
          <w:p w14:paraId="45E1E4F8"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11,43 € </w:t>
            </w:r>
          </w:p>
        </w:tc>
        <w:tc>
          <w:tcPr>
            <w:tcW w:w="1540" w:type="dxa"/>
            <w:tcBorders>
              <w:top w:val="nil"/>
              <w:left w:val="nil"/>
              <w:bottom w:val="single" w:sz="8" w:space="0" w:color="auto"/>
              <w:right w:val="single" w:sz="8" w:space="0" w:color="auto"/>
            </w:tcBorders>
            <w:vAlign w:val="center"/>
            <w:hideMark/>
          </w:tcPr>
          <w:p w14:paraId="0619CDAC"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15,36 € </w:t>
            </w:r>
          </w:p>
        </w:tc>
      </w:tr>
      <w:tr w:rsidR="00842DBE" w14:paraId="0A3D8227" w14:textId="77777777" w:rsidTr="00842DBE">
        <w:trPr>
          <w:trHeight w:val="465"/>
        </w:trPr>
        <w:tc>
          <w:tcPr>
            <w:tcW w:w="2020" w:type="dxa"/>
            <w:tcBorders>
              <w:top w:val="nil"/>
              <w:left w:val="single" w:sz="8" w:space="0" w:color="auto"/>
              <w:bottom w:val="single" w:sz="8" w:space="0" w:color="auto"/>
              <w:right w:val="single" w:sz="8" w:space="0" w:color="auto"/>
            </w:tcBorders>
            <w:shd w:val="clear" w:color="000000" w:fill="D0CECE"/>
            <w:vAlign w:val="center"/>
            <w:hideMark/>
          </w:tcPr>
          <w:p w14:paraId="772CDF81"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Coste tratamiento 1º año</w:t>
            </w:r>
          </w:p>
        </w:tc>
        <w:tc>
          <w:tcPr>
            <w:tcW w:w="1640" w:type="dxa"/>
            <w:tcBorders>
              <w:top w:val="nil"/>
              <w:left w:val="nil"/>
              <w:bottom w:val="single" w:sz="8" w:space="0" w:color="auto"/>
              <w:right w:val="single" w:sz="8" w:space="0" w:color="auto"/>
            </w:tcBorders>
            <w:vAlign w:val="center"/>
            <w:hideMark/>
          </w:tcPr>
          <w:p w14:paraId="0F873F7E"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5.540,18 € </w:t>
            </w:r>
          </w:p>
        </w:tc>
        <w:tc>
          <w:tcPr>
            <w:tcW w:w="1760" w:type="dxa"/>
            <w:tcBorders>
              <w:top w:val="nil"/>
              <w:left w:val="nil"/>
              <w:bottom w:val="single" w:sz="8" w:space="0" w:color="auto"/>
              <w:right w:val="single" w:sz="8" w:space="0" w:color="auto"/>
            </w:tcBorders>
            <w:vAlign w:val="center"/>
            <w:hideMark/>
          </w:tcPr>
          <w:p w14:paraId="529B8057"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5.540,18 € </w:t>
            </w:r>
          </w:p>
        </w:tc>
        <w:tc>
          <w:tcPr>
            <w:tcW w:w="1380" w:type="dxa"/>
            <w:tcBorders>
              <w:top w:val="nil"/>
              <w:left w:val="nil"/>
              <w:bottom w:val="single" w:sz="8" w:space="0" w:color="auto"/>
              <w:right w:val="single" w:sz="8" w:space="0" w:color="auto"/>
            </w:tcBorders>
            <w:vAlign w:val="center"/>
            <w:hideMark/>
          </w:tcPr>
          <w:p w14:paraId="329772F5"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4.718,93 € </w:t>
            </w:r>
          </w:p>
        </w:tc>
        <w:tc>
          <w:tcPr>
            <w:tcW w:w="1360" w:type="dxa"/>
            <w:tcBorders>
              <w:top w:val="nil"/>
              <w:left w:val="nil"/>
              <w:bottom w:val="single" w:sz="8" w:space="0" w:color="auto"/>
              <w:right w:val="single" w:sz="8" w:space="0" w:color="auto"/>
            </w:tcBorders>
            <w:vAlign w:val="center"/>
            <w:hideMark/>
          </w:tcPr>
          <w:p w14:paraId="7721E350"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4.718,93 € </w:t>
            </w:r>
          </w:p>
        </w:tc>
        <w:tc>
          <w:tcPr>
            <w:tcW w:w="1560" w:type="dxa"/>
            <w:tcBorders>
              <w:top w:val="nil"/>
              <w:left w:val="nil"/>
              <w:bottom w:val="single" w:sz="8" w:space="0" w:color="auto"/>
              <w:right w:val="single" w:sz="8" w:space="0" w:color="auto"/>
            </w:tcBorders>
            <w:vAlign w:val="center"/>
            <w:hideMark/>
          </w:tcPr>
          <w:p w14:paraId="6A1A6ABF"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4.171,43 € </w:t>
            </w:r>
          </w:p>
        </w:tc>
        <w:tc>
          <w:tcPr>
            <w:tcW w:w="1540" w:type="dxa"/>
            <w:tcBorders>
              <w:top w:val="nil"/>
              <w:left w:val="nil"/>
              <w:bottom w:val="single" w:sz="8" w:space="0" w:color="auto"/>
              <w:right w:val="single" w:sz="8" w:space="0" w:color="auto"/>
            </w:tcBorders>
            <w:vAlign w:val="center"/>
            <w:hideMark/>
          </w:tcPr>
          <w:p w14:paraId="127E16CD"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5.605,36 € </w:t>
            </w:r>
          </w:p>
        </w:tc>
      </w:tr>
      <w:tr w:rsidR="00842DBE" w14:paraId="2FC06A73" w14:textId="77777777" w:rsidTr="00842DBE">
        <w:trPr>
          <w:trHeight w:val="465"/>
        </w:trPr>
        <w:tc>
          <w:tcPr>
            <w:tcW w:w="2020" w:type="dxa"/>
            <w:tcBorders>
              <w:top w:val="nil"/>
              <w:left w:val="single" w:sz="8" w:space="0" w:color="auto"/>
              <w:bottom w:val="single" w:sz="8" w:space="0" w:color="auto"/>
              <w:right w:val="single" w:sz="8" w:space="0" w:color="auto"/>
            </w:tcBorders>
            <w:shd w:val="clear" w:color="000000" w:fill="FFE699"/>
            <w:vAlign w:val="center"/>
            <w:hideMark/>
          </w:tcPr>
          <w:p w14:paraId="74B6D72D"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Coste tratamiento/año &gt;1º año</w:t>
            </w:r>
          </w:p>
        </w:tc>
        <w:tc>
          <w:tcPr>
            <w:tcW w:w="1640" w:type="dxa"/>
            <w:tcBorders>
              <w:top w:val="nil"/>
              <w:left w:val="nil"/>
              <w:bottom w:val="single" w:sz="8" w:space="0" w:color="auto"/>
              <w:right w:val="single" w:sz="8" w:space="0" w:color="auto"/>
            </w:tcBorders>
            <w:vAlign w:val="center"/>
            <w:hideMark/>
          </w:tcPr>
          <w:p w14:paraId="2569BE5A"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5.540,18 € </w:t>
            </w:r>
          </w:p>
        </w:tc>
        <w:tc>
          <w:tcPr>
            <w:tcW w:w="1760" w:type="dxa"/>
            <w:tcBorders>
              <w:top w:val="nil"/>
              <w:left w:val="nil"/>
              <w:bottom w:val="single" w:sz="8" w:space="0" w:color="auto"/>
              <w:right w:val="single" w:sz="8" w:space="0" w:color="auto"/>
            </w:tcBorders>
            <w:vAlign w:val="center"/>
            <w:hideMark/>
          </w:tcPr>
          <w:p w14:paraId="64B856D6"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5.540,18 € </w:t>
            </w:r>
          </w:p>
        </w:tc>
        <w:tc>
          <w:tcPr>
            <w:tcW w:w="1380" w:type="dxa"/>
            <w:tcBorders>
              <w:top w:val="nil"/>
              <w:left w:val="nil"/>
              <w:bottom w:val="single" w:sz="8" w:space="0" w:color="auto"/>
              <w:right w:val="single" w:sz="8" w:space="0" w:color="auto"/>
            </w:tcBorders>
            <w:vAlign w:val="center"/>
            <w:hideMark/>
          </w:tcPr>
          <w:p w14:paraId="0EE84F46"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4.718,93 € </w:t>
            </w:r>
          </w:p>
        </w:tc>
        <w:tc>
          <w:tcPr>
            <w:tcW w:w="1360" w:type="dxa"/>
            <w:tcBorders>
              <w:top w:val="nil"/>
              <w:left w:val="nil"/>
              <w:bottom w:val="single" w:sz="8" w:space="0" w:color="auto"/>
              <w:right w:val="single" w:sz="8" w:space="0" w:color="auto"/>
            </w:tcBorders>
            <w:vAlign w:val="center"/>
            <w:hideMark/>
          </w:tcPr>
          <w:p w14:paraId="0135E9C1"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4.718,93 € </w:t>
            </w:r>
          </w:p>
        </w:tc>
        <w:tc>
          <w:tcPr>
            <w:tcW w:w="1560" w:type="dxa"/>
            <w:tcBorders>
              <w:top w:val="nil"/>
              <w:left w:val="nil"/>
              <w:bottom w:val="single" w:sz="8" w:space="0" w:color="auto"/>
              <w:right w:val="single" w:sz="8" w:space="0" w:color="auto"/>
            </w:tcBorders>
            <w:vAlign w:val="center"/>
            <w:hideMark/>
          </w:tcPr>
          <w:p w14:paraId="0C5542DF"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4.171,43 € </w:t>
            </w:r>
          </w:p>
        </w:tc>
        <w:tc>
          <w:tcPr>
            <w:tcW w:w="1540" w:type="dxa"/>
            <w:tcBorders>
              <w:top w:val="nil"/>
              <w:left w:val="nil"/>
              <w:bottom w:val="nil"/>
              <w:right w:val="single" w:sz="8" w:space="0" w:color="auto"/>
            </w:tcBorders>
            <w:vAlign w:val="center"/>
            <w:hideMark/>
          </w:tcPr>
          <w:p w14:paraId="3DF30981"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5.605,36 € </w:t>
            </w:r>
          </w:p>
        </w:tc>
      </w:tr>
      <w:tr w:rsidR="00842DBE" w14:paraId="36EEB623" w14:textId="77777777" w:rsidTr="00842DBE">
        <w:trPr>
          <w:trHeight w:val="495"/>
        </w:trPr>
        <w:tc>
          <w:tcPr>
            <w:tcW w:w="2020" w:type="dxa"/>
            <w:tcBorders>
              <w:top w:val="nil"/>
              <w:left w:val="single" w:sz="8" w:space="0" w:color="auto"/>
              <w:bottom w:val="single" w:sz="8" w:space="0" w:color="auto"/>
              <w:right w:val="single" w:sz="8" w:space="0" w:color="auto"/>
            </w:tcBorders>
            <w:vAlign w:val="center"/>
            <w:hideMark/>
          </w:tcPr>
          <w:p w14:paraId="03C09200"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 xml:space="preserve">Costes directos </w:t>
            </w:r>
          </w:p>
        </w:tc>
        <w:tc>
          <w:tcPr>
            <w:tcW w:w="1640" w:type="dxa"/>
            <w:tcBorders>
              <w:top w:val="nil"/>
              <w:left w:val="nil"/>
              <w:bottom w:val="single" w:sz="8" w:space="0" w:color="auto"/>
              <w:right w:val="nil"/>
            </w:tcBorders>
            <w:vAlign w:val="center"/>
            <w:hideMark/>
          </w:tcPr>
          <w:p w14:paraId="0DADC3C6" w14:textId="77777777" w:rsidR="00842DBE" w:rsidRDefault="00842DBE" w:rsidP="00842DBE">
            <w:pPr>
              <w:rPr>
                <w:rFonts w:ascii="Arial" w:hAnsi="Arial" w:cs="Arial"/>
                <w:color w:val="000000"/>
                <w:sz w:val="16"/>
                <w:szCs w:val="16"/>
              </w:rPr>
            </w:pPr>
            <w:r>
              <w:rPr>
                <w:rFonts w:ascii="Arial" w:hAnsi="Arial" w:cs="Arial"/>
                <w:color w:val="000000"/>
                <w:sz w:val="16"/>
                <w:szCs w:val="16"/>
              </w:rPr>
              <w:t>806 € (DE 1.545 €)</w:t>
            </w:r>
          </w:p>
        </w:tc>
        <w:tc>
          <w:tcPr>
            <w:tcW w:w="1760" w:type="dxa"/>
            <w:tcBorders>
              <w:top w:val="nil"/>
              <w:left w:val="single" w:sz="8" w:space="0" w:color="auto"/>
              <w:bottom w:val="single" w:sz="8" w:space="0" w:color="auto"/>
              <w:right w:val="nil"/>
            </w:tcBorders>
            <w:vAlign w:val="center"/>
            <w:hideMark/>
          </w:tcPr>
          <w:p w14:paraId="5E3C3821" w14:textId="77777777" w:rsidR="00842DBE" w:rsidRDefault="00842DBE" w:rsidP="00842DBE">
            <w:pPr>
              <w:rPr>
                <w:rFonts w:ascii="Arial" w:hAnsi="Arial" w:cs="Arial"/>
                <w:color w:val="000000"/>
                <w:sz w:val="16"/>
                <w:szCs w:val="16"/>
              </w:rPr>
            </w:pPr>
            <w:r>
              <w:rPr>
                <w:rFonts w:ascii="Arial" w:hAnsi="Arial" w:cs="Arial"/>
                <w:color w:val="000000"/>
                <w:sz w:val="16"/>
                <w:szCs w:val="16"/>
              </w:rPr>
              <w:t>806 € (DE 1.545 €)</w:t>
            </w:r>
          </w:p>
        </w:tc>
        <w:tc>
          <w:tcPr>
            <w:tcW w:w="1380" w:type="dxa"/>
            <w:tcBorders>
              <w:top w:val="nil"/>
              <w:left w:val="single" w:sz="8" w:space="0" w:color="auto"/>
              <w:bottom w:val="single" w:sz="8" w:space="0" w:color="auto"/>
              <w:right w:val="nil"/>
            </w:tcBorders>
            <w:vAlign w:val="center"/>
            <w:hideMark/>
          </w:tcPr>
          <w:p w14:paraId="4742227A" w14:textId="77777777" w:rsidR="00842DBE" w:rsidRDefault="00842DBE" w:rsidP="00842DBE">
            <w:pPr>
              <w:rPr>
                <w:rFonts w:ascii="Arial" w:hAnsi="Arial" w:cs="Arial"/>
                <w:color w:val="000000"/>
                <w:sz w:val="16"/>
                <w:szCs w:val="16"/>
              </w:rPr>
            </w:pPr>
            <w:r>
              <w:rPr>
                <w:rFonts w:ascii="Arial" w:hAnsi="Arial" w:cs="Arial"/>
                <w:color w:val="000000"/>
                <w:sz w:val="16"/>
                <w:szCs w:val="16"/>
              </w:rPr>
              <w:t>806 € (DE 1.545 €)</w:t>
            </w:r>
          </w:p>
        </w:tc>
        <w:tc>
          <w:tcPr>
            <w:tcW w:w="1360" w:type="dxa"/>
            <w:tcBorders>
              <w:top w:val="nil"/>
              <w:left w:val="single" w:sz="8" w:space="0" w:color="auto"/>
              <w:bottom w:val="single" w:sz="8" w:space="0" w:color="auto"/>
              <w:right w:val="nil"/>
            </w:tcBorders>
            <w:vAlign w:val="center"/>
            <w:hideMark/>
          </w:tcPr>
          <w:p w14:paraId="4F319004" w14:textId="77777777" w:rsidR="00842DBE" w:rsidRDefault="00842DBE" w:rsidP="00842DBE">
            <w:pPr>
              <w:rPr>
                <w:rFonts w:ascii="Arial" w:hAnsi="Arial" w:cs="Arial"/>
                <w:color w:val="000000"/>
                <w:sz w:val="16"/>
                <w:szCs w:val="16"/>
              </w:rPr>
            </w:pPr>
            <w:r>
              <w:rPr>
                <w:rFonts w:ascii="Arial" w:hAnsi="Arial" w:cs="Arial"/>
                <w:color w:val="000000"/>
                <w:sz w:val="16"/>
                <w:szCs w:val="16"/>
              </w:rPr>
              <w:t>806 € (DE 1.545 €)</w:t>
            </w:r>
          </w:p>
        </w:tc>
        <w:tc>
          <w:tcPr>
            <w:tcW w:w="1560" w:type="dxa"/>
            <w:tcBorders>
              <w:top w:val="nil"/>
              <w:left w:val="single" w:sz="8" w:space="0" w:color="auto"/>
              <w:bottom w:val="single" w:sz="8" w:space="0" w:color="auto"/>
              <w:right w:val="nil"/>
            </w:tcBorders>
            <w:vAlign w:val="center"/>
            <w:hideMark/>
          </w:tcPr>
          <w:p w14:paraId="3B6EC04C" w14:textId="77777777" w:rsidR="00842DBE" w:rsidRDefault="00842DBE" w:rsidP="00842DBE">
            <w:pPr>
              <w:rPr>
                <w:rFonts w:ascii="Arial" w:hAnsi="Arial" w:cs="Arial"/>
                <w:color w:val="000000"/>
                <w:sz w:val="16"/>
                <w:szCs w:val="16"/>
              </w:rPr>
            </w:pPr>
            <w:r>
              <w:rPr>
                <w:rFonts w:ascii="Arial" w:hAnsi="Arial" w:cs="Arial"/>
                <w:color w:val="000000"/>
                <w:sz w:val="16"/>
                <w:szCs w:val="16"/>
              </w:rPr>
              <w:t>806 € (DE 1.545 €)</w:t>
            </w:r>
          </w:p>
        </w:tc>
        <w:tc>
          <w:tcPr>
            <w:tcW w:w="1540" w:type="dxa"/>
            <w:tcBorders>
              <w:top w:val="single" w:sz="4" w:space="0" w:color="auto"/>
              <w:left w:val="single" w:sz="4" w:space="0" w:color="auto"/>
              <w:bottom w:val="single" w:sz="4" w:space="0" w:color="auto"/>
              <w:right w:val="single" w:sz="4" w:space="0" w:color="auto"/>
            </w:tcBorders>
            <w:vAlign w:val="center"/>
            <w:hideMark/>
          </w:tcPr>
          <w:p w14:paraId="22D3EB18" w14:textId="77777777" w:rsidR="00842DBE" w:rsidRDefault="00842DBE" w:rsidP="00842DBE">
            <w:pPr>
              <w:rPr>
                <w:rFonts w:ascii="Arial" w:hAnsi="Arial" w:cs="Arial"/>
                <w:color w:val="000000"/>
                <w:sz w:val="16"/>
                <w:szCs w:val="16"/>
              </w:rPr>
            </w:pPr>
            <w:r>
              <w:rPr>
                <w:rFonts w:ascii="Arial" w:hAnsi="Arial" w:cs="Arial"/>
                <w:color w:val="000000"/>
                <w:sz w:val="16"/>
                <w:szCs w:val="16"/>
              </w:rPr>
              <w:t>806 € (DE 1.545 €)</w:t>
            </w:r>
          </w:p>
        </w:tc>
      </w:tr>
      <w:tr w:rsidR="00842DBE" w14:paraId="08A05A27" w14:textId="77777777" w:rsidTr="00842DBE">
        <w:trPr>
          <w:trHeight w:val="495"/>
        </w:trPr>
        <w:tc>
          <w:tcPr>
            <w:tcW w:w="2020" w:type="dxa"/>
            <w:tcBorders>
              <w:top w:val="nil"/>
              <w:left w:val="single" w:sz="8" w:space="0" w:color="auto"/>
              <w:bottom w:val="single" w:sz="8" w:space="0" w:color="auto"/>
              <w:right w:val="single" w:sz="8" w:space="0" w:color="auto"/>
            </w:tcBorders>
            <w:vAlign w:val="center"/>
            <w:hideMark/>
          </w:tcPr>
          <w:p w14:paraId="7ECE1BF3"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Coste global/año &gt;1 año</w:t>
            </w:r>
          </w:p>
        </w:tc>
        <w:tc>
          <w:tcPr>
            <w:tcW w:w="1640" w:type="dxa"/>
            <w:tcBorders>
              <w:top w:val="nil"/>
              <w:left w:val="nil"/>
              <w:bottom w:val="single" w:sz="8" w:space="0" w:color="auto"/>
              <w:right w:val="nil"/>
            </w:tcBorders>
            <w:vAlign w:val="center"/>
            <w:hideMark/>
          </w:tcPr>
          <w:p w14:paraId="4413452B" w14:textId="77777777" w:rsidR="00842DBE" w:rsidRDefault="00842DBE" w:rsidP="00842DBE">
            <w:pPr>
              <w:rPr>
                <w:rFonts w:ascii="Arial" w:hAnsi="Arial" w:cs="Arial"/>
                <w:color w:val="000000"/>
                <w:sz w:val="16"/>
                <w:szCs w:val="16"/>
              </w:rPr>
            </w:pPr>
            <w:r>
              <w:rPr>
                <w:rFonts w:ascii="Arial" w:hAnsi="Arial" w:cs="Arial"/>
                <w:color w:val="000000"/>
                <w:sz w:val="16"/>
                <w:szCs w:val="16"/>
              </w:rPr>
              <w:t xml:space="preserve">                6.346,18 € </w:t>
            </w:r>
          </w:p>
        </w:tc>
        <w:tc>
          <w:tcPr>
            <w:tcW w:w="1760" w:type="dxa"/>
            <w:tcBorders>
              <w:top w:val="nil"/>
              <w:left w:val="single" w:sz="8" w:space="0" w:color="auto"/>
              <w:bottom w:val="single" w:sz="8" w:space="0" w:color="auto"/>
              <w:right w:val="nil"/>
            </w:tcBorders>
            <w:vAlign w:val="center"/>
            <w:hideMark/>
          </w:tcPr>
          <w:p w14:paraId="32516142" w14:textId="77777777" w:rsidR="00842DBE" w:rsidRDefault="00842DBE" w:rsidP="00842DBE">
            <w:pPr>
              <w:rPr>
                <w:rFonts w:ascii="Arial" w:hAnsi="Arial" w:cs="Arial"/>
                <w:color w:val="000000"/>
                <w:sz w:val="16"/>
                <w:szCs w:val="16"/>
              </w:rPr>
            </w:pPr>
            <w:r>
              <w:rPr>
                <w:rFonts w:ascii="Arial" w:hAnsi="Arial" w:cs="Arial"/>
                <w:color w:val="000000"/>
                <w:sz w:val="16"/>
                <w:szCs w:val="16"/>
              </w:rPr>
              <w:t xml:space="preserve">                   6.346,18 € </w:t>
            </w:r>
          </w:p>
        </w:tc>
        <w:tc>
          <w:tcPr>
            <w:tcW w:w="1380" w:type="dxa"/>
            <w:tcBorders>
              <w:top w:val="nil"/>
              <w:left w:val="single" w:sz="8" w:space="0" w:color="auto"/>
              <w:bottom w:val="single" w:sz="8" w:space="0" w:color="auto"/>
              <w:right w:val="nil"/>
            </w:tcBorders>
            <w:vAlign w:val="center"/>
            <w:hideMark/>
          </w:tcPr>
          <w:p w14:paraId="770CE442" w14:textId="77777777" w:rsidR="00842DBE" w:rsidRDefault="00842DBE" w:rsidP="00842DBE">
            <w:pPr>
              <w:rPr>
                <w:rFonts w:ascii="Arial" w:hAnsi="Arial" w:cs="Arial"/>
                <w:color w:val="000000"/>
                <w:sz w:val="16"/>
                <w:szCs w:val="16"/>
              </w:rPr>
            </w:pPr>
            <w:r>
              <w:rPr>
                <w:rFonts w:ascii="Arial" w:hAnsi="Arial" w:cs="Arial"/>
                <w:color w:val="000000"/>
                <w:sz w:val="16"/>
                <w:szCs w:val="16"/>
              </w:rPr>
              <w:t xml:space="preserve">           5.524,93 € </w:t>
            </w:r>
          </w:p>
        </w:tc>
        <w:tc>
          <w:tcPr>
            <w:tcW w:w="1360" w:type="dxa"/>
            <w:tcBorders>
              <w:top w:val="nil"/>
              <w:left w:val="single" w:sz="8" w:space="0" w:color="auto"/>
              <w:bottom w:val="single" w:sz="8" w:space="0" w:color="auto"/>
              <w:right w:val="nil"/>
            </w:tcBorders>
            <w:vAlign w:val="center"/>
            <w:hideMark/>
          </w:tcPr>
          <w:p w14:paraId="449DBC86" w14:textId="77777777" w:rsidR="00842DBE" w:rsidRDefault="00842DBE" w:rsidP="00842DBE">
            <w:pPr>
              <w:rPr>
                <w:rFonts w:ascii="Arial" w:hAnsi="Arial" w:cs="Arial"/>
                <w:color w:val="000000"/>
                <w:sz w:val="16"/>
                <w:szCs w:val="16"/>
              </w:rPr>
            </w:pPr>
            <w:r>
              <w:rPr>
                <w:rFonts w:ascii="Arial" w:hAnsi="Arial" w:cs="Arial"/>
                <w:color w:val="000000"/>
                <w:sz w:val="16"/>
                <w:szCs w:val="16"/>
              </w:rPr>
              <w:t xml:space="preserve">          5.524,93 € </w:t>
            </w:r>
          </w:p>
        </w:tc>
        <w:tc>
          <w:tcPr>
            <w:tcW w:w="1560" w:type="dxa"/>
            <w:tcBorders>
              <w:top w:val="nil"/>
              <w:left w:val="single" w:sz="8" w:space="0" w:color="auto"/>
              <w:bottom w:val="single" w:sz="8" w:space="0" w:color="auto"/>
              <w:right w:val="nil"/>
            </w:tcBorders>
            <w:vAlign w:val="center"/>
            <w:hideMark/>
          </w:tcPr>
          <w:p w14:paraId="725646F4" w14:textId="77777777" w:rsidR="00842DBE" w:rsidRDefault="00842DBE" w:rsidP="00842DBE">
            <w:pPr>
              <w:rPr>
                <w:rFonts w:ascii="Arial" w:hAnsi="Arial" w:cs="Arial"/>
                <w:color w:val="000000"/>
                <w:sz w:val="16"/>
                <w:szCs w:val="16"/>
              </w:rPr>
            </w:pPr>
            <w:r>
              <w:rPr>
                <w:rFonts w:ascii="Arial" w:hAnsi="Arial" w:cs="Arial"/>
                <w:color w:val="000000"/>
                <w:sz w:val="16"/>
                <w:szCs w:val="16"/>
              </w:rPr>
              <w:t xml:space="preserve">               4.977,43 € </w:t>
            </w:r>
          </w:p>
        </w:tc>
        <w:tc>
          <w:tcPr>
            <w:tcW w:w="1540" w:type="dxa"/>
            <w:tcBorders>
              <w:top w:val="nil"/>
              <w:left w:val="single" w:sz="4" w:space="0" w:color="auto"/>
              <w:bottom w:val="single" w:sz="4" w:space="0" w:color="auto"/>
              <w:right w:val="single" w:sz="4" w:space="0" w:color="auto"/>
            </w:tcBorders>
            <w:vAlign w:val="center"/>
            <w:hideMark/>
          </w:tcPr>
          <w:p w14:paraId="72ECFC84" w14:textId="77777777" w:rsidR="00842DBE" w:rsidRDefault="00842DBE" w:rsidP="00842DBE">
            <w:pPr>
              <w:rPr>
                <w:rFonts w:ascii="Arial" w:hAnsi="Arial" w:cs="Arial"/>
                <w:color w:val="000000"/>
                <w:sz w:val="16"/>
                <w:szCs w:val="16"/>
              </w:rPr>
            </w:pPr>
            <w:r>
              <w:rPr>
                <w:rFonts w:ascii="Arial" w:hAnsi="Arial" w:cs="Arial"/>
                <w:color w:val="000000"/>
                <w:sz w:val="16"/>
                <w:szCs w:val="16"/>
              </w:rPr>
              <w:t xml:space="preserve">              6.411,36 € </w:t>
            </w:r>
          </w:p>
        </w:tc>
      </w:tr>
      <w:tr w:rsidR="00842DBE" w14:paraId="1BB16CC9" w14:textId="77777777" w:rsidTr="00842DBE">
        <w:trPr>
          <w:trHeight w:val="795"/>
        </w:trPr>
        <w:tc>
          <w:tcPr>
            <w:tcW w:w="2020" w:type="dxa"/>
            <w:tcBorders>
              <w:top w:val="nil"/>
              <w:left w:val="single" w:sz="8" w:space="0" w:color="auto"/>
              <w:bottom w:val="single" w:sz="8" w:space="0" w:color="auto"/>
              <w:right w:val="single" w:sz="8" w:space="0" w:color="auto"/>
            </w:tcBorders>
            <w:shd w:val="clear" w:color="000000" w:fill="D0CECE"/>
            <w:vAlign w:val="center"/>
            <w:hideMark/>
          </w:tcPr>
          <w:p w14:paraId="0AAF49EF"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Coste incremental 1º año respecto a Dupilumab</w:t>
            </w:r>
          </w:p>
        </w:tc>
        <w:tc>
          <w:tcPr>
            <w:tcW w:w="1640" w:type="dxa"/>
            <w:tcBorders>
              <w:top w:val="nil"/>
              <w:left w:val="nil"/>
              <w:bottom w:val="single" w:sz="8" w:space="0" w:color="auto"/>
              <w:right w:val="single" w:sz="8" w:space="0" w:color="auto"/>
            </w:tcBorders>
            <w:vAlign w:val="center"/>
            <w:hideMark/>
          </w:tcPr>
          <w:p w14:paraId="01B41F68"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2.039,82 € </w:t>
            </w:r>
          </w:p>
        </w:tc>
        <w:tc>
          <w:tcPr>
            <w:tcW w:w="1760" w:type="dxa"/>
            <w:tcBorders>
              <w:top w:val="nil"/>
              <w:left w:val="nil"/>
              <w:bottom w:val="single" w:sz="8" w:space="0" w:color="auto"/>
              <w:right w:val="single" w:sz="8" w:space="0" w:color="auto"/>
            </w:tcBorders>
            <w:vAlign w:val="center"/>
            <w:hideMark/>
          </w:tcPr>
          <w:p w14:paraId="76259A7E"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2.039,82 € </w:t>
            </w:r>
          </w:p>
        </w:tc>
        <w:tc>
          <w:tcPr>
            <w:tcW w:w="1380" w:type="dxa"/>
            <w:tcBorders>
              <w:top w:val="nil"/>
              <w:left w:val="nil"/>
              <w:bottom w:val="single" w:sz="8" w:space="0" w:color="auto"/>
              <w:right w:val="single" w:sz="8" w:space="0" w:color="auto"/>
            </w:tcBorders>
            <w:vAlign w:val="center"/>
            <w:hideMark/>
          </w:tcPr>
          <w:p w14:paraId="1BA4B915"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2.861,07 € </w:t>
            </w:r>
          </w:p>
        </w:tc>
        <w:tc>
          <w:tcPr>
            <w:tcW w:w="1360" w:type="dxa"/>
            <w:tcBorders>
              <w:top w:val="nil"/>
              <w:left w:val="nil"/>
              <w:bottom w:val="single" w:sz="8" w:space="0" w:color="auto"/>
              <w:right w:val="single" w:sz="8" w:space="0" w:color="auto"/>
            </w:tcBorders>
            <w:vAlign w:val="center"/>
            <w:hideMark/>
          </w:tcPr>
          <w:p w14:paraId="195D1500"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2.861,07 € </w:t>
            </w:r>
          </w:p>
        </w:tc>
        <w:tc>
          <w:tcPr>
            <w:tcW w:w="1560" w:type="dxa"/>
            <w:tcBorders>
              <w:top w:val="nil"/>
              <w:left w:val="nil"/>
              <w:bottom w:val="single" w:sz="8" w:space="0" w:color="auto"/>
              <w:right w:val="single" w:sz="8" w:space="0" w:color="auto"/>
            </w:tcBorders>
            <w:vAlign w:val="center"/>
            <w:hideMark/>
          </w:tcPr>
          <w:p w14:paraId="22FB6796"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3.408,57 € </w:t>
            </w:r>
          </w:p>
        </w:tc>
        <w:tc>
          <w:tcPr>
            <w:tcW w:w="1540" w:type="dxa"/>
            <w:tcBorders>
              <w:top w:val="nil"/>
              <w:left w:val="nil"/>
              <w:bottom w:val="single" w:sz="8" w:space="0" w:color="auto"/>
              <w:right w:val="single" w:sz="8" w:space="0" w:color="auto"/>
            </w:tcBorders>
            <w:vAlign w:val="center"/>
            <w:hideMark/>
          </w:tcPr>
          <w:p w14:paraId="21C19D04"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1.974,64 € </w:t>
            </w:r>
          </w:p>
        </w:tc>
      </w:tr>
      <w:tr w:rsidR="00842DBE" w14:paraId="6B548AF1" w14:textId="77777777" w:rsidTr="00842DBE">
        <w:trPr>
          <w:trHeight w:val="615"/>
        </w:trPr>
        <w:tc>
          <w:tcPr>
            <w:tcW w:w="2020" w:type="dxa"/>
            <w:tcBorders>
              <w:top w:val="nil"/>
              <w:left w:val="single" w:sz="8" w:space="0" w:color="auto"/>
              <w:bottom w:val="single" w:sz="4" w:space="0" w:color="auto"/>
              <w:right w:val="single" w:sz="8" w:space="0" w:color="auto"/>
            </w:tcBorders>
            <w:shd w:val="clear" w:color="000000" w:fill="FFE699"/>
            <w:vAlign w:val="center"/>
            <w:hideMark/>
          </w:tcPr>
          <w:p w14:paraId="00A715B1" w14:textId="77777777" w:rsidR="00842DBE" w:rsidRDefault="00842DBE" w:rsidP="00842DBE">
            <w:pPr>
              <w:jc w:val="center"/>
              <w:rPr>
                <w:rFonts w:ascii="Arial" w:hAnsi="Arial" w:cs="Arial"/>
                <w:b/>
                <w:bCs/>
                <w:color w:val="000000"/>
                <w:sz w:val="16"/>
                <w:szCs w:val="16"/>
              </w:rPr>
            </w:pPr>
            <w:r>
              <w:rPr>
                <w:rFonts w:ascii="Arial" w:hAnsi="Arial" w:cs="Arial"/>
                <w:b/>
                <w:bCs/>
                <w:color w:val="000000"/>
                <w:sz w:val="16"/>
                <w:szCs w:val="16"/>
              </w:rPr>
              <w:t>Coste incremental &gt;1º año respecto a Dupilumab</w:t>
            </w:r>
          </w:p>
        </w:tc>
        <w:tc>
          <w:tcPr>
            <w:tcW w:w="1640" w:type="dxa"/>
            <w:tcBorders>
              <w:top w:val="nil"/>
              <w:left w:val="nil"/>
              <w:bottom w:val="single" w:sz="4" w:space="0" w:color="auto"/>
              <w:right w:val="single" w:sz="8" w:space="0" w:color="auto"/>
            </w:tcBorders>
            <w:vAlign w:val="center"/>
            <w:hideMark/>
          </w:tcPr>
          <w:p w14:paraId="24F7E365"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1.759,82 € </w:t>
            </w:r>
          </w:p>
        </w:tc>
        <w:tc>
          <w:tcPr>
            <w:tcW w:w="1760" w:type="dxa"/>
            <w:tcBorders>
              <w:top w:val="nil"/>
              <w:left w:val="nil"/>
              <w:bottom w:val="single" w:sz="4" w:space="0" w:color="auto"/>
              <w:right w:val="single" w:sz="8" w:space="0" w:color="auto"/>
            </w:tcBorders>
            <w:vAlign w:val="center"/>
            <w:hideMark/>
          </w:tcPr>
          <w:p w14:paraId="54DB6718"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1.759,82 € </w:t>
            </w:r>
          </w:p>
        </w:tc>
        <w:tc>
          <w:tcPr>
            <w:tcW w:w="1380" w:type="dxa"/>
            <w:tcBorders>
              <w:top w:val="nil"/>
              <w:left w:val="nil"/>
              <w:bottom w:val="single" w:sz="4" w:space="0" w:color="auto"/>
              <w:right w:val="single" w:sz="8" w:space="0" w:color="auto"/>
            </w:tcBorders>
            <w:vAlign w:val="center"/>
            <w:hideMark/>
          </w:tcPr>
          <w:p w14:paraId="000EDB0D"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2.581,07 € </w:t>
            </w:r>
          </w:p>
        </w:tc>
        <w:tc>
          <w:tcPr>
            <w:tcW w:w="1360" w:type="dxa"/>
            <w:tcBorders>
              <w:top w:val="nil"/>
              <w:left w:val="nil"/>
              <w:bottom w:val="single" w:sz="4" w:space="0" w:color="auto"/>
              <w:right w:val="single" w:sz="8" w:space="0" w:color="auto"/>
            </w:tcBorders>
            <w:vAlign w:val="center"/>
            <w:hideMark/>
          </w:tcPr>
          <w:p w14:paraId="54F63CEA"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2.581,07 € </w:t>
            </w:r>
          </w:p>
        </w:tc>
        <w:tc>
          <w:tcPr>
            <w:tcW w:w="1560" w:type="dxa"/>
            <w:tcBorders>
              <w:top w:val="nil"/>
              <w:left w:val="nil"/>
              <w:bottom w:val="single" w:sz="4" w:space="0" w:color="auto"/>
              <w:right w:val="single" w:sz="8" w:space="0" w:color="auto"/>
            </w:tcBorders>
            <w:vAlign w:val="center"/>
            <w:hideMark/>
          </w:tcPr>
          <w:p w14:paraId="058BC9E2"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3.128,57 € </w:t>
            </w:r>
          </w:p>
        </w:tc>
        <w:tc>
          <w:tcPr>
            <w:tcW w:w="1540" w:type="dxa"/>
            <w:tcBorders>
              <w:top w:val="nil"/>
              <w:left w:val="nil"/>
              <w:bottom w:val="single" w:sz="4" w:space="0" w:color="auto"/>
              <w:right w:val="single" w:sz="8" w:space="0" w:color="auto"/>
            </w:tcBorders>
            <w:vAlign w:val="center"/>
            <w:hideMark/>
          </w:tcPr>
          <w:p w14:paraId="5ECCA14A" w14:textId="77777777" w:rsidR="00842DBE" w:rsidRDefault="00842DBE" w:rsidP="00842DBE">
            <w:pPr>
              <w:jc w:val="center"/>
              <w:rPr>
                <w:rFonts w:ascii="Arial" w:hAnsi="Arial" w:cs="Arial"/>
                <w:color w:val="000000"/>
                <w:sz w:val="16"/>
                <w:szCs w:val="16"/>
              </w:rPr>
            </w:pPr>
            <w:r>
              <w:rPr>
                <w:rFonts w:ascii="Arial" w:hAnsi="Arial" w:cs="Arial"/>
                <w:color w:val="000000"/>
                <w:sz w:val="16"/>
                <w:szCs w:val="16"/>
              </w:rPr>
              <w:t xml:space="preserve">-             1.694,64 € </w:t>
            </w:r>
          </w:p>
        </w:tc>
      </w:tr>
      <w:tr w:rsidR="00842DBE" w14:paraId="543036AD" w14:textId="77777777" w:rsidTr="00842DBE">
        <w:trPr>
          <w:trHeight w:val="1184"/>
        </w:trPr>
        <w:tc>
          <w:tcPr>
            <w:tcW w:w="11260"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D6A8FDE" w14:textId="77777777" w:rsidR="00842DBE" w:rsidRPr="00364834" w:rsidRDefault="00842DBE" w:rsidP="00842DBE">
            <w:pPr>
              <w:jc w:val="center"/>
              <w:rPr>
                <w:rFonts w:ascii="Arial" w:hAnsi="Arial" w:cs="Arial"/>
                <w:color w:val="000000"/>
                <w:sz w:val="16"/>
                <w:szCs w:val="16"/>
              </w:rPr>
            </w:pPr>
            <w:r w:rsidRPr="00364834">
              <w:rPr>
                <w:rFonts w:ascii="Arial" w:hAnsi="Arial" w:cs="Arial"/>
                <w:color w:val="000000"/>
                <w:sz w:val="16"/>
                <w:szCs w:val="16"/>
              </w:rPr>
              <w:t xml:space="preserve">* Se refiere al coste de la forma farmacéutica (vial, jeringa, comprimido…). Para informes de un hospital, valorar precio del medicamento según ofertas, precios de acuerdo marco, concurso centralizado, etc. </w:t>
            </w:r>
          </w:p>
          <w:p w14:paraId="5D16F134" w14:textId="7C1E2C62" w:rsidR="00842DBE" w:rsidRDefault="00842DBE" w:rsidP="00842DBE">
            <w:pPr>
              <w:jc w:val="center"/>
              <w:rPr>
                <w:rFonts w:ascii="Arial" w:hAnsi="Arial" w:cs="Arial"/>
                <w:color w:val="000000"/>
                <w:sz w:val="16"/>
                <w:szCs w:val="16"/>
              </w:rPr>
            </w:pPr>
            <w:r w:rsidRPr="00364834">
              <w:rPr>
                <w:rFonts w:ascii="Arial" w:hAnsi="Arial" w:cs="Arial"/>
                <w:color w:val="000000"/>
                <w:sz w:val="16"/>
                <w:szCs w:val="16"/>
              </w:rPr>
              <w:t>**Costes directos asociados: Son costes que podemos considerar además del coste del medicamento estudiado. Por ejemplo otros medicamentos adicionales requeridos, pruebas de monitorización y laboratorio, pruebas de cribado (farmacogenética, biomarcadores…), material de infusión o manejo de complicaciones. Se tendrán en cuenta cuando sean relevantes</w:t>
            </w:r>
          </w:p>
        </w:tc>
      </w:tr>
    </w:tbl>
    <w:p w14:paraId="7B2E378D" w14:textId="77777777" w:rsidR="00BB0A3B" w:rsidRDefault="00BB0A3B" w:rsidP="00850189"/>
    <w:p w14:paraId="0D17C0F1" w14:textId="77777777" w:rsidR="0087183F" w:rsidRPr="0087183F" w:rsidRDefault="0087183F" w:rsidP="0087183F">
      <w:pPr>
        <w:rPr>
          <w:vanish/>
        </w:rPr>
      </w:pPr>
      <w:bookmarkStart w:id="141" w:name="_Hlk215228968"/>
    </w:p>
    <w:bookmarkEnd w:id="141"/>
    <w:p w14:paraId="5142927C" w14:textId="77777777" w:rsidR="00BC3E8E" w:rsidRPr="006F6ABB" w:rsidRDefault="00BC3E8E" w:rsidP="00BC3E8E">
      <w:pPr>
        <w:jc w:val="both"/>
        <w:rPr>
          <w:rFonts w:ascii="Arial" w:hAnsi="Arial" w:cs="Arial"/>
          <w:sz w:val="20"/>
          <w:szCs w:val="20"/>
        </w:rPr>
      </w:pPr>
    </w:p>
    <w:p w14:paraId="01FA77EA"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42" w:name="_Toc344399658"/>
      <w:bookmarkStart w:id="143" w:name="_Toc348931389"/>
      <w:bookmarkStart w:id="144" w:name="_Toc216191112"/>
      <w:r w:rsidRPr="00E3472F">
        <w:rPr>
          <w:rFonts w:cs="Arial"/>
          <w:sz w:val="20"/>
        </w:rPr>
        <w:t>7.2.a Coste eficacia incremental. Estudios publicados</w:t>
      </w:r>
      <w:bookmarkEnd w:id="142"/>
      <w:bookmarkEnd w:id="143"/>
      <w:bookmarkEnd w:id="144"/>
      <w:r w:rsidRPr="00E3472F">
        <w:rPr>
          <w:rFonts w:cs="Arial"/>
          <w:sz w:val="20"/>
        </w:rPr>
        <w:t xml:space="preserve">  </w:t>
      </w:r>
    </w:p>
    <w:p w14:paraId="00D70FD2" w14:textId="77777777" w:rsidR="00BA413B" w:rsidRPr="00E032D0" w:rsidRDefault="00BA413B" w:rsidP="00BA413B">
      <w:pPr>
        <w:rPr>
          <w:rFonts w:ascii="Arial" w:hAnsi="Arial" w:cs="Arial"/>
          <w:sz w:val="20"/>
          <w:szCs w:val="20"/>
          <w:lang w:val="es-ES_tradnl"/>
        </w:rPr>
      </w:pPr>
    </w:p>
    <w:p w14:paraId="5586AD87" w14:textId="77777777" w:rsidR="00541241" w:rsidRDefault="00BA413B" w:rsidP="00412973">
      <w:pPr>
        <w:jc w:val="both"/>
        <w:rPr>
          <w:rFonts w:ascii="Arial" w:hAnsi="Arial" w:cs="Arial"/>
          <w:sz w:val="20"/>
          <w:szCs w:val="20"/>
        </w:rPr>
      </w:pPr>
      <w:r>
        <w:rPr>
          <w:rFonts w:ascii="Arial" w:hAnsi="Arial" w:cs="Arial"/>
          <w:sz w:val="20"/>
          <w:szCs w:val="20"/>
        </w:rPr>
        <w:t>A fecha de 25/11/2025</w:t>
      </w:r>
      <w:r>
        <w:rPr>
          <w:rFonts w:ascii="Arial" w:hAnsi="Arial" w:cs="Arial"/>
          <w:bCs/>
          <w:sz w:val="20"/>
          <w:szCs w:val="20"/>
        </w:rPr>
        <w:t xml:space="preserve">, se </w:t>
      </w:r>
      <w:r w:rsidRPr="00F52D59">
        <w:rPr>
          <w:rFonts w:ascii="Arial" w:hAnsi="Arial" w:cs="Arial"/>
          <w:bCs/>
          <w:sz w:val="20"/>
          <w:szCs w:val="20"/>
        </w:rPr>
        <w:t>realiz</w:t>
      </w:r>
      <w:r>
        <w:rPr>
          <w:rFonts w:ascii="Arial" w:hAnsi="Arial" w:cs="Arial"/>
          <w:bCs/>
          <w:sz w:val="20"/>
          <w:szCs w:val="20"/>
        </w:rPr>
        <w:t>ó</w:t>
      </w:r>
      <w:r w:rsidRPr="00F52D59">
        <w:rPr>
          <w:rFonts w:ascii="Arial" w:hAnsi="Arial" w:cs="Arial"/>
          <w:bCs/>
          <w:sz w:val="20"/>
          <w:szCs w:val="20"/>
        </w:rPr>
        <w:t xml:space="preserve"> una búsqueda </w:t>
      </w:r>
      <w:r>
        <w:rPr>
          <w:rFonts w:ascii="Arial" w:hAnsi="Arial" w:cs="Arial"/>
          <w:bCs/>
          <w:sz w:val="20"/>
          <w:szCs w:val="20"/>
        </w:rPr>
        <w:t xml:space="preserve">bibliográfica de evaluaciones económicas en las </w:t>
      </w:r>
      <w:r w:rsidRPr="001F7F82">
        <w:rPr>
          <w:rFonts w:ascii="Arial" w:hAnsi="Arial" w:cs="Arial"/>
          <w:sz w:val="20"/>
          <w:szCs w:val="20"/>
        </w:rPr>
        <w:t xml:space="preserve">siguientes bases de datos: PubMed, </w:t>
      </w:r>
      <w:r w:rsidR="00646A51" w:rsidRPr="00412973">
        <w:rPr>
          <w:rFonts w:ascii="Arial" w:hAnsi="Arial" w:cs="Arial"/>
          <w:sz w:val="20"/>
          <w:szCs w:val="20"/>
        </w:rPr>
        <w:t>Centre for Reviews and Dissemination</w:t>
      </w:r>
      <w:r w:rsidRPr="009E20A5">
        <w:rPr>
          <w:rFonts w:ascii="Arial" w:hAnsi="Arial" w:cs="Arial"/>
          <w:sz w:val="20"/>
          <w:szCs w:val="20"/>
        </w:rPr>
        <w:t xml:space="preserve"> (Universidad de York) y </w:t>
      </w:r>
      <w:r w:rsidR="00646A51" w:rsidRPr="00412973">
        <w:rPr>
          <w:rFonts w:ascii="Arial" w:hAnsi="Arial" w:cs="Arial"/>
          <w:sz w:val="20"/>
          <w:szCs w:val="20"/>
        </w:rPr>
        <w:t xml:space="preserve">Institute for Clinical and Economic Review </w:t>
      </w:r>
      <w:r w:rsidRPr="009E20A5">
        <w:rPr>
          <w:rFonts w:ascii="Arial" w:hAnsi="Arial" w:cs="Arial"/>
          <w:sz w:val="20"/>
          <w:szCs w:val="20"/>
        </w:rPr>
        <w:t>(ICER)</w:t>
      </w:r>
      <w:r>
        <w:rPr>
          <w:rFonts w:ascii="Arial" w:hAnsi="Arial" w:cs="Arial"/>
          <w:sz w:val="20"/>
          <w:szCs w:val="20"/>
        </w:rPr>
        <w:t>,</w:t>
      </w:r>
      <w:r w:rsidRPr="001F7F82">
        <w:rPr>
          <w:rFonts w:ascii="Arial" w:hAnsi="Arial" w:cs="Arial"/>
          <w:sz w:val="20"/>
          <w:szCs w:val="20"/>
        </w:rPr>
        <w:t xml:space="preserve"> utilizando como palabra clave “nemolizumab” AND (“economic” OR “cost”), no se encontraron resultados.</w:t>
      </w:r>
    </w:p>
    <w:p w14:paraId="2ABBF466" w14:textId="77777777" w:rsidR="00541241" w:rsidRDefault="00BA413B" w:rsidP="00412973">
      <w:pPr>
        <w:jc w:val="both"/>
        <w:rPr>
          <w:rFonts w:ascii="Arial" w:hAnsi="Arial" w:cs="Arial"/>
          <w:sz w:val="20"/>
          <w:szCs w:val="20"/>
        </w:rPr>
      </w:pPr>
      <w:r w:rsidRPr="001F7F82">
        <w:rPr>
          <w:rFonts w:ascii="Arial" w:hAnsi="Arial" w:cs="Arial"/>
          <w:sz w:val="20"/>
          <w:szCs w:val="20"/>
        </w:rPr>
        <w:t xml:space="preserve">Por tanto, actualmente no hay estudios farmacoeconómicos </w:t>
      </w:r>
      <w:r w:rsidR="00E77706" w:rsidRPr="001F7F82">
        <w:rPr>
          <w:rFonts w:ascii="Arial" w:hAnsi="Arial" w:cs="Arial"/>
          <w:sz w:val="20"/>
          <w:szCs w:val="20"/>
        </w:rPr>
        <w:t>que incluyan nemolizumab.</w:t>
      </w:r>
    </w:p>
    <w:p w14:paraId="079BA40E" w14:textId="77777777" w:rsidR="00541241" w:rsidRPr="00412973" w:rsidRDefault="00541241" w:rsidP="00E6745B">
      <w:pPr>
        <w:jc w:val="both"/>
        <w:rPr>
          <w:rFonts w:ascii="Arial" w:hAnsi="Arial" w:cs="Arial"/>
          <w:sz w:val="20"/>
          <w:szCs w:val="20"/>
        </w:rPr>
      </w:pPr>
    </w:p>
    <w:p w14:paraId="78F16CFF"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45" w:name="_Toc344399659"/>
      <w:bookmarkStart w:id="146" w:name="_Toc348931390"/>
      <w:bookmarkStart w:id="147" w:name="_Toc216191113"/>
      <w:r w:rsidRPr="00E3472F">
        <w:rPr>
          <w:rFonts w:cs="Arial"/>
          <w:sz w:val="20"/>
        </w:rPr>
        <w:t>7.2.b Coste eficacia incremental (CEI). Datos propios</w:t>
      </w:r>
      <w:bookmarkEnd w:id="145"/>
      <w:bookmarkEnd w:id="146"/>
      <w:bookmarkEnd w:id="147"/>
    </w:p>
    <w:p w14:paraId="60EF7084" w14:textId="77777777" w:rsidR="00BC3E8E" w:rsidRPr="00DB2899" w:rsidRDefault="00BC3E8E" w:rsidP="00BC3E8E">
      <w:pPr>
        <w:pStyle w:val="Encabezado"/>
        <w:tabs>
          <w:tab w:val="clear" w:pos="4252"/>
          <w:tab w:val="clear" w:pos="8504"/>
        </w:tabs>
        <w:rPr>
          <w:rFonts w:ascii="Arial" w:hAnsi="Arial" w:cs="Arial"/>
          <w:sz w:val="22"/>
          <w:szCs w:val="22"/>
        </w:rPr>
      </w:pPr>
    </w:p>
    <w:tbl>
      <w:tblPr>
        <w:tblW w:w="10579" w:type="dxa"/>
        <w:tblInd w:w="-706" w:type="dxa"/>
        <w:tblCellMar>
          <w:left w:w="70" w:type="dxa"/>
          <w:right w:w="70" w:type="dxa"/>
        </w:tblCellMar>
        <w:tblLook w:val="04A0" w:firstRow="1" w:lastRow="0" w:firstColumn="1" w:lastColumn="0" w:noHBand="0" w:noVBand="1"/>
      </w:tblPr>
      <w:tblGrid>
        <w:gridCol w:w="1285"/>
        <w:gridCol w:w="1057"/>
        <w:gridCol w:w="1244"/>
        <w:gridCol w:w="1406"/>
        <w:gridCol w:w="804"/>
        <w:gridCol w:w="1257"/>
        <w:gridCol w:w="1148"/>
        <w:gridCol w:w="1080"/>
        <w:gridCol w:w="1298"/>
      </w:tblGrid>
      <w:tr w:rsidR="00DC274C" w:rsidRPr="00DB2899" w14:paraId="4080A012" w14:textId="77777777" w:rsidTr="00DC274C">
        <w:trPr>
          <w:trHeight w:val="237"/>
        </w:trPr>
        <w:tc>
          <w:tcPr>
            <w:tcW w:w="10579" w:type="dxa"/>
            <w:gridSpan w:val="9"/>
            <w:tcBorders>
              <w:top w:val="single" w:sz="4" w:space="0" w:color="auto"/>
              <w:left w:val="single" w:sz="4" w:space="0" w:color="auto"/>
              <w:bottom w:val="single" w:sz="4" w:space="0" w:color="auto"/>
              <w:right w:val="single" w:sz="4" w:space="0" w:color="auto"/>
            </w:tcBorders>
            <w:shd w:val="clear" w:color="000000" w:fill="CCFFCC"/>
            <w:vAlign w:val="center"/>
            <w:hideMark/>
          </w:tcPr>
          <w:p w14:paraId="5CBC57C9" w14:textId="77777777" w:rsidR="00DC274C" w:rsidRPr="00DB2899" w:rsidRDefault="00DB2899">
            <w:pPr>
              <w:jc w:val="center"/>
              <w:rPr>
                <w:rFonts w:ascii="Arial" w:hAnsi="Arial" w:cs="Arial"/>
                <w:b/>
                <w:bCs/>
                <w:color w:val="000000"/>
                <w:sz w:val="18"/>
                <w:szCs w:val="18"/>
              </w:rPr>
            </w:pPr>
            <w:bookmarkStart w:id="148" w:name="_Hlk215229614"/>
            <w:r w:rsidRPr="00DB2899">
              <w:rPr>
                <w:rFonts w:ascii="Arial" w:hAnsi="Arial" w:cs="Arial"/>
                <w:b/>
                <w:bCs/>
                <w:color w:val="000000"/>
                <w:sz w:val="18"/>
                <w:szCs w:val="18"/>
              </w:rPr>
              <w:t xml:space="preserve">Tabla 28. </w:t>
            </w:r>
            <w:r w:rsidR="00DC274C" w:rsidRPr="00DB2899">
              <w:rPr>
                <w:rFonts w:ascii="Arial" w:hAnsi="Arial" w:cs="Arial"/>
                <w:b/>
                <w:bCs/>
                <w:color w:val="000000"/>
                <w:sz w:val="18"/>
                <w:szCs w:val="18"/>
              </w:rPr>
              <w:t>Coste Eficacia Incremental (CEI) nemolizumab frente a placebo</w:t>
            </w:r>
          </w:p>
        </w:tc>
      </w:tr>
      <w:tr w:rsidR="00DC274C" w14:paraId="3BEB7CC9" w14:textId="77777777" w:rsidTr="00DC274C">
        <w:trPr>
          <w:trHeight w:val="237"/>
        </w:trPr>
        <w:tc>
          <w:tcPr>
            <w:tcW w:w="10579" w:type="dxa"/>
            <w:gridSpan w:val="9"/>
            <w:tcBorders>
              <w:top w:val="single" w:sz="4" w:space="0" w:color="auto"/>
              <w:left w:val="single" w:sz="4" w:space="0" w:color="auto"/>
              <w:bottom w:val="single" w:sz="4" w:space="0" w:color="auto"/>
              <w:right w:val="single" w:sz="4" w:space="0" w:color="auto"/>
            </w:tcBorders>
            <w:shd w:val="clear" w:color="000000" w:fill="CCFFCC"/>
            <w:vAlign w:val="center"/>
            <w:hideMark/>
          </w:tcPr>
          <w:p w14:paraId="2189BB84"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Variables binarias</w:t>
            </w:r>
          </w:p>
        </w:tc>
      </w:tr>
      <w:tr w:rsidR="00DC274C" w14:paraId="444D61D4" w14:textId="77777777" w:rsidTr="00DC274C">
        <w:trPr>
          <w:trHeight w:val="764"/>
        </w:trPr>
        <w:tc>
          <w:tcPr>
            <w:tcW w:w="1285" w:type="dxa"/>
            <w:tcBorders>
              <w:top w:val="nil"/>
              <w:left w:val="single" w:sz="4" w:space="0" w:color="auto"/>
              <w:bottom w:val="single" w:sz="4" w:space="0" w:color="auto"/>
              <w:right w:val="single" w:sz="4" w:space="0" w:color="auto"/>
            </w:tcBorders>
            <w:shd w:val="clear" w:color="000000" w:fill="E7E6E6"/>
            <w:vAlign w:val="center"/>
            <w:hideMark/>
          </w:tcPr>
          <w:p w14:paraId="541F0FF2"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Referencia</w:t>
            </w:r>
          </w:p>
        </w:tc>
        <w:tc>
          <w:tcPr>
            <w:tcW w:w="1057" w:type="dxa"/>
            <w:tcBorders>
              <w:top w:val="nil"/>
              <w:left w:val="nil"/>
              <w:bottom w:val="single" w:sz="4" w:space="0" w:color="auto"/>
              <w:right w:val="single" w:sz="4" w:space="0" w:color="auto"/>
            </w:tcBorders>
            <w:shd w:val="clear" w:color="000000" w:fill="E7E6E6"/>
            <w:vAlign w:val="center"/>
            <w:hideMark/>
          </w:tcPr>
          <w:p w14:paraId="46B3AA74"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Tipo de resultado</w:t>
            </w:r>
          </w:p>
        </w:tc>
        <w:tc>
          <w:tcPr>
            <w:tcW w:w="1244" w:type="dxa"/>
            <w:tcBorders>
              <w:top w:val="nil"/>
              <w:left w:val="nil"/>
              <w:bottom w:val="single" w:sz="4" w:space="0" w:color="auto"/>
              <w:right w:val="single" w:sz="4" w:space="0" w:color="auto"/>
            </w:tcBorders>
            <w:shd w:val="clear" w:color="000000" w:fill="E7E6E6"/>
            <w:vAlign w:val="center"/>
            <w:hideMark/>
          </w:tcPr>
          <w:p w14:paraId="759F016C"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VARIABLE EVALUADA</w:t>
            </w:r>
          </w:p>
        </w:tc>
        <w:tc>
          <w:tcPr>
            <w:tcW w:w="1406" w:type="dxa"/>
            <w:tcBorders>
              <w:top w:val="nil"/>
              <w:left w:val="nil"/>
              <w:bottom w:val="single" w:sz="4" w:space="0" w:color="auto"/>
              <w:right w:val="single" w:sz="4" w:space="0" w:color="auto"/>
            </w:tcBorders>
            <w:shd w:val="clear" w:color="000000" w:fill="E7E6E6"/>
            <w:vAlign w:val="center"/>
            <w:hideMark/>
          </w:tcPr>
          <w:p w14:paraId="700691E7"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Medicamento con que se compara</w:t>
            </w:r>
          </w:p>
        </w:tc>
        <w:tc>
          <w:tcPr>
            <w:tcW w:w="804" w:type="dxa"/>
            <w:tcBorders>
              <w:top w:val="nil"/>
              <w:left w:val="nil"/>
              <w:bottom w:val="single" w:sz="4" w:space="0" w:color="auto"/>
              <w:right w:val="single" w:sz="4" w:space="0" w:color="auto"/>
            </w:tcBorders>
            <w:shd w:val="clear" w:color="000000" w:fill="E7E6E6"/>
            <w:vAlign w:val="center"/>
            <w:hideMark/>
          </w:tcPr>
          <w:p w14:paraId="47184CEB"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NNT           (IC 95%)</w:t>
            </w:r>
          </w:p>
        </w:tc>
        <w:tc>
          <w:tcPr>
            <w:tcW w:w="1257" w:type="dxa"/>
            <w:tcBorders>
              <w:top w:val="nil"/>
              <w:left w:val="nil"/>
              <w:bottom w:val="single" w:sz="4" w:space="0" w:color="auto"/>
              <w:right w:val="single" w:sz="4" w:space="0" w:color="auto"/>
            </w:tcBorders>
            <w:shd w:val="clear" w:color="000000" w:fill="E7E6E6"/>
            <w:vAlign w:val="center"/>
            <w:hideMark/>
          </w:tcPr>
          <w:p w14:paraId="0A4BB2E9"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Coste incremental año 1 (N-P)</w:t>
            </w:r>
          </w:p>
        </w:tc>
        <w:tc>
          <w:tcPr>
            <w:tcW w:w="1148" w:type="dxa"/>
            <w:tcBorders>
              <w:top w:val="nil"/>
              <w:left w:val="nil"/>
              <w:bottom w:val="single" w:sz="4" w:space="0" w:color="auto"/>
              <w:right w:val="single" w:sz="4" w:space="0" w:color="auto"/>
            </w:tcBorders>
            <w:shd w:val="clear" w:color="000000" w:fill="E7E6E6"/>
            <w:vAlign w:val="center"/>
            <w:hideMark/>
          </w:tcPr>
          <w:p w14:paraId="151B3877"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CEI (IC95%) año 1</w:t>
            </w:r>
          </w:p>
        </w:tc>
        <w:tc>
          <w:tcPr>
            <w:tcW w:w="1080" w:type="dxa"/>
            <w:tcBorders>
              <w:top w:val="nil"/>
              <w:left w:val="nil"/>
              <w:bottom w:val="single" w:sz="4" w:space="0" w:color="auto"/>
              <w:right w:val="single" w:sz="4" w:space="0" w:color="auto"/>
            </w:tcBorders>
            <w:shd w:val="clear" w:color="000000" w:fill="E7E6E6"/>
            <w:vAlign w:val="center"/>
            <w:hideMark/>
          </w:tcPr>
          <w:p w14:paraId="5051D9F6"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Coste incremental año&gt;1</w:t>
            </w:r>
          </w:p>
        </w:tc>
        <w:tc>
          <w:tcPr>
            <w:tcW w:w="1298" w:type="dxa"/>
            <w:tcBorders>
              <w:top w:val="nil"/>
              <w:left w:val="nil"/>
              <w:bottom w:val="single" w:sz="4" w:space="0" w:color="auto"/>
              <w:right w:val="single" w:sz="4" w:space="0" w:color="auto"/>
            </w:tcBorders>
            <w:shd w:val="clear" w:color="000000" w:fill="E7E6E6"/>
            <w:vAlign w:val="center"/>
            <w:hideMark/>
          </w:tcPr>
          <w:p w14:paraId="6F239D10" w14:textId="77777777" w:rsidR="00DC274C" w:rsidRPr="00DC274C" w:rsidRDefault="00DC274C">
            <w:pPr>
              <w:jc w:val="center"/>
              <w:rPr>
                <w:rFonts w:ascii="Arial" w:hAnsi="Arial" w:cs="Arial"/>
                <w:b/>
                <w:bCs/>
                <w:color w:val="000000"/>
                <w:sz w:val="16"/>
                <w:szCs w:val="16"/>
              </w:rPr>
            </w:pPr>
            <w:r w:rsidRPr="00DC274C">
              <w:rPr>
                <w:rFonts w:ascii="Arial" w:hAnsi="Arial" w:cs="Arial"/>
                <w:b/>
                <w:bCs/>
                <w:color w:val="000000"/>
                <w:sz w:val="16"/>
                <w:szCs w:val="16"/>
              </w:rPr>
              <w:t>CEI (IC95%) año&gt;1</w:t>
            </w:r>
          </w:p>
        </w:tc>
      </w:tr>
      <w:tr w:rsidR="00DC274C" w14:paraId="57B53ADF" w14:textId="77777777" w:rsidTr="00DC274C">
        <w:trPr>
          <w:trHeight w:val="476"/>
        </w:trPr>
        <w:tc>
          <w:tcPr>
            <w:tcW w:w="1285" w:type="dxa"/>
            <w:vMerge w:val="restart"/>
            <w:tcBorders>
              <w:top w:val="nil"/>
              <w:left w:val="single" w:sz="4" w:space="0" w:color="auto"/>
              <w:bottom w:val="single" w:sz="4" w:space="0" w:color="auto"/>
              <w:right w:val="single" w:sz="4" w:space="0" w:color="auto"/>
            </w:tcBorders>
            <w:vAlign w:val="center"/>
            <w:hideMark/>
          </w:tcPr>
          <w:p w14:paraId="67AED4F6"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Metaanálisis ARCADIA 1 y 2</w:t>
            </w:r>
          </w:p>
        </w:tc>
        <w:tc>
          <w:tcPr>
            <w:tcW w:w="1057" w:type="dxa"/>
            <w:tcBorders>
              <w:top w:val="nil"/>
              <w:left w:val="nil"/>
              <w:bottom w:val="single" w:sz="4" w:space="0" w:color="auto"/>
              <w:right w:val="single" w:sz="4" w:space="0" w:color="auto"/>
            </w:tcBorders>
            <w:vAlign w:val="center"/>
            <w:hideMark/>
          </w:tcPr>
          <w:p w14:paraId="392CBE21"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Principal</w:t>
            </w:r>
          </w:p>
        </w:tc>
        <w:tc>
          <w:tcPr>
            <w:tcW w:w="1244" w:type="dxa"/>
            <w:tcBorders>
              <w:top w:val="nil"/>
              <w:left w:val="nil"/>
              <w:bottom w:val="single" w:sz="4" w:space="0" w:color="auto"/>
              <w:right w:val="single" w:sz="4" w:space="0" w:color="auto"/>
            </w:tcBorders>
            <w:shd w:val="clear" w:color="000000" w:fill="E7E6E6"/>
            <w:noWrap/>
            <w:vAlign w:val="center"/>
            <w:hideMark/>
          </w:tcPr>
          <w:p w14:paraId="0486CCE3"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IGA</w:t>
            </w:r>
          </w:p>
        </w:tc>
        <w:tc>
          <w:tcPr>
            <w:tcW w:w="1406" w:type="dxa"/>
            <w:tcBorders>
              <w:top w:val="nil"/>
              <w:left w:val="nil"/>
              <w:bottom w:val="single" w:sz="4" w:space="0" w:color="auto"/>
              <w:right w:val="single" w:sz="4" w:space="0" w:color="auto"/>
            </w:tcBorders>
            <w:noWrap/>
            <w:vAlign w:val="center"/>
            <w:hideMark/>
          </w:tcPr>
          <w:p w14:paraId="426ECC39"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Placebo</w:t>
            </w:r>
          </w:p>
        </w:tc>
        <w:tc>
          <w:tcPr>
            <w:tcW w:w="804" w:type="dxa"/>
            <w:tcBorders>
              <w:top w:val="nil"/>
              <w:left w:val="nil"/>
              <w:bottom w:val="single" w:sz="4" w:space="0" w:color="auto"/>
              <w:right w:val="single" w:sz="4" w:space="0" w:color="auto"/>
            </w:tcBorders>
            <w:noWrap/>
            <w:vAlign w:val="center"/>
            <w:hideMark/>
          </w:tcPr>
          <w:p w14:paraId="2F9D838B"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9 (7-15)</w:t>
            </w:r>
          </w:p>
        </w:tc>
        <w:tc>
          <w:tcPr>
            <w:tcW w:w="1257" w:type="dxa"/>
            <w:tcBorders>
              <w:top w:val="nil"/>
              <w:left w:val="nil"/>
              <w:bottom w:val="single" w:sz="4" w:space="0" w:color="auto"/>
              <w:right w:val="single" w:sz="4" w:space="0" w:color="auto"/>
            </w:tcBorders>
            <w:noWrap/>
            <w:vAlign w:val="center"/>
            <w:hideMark/>
          </w:tcPr>
          <w:p w14:paraId="48CC475C"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10.602</w:t>
            </w:r>
          </w:p>
        </w:tc>
        <w:tc>
          <w:tcPr>
            <w:tcW w:w="1148" w:type="dxa"/>
            <w:tcBorders>
              <w:top w:val="nil"/>
              <w:left w:val="nil"/>
              <w:bottom w:val="single" w:sz="4" w:space="0" w:color="auto"/>
              <w:right w:val="single" w:sz="4" w:space="0" w:color="auto"/>
            </w:tcBorders>
            <w:vAlign w:val="center"/>
            <w:hideMark/>
          </w:tcPr>
          <w:p w14:paraId="5FDA626C"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95.418           (74.214-159.030)</w:t>
            </w:r>
          </w:p>
        </w:tc>
        <w:tc>
          <w:tcPr>
            <w:tcW w:w="1080" w:type="dxa"/>
            <w:tcBorders>
              <w:top w:val="nil"/>
              <w:left w:val="nil"/>
              <w:bottom w:val="single" w:sz="4" w:space="0" w:color="auto"/>
              <w:right w:val="single" w:sz="4" w:space="0" w:color="auto"/>
            </w:tcBorders>
            <w:noWrap/>
            <w:vAlign w:val="center"/>
            <w:hideMark/>
          </w:tcPr>
          <w:p w14:paraId="57FEA672"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6.570</w:t>
            </w:r>
          </w:p>
        </w:tc>
        <w:tc>
          <w:tcPr>
            <w:tcW w:w="1298" w:type="dxa"/>
            <w:tcBorders>
              <w:top w:val="nil"/>
              <w:left w:val="nil"/>
              <w:bottom w:val="single" w:sz="4" w:space="0" w:color="auto"/>
              <w:right w:val="single" w:sz="4" w:space="0" w:color="auto"/>
            </w:tcBorders>
            <w:vAlign w:val="center"/>
            <w:hideMark/>
          </w:tcPr>
          <w:p w14:paraId="5F443BC1"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59.130                        (45.990-98.550)</w:t>
            </w:r>
          </w:p>
        </w:tc>
      </w:tr>
      <w:tr w:rsidR="00DC274C" w14:paraId="4CF21679" w14:textId="77777777" w:rsidTr="00DC274C">
        <w:trPr>
          <w:trHeight w:val="476"/>
        </w:trPr>
        <w:tc>
          <w:tcPr>
            <w:tcW w:w="1285" w:type="dxa"/>
            <w:vMerge/>
            <w:tcBorders>
              <w:top w:val="nil"/>
              <w:left w:val="single" w:sz="4" w:space="0" w:color="auto"/>
              <w:bottom w:val="single" w:sz="4" w:space="0" w:color="auto"/>
              <w:right w:val="single" w:sz="4" w:space="0" w:color="auto"/>
            </w:tcBorders>
            <w:vAlign w:val="center"/>
            <w:hideMark/>
          </w:tcPr>
          <w:p w14:paraId="5EA05C18" w14:textId="77777777" w:rsidR="00DC274C" w:rsidRPr="00DC274C" w:rsidRDefault="00DC274C">
            <w:pPr>
              <w:rPr>
                <w:rFonts w:ascii="Arial" w:hAnsi="Arial" w:cs="Arial"/>
                <w:color w:val="000000"/>
                <w:sz w:val="16"/>
                <w:szCs w:val="16"/>
              </w:rPr>
            </w:pPr>
          </w:p>
        </w:tc>
        <w:tc>
          <w:tcPr>
            <w:tcW w:w="1057" w:type="dxa"/>
            <w:tcBorders>
              <w:top w:val="nil"/>
              <w:left w:val="nil"/>
              <w:bottom w:val="single" w:sz="4" w:space="0" w:color="auto"/>
              <w:right w:val="single" w:sz="4" w:space="0" w:color="auto"/>
            </w:tcBorders>
            <w:vAlign w:val="center"/>
            <w:hideMark/>
          </w:tcPr>
          <w:p w14:paraId="48F9F1D0"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Principal</w:t>
            </w:r>
          </w:p>
        </w:tc>
        <w:tc>
          <w:tcPr>
            <w:tcW w:w="1244" w:type="dxa"/>
            <w:tcBorders>
              <w:top w:val="nil"/>
              <w:left w:val="nil"/>
              <w:bottom w:val="single" w:sz="4" w:space="0" w:color="auto"/>
              <w:right w:val="single" w:sz="4" w:space="0" w:color="auto"/>
            </w:tcBorders>
            <w:shd w:val="clear" w:color="000000" w:fill="E7E6E6"/>
            <w:noWrap/>
            <w:vAlign w:val="center"/>
            <w:hideMark/>
          </w:tcPr>
          <w:p w14:paraId="37BEA463"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EASI75</w:t>
            </w:r>
          </w:p>
        </w:tc>
        <w:tc>
          <w:tcPr>
            <w:tcW w:w="1406" w:type="dxa"/>
            <w:tcBorders>
              <w:top w:val="nil"/>
              <w:left w:val="nil"/>
              <w:bottom w:val="single" w:sz="4" w:space="0" w:color="auto"/>
              <w:right w:val="single" w:sz="4" w:space="0" w:color="auto"/>
            </w:tcBorders>
            <w:noWrap/>
            <w:vAlign w:val="center"/>
            <w:hideMark/>
          </w:tcPr>
          <w:p w14:paraId="27B52C0E"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Placebo</w:t>
            </w:r>
          </w:p>
        </w:tc>
        <w:tc>
          <w:tcPr>
            <w:tcW w:w="804" w:type="dxa"/>
            <w:tcBorders>
              <w:top w:val="nil"/>
              <w:left w:val="nil"/>
              <w:bottom w:val="single" w:sz="4" w:space="0" w:color="auto"/>
              <w:right w:val="single" w:sz="4" w:space="0" w:color="auto"/>
            </w:tcBorders>
            <w:noWrap/>
            <w:vAlign w:val="center"/>
            <w:hideMark/>
          </w:tcPr>
          <w:p w14:paraId="6C67D080"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8 (6-12)</w:t>
            </w:r>
          </w:p>
        </w:tc>
        <w:tc>
          <w:tcPr>
            <w:tcW w:w="1257" w:type="dxa"/>
            <w:tcBorders>
              <w:top w:val="nil"/>
              <w:left w:val="nil"/>
              <w:bottom w:val="single" w:sz="4" w:space="0" w:color="auto"/>
              <w:right w:val="single" w:sz="4" w:space="0" w:color="auto"/>
            </w:tcBorders>
            <w:noWrap/>
            <w:vAlign w:val="center"/>
            <w:hideMark/>
          </w:tcPr>
          <w:p w14:paraId="65B6C046"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10.602</w:t>
            </w:r>
          </w:p>
        </w:tc>
        <w:tc>
          <w:tcPr>
            <w:tcW w:w="1148" w:type="dxa"/>
            <w:tcBorders>
              <w:top w:val="nil"/>
              <w:left w:val="nil"/>
              <w:bottom w:val="single" w:sz="4" w:space="0" w:color="auto"/>
              <w:right w:val="single" w:sz="4" w:space="0" w:color="auto"/>
            </w:tcBorders>
            <w:vAlign w:val="center"/>
            <w:hideMark/>
          </w:tcPr>
          <w:p w14:paraId="2EFB2E59"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84.816            (63.612-127.224)</w:t>
            </w:r>
          </w:p>
        </w:tc>
        <w:tc>
          <w:tcPr>
            <w:tcW w:w="1080" w:type="dxa"/>
            <w:tcBorders>
              <w:top w:val="nil"/>
              <w:left w:val="nil"/>
              <w:bottom w:val="single" w:sz="4" w:space="0" w:color="auto"/>
              <w:right w:val="single" w:sz="4" w:space="0" w:color="auto"/>
            </w:tcBorders>
            <w:noWrap/>
            <w:vAlign w:val="center"/>
            <w:hideMark/>
          </w:tcPr>
          <w:p w14:paraId="752DDBE7"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6.570</w:t>
            </w:r>
          </w:p>
        </w:tc>
        <w:tc>
          <w:tcPr>
            <w:tcW w:w="1298" w:type="dxa"/>
            <w:tcBorders>
              <w:top w:val="nil"/>
              <w:left w:val="nil"/>
              <w:bottom w:val="single" w:sz="4" w:space="0" w:color="auto"/>
              <w:right w:val="single" w:sz="4" w:space="0" w:color="auto"/>
            </w:tcBorders>
            <w:vAlign w:val="center"/>
            <w:hideMark/>
          </w:tcPr>
          <w:p w14:paraId="7B5A295F"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52.560                    (39.420-78.840)</w:t>
            </w:r>
          </w:p>
        </w:tc>
      </w:tr>
      <w:tr w:rsidR="00DC274C" w14:paraId="31A7E357" w14:textId="77777777" w:rsidTr="00DC274C">
        <w:trPr>
          <w:trHeight w:val="476"/>
        </w:trPr>
        <w:tc>
          <w:tcPr>
            <w:tcW w:w="1285" w:type="dxa"/>
            <w:vMerge/>
            <w:tcBorders>
              <w:top w:val="nil"/>
              <w:left w:val="single" w:sz="4" w:space="0" w:color="auto"/>
              <w:bottom w:val="single" w:sz="4" w:space="0" w:color="auto"/>
              <w:right w:val="single" w:sz="4" w:space="0" w:color="auto"/>
            </w:tcBorders>
            <w:vAlign w:val="center"/>
            <w:hideMark/>
          </w:tcPr>
          <w:p w14:paraId="7E550E9F" w14:textId="77777777" w:rsidR="00DC274C" w:rsidRPr="00DC274C" w:rsidRDefault="00DC274C">
            <w:pPr>
              <w:rPr>
                <w:rFonts w:ascii="Arial" w:hAnsi="Arial" w:cs="Arial"/>
                <w:color w:val="000000"/>
                <w:sz w:val="16"/>
                <w:szCs w:val="16"/>
              </w:rPr>
            </w:pPr>
          </w:p>
        </w:tc>
        <w:tc>
          <w:tcPr>
            <w:tcW w:w="1057" w:type="dxa"/>
            <w:tcBorders>
              <w:top w:val="nil"/>
              <w:left w:val="nil"/>
              <w:bottom w:val="single" w:sz="4" w:space="0" w:color="auto"/>
              <w:right w:val="single" w:sz="4" w:space="0" w:color="auto"/>
            </w:tcBorders>
            <w:vAlign w:val="center"/>
            <w:hideMark/>
          </w:tcPr>
          <w:p w14:paraId="201EF4D5"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Principal</w:t>
            </w:r>
          </w:p>
        </w:tc>
        <w:tc>
          <w:tcPr>
            <w:tcW w:w="1244" w:type="dxa"/>
            <w:tcBorders>
              <w:top w:val="nil"/>
              <w:left w:val="nil"/>
              <w:bottom w:val="single" w:sz="4" w:space="0" w:color="auto"/>
              <w:right w:val="single" w:sz="4" w:space="0" w:color="auto"/>
            </w:tcBorders>
            <w:shd w:val="clear" w:color="000000" w:fill="E7E6E6"/>
            <w:noWrap/>
            <w:vAlign w:val="center"/>
            <w:hideMark/>
          </w:tcPr>
          <w:p w14:paraId="5EA347A6"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PP-NRS</w:t>
            </w:r>
          </w:p>
        </w:tc>
        <w:tc>
          <w:tcPr>
            <w:tcW w:w="1406" w:type="dxa"/>
            <w:tcBorders>
              <w:top w:val="nil"/>
              <w:left w:val="nil"/>
              <w:bottom w:val="single" w:sz="4" w:space="0" w:color="auto"/>
              <w:right w:val="single" w:sz="4" w:space="0" w:color="auto"/>
            </w:tcBorders>
            <w:noWrap/>
            <w:vAlign w:val="center"/>
            <w:hideMark/>
          </w:tcPr>
          <w:p w14:paraId="390094F4"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Placebo</w:t>
            </w:r>
          </w:p>
        </w:tc>
        <w:tc>
          <w:tcPr>
            <w:tcW w:w="804" w:type="dxa"/>
            <w:tcBorders>
              <w:top w:val="nil"/>
              <w:left w:val="nil"/>
              <w:bottom w:val="single" w:sz="4" w:space="0" w:color="auto"/>
              <w:right w:val="single" w:sz="4" w:space="0" w:color="auto"/>
            </w:tcBorders>
            <w:noWrap/>
            <w:vAlign w:val="center"/>
            <w:hideMark/>
          </w:tcPr>
          <w:p w14:paraId="665F32D3"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5 (4-6)</w:t>
            </w:r>
          </w:p>
        </w:tc>
        <w:tc>
          <w:tcPr>
            <w:tcW w:w="1257" w:type="dxa"/>
            <w:tcBorders>
              <w:top w:val="nil"/>
              <w:left w:val="nil"/>
              <w:bottom w:val="single" w:sz="4" w:space="0" w:color="auto"/>
              <w:right w:val="single" w:sz="4" w:space="0" w:color="auto"/>
            </w:tcBorders>
            <w:noWrap/>
            <w:vAlign w:val="center"/>
            <w:hideMark/>
          </w:tcPr>
          <w:p w14:paraId="6D2DAEDA"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10.602</w:t>
            </w:r>
          </w:p>
        </w:tc>
        <w:tc>
          <w:tcPr>
            <w:tcW w:w="1148" w:type="dxa"/>
            <w:tcBorders>
              <w:top w:val="nil"/>
              <w:left w:val="nil"/>
              <w:bottom w:val="single" w:sz="4" w:space="0" w:color="auto"/>
              <w:right w:val="single" w:sz="4" w:space="0" w:color="auto"/>
            </w:tcBorders>
            <w:vAlign w:val="bottom"/>
            <w:hideMark/>
          </w:tcPr>
          <w:p w14:paraId="0C99D81C"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53.010                    (42.408-63.612)</w:t>
            </w:r>
          </w:p>
        </w:tc>
        <w:tc>
          <w:tcPr>
            <w:tcW w:w="1080" w:type="dxa"/>
            <w:tcBorders>
              <w:top w:val="nil"/>
              <w:left w:val="nil"/>
              <w:bottom w:val="single" w:sz="4" w:space="0" w:color="auto"/>
              <w:right w:val="single" w:sz="4" w:space="0" w:color="auto"/>
            </w:tcBorders>
            <w:noWrap/>
            <w:vAlign w:val="center"/>
            <w:hideMark/>
          </w:tcPr>
          <w:p w14:paraId="050467D7"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6.570</w:t>
            </w:r>
          </w:p>
        </w:tc>
        <w:tc>
          <w:tcPr>
            <w:tcW w:w="1298" w:type="dxa"/>
            <w:tcBorders>
              <w:top w:val="nil"/>
              <w:left w:val="nil"/>
              <w:bottom w:val="single" w:sz="4" w:space="0" w:color="auto"/>
              <w:right w:val="single" w:sz="4" w:space="0" w:color="auto"/>
            </w:tcBorders>
            <w:vAlign w:val="center"/>
            <w:hideMark/>
          </w:tcPr>
          <w:p w14:paraId="15106964" w14:textId="77777777" w:rsidR="00DC274C" w:rsidRPr="00DC274C" w:rsidRDefault="00DC274C">
            <w:pPr>
              <w:jc w:val="center"/>
              <w:rPr>
                <w:rFonts w:ascii="Arial" w:hAnsi="Arial" w:cs="Arial"/>
                <w:color w:val="000000"/>
                <w:sz w:val="16"/>
                <w:szCs w:val="16"/>
              </w:rPr>
            </w:pPr>
            <w:r w:rsidRPr="00DC274C">
              <w:rPr>
                <w:rFonts w:ascii="Arial" w:hAnsi="Arial" w:cs="Arial"/>
                <w:color w:val="000000"/>
                <w:sz w:val="16"/>
                <w:szCs w:val="16"/>
              </w:rPr>
              <w:t>32.850       (26.280-39.420)</w:t>
            </w:r>
          </w:p>
        </w:tc>
      </w:tr>
      <w:bookmarkEnd w:id="148"/>
    </w:tbl>
    <w:p w14:paraId="10C95B6C" w14:textId="77777777" w:rsidR="00BC3E8E" w:rsidRPr="006F6ABB" w:rsidRDefault="00BC3E8E" w:rsidP="00BC3E8E">
      <w:pPr>
        <w:jc w:val="both"/>
        <w:rPr>
          <w:rFonts w:ascii="Arial" w:hAnsi="Arial" w:cs="Arial"/>
          <w:color w:val="FF0000"/>
          <w:sz w:val="22"/>
        </w:rPr>
      </w:pPr>
    </w:p>
    <w:p w14:paraId="17C4F768" w14:textId="77777777" w:rsidR="00BC3E8E" w:rsidRPr="006F6ABB" w:rsidRDefault="00BC3E8E" w:rsidP="00BC3E8E">
      <w:pPr>
        <w:pStyle w:val="Encabezado"/>
        <w:tabs>
          <w:tab w:val="clear" w:pos="4252"/>
          <w:tab w:val="clear" w:pos="8504"/>
        </w:tabs>
        <w:rPr>
          <w:rFonts w:ascii="Arial" w:hAnsi="Arial" w:cs="Arial"/>
        </w:rPr>
      </w:pPr>
    </w:p>
    <w:p w14:paraId="7A541AF5" w14:textId="77777777" w:rsidR="00BC3E8E" w:rsidRPr="001F7F82" w:rsidRDefault="00BC3E8E" w:rsidP="00BC3E8E">
      <w:pPr>
        <w:pStyle w:val="Encabezado"/>
        <w:tabs>
          <w:tab w:val="clear" w:pos="4252"/>
          <w:tab w:val="clear" w:pos="8504"/>
        </w:tabs>
        <w:jc w:val="both"/>
        <w:rPr>
          <w:rFonts w:ascii="Arial" w:hAnsi="Arial" w:cs="Arial"/>
          <w:bCs/>
          <w:sz w:val="20"/>
          <w:szCs w:val="20"/>
        </w:rPr>
      </w:pPr>
      <w:r w:rsidRPr="001F7F82">
        <w:rPr>
          <w:rFonts w:ascii="Arial" w:hAnsi="Arial" w:cs="Arial"/>
          <w:bCs/>
          <w:sz w:val="20"/>
          <w:szCs w:val="20"/>
        </w:rPr>
        <w:t xml:space="preserve">Según los datos </w:t>
      </w:r>
      <w:r w:rsidR="000649E4" w:rsidRPr="001F7F82">
        <w:rPr>
          <w:rFonts w:ascii="Arial" w:hAnsi="Arial" w:cs="Arial"/>
          <w:bCs/>
          <w:sz w:val="20"/>
          <w:szCs w:val="20"/>
        </w:rPr>
        <w:t xml:space="preserve">agrupados </w:t>
      </w:r>
      <w:r w:rsidRPr="001F7F82">
        <w:rPr>
          <w:rFonts w:ascii="Arial" w:hAnsi="Arial" w:cs="Arial"/>
          <w:bCs/>
          <w:sz w:val="20"/>
          <w:szCs w:val="20"/>
        </w:rPr>
        <w:t>de</w:t>
      </w:r>
      <w:r w:rsidR="000649E4" w:rsidRPr="001F7F82">
        <w:rPr>
          <w:rFonts w:ascii="Arial" w:hAnsi="Arial" w:cs="Arial"/>
          <w:bCs/>
          <w:sz w:val="20"/>
          <w:szCs w:val="20"/>
        </w:rPr>
        <w:t xml:space="preserve"> los</w:t>
      </w:r>
      <w:r w:rsidR="006B4601" w:rsidRPr="001F7F82">
        <w:rPr>
          <w:rFonts w:ascii="Arial" w:hAnsi="Arial" w:cs="Arial"/>
          <w:bCs/>
          <w:sz w:val="20"/>
          <w:szCs w:val="20"/>
        </w:rPr>
        <w:t xml:space="preserve"> </w:t>
      </w:r>
      <w:r w:rsidRPr="001F7F82">
        <w:rPr>
          <w:rFonts w:ascii="Arial" w:hAnsi="Arial" w:cs="Arial"/>
          <w:bCs/>
          <w:sz w:val="20"/>
          <w:szCs w:val="20"/>
        </w:rPr>
        <w:t>estudio</w:t>
      </w:r>
      <w:r w:rsidR="000649E4" w:rsidRPr="001F7F82">
        <w:rPr>
          <w:rFonts w:ascii="Arial" w:hAnsi="Arial" w:cs="Arial"/>
          <w:bCs/>
          <w:sz w:val="20"/>
          <w:szCs w:val="20"/>
        </w:rPr>
        <w:t>s</w:t>
      </w:r>
      <w:r w:rsidRPr="001F7F82">
        <w:rPr>
          <w:rFonts w:ascii="Arial" w:hAnsi="Arial" w:cs="Arial"/>
          <w:bCs/>
          <w:sz w:val="20"/>
          <w:szCs w:val="20"/>
        </w:rPr>
        <w:t xml:space="preserve"> </w:t>
      </w:r>
      <w:r w:rsidR="000649E4" w:rsidRPr="001F7F82">
        <w:rPr>
          <w:rFonts w:ascii="Arial" w:hAnsi="Arial" w:cs="Arial"/>
          <w:bCs/>
          <w:sz w:val="20"/>
          <w:szCs w:val="20"/>
        </w:rPr>
        <w:t>ARCADIA 1 y 2</w:t>
      </w:r>
      <w:r w:rsidRPr="001F7F82">
        <w:rPr>
          <w:rFonts w:ascii="Arial" w:hAnsi="Arial" w:cs="Arial"/>
          <w:bCs/>
          <w:sz w:val="20"/>
          <w:szCs w:val="20"/>
        </w:rPr>
        <w:t xml:space="preserve"> y el coste de</w:t>
      </w:r>
      <w:r w:rsidR="000649E4" w:rsidRPr="001F7F82">
        <w:rPr>
          <w:rFonts w:ascii="Arial" w:hAnsi="Arial" w:cs="Arial"/>
          <w:bCs/>
          <w:sz w:val="20"/>
          <w:szCs w:val="20"/>
        </w:rPr>
        <w:t xml:space="preserve"> nemolizumab considerando posibles descuentos</w:t>
      </w:r>
      <w:r w:rsidRPr="001F7F82">
        <w:rPr>
          <w:rFonts w:ascii="Arial" w:hAnsi="Arial" w:cs="Arial"/>
          <w:bCs/>
          <w:sz w:val="20"/>
          <w:szCs w:val="20"/>
        </w:rPr>
        <w:t xml:space="preserve">, por cada paciente </w:t>
      </w:r>
      <w:r w:rsidR="006B4601" w:rsidRPr="001F7F82">
        <w:rPr>
          <w:rFonts w:ascii="Arial" w:hAnsi="Arial" w:cs="Arial"/>
          <w:bCs/>
          <w:sz w:val="20"/>
          <w:szCs w:val="20"/>
        </w:rPr>
        <w:t>adicional que mejora en IGA</w:t>
      </w:r>
      <w:r w:rsidRPr="001F7F82">
        <w:rPr>
          <w:rFonts w:ascii="Arial" w:hAnsi="Arial" w:cs="Arial"/>
          <w:bCs/>
          <w:sz w:val="20"/>
          <w:szCs w:val="20"/>
        </w:rPr>
        <w:t xml:space="preserve"> el coste adicional estimado es </w:t>
      </w:r>
      <w:r w:rsidR="006B4601" w:rsidRPr="001F7F82">
        <w:rPr>
          <w:rFonts w:ascii="Arial" w:hAnsi="Arial" w:cs="Arial"/>
          <w:bCs/>
          <w:sz w:val="20"/>
          <w:szCs w:val="20"/>
        </w:rPr>
        <w:t>de 59.130</w:t>
      </w:r>
      <w:r w:rsidRPr="001F7F82">
        <w:rPr>
          <w:rFonts w:ascii="Arial" w:hAnsi="Arial" w:cs="Arial"/>
          <w:bCs/>
          <w:sz w:val="20"/>
          <w:szCs w:val="20"/>
        </w:rPr>
        <w:t xml:space="preserve">€, aunque también es compatible con un </w:t>
      </w:r>
      <w:r w:rsidR="006B4601" w:rsidRPr="001F7F82">
        <w:rPr>
          <w:rFonts w:ascii="Arial" w:hAnsi="Arial" w:cs="Arial"/>
          <w:bCs/>
          <w:sz w:val="20"/>
          <w:szCs w:val="20"/>
        </w:rPr>
        <w:t>CEI entre</w:t>
      </w:r>
      <w:r w:rsidRPr="001F7F82">
        <w:rPr>
          <w:rFonts w:ascii="Arial" w:hAnsi="Arial" w:cs="Arial"/>
          <w:bCs/>
          <w:sz w:val="20"/>
          <w:szCs w:val="20"/>
        </w:rPr>
        <w:t xml:space="preserve"> </w:t>
      </w:r>
      <w:r w:rsidR="006B4601" w:rsidRPr="001F7F82">
        <w:rPr>
          <w:rFonts w:ascii="Arial" w:hAnsi="Arial" w:cs="Arial"/>
          <w:bCs/>
          <w:sz w:val="20"/>
          <w:szCs w:val="20"/>
        </w:rPr>
        <w:t>45.990</w:t>
      </w:r>
      <w:r w:rsidRPr="001F7F82">
        <w:rPr>
          <w:rFonts w:ascii="Arial" w:hAnsi="Arial" w:cs="Arial"/>
          <w:bCs/>
          <w:sz w:val="20"/>
          <w:szCs w:val="20"/>
        </w:rPr>
        <w:t xml:space="preserve">€ y </w:t>
      </w:r>
      <w:r w:rsidR="006B4601" w:rsidRPr="001F7F82">
        <w:rPr>
          <w:rFonts w:ascii="Arial" w:hAnsi="Arial" w:cs="Arial"/>
          <w:bCs/>
          <w:sz w:val="20"/>
          <w:szCs w:val="20"/>
        </w:rPr>
        <w:t>98.550</w:t>
      </w:r>
      <w:r w:rsidRPr="001F7F82">
        <w:rPr>
          <w:rFonts w:ascii="Arial" w:hAnsi="Arial" w:cs="Arial"/>
          <w:bCs/>
          <w:sz w:val="20"/>
          <w:szCs w:val="20"/>
        </w:rPr>
        <w:t>€.</w:t>
      </w:r>
    </w:p>
    <w:p w14:paraId="079B2277" w14:textId="77777777" w:rsidR="006B4601" w:rsidRPr="001F7F82" w:rsidRDefault="006B4601" w:rsidP="006B4601">
      <w:pPr>
        <w:pStyle w:val="Encabezado"/>
        <w:tabs>
          <w:tab w:val="clear" w:pos="4252"/>
          <w:tab w:val="clear" w:pos="8504"/>
        </w:tabs>
        <w:jc w:val="both"/>
        <w:rPr>
          <w:rFonts w:ascii="Arial" w:hAnsi="Arial" w:cs="Arial"/>
          <w:bCs/>
          <w:sz w:val="20"/>
          <w:szCs w:val="20"/>
        </w:rPr>
      </w:pPr>
      <w:r w:rsidRPr="001F7F82">
        <w:rPr>
          <w:rFonts w:ascii="Arial" w:hAnsi="Arial" w:cs="Arial"/>
          <w:bCs/>
          <w:sz w:val="20"/>
          <w:szCs w:val="20"/>
        </w:rPr>
        <w:t>Según los datos agrupados de los estudios ARCADIA 1 y 2 y el coste de nemolizumab considerando posibles descuentos, por cada paciente adicional que mejora en EASI75 el coste adicional estimado es de 52.560 €, aunque también es compatible con un CEI entre 39.420€ y 78.840€.</w:t>
      </w:r>
    </w:p>
    <w:p w14:paraId="6585F3A3" w14:textId="77777777" w:rsidR="006B4601" w:rsidRPr="001F7F82" w:rsidRDefault="006B4601" w:rsidP="006B4601">
      <w:pPr>
        <w:pStyle w:val="Encabezado"/>
        <w:tabs>
          <w:tab w:val="clear" w:pos="4252"/>
          <w:tab w:val="clear" w:pos="8504"/>
        </w:tabs>
        <w:jc w:val="both"/>
        <w:rPr>
          <w:rFonts w:ascii="Arial" w:hAnsi="Arial" w:cs="Arial"/>
          <w:bCs/>
          <w:sz w:val="20"/>
          <w:szCs w:val="20"/>
        </w:rPr>
      </w:pPr>
      <w:r w:rsidRPr="001F7F82">
        <w:rPr>
          <w:rFonts w:ascii="Arial" w:hAnsi="Arial" w:cs="Arial"/>
          <w:bCs/>
          <w:sz w:val="20"/>
          <w:szCs w:val="20"/>
        </w:rPr>
        <w:t>Según los datos agrupados de los estudios ARCADIA 1 y 2 y el coste de nemolizumab considerando posibles descuentos, por cada paciente adicional que mejora en PP-NRS el coste adicional estimado es de 32.850 €, aunque también es compatible con un CEI entre 26.280 € y 39.420 €.</w:t>
      </w:r>
    </w:p>
    <w:p w14:paraId="5EE0AE32" w14:textId="77777777" w:rsidR="006B4601" w:rsidRPr="001F7F82" w:rsidRDefault="006B4601" w:rsidP="00BC3E8E">
      <w:pPr>
        <w:pStyle w:val="Encabezado"/>
        <w:tabs>
          <w:tab w:val="clear" w:pos="4252"/>
          <w:tab w:val="clear" w:pos="8504"/>
        </w:tabs>
        <w:jc w:val="both"/>
        <w:rPr>
          <w:rFonts w:ascii="Arial" w:hAnsi="Arial" w:cs="Arial"/>
          <w:bCs/>
          <w:sz w:val="20"/>
          <w:szCs w:val="20"/>
        </w:rPr>
      </w:pPr>
    </w:p>
    <w:p w14:paraId="6C87A946" w14:textId="77777777" w:rsidR="00BC3E8E" w:rsidRPr="001F7F82" w:rsidRDefault="006B4601" w:rsidP="00BC3E8E">
      <w:pPr>
        <w:pStyle w:val="Encabezado"/>
        <w:tabs>
          <w:tab w:val="clear" w:pos="4252"/>
          <w:tab w:val="clear" w:pos="8504"/>
        </w:tabs>
        <w:rPr>
          <w:rFonts w:ascii="Arial" w:hAnsi="Arial" w:cs="Arial"/>
          <w:bCs/>
          <w:sz w:val="20"/>
          <w:szCs w:val="20"/>
        </w:rPr>
      </w:pPr>
      <w:r w:rsidRPr="001F7F82">
        <w:rPr>
          <w:rFonts w:ascii="Arial" w:hAnsi="Arial" w:cs="Arial"/>
          <w:bCs/>
          <w:sz w:val="20"/>
          <w:szCs w:val="20"/>
        </w:rPr>
        <w:t xml:space="preserve">Hay que considerar que el coste eficacia incremental debería ser calculado con respecto al gold estándar, pero considerando que nemolizumab no ha demostrado un mayor beneficio con respecto a placebo, no se ha realizado esa comparación. </w:t>
      </w:r>
    </w:p>
    <w:p w14:paraId="2B75DEF6" w14:textId="77777777" w:rsidR="00BC3E8E" w:rsidRPr="006F6ABB" w:rsidRDefault="00BC3E8E" w:rsidP="00BC3E8E">
      <w:pPr>
        <w:pStyle w:val="Encabezado"/>
        <w:tabs>
          <w:tab w:val="clear" w:pos="4252"/>
          <w:tab w:val="clear" w:pos="8504"/>
        </w:tabs>
        <w:rPr>
          <w:rFonts w:ascii="Arial" w:hAnsi="Arial" w:cs="Arial"/>
        </w:rPr>
      </w:pPr>
    </w:p>
    <w:p w14:paraId="63F75902"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49" w:name="_Toc344399660"/>
      <w:bookmarkStart w:id="150" w:name="_Toc348931391"/>
      <w:bookmarkStart w:id="151" w:name="_Toc216191114"/>
      <w:r w:rsidRPr="00E3472F">
        <w:rPr>
          <w:rFonts w:cs="Arial"/>
          <w:sz w:val="20"/>
        </w:rPr>
        <w:t xml:space="preserve">7.3 Estimación del número de pacientes candidatos al tratamiento en el </w:t>
      </w:r>
      <w:r w:rsidRPr="00994A56">
        <w:rPr>
          <w:rFonts w:cs="Arial"/>
          <w:sz w:val="20"/>
        </w:rPr>
        <w:t>hospital</w:t>
      </w:r>
      <w:bookmarkEnd w:id="149"/>
      <w:bookmarkEnd w:id="150"/>
      <w:bookmarkEnd w:id="151"/>
    </w:p>
    <w:p w14:paraId="231E932C" w14:textId="77777777" w:rsidR="00BC3E8E" w:rsidRPr="006F6ABB" w:rsidRDefault="00BC3E8E" w:rsidP="00A75AFF">
      <w:pPr>
        <w:jc w:val="both"/>
        <w:outlineLvl w:val="1"/>
        <w:rPr>
          <w:rFonts w:ascii="Arial" w:hAnsi="Arial" w:cs="Arial"/>
          <w:sz w:val="20"/>
          <w:szCs w:val="20"/>
        </w:rPr>
      </w:pPr>
    </w:p>
    <w:p w14:paraId="6700B29C" w14:textId="77777777" w:rsidR="00BC3E8E" w:rsidRDefault="00BC3E8E" w:rsidP="00A75AFF">
      <w:pPr>
        <w:jc w:val="both"/>
        <w:rPr>
          <w:rFonts w:ascii="Arial" w:hAnsi="Arial" w:cs="Arial"/>
          <w:sz w:val="20"/>
          <w:szCs w:val="20"/>
        </w:rPr>
      </w:pPr>
      <w:r w:rsidRPr="00E044D1">
        <w:rPr>
          <w:rFonts w:ascii="Arial" w:hAnsi="Arial" w:cs="Arial"/>
          <w:sz w:val="20"/>
          <w:szCs w:val="20"/>
        </w:rPr>
        <w:t xml:space="preserve">En </w:t>
      </w:r>
      <w:r w:rsidR="005F3776" w:rsidRPr="00E044D1">
        <w:rPr>
          <w:rFonts w:ascii="Arial" w:hAnsi="Arial" w:cs="Arial"/>
          <w:sz w:val="20"/>
          <w:szCs w:val="20"/>
        </w:rPr>
        <w:t xml:space="preserve">un hospital que atiende a 11 áreas y a 370.000 habitantes censados, </w:t>
      </w:r>
      <w:r w:rsidR="00E044D1" w:rsidRPr="00E044D1">
        <w:rPr>
          <w:rFonts w:ascii="Arial" w:hAnsi="Arial" w:cs="Arial"/>
          <w:sz w:val="20"/>
          <w:szCs w:val="20"/>
        </w:rPr>
        <w:t>la prevalencia de pacientes con DA severa (EASI&gt;21) en</w:t>
      </w:r>
      <w:r w:rsidR="005F3776" w:rsidRPr="00E044D1">
        <w:rPr>
          <w:rFonts w:ascii="Arial" w:hAnsi="Arial" w:cs="Arial"/>
          <w:sz w:val="20"/>
          <w:szCs w:val="20"/>
        </w:rPr>
        <w:t xml:space="preserve"> </w:t>
      </w:r>
      <w:r w:rsidR="00E044D1" w:rsidRPr="00E044D1">
        <w:rPr>
          <w:rFonts w:ascii="Arial" w:hAnsi="Arial" w:cs="Arial"/>
          <w:sz w:val="20"/>
          <w:szCs w:val="20"/>
        </w:rPr>
        <w:t xml:space="preserve">tratamiento con fármacos biológicos fue de 133, con </w:t>
      </w:r>
      <w:r w:rsidR="00A75AFF" w:rsidRPr="00E044D1">
        <w:rPr>
          <w:rFonts w:ascii="Arial" w:hAnsi="Arial" w:cs="Arial"/>
          <w:sz w:val="20"/>
          <w:szCs w:val="20"/>
        </w:rPr>
        <w:t>una incidencia</w:t>
      </w:r>
      <w:r w:rsidR="00E044D1" w:rsidRPr="00E044D1">
        <w:rPr>
          <w:rFonts w:ascii="Arial" w:hAnsi="Arial" w:cs="Arial"/>
          <w:sz w:val="20"/>
          <w:szCs w:val="20"/>
        </w:rPr>
        <w:t xml:space="preserve"> de 47 casos nuevos en 2024. </w:t>
      </w:r>
      <w:r w:rsidR="00A75AFF">
        <w:rPr>
          <w:rFonts w:ascii="Arial" w:hAnsi="Arial" w:cs="Arial"/>
          <w:sz w:val="20"/>
          <w:szCs w:val="20"/>
        </w:rPr>
        <w:t>Considerando que estos pacientes serían los candidatos al tratamiento con nemolizumab se recoge en la tabla 29 la estimación del coste eficacia anual en el hospital.</w:t>
      </w:r>
    </w:p>
    <w:p w14:paraId="20D0EA48" w14:textId="77777777" w:rsidR="00994A56" w:rsidRDefault="00994A56" w:rsidP="00A75AFF">
      <w:pPr>
        <w:jc w:val="both"/>
        <w:rPr>
          <w:rFonts w:ascii="Arial" w:hAnsi="Arial" w:cs="Arial"/>
          <w:sz w:val="20"/>
          <w:szCs w:val="20"/>
        </w:rPr>
      </w:pPr>
      <w:r>
        <w:rPr>
          <w:rFonts w:ascii="Arial" w:hAnsi="Arial" w:cs="Arial"/>
          <w:sz w:val="20"/>
          <w:szCs w:val="20"/>
        </w:rPr>
        <w:t xml:space="preserve">Se toma como referencia el coste estimado tras el análisis de sensibilidad, aplicando los posibles descuentos. </w:t>
      </w:r>
    </w:p>
    <w:p w14:paraId="09B89D4F" w14:textId="77777777" w:rsidR="00994A56" w:rsidRDefault="00994A56" w:rsidP="00A75AFF">
      <w:pPr>
        <w:jc w:val="both"/>
        <w:rPr>
          <w:rFonts w:ascii="Arial" w:hAnsi="Arial" w:cs="Arial"/>
          <w:sz w:val="20"/>
          <w:szCs w:val="20"/>
        </w:rPr>
      </w:pPr>
    </w:p>
    <w:p w14:paraId="0A778850" w14:textId="77777777" w:rsidR="00994A56" w:rsidRDefault="00994A56" w:rsidP="00A75AFF">
      <w:pPr>
        <w:jc w:val="both"/>
        <w:rPr>
          <w:rFonts w:ascii="Arial" w:hAnsi="Arial" w:cs="Arial"/>
          <w:sz w:val="20"/>
          <w:szCs w:val="20"/>
        </w:rPr>
      </w:pPr>
    </w:p>
    <w:tbl>
      <w:tblPr>
        <w:tblW w:w="860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1300"/>
        <w:gridCol w:w="1200"/>
        <w:gridCol w:w="1200"/>
        <w:gridCol w:w="1200"/>
        <w:gridCol w:w="1200"/>
        <w:gridCol w:w="1200"/>
      </w:tblGrid>
      <w:tr w:rsidR="00994A56" w14:paraId="0F105A10" w14:textId="77777777" w:rsidTr="00994A56">
        <w:trPr>
          <w:trHeight w:val="600"/>
        </w:trPr>
        <w:tc>
          <w:tcPr>
            <w:tcW w:w="8600" w:type="dxa"/>
            <w:gridSpan w:val="7"/>
            <w:shd w:val="clear" w:color="000000" w:fill="CCFFCC"/>
            <w:vAlign w:val="center"/>
            <w:hideMark/>
          </w:tcPr>
          <w:p w14:paraId="26B529C6" w14:textId="77777777" w:rsidR="00994A56" w:rsidRDefault="00994A56">
            <w:pPr>
              <w:jc w:val="center"/>
              <w:rPr>
                <w:rFonts w:ascii="Arial" w:hAnsi="Arial" w:cs="Arial"/>
                <w:b/>
                <w:bCs/>
                <w:color w:val="000000"/>
                <w:sz w:val="20"/>
                <w:szCs w:val="20"/>
              </w:rPr>
            </w:pPr>
            <w:r>
              <w:rPr>
                <w:rFonts w:ascii="Arial" w:hAnsi="Arial" w:cs="Arial"/>
                <w:b/>
                <w:bCs/>
                <w:sz w:val="20"/>
                <w:szCs w:val="20"/>
              </w:rPr>
              <w:t xml:space="preserve">Tabla 29. Estimación del número de pacientes </w:t>
            </w:r>
            <w:r>
              <w:rPr>
                <w:rFonts w:ascii="Arial" w:hAnsi="Arial" w:cs="Arial"/>
                <w:b/>
                <w:bCs/>
                <w:color w:val="000000"/>
                <w:sz w:val="20"/>
                <w:szCs w:val="20"/>
                <w:u w:val="single"/>
              </w:rPr>
              <w:t>1º año</w:t>
            </w:r>
            <w:r>
              <w:rPr>
                <w:rFonts w:ascii="Arial" w:hAnsi="Arial" w:cs="Arial"/>
                <w:b/>
                <w:bCs/>
                <w:color w:val="000000"/>
                <w:sz w:val="20"/>
                <w:szCs w:val="20"/>
              </w:rPr>
              <w:t xml:space="preserve"> candidatos al tratamiento en el hospital, coste estimado anual y unidades de eficacia anual</w:t>
            </w:r>
          </w:p>
        </w:tc>
      </w:tr>
      <w:tr w:rsidR="00994A56" w14:paraId="58654D89" w14:textId="77777777" w:rsidTr="00994A56">
        <w:trPr>
          <w:trHeight w:val="765"/>
        </w:trPr>
        <w:tc>
          <w:tcPr>
            <w:tcW w:w="1300" w:type="dxa"/>
            <w:vAlign w:val="center"/>
            <w:hideMark/>
          </w:tcPr>
          <w:p w14:paraId="015BD615" w14:textId="77777777" w:rsidR="00994A56" w:rsidRDefault="00994A56">
            <w:pPr>
              <w:jc w:val="center"/>
              <w:rPr>
                <w:rFonts w:ascii="Arial" w:hAnsi="Arial" w:cs="Arial"/>
                <w:color w:val="000000"/>
                <w:sz w:val="16"/>
                <w:szCs w:val="16"/>
              </w:rPr>
            </w:pPr>
            <w:r>
              <w:rPr>
                <w:rFonts w:ascii="Arial" w:hAnsi="Arial" w:cs="Arial"/>
                <w:color w:val="000000"/>
                <w:sz w:val="16"/>
                <w:szCs w:val="16"/>
              </w:rPr>
              <w:t>Referencia</w:t>
            </w:r>
          </w:p>
        </w:tc>
        <w:tc>
          <w:tcPr>
            <w:tcW w:w="1300" w:type="dxa"/>
            <w:vAlign w:val="center"/>
            <w:hideMark/>
          </w:tcPr>
          <w:p w14:paraId="3B3094EF" w14:textId="77777777" w:rsidR="00994A56" w:rsidRDefault="00994A56">
            <w:pPr>
              <w:jc w:val="center"/>
              <w:rPr>
                <w:rFonts w:ascii="Arial" w:hAnsi="Arial" w:cs="Arial"/>
                <w:color w:val="000000"/>
                <w:sz w:val="16"/>
                <w:szCs w:val="16"/>
              </w:rPr>
            </w:pPr>
            <w:r>
              <w:rPr>
                <w:rFonts w:ascii="Arial" w:hAnsi="Arial" w:cs="Arial"/>
                <w:color w:val="000000"/>
                <w:sz w:val="16"/>
                <w:szCs w:val="16"/>
              </w:rPr>
              <w:t>Variable</w:t>
            </w:r>
          </w:p>
        </w:tc>
        <w:tc>
          <w:tcPr>
            <w:tcW w:w="1200" w:type="dxa"/>
            <w:vAlign w:val="center"/>
            <w:hideMark/>
          </w:tcPr>
          <w:p w14:paraId="51CE5C3B" w14:textId="77777777" w:rsidR="00994A56" w:rsidRDefault="00994A56">
            <w:pPr>
              <w:jc w:val="center"/>
              <w:rPr>
                <w:rFonts w:ascii="Arial" w:hAnsi="Arial" w:cs="Arial"/>
                <w:color w:val="000000"/>
                <w:sz w:val="16"/>
                <w:szCs w:val="16"/>
              </w:rPr>
            </w:pPr>
            <w:r>
              <w:rPr>
                <w:rFonts w:ascii="Arial" w:hAnsi="Arial" w:cs="Arial"/>
                <w:color w:val="000000"/>
                <w:sz w:val="16"/>
              </w:rPr>
              <w:t>Nº anual de pacientes</w:t>
            </w:r>
          </w:p>
        </w:tc>
        <w:tc>
          <w:tcPr>
            <w:tcW w:w="1200" w:type="dxa"/>
            <w:vAlign w:val="center"/>
            <w:hideMark/>
          </w:tcPr>
          <w:p w14:paraId="74B52CB4" w14:textId="77777777" w:rsidR="00994A56" w:rsidRDefault="00994A56">
            <w:pPr>
              <w:jc w:val="center"/>
              <w:rPr>
                <w:rFonts w:ascii="Arial" w:hAnsi="Arial" w:cs="Arial"/>
                <w:color w:val="000000"/>
                <w:sz w:val="16"/>
                <w:szCs w:val="16"/>
              </w:rPr>
            </w:pPr>
            <w:r>
              <w:rPr>
                <w:rFonts w:ascii="Arial" w:hAnsi="Arial" w:cs="Arial"/>
                <w:color w:val="000000"/>
                <w:sz w:val="16"/>
              </w:rPr>
              <w:t>Coste incremental por paciente</w:t>
            </w:r>
          </w:p>
        </w:tc>
        <w:tc>
          <w:tcPr>
            <w:tcW w:w="1200" w:type="dxa"/>
            <w:vAlign w:val="center"/>
            <w:hideMark/>
          </w:tcPr>
          <w:p w14:paraId="6580FD75" w14:textId="77777777" w:rsidR="00994A56" w:rsidRDefault="00994A56">
            <w:pPr>
              <w:jc w:val="center"/>
              <w:rPr>
                <w:rFonts w:ascii="Arial" w:hAnsi="Arial" w:cs="Arial"/>
                <w:color w:val="000000"/>
                <w:sz w:val="16"/>
                <w:szCs w:val="16"/>
              </w:rPr>
            </w:pPr>
            <w:r>
              <w:rPr>
                <w:rFonts w:ascii="Arial" w:hAnsi="Arial" w:cs="Arial"/>
                <w:color w:val="000000"/>
                <w:sz w:val="16"/>
                <w:szCs w:val="16"/>
              </w:rPr>
              <w:t xml:space="preserve">NNT        </w:t>
            </w:r>
          </w:p>
          <w:p w14:paraId="20886C50" w14:textId="77777777" w:rsidR="00994A56" w:rsidRDefault="00994A56">
            <w:pPr>
              <w:jc w:val="center"/>
              <w:rPr>
                <w:rFonts w:ascii="Arial" w:hAnsi="Arial" w:cs="Arial"/>
                <w:color w:val="000000"/>
                <w:sz w:val="16"/>
                <w:szCs w:val="16"/>
              </w:rPr>
            </w:pPr>
            <w:r>
              <w:rPr>
                <w:rFonts w:ascii="Arial" w:hAnsi="Arial" w:cs="Arial"/>
                <w:color w:val="000000"/>
                <w:sz w:val="16"/>
                <w:szCs w:val="16"/>
              </w:rPr>
              <w:t xml:space="preserve">   (IC 95%)</w:t>
            </w:r>
          </w:p>
        </w:tc>
        <w:tc>
          <w:tcPr>
            <w:tcW w:w="1200" w:type="dxa"/>
            <w:vAlign w:val="center"/>
            <w:hideMark/>
          </w:tcPr>
          <w:p w14:paraId="2CB007BD" w14:textId="77777777" w:rsidR="00994A56" w:rsidRDefault="00994A56">
            <w:pPr>
              <w:jc w:val="center"/>
              <w:rPr>
                <w:rFonts w:ascii="Arial" w:hAnsi="Arial" w:cs="Arial"/>
                <w:color w:val="000000"/>
                <w:sz w:val="16"/>
                <w:szCs w:val="16"/>
              </w:rPr>
            </w:pPr>
            <w:r>
              <w:rPr>
                <w:rFonts w:ascii="Arial" w:hAnsi="Arial" w:cs="Arial"/>
                <w:color w:val="000000"/>
                <w:sz w:val="16"/>
              </w:rPr>
              <w:t>Impacto económico anual</w:t>
            </w:r>
          </w:p>
        </w:tc>
        <w:tc>
          <w:tcPr>
            <w:tcW w:w="1200" w:type="dxa"/>
            <w:vAlign w:val="center"/>
            <w:hideMark/>
          </w:tcPr>
          <w:p w14:paraId="7825ACDB" w14:textId="77777777" w:rsidR="00994A56" w:rsidRDefault="00994A56">
            <w:pPr>
              <w:jc w:val="center"/>
              <w:rPr>
                <w:rFonts w:ascii="Arial" w:hAnsi="Arial" w:cs="Arial"/>
                <w:color w:val="000000"/>
                <w:sz w:val="16"/>
                <w:szCs w:val="16"/>
              </w:rPr>
            </w:pPr>
            <w:r>
              <w:rPr>
                <w:rFonts w:ascii="Arial" w:hAnsi="Arial" w:cs="Arial"/>
                <w:color w:val="000000"/>
                <w:sz w:val="16"/>
              </w:rPr>
              <w:t>Unidades de eficacia anuales</w:t>
            </w:r>
          </w:p>
        </w:tc>
      </w:tr>
      <w:tr w:rsidR="00994A56" w14:paraId="5C1182BE" w14:textId="77777777" w:rsidTr="00994A56">
        <w:trPr>
          <w:trHeight w:val="315"/>
        </w:trPr>
        <w:tc>
          <w:tcPr>
            <w:tcW w:w="1300" w:type="dxa"/>
            <w:vMerge w:val="restart"/>
            <w:vAlign w:val="center"/>
            <w:hideMark/>
          </w:tcPr>
          <w:p w14:paraId="415C63E6" w14:textId="77777777" w:rsidR="00994A56" w:rsidRDefault="00994A56">
            <w:pPr>
              <w:jc w:val="center"/>
              <w:rPr>
                <w:rFonts w:ascii="Arial" w:hAnsi="Arial" w:cs="Arial"/>
                <w:color w:val="000000"/>
                <w:sz w:val="16"/>
                <w:szCs w:val="16"/>
              </w:rPr>
            </w:pPr>
            <w:r>
              <w:rPr>
                <w:rFonts w:ascii="Arial" w:hAnsi="Arial" w:cs="Arial"/>
                <w:color w:val="000000"/>
                <w:sz w:val="16"/>
                <w:szCs w:val="16"/>
              </w:rPr>
              <w:t>Metaanálisis ARCADIA 1 y 2</w:t>
            </w:r>
          </w:p>
        </w:tc>
        <w:tc>
          <w:tcPr>
            <w:tcW w:w="1300" w:type="dxa"/>
            <w:vAlign w:val="center"/>
            <w:hideMark/>
          </w:tcPr>
          <w:p w14:paraId="1071544F" w14:textId="77777777" w:rsidR="00994A56" w:rsidRDefault="00994A56">
            <w:pPr>
              <w:jc w:val="center"/>
              <w:rPr>
                <w:rFonts w:ascii="Arial" w:hAnsi="Arial" w:cs="Arial"/>
                <w:color w:val="000000"/>
                <w:sz w:val="16"/>
                <w:szCs w:val="16"/>
              </w:rPr>
            </w:pPr>
            <w:r>
              <w:rPr>
                <w:rFonts w:ascii="Arial" w:hAnsi="Arial" w:cs="Arial"/>
                <w:color w:val="000000"/>
                <w:sz w:val="16"/>
                <w:szCs w:val="16"/>
              </w:rPr>
              <w:t>IGA</w:t>
            </w:r>
          </w:p>
        </w:tc>
        <w:tc>
          <w:tcPr>
            <w:tcW w:w="1200" w:type="dxa"/>
            <w:vAlign w:val="center"/>
            <w:hideMark/>
          </w:tcPr>
          <w:p w14:paraId="66BC27CC" w14:textId="77777777" w:rsidR="00994A56" w:rsidRDefault="00994A56">
            <w:pPr>
              <w:jc w:val="center"/>
              <w:rPr>
                <w:rFonts w:ascii="Arial" w:hAnsi="Arial" w:cs="Arial"/>
                <w:color w:val="000000"/>
                <w:sz w:val="16"/>
                <w:szCs w:val="16"/>
              </w:rPr>
            </w:pPr>
            <w:r>
              <w:rPr>
                <w:rFonts w:ascii="Arial" w:hAnsi="Arial" w:cs="Arial"/>
                <w:color w:val="000000"/>
                <w:sz w:val="16"/>
              </w:rPr>
              <w:t>133</w:t>
            </w:r>
          </w:p>
        </w:tc>
        <w:tc>
          <w:tcPr>
            <w:tcW w:w="1200" w:type="dxa"/>
            <w:vAlign w:val="center"/>
            <w:hideMark/>
          </w:tcPr>
          <w:p w14:paraId="5B4FB9CA" w14:textId="77777777" w:rsidR="00994A56" w:rsidRDefault="00994A56">
            <w:pPr>
              <w:jc w:val="center"/>
              <w:rPr>
                <w:rFonts w:ascii="Arial" w:hAnsi="Arial" w:cs="Arial"/>
                <w:color w:val="000000"/>
                <w:sz w:val="16"/>
                <w:szCs w:val="16"/>
              </w:rPr>
            </w:pPr>
            <w:r>
              <w:rPr>
                <w:rFonts w:ascii="Arial" w:hAnsi="Arial" w:cs="Arial"/>
                <w:color w:val="000000"/>
                <w:sz w:val="16"/>
              </w:rPr>
              <w:t>10602</w:t>
            </w:r>
          </w:p>
        </w:tc>
        <w:tc>
          <w:tcPr>
            <w:tcW w:w="1200" w:type="dxa"/>
            <w:vAlign w:val="center"/>
            <w:hideMark/>
          </w:tcPr>
          <w:p w14:paraId="1C975DD1" w14:textId="77777777" w:rsidR="00994A56" w:rsidRDefault="00994A56">
            <w:pPr>
              <w:jc w:val="center"/>
              <w:rPr>
                <w:rFonts w:ascii="Arial" w:hAnsi="Arial" w:cs="Arial"/>
                <w:color w:val="000000"/>
                <w:sz w:val="16"/>
                <w:szCs w:val="16"/>
              </w:rPr>
            </w:pPr>
            <w:r>
              <w:rPr>
                <w:rFonts w:ascii="Arial" w:hAnsi="Arial" w:cs="Arial"/>
                <w:color w:val="000000"/>
                <w:sz w:val="16"/>
                <w:szCs w:val="16"/>
              </w:rPr>
              <w:t>9 (7-15)</w:t>
            </w:r>
          </w:p>
        </w:tc>
        <w:tc>
          <w:tcPr>
            <w:tcW w:w="1200" w:type="dxa"/>
            <w:vAlign w:val="center"/>
            <w:hideMark/>
          </w:tcPr>
          <w:p w14:paraId="75F6CFD2" w14:textId="77777777" w:rsidR="00994A56" w:rsidRDefault="00994A56">
            <w:pPr>
              <w:jc w:val="center"/>
              <w:rPr>
                <w:rFonts w:ascii="Arial" w:hAnsi="Arial" w:cs="Arial"/>
                <w:color w:val="000000"/>
                <w:sz w:val="16"/>
                <w:szCs w:val="16"/>
              </w:rPr>
            </w:pPr>
            <w:r>
              <w:rPr>
                <w:rFonts w:ascii="Arial" w:hAnsi="Arial" w:cs="Arial"/>
                <w:color w:val="000000"/>
                <w:sz w:val="16"/>
              </w:rPr>
              <w:t xml:space="preserve">   1.410.066,00 </w:t>
            </w:r>
          </w:p>
        </w:tc>
        <w:tc>
          <w:tcPr>
            <w:tcW w:w="1200" w:type="dxa"/>
            <w:vAlign w:val="center"/>
            <w:hideMark/>
          </w:tcPr>
          <w:p w14:paraId="188FB4A3" w14:textId="77777777" w:rsidR="00994A56" w:rsidRDefault="00994A56">
            <w:pPr>
              <w:jc w:val="center"/>
              <w:rPr>
                <w:rFonts w:ascii="Arial" w:hAnsi="Arial" w:cs="Arial"/>
                <w:color w:val="000000"/>
                <w:sz w:val="16"/>
                <w:szCs w:val="16"/>
              </w:rPr>
            </w:pPr>
            <w:r>
              <w:rPr>
                <w:rFonts w:ascii="Arial" w:hAnsi="Arial" w:cs="Arial"/>
                <w:color w:val="000000"/>
                <w:sz w:val="16"/>
              </w:rPr>
              <w:t xml:space="preserve">               14,78 </w:t>
            </w:r>
          </w:p>
        </w:tc>
      </w:tr>
      <w:tr w:rsidR="00994A56" w14:paraId="341E3900" w14:textId="77777777" w:rsidTr="00994A56">
        <w:trPr>
          <w:trHeight w:val="315"/>
        </w:trPr>
        <w:tc>
          <w:tcPr>
            <w:tcW w:w="1300" w:type="dxa"/>
            <w:vMerge/>
            <w:vAlign w:val="center"/>
            <w:hideMark/>
          </w:tcPr>
          <w:p w14:paraId="26D18F56" w14:textId="77777777" w:rsidR="00994A56" w:rsidRDefault="00994A56">
            <w:pPr>
              <w:rPr>
                <w:rFonts w:ascii="Arial" w:hAnsi="Arial" w:cs="Arial"/>
                <w:color w:val="000000"/>
                <w:sz w:val="16"/>
                <w:szCs w:val="16"/>
              </w:rPr>
            </w:pPr>
          </w:p>
        </w:tc>
        <w:tc>
          <w:tcPr>
            <w:tcW w:w="1300" w:type="dxa"/>
            <w:vAlign w:val="center"/>
            <w:hideMark/>
          </w:tcPr>
          <w:p w14:paraId="5074A7B0" w14:textId="77777777" w:rsidR="00994A56" w:rsidRDefault="00994A56">
            <w:pPr>
              <w:jc w:val="center"/>
              <w:rPr>
                <w:rFonts w:ascii="Arial" w:hAnsi="Arial" w:cs="Arial"/>
                <w:color w:val="000000"/>
                <w:sz w:val="16"/>
                <w:szCs w:val="16"/>
              </w:rPr>
            </w:pPr>
            <w:r>
              <w:rPr>
                <w:rFonts w:ascii="Arial" w:hAnsi="Arial" w:cs="Arial"/>
                <w:color w:val="000000"/>
                <w:sz w:val="16"/>
                <w:szCs w:val="16"/>
              </w:rPr>
              <w:t>EASI75</w:t>
            </w:r>
          </w:p>
        </w:tc>
        <w:tc>
          <w:tcPr>
            <w:tcW w:w="1200" w:type="dxa"/>
            <w:vAlign w:val="center"/>
            <w:hideMark/>
          </w:tcPr>
          <w:p w14:paraId="2651F5CA" w14:textId="77777777" w:rsidR="00994A56" w:rsidRDefault="00994A56">
            <w:pPr>
              <w:jc w:val="center"/>
              <w:rPr>
                <w:rFonts w:ascii="Arial" w:hAnsi="Arial" w:cs="Arial"/>
                <w:color w:val="000000"/>
                <w:sz w:val="16"/>
                <w:szCs w:val="16"/>
              </w:rPr>
            </w:pPr>
            <w:r>
              <w:rPr>
                <w:rFonts w:ascii="Arial" w:hAnsi="Arial" w:cs="Arial"/>
                <w:color w:val="000000"/>
                <w:sz w:val="16"/>
                <w:szCs w:val="16"/>
              </w:rPr>
              <w:t>133</w:t>
            </w:r>
          </w:p>
        </w:tc>
        <w:tc>
          <w:tcPr>
            <w:tcW w:w="1200" w:type="dxa"/>
            <w:vAlign w:val="center"/>
            <w:hideMark/>
          </w:tcPr>
          <w:p w14:paraId="314EFA9C" w14:textId="77777777" w:rsidR="00994A56" w:rsidRDefault="00994A56">
            <w:pPr>
              <w:jc w:val="center"/>
              <w:rPr>
                <w:rFonts w:ascii="Arial" w:hAnsi="Arial" w:cs="Arial"/>
                <w:color w:val="000000"/>
                <w:sz w:val="16"/>
                <w:szCs w:val="16"/>
              </w:rPr>
            </w:pPr>
            <w:r>
              <w:rPr>
                <w:rFonts w:ascii="Arial" w:hAnsi="Arial" w:cs="Arial"/>
                <w:color w:val="000000"/>
                <w:sz w:val="16"/>
                <w:szCs w:val="16"/>
              </w:rPr>
              <w:t>10602</w:t>
            </w:r>
          </w:p>
        </w:tc>
        <w:tc>
          <w:tcPr>
            <w:tcW w:w="1200" w:type="dxa"/>
            <w:vAlign w:val="center"/>
            <w:hideMark/>
          </w:tcPr>
          <w:p w14:paraId="3DF0FD4D" w14:textId="77777777" w:rsidR="00994A56" w:rsidRDefault="00994A56">
            <w:pPr>
              <w:jc w:val="center"/>
              <w:rPr>
                <w:rFonts w:ascii="Arial" w:hAnsi="Arial" w:cs="Arial"/>
                <w:color w:val="000000"/>
                <w:sz w:val="16"/>
                <w:szCs w:val="16"/>
              </w:rPr>
            </w:pPr>
            <w:r>
              <w:rPr>
                <w:rFonts w:ascii="Arial" w:hAnsi="Arial" w:cs="Arial"/>
                <w:color w:val="000000"/>
                <w:sz w:val="16"/>
                <w:szCs w:val="16"/>
              </w:rPr>
              <w:t>8 (6-12)</w:t>
            </w:r>
          </w:p>
        </w:tc>
        <w:tc>
          <w:tcPr>
            <w:tcW w:w="1200" w:type="dxa"/>
            <w:vAlign w:val="center"/>
            <w:hideMark/>
          </w:tcPr>
          <w:p w14:paraId="61324983" w14:textId="77777777" w:rsidR="00994A56" w:rsidRDefault="00994A56">
            <w:pPr>
              <w:jc w:val="center"/>
              <w:rPr>
                <w:rFonts w:ascii="Arial" w:hAnsi="Arial" w:cs="Arial"/>
                <w:color w:val="000000"/>
                <w:sz w:val="16"/>
                <w:szCs w:val="16"/>
              </w:rPr>
            </w:pPr>
            <w:r>
              <w:rPr>
                <w:rFonts w:ascii="Arial" w:hAnsi="Arial" w:cs="Arial"/>
                <w:color w:val="000000"/>
                <w:sz w:val="16"/>
                <w:szCs w:val="16"/>
              </w:rPr>
              <w:t xml:space="preserve">   1.410.066,00 </w:t>
            </w:r>
          </w:p>
        </w:tc>
        <w:tc>
          <w:tcPr>
            <w:tcW w:w="1200" w:type="dxa"/>
            <w:vAlign w:val="center"/>
            <w:hideMark/>
          </w:tcPr>
          <w:p w14:paraId="613B1EEC" w14:textId="77777777" w:rsidR="00994A56" w:rsidRDefault="00994A56">
            <w:pPr>
              <w:jc w:val="center"/>
              <w:rPr>
                <w:rFonts w:ascii="Arial" w:hAnsi="Arial" w:cs="Arial"/>
                <w:color w:val="000000"/>
                <w:sz w:val="16"/>
                <w:szCs w:val="16"/>
              </w:rPr>
            </w:pPr>
            <w:r>
              <w:rPr>
                <w:rFonts w:ascii="Arial" w:hAnsi="Arial" w:cs="Arial"/>
                <w:color w:val="000000"/>
                <w:sz w:val="16"/>
                <w:szCs w:val="16"/>
              </w:rPr>
              <w:t xml:space="preserve">               16,63 </w:t>
            </w:r>
          </w:p>
        </w:tc>
      </w:tr>
      <w:tr w:rsidR="00994A56" w14:paraId="07DAEFE2" w14:textId="77777777" w:rsidTr="00994A56">
        <w:trPr>
          <w:trHeight w:val="900"/>
        </w:trPr>
        <w:tc>
          <w:tcPr>
            <w:tcW w:w="1300" w:type="dxa"/>
            <w:vMerge/>
            <w:vAlign w:val="center"/>
            <w:hideMark/>
          </w:tcPr>
          <w:p w14:paraId="067D72BF" w14:textId="77777777" w:rsidR="00994A56" w:rsidRDefault="00994A56">
            <w:pPr>
              <w:rPr>
                <w:rFonts w:ascii="Arial" w:hAnsi="Arial" w:cs="Arial"/>
                <w:color w:val="000000"/>
                <w:sz w:val="16"/>
                <w:szCs w:val="16"/>
              </w:rPr>
            </w:pPr>
          </w:p>
        </w:tc>
        <w:tc>
          <w:tcPr>
            <w:tcW w:w="1300" w:type="dxa"/>
            <w:vAlign w:val="center"/>
            <w:hideMark/>
          </w:tcPr>
          <w:p w14:paraId="15A7B047" w14:textId="77777777" w:rsidR="00994A56" w:rsidRDefault="00994A56">
            <w:pPr>
              <w:jc w:val="center"/>
              <w:rPr>
                <w:rFonts w:ascii="Arial" w:hAnsi="Arial" w:cs="Arial"/>
                <w:color w:val="000000"/>
                <w:sz w:val="16"/>
                <w:szCs w:val="16"/>
              </w:rPr>
            </w:pPr>
            <w:r>
              <w:rPr>
                <w:rFonts w:ascii="Arial" w:hAnsi="Arial" w:cs="Arial"/>
                <w:color w:val="000000"/>
                <w:sz w:val="16"/>
                <w:szCs w:val="16"/>
              </w:rPr>
              <w:t>PP-NRS</w:t>
            </w:r>
          </w:p>
        </w:tc>
        <w:tc>
          <w:tcPr>
            <w:tcW w:w="1200" w:type="dxa"/>
            <w:vAlign w:val="center"/>
            <w:hideMark/>
          </w:tcPr>
          <w:p w14:paraId="5D2251AF" w14:textId="77777777" w:rsidR="00994A56" w:rsidRDefault="00994A56">
            <w:pPr>
              <w:jc w:val="center"/>
              <w:rPr>
                <w:rFonts w:ascii="Arial" w:hAnsi="Arial" w:cs="Arial"/>
                <w:color w:val="000000"/>
                <w:sz w:val="16"/>
                <w:szCs w:val="16"/>
              </w:rPr>
            </w:pPr>
            <w:r>
              <w:rPr>
                <w:rFonts w:ascii="Arial" w:hAnsi="Arial" w:cs="Arial"/>
                <w:color w:val="000000"/>
                <w:sz w:val="16"/>
                <w:szCs w:val="16"/>
              </w:rPr>
              <w:t>133</w:t>
            </w:r>
          </w:p>
        </w:tc>
        <w:tc>
          <w:tcPr>
            <w:tcW w:w="1200" w:type="dxa"/>
            <w:vAlign w:val="center"/>
            <w:hideMark/>
          </w:tcPr>
          <w:p w14:paraId="08A481C4" w14:textId="77777777" w:rsidR="00994A56" w:rsidRDefault="00994A56">
            <w:pPr>
              <w:jc w:val="center"/>
              <w:rPr>
                <w:rFonts w:ascii="Arial" w:hAnsi="Arial" w:cs="Arial"/>
                <w:color w:val="000000"/>
                <w:sz w:val="16"/>
                <w:szCs w:val="16"/>
              </w:rPr>
            </w:pPr>
            <w:r>
              <w:rPr>
                <w:rFonts w:ascii="Arial" w:hAnsi="Arial" w:cs="Arial"/>
                <w:color w:val="000000"/>
                <w:sz w:val="16"/>
                <w:szCs w:val="16"/>
              </w:rPr>
              <w:t>10602</w:t>
            </w:r>
          </w:p>
        </w:tc>
        <w:tc>
          <w:tcPr>
            <w:tcW w:w="1200" w:type="dxa"/>
            <w:vAlign w:val="center"/>
            <w:hideMark/>
          </w:tcPr>
          <w:p w14:paraId="2A12F1DA" w14:textId="77777777" w:rsidR="00994A56" w:rsidRDefault="00994A56">
            <w:pPr>
              <w:jc w:val="center"/>
              <w:rPr>
                <w:rFonts w:ascii="Arial" w:hAnsi="Arial" w:cs="Arial"/>
                <w:color w:val="000000"/>
                <w:sz w:val="16"/>
                <w:szCs w:val="16"/>
              </w:rPr>
            </w:pPr>
            <w:r>
              <w:rPr>
                <w:rFonts w:ascii="Arial" w:hAnsi="Arial" w:cs="Arial"/>
                <w:color w:val="000000"/>
                <w:sz w:val="16"/>
                <w:szCs w:val="16"/>
              </w:rPr>
              <w:t>5 (4-6)</w:t>
            </w:r>
          </w:p>
        </w:tc>
        <w:tc>
          <w:tcPr>
            <w:tcW w:w="1200" w:type="dxa"/>
            <w:vAlign w:val="center"/>
            <w:hideMark/>
          </w:tcPr>
          <w:p w14:paraId="33D51422" w14:textId="77777777" w:rsidR="00994A56" w:rsidRDefault="00994A56">
            <w:pPr>
              <w:jc w:val="center"/>
              <w:rPr>
                <w:rFonts w:ascii="Arial" w:hAnsi="Arial" w:cs="Arial"/>
                <w:color w:val="000000"/>
                <w:sz w:val="16"/>
                <w:szCs w:val="16"/>
              </w:rPr>
            </w:pPr>
            <w:r>
              <w:rPr>
                <w:rFonts w:ascii="Arial" w:hAnsi="Arial" w:cs="Arial"/>
                <w:color w:val="000000"/>
                <w:sz w:val="16"/>
                <w:szCs w:val="16"/>
              </w:rPr>
              <w:t xml:space="preserve">   1.410.066,00 </w:t>
            </w:r>
          </w:p>
        </w:tc>
        <w:tc>
          <w:tcPr>
            <w:tcW w:w="1200" w:type="dxa"/>
            <w:vAlign w:val="center"/>
            <w:hideMark/>
          </w:tcPr>
          <w:p w14:paraId="10723153" w14:textId="77777777" w:rsidR="00994A56" w:rsidRDefault="00994A56">
            <w:pPr>
              <w:jc w:val="center"/>
              <w:rPr>
                <w:rFonts w:ascii="Arial" w:hAnsi="Arial" w:cs="Arial"/>
                <w:color w:val="000000"/>
                <w:sz w:val="16"/>
                <w:szCs w:val="16"/>
              </w:rPr>
            </w:pPr>
            <w:r>
              <w:rPr>
                <w:rFonts w:ascii="Arial" w:hAnsi="Arial" w:cs="Arial"/>
                <w:color w:val="000000"/>
                <w:sz w:val="16"/>
                <w:szCs w:val="16"/>
              </w:rPr>
              <w:t xml:space="preserve">               26,60 </w:t>
            </w:r>
          </w:p>
        </w:tc>
      </w:tr>
      <w:tr w:rsidR="00994A56" w14:paraId="02C13562" w14:textId="77777777" w:rsidTr="00994A56">
        <w:trPr>
          <w:trHeight w:val="690"/>
        </w:trPr>
        <w:tc>
          <w:tcPr>
            <w:tcW w:w="8600" w:type="dxa"/>
            <w:gridSpan w:val="7"/>
            <w:shd w:val="clear" w:color="000000" w:fill="CCFFCC"/>
            <w:vAlign w:val="center"/>
            <w:hideMark/>
          </w:tcPr>
          <w:p w14:paraId="75316373" w14:textId="77777777" w:rsidR="00994A56" w:rsidRDefault="00994A56">
            <w:pPr>
              <w:jc w:val="center"/>
              <w:rPr>
                <w:rFonts w:ascii="Arial" w:hAnsi="Arial" w:cs="Arial"/>
                <w:b/>
                <w:bCs/>
                <w:color w:val="000000"/>
                <w:sz w:val="20"/>
                <w:szCs w:val="20"/>
              </w:rPr>
            </w:pPr>
            <w:r>
              <w:rPr>
                <w:rFonts w:ascii="Arial" w:hAnsi="Arial" w:cs="Arial"/>
                <w:b/>
                <w:bCs/>
                <w:sz w:val="20"/>
                <w:szCs w:val="20"/>
              </w:rPr>
              <w:t>Estimación del número de pacientes &gt;</w:t>
            </w:r>
            <w:r>
              <w:rPr>
                <w:rFonts w:ascii="Arial" w:hAnsi="Arial" w:cs="Arial"/>
                <w:b/>
                <w:bCs/>
                <w:color w:val="000000"/>
                <w:sz w:val="20"/>
                <w:szCs w:val="20"/>
                <w:u w:val="single"/>
              </w:rPr>
              <w:t>1 año</w:t>
            </w:r>
            <w:r>
              <w:rPr>
                <w:rFonts w:ascii="Arial" w:hAnsi="Arial" w:cs="Arial"/>
                <w:b/>
                <w:bCs/>
                <w:color w:val="000000"/>
                <w:sz w:val="20"/>
                <w:szCs w:val="20"/>
              </w:rPr>
              <w:t xml:space="preserve"> candidatos al tratamiento en el hospital, coste estimado anual y unidades de eficacia anual</w:t>
            </w:r>
          </w:p>
        </w:tc>
      </w:tr>
      <w:tr w:rsidR="00994A56" w14:paraId="1DA8D0D1" w14:textId="77777777" w:rsidTr="00994A56">
        <w:trPr>
          <w:trHeight w:val="690"/>
        </w:trPr>
        <w:tc>
          <w:tcPr>
            <w:tcW w:w="1300" w:type="dxa"/>
            <w:vAlign w:val="center"/>
            <w:hideMark/>
          </w:tcPr>
          <w:p w14:paraId="492994CB"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Referencia</w:t>
            </w:r>
          </w:p>
        </w:tc>
        <w:tc>
          <w:tcPr>
            <w:tcW w:w="1300" w:type="dxa"/>
            <w:vAlign w:val="center"/>
            <w:hideMark/>
          </w:tcPr>
          <w:p w14:paraId="5B3DFF52"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Variable</w:t>
            </w:r>
          </w:p>
        </w:tc>
        <w:tc>
          <w:tcPr>
            <w:tcW w:w="1200" w:type="dxa"/>
            <w:vAlign w:val="center"/>
            <w:hideMark/>
          </w:tcPr>
          <w:p w14:paraId="7478D9E2" w14:textId="77777777" w:rsidR="00994A56" w:rsidRDefault="00994A56" w:rsidP="00994A56">
            <w:pPr>
              <w:jc w:val="center"/>
              <w:rPr>
                <w:rFonts w:ascii="Arial" w:hAnsi="Arial" w:cs="Arial"/>
                <w:color w:val="000000"/>
                <w:sz w:val="16"/>
                <w:szCs w:val="16"/>
              </w:rPr>
            </w:pPr>
            <w:r>
              <w:rPr>
                <w:rFonts w:ascii="Arial" w:hAnsi="Arial" w:cs="Arial"/>
                <w:color w:val="000000"/>
                <w:sz w:val="16"/>
              </w:rPr>
              <w:t>Nº anual de pacientes</w:t>
            </w:r>
          </w:p>
        </w:tc>
        <w:tc>
          <w:tcPr>
            <w:tcW w:w="1200" w:type="dxa"/>
            <w:vAlign w:val="center"/>
            <w:hideMark/>
          </w:tcPr>
          <w:p w14:paraId="5B4B9EEC" w14:textId="77777777" w:rsidR="00994A56" w:rsidRDefault="00994A56" w:rsidP="00994A56">
            <w:pPr>
              <w:jc w:val="center"/>
              <w:rPr>
                <w:rFonts w:ascii="Arial" w:hAnsi="Arial" w:cs="Arial"/>
                <w:color w:val="000000"/>
                <w:sz w:val="16"/>
                <w:szCs w:val="16"/>
              </w:rPr>
            </w:pPr>
            <w:r>
              <w:rPr>
                <w:rFonts w:ascii="Arial" w:hAnsi="Arial" w:cs="Arial"/>
                <w:color w:val="000000"/>
                <w:sz w:val="16"/>
              </w:rPr>
              <w:t>Coste incremental por paciente</w:t>
            </w:r>
          </w:p>
        </w:tc>
        <w:tc>
          <w:tcPr>
            <w:tcW w:w="1200" w:type="dxa"/>
            <w:vAlign w:val="center"/>
            <w:hideMark/>
          </w:tcPr>
          <w:p w14:paraId="7F1CAC41"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 xml:space="preserve">NNT           </w:t>
            </w:r>
          </w:p>
          <w:p w14:paraId="0A0948BB"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(IC 95%)</w:t>
            </w:r>
          </w:p>
        </w:tc>
        <w:tc>
          <w:tcPr>
            <w:tcW w:w="1200" w:type="dxa"/>
            <w:vAlign w:val="center"/>
            <w:hideMark/>
          </w:tcPr>
          <w:p w14:paraId="2137DF04" w14:textId="77777777" w:rsidR="00994A56" w:rsidRDefault="00994A56" w:rsidP="00994A56">
            <w:pPr>
              <w:jc w:val="center"/>
              <w:rPr>
                <w:rFonts w:ascii="Arial" w:hAnsi="Arial" w:cs="Arial"/>
                <w:color w:val="000000"/>
                <w:sz w:val="16"/>
                <w:szCs w:val="16"/>
              </w:rPr>
            </w:pPr>
            <w:r>
              <w:rPr>
                <w:rFonts w:ascii="Arial" w:hAnsi="Arial" w:cs="Arial"/>
                <w:color w:val="000000"/>
                <w:sz w:val="16"/>
              </w:rPr>
              <w:t>Impacto económico anual</w:t>
            </w:r>
          </w:p>
        </w:tc>
        <w:tc>
          <w:tcPr>
            <w:tcW w:w="1200" w:type="dxa"/>
            <w:vAlign w:val="center"/>
            <w:hideMark/>
          </w:tcPr>
          <w:p w14:paraId="77734EF4" w14:textId="77777777" w:rsidR="00994A56" w:rsidRDefault="00994A56" w:rsidP="00994A56">
            <w:pPr>
              <w:jc w:val="center"/>
              <w:rPr>
                <w:rFonts w:ascii="Arial" w:hAnsi="Arial" w:cs="Arial"/>
                <w:color w:val="000000"/>
                <w:sz w:val="16"/>
                <w:szCs w:val="16"/>
              </w:rPr>
            </w:pPr>
            <w:r>
              <w:rPr>
                <w:rFonts w:ascii="Arial" w:hAnsi="Arial" w:cs="Arial"/>
                <w:color w:val="000000"/>
                <w:sz w:val="16"/>
              </w:rPr>
              <w:t>Unidades de eficacia anuales</w:t>
            </w:r>
          </w:p>
        </w:tc>
      </w:tr>
      <w:tr w:rsidR="00994A56" w14:paraId="5181F6A1" w14:textId="77777777" w:rsidTr="00994A56">
        <w:trPr>
          <w:trHeight w:val="315"/>
        </w:trPr>
        <w:tc>
          <w:tcPr>
            <w:tcW w:w="1300" w:type="dxa"/>
            <w:vMerge w:val="restart"/>
            <w:vAlign w:val="center"/>
            <w:hideMark/>
          </w:tcPr>
          <w:p w14:paraId="705FA43C"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Metaanálisis ARCADIA 1 y 2</w:t>
            </w:r>
          </w:p>
        </w:tc>
        <w:tc>
          <w:tcPr>
            <w:tcW w:w="1300" w:type="dxa"/>
            <w:vAlign w:val="center"/>
            <w:hideMark/>
          </w:tcPr>
          <w:p w14:paraId="202C887C"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IGA</w:t>
            </w:r>
          </w:p>
        </w:tc>
        <w:tc>
          <w:tcPr>
            <w:tcW w:w="1200" w:type="dxa"/>
            <w:vAlign w:val="center"/>
            <w:hideMark/>
          </w:tcPr>
          <w:p w14:paraId="677CCC18" w14:textId="77777777" w:rsidR="00994A56" w:rsidRDefault="00994A56" w:rsidP="00994A56">
            <w:pPr>
              <w:jc w:val="center"/>
              <w:rPr>
                <w:rFonts w:ascii="Arial" w:hAnsi="Arial" w:cs="Arial"/>
                <w:color w:val="000000"/>
                <w:sz w:val="16"/>
                <w:szCs w:val="16"/>
              </w:rPr>
            </w:pPr>
            <w:r>
              <w:rPr>
                <w:rFonts w:ascii="Arial" w:hAnsi="Arial" w:cs="Arial"/>
                <w:color w:val="000000"/>
                <w:sz w:val="16"/>
              </w:rPr>
              <w:t>133</w:t>
            </w:r>
          </w:p>
        </w:tc>
        <w:tc>
          <w:tcPr>
            <w:tcW w:w="1200" w:type="dxa"/>
            <w:vAlign w:val="center"/>
            <w:hideMark/>
          </w:tcPr>
          <w:p w14:paraId="39AEA6C3"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6570</w:t>
            </w:r>
          </w:p>
        </w:tc>
        <w:tc>
          <w:tcPr>
            <w:tcW w:w="1200" w:type="dxa"/>
            <w:vAlign w:val="center"/>
            <w:hideMark/>
          </w:tcPr>
          <w:p w14:paraId="7C404BD8"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9 (7-15)</w:t>
            </w:r>
          </w:p>
        </w:tc>
        <w:tc>
          <w:tcPr>
            <w:tcW w:w="1200" w:type="dxa"/>
            <w:vAlign w:val="center"/>
            <w:hideMark/>
          </w:tcPr>
          <w:p w14:paraId="49AAA8D6" w14:textId="77777777" w:rsidR="00994A56" w:rsidRDefault="00994A56" w:rsidP="00994A56">
            <w:pPr>
              <w:jc w:val="center"/>
              <w:rPr>
                <w:rFonts w:ascii="Arial" w:hAnsi="Arial" w:cs="Arial"/>
                <w:color w:val="000000"/>
                <w:sz w:val="16"/>
                <w:szCs w:val="16"/>
              </w:rPr>
            </w:pPr>
            <w:r>
              <w:rPr>
                <w:rFonts w:ascii="Arial" w:hAnsi="Arial" w:cs="Arial"/>
                <w:color w:val="000000"/>
                <w:sz w:val="16"/>
              </w:rPr>
              <w:t>873.810,00</w:t>
            </w:r>
          </w:p>
        </w:tc>
        <w:tc>
          <w:tcPr>
            <w:tcW w:w="1200" w:type="dxa"/>
            <w:vAlign w:val="center"/>
            <w:hideMark/>
          </w:tcPr>
          <w:p w14:paraId="331BEDE3" w14:textId="77777777" w:rsidR="00994A56" w:rsidRDefault="00C56E4F" w:rsidP="00994A56">
            <w:pPr>
              <w:jc w:val="center"/>
              <w:rPr>
                <w:rFonts w:ascii="Arial" w:hAnsi="Arial" w:cs="Arial"/>
                <w:color w:val="000000"/>
                <w:sz w:val="16"/>
                <w:szCs w:val="16"/>
              </w:rPr>
            </w:pPr>
            <w:r>
              <w:rPr>
                <w:rFonts w:ascii="Arial" w:hAnsi="Arial" w:cs="Arial"/>
                <w:color w:val="000000"/>
                <w:sz w:val="16"/>
              </w:rPr>
              <w:t>15</w:t>
            </w:r>
          </w:p>
        </w:tc>
      </w:tr>
      <w:tr w:rsidR="00994A56" w14:paraId="5D2D4E94" w14:textId="77777777" w:rsidTr="00994A56">
        <w:trPr>
          <w:trHeight w:val="525"/>
        </w:trPr>
        <w:tc>
          <w:tcPr>
            <w:tcW w:w="1300" w:type="dxa"/>
            <w:vMerge/>
            <w:vAlign w:val="center"/>
            <w:hideMark/>
          </w:tcPr>
          <w:p w14:paraId="01DF5E2D" w14:textId="77777777" w:rsidR="00994A56" w:rsidRDefault="00994A56" w:rsidP="00994A56">
            <w:pPr>
              <w:jc w:val="center"/>
              <w:rPr>
                <w:rFonts w:ascii="Arial" w:hAnsi="Arial" w:cs="Arial"/>
                <w:color w:val="000000"/>
                <w:sz w:val="16"/>
                <w:szCs w:val="16"/>
              </w:rPr>
            </w:pPr>
          </w:p>
        </w:tc>
        <w:tc>
          <w:tcPr>
            <w:tcW w:w="1300" w:type="dxa"/>
            <w:vAlign w:val="center"/>
            <w:hideMark/>
          </w:tcPr>
          <w:p w14:paraId="712C9619"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EASI75</w:t>
            </w:r>
          </w:p>
        </w:tc>
        <w:tc>
          <w:tcPr>
            <w:tcW w:w="1200" w:type="dxa"/>
            <w:vAlign w:val="center"/>
            <w:hideMark/>
          </w:tcPr>
          <w:p w14:paraId="56872E4D"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133</w:t>
            </w:r>
          </w:p>
        </w:tc>
        <w:tc>
          <w:tcPr>
            <w:tcW w:w="1200" w:type="dxa"/>
            <w:vAlign w:val="center"/>
            <w:hideMark/>
          </w:tcPr>
          <w:p w14:paraId="1B081C10"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6570</w:t>
            </w:r>
          </w:p>
        </w:tc>
        <w:tc>
          <w:tcPr>
            <w:tcW w:w="1200" w:type="dxa"/>
            <w:vAlign w:val="center"/>
            <w:hideMark/>
          </w:tcPr>
          <w:p w14:paraId="21294E5B"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8 (6-12)</w:t>
            </w:r>
          </w:p>
        </w:tc>
        <w:tc>
          <w:tcPr>
            <w:tcW w:w="1200" w:type="dxa"/>
            <w:vAlign w:val="center"/>
            <w:hideMark/>
          </w:tcPr>
          <w:p w14:paraId="48AFC9E8"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873.810,00</w:t>
            </w:r>
          </w:p>
        </w:tc>
        <w:tc>
          <w:tcPr>
            <w:tcW w:w="1200" w:type="dxa"/>
            <w:vAlign w:val="center"/>
            <w:hideMark/>
          </w:tcPr>
          <w:p w14:paraId="1AE1A2C0" w14:textId="77777777" w:rsidR="00994A56" w:rsidRDefault="00C56E4F" w:rsidP="00994A56">
            <w:pPr>
              <w:jc w:val="center"/>
              <w:rPr>
                <w:rFonts w:ascii="Arial" w:hAnsi="Arial" w:cs="Arial"/>
                <w:color w:val="000000"/>
                <w:sz w:val="16"/>
                <w:szCs w:val="16"/>
              </w:rPr>
            </w:pPr>
            <w:r>
              <w:rPr>
                <w:rFonts w:ascii="Arial" w:hAnsi="Arial" w:cs="Arial"/>
                <w:color w:val="000000"/>
                <w:sz w:val="16"/>
                <w:szCs w:val="16"/>
              </w:rPr>
              <w:t>17</w:t>
            </w:r>
          </w:p>
        </w:tc>
      </w:tr>
      <w:tr w:rsidR="00994A56" w14:paraId="61B1132C" w14:textId="77777777" w:rsidTr="00994A56">
        <w:trPr>
          <w:trHeight w:val="315"/>
        </w:trPr>
        <w:tc>
          <w:tcPr>
            <w:tcW w:w="1300" w:type="dxa"/>
            <w:vMerge/>
            <w:vAlign w:val="center"/>
            <w:hideMark/>
          </w:tcPr>
          <w:p w14:paraId="2E2C71C3" w14:textId="77777777" w:rsidR="00994A56" w:rsidRDefault="00994A56" w:rsidP="00994A56">
            <w:pPr>
              <w:jc w:val="center"/>
              <w:rPr>
                <w:rFonts w:ascii="Arial" w:hAnsi="Arial" w:cs="Arial"/>
                <w:color w:val="000000"/>
                <w:sz w:val="16"/>
                <w:szCs w:val="16"/>
              </w:rPr>
            </w:pPr>
          </w:p>
        </w:tc>
        <w:tc>
          <w:tcPr>
            <w:tcW w:w="1300" w:type="dxa"/>
            <w:vAlign w:val="center"/>
            <w:hideMark/>
          </w:tcPr>
          <w:p w14:paraId="7A151230"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PP-NRS</w:t>
            </w:r>
          </w:p>
        </w:tc>
        <w:tc>
          <w:tcPr>
            <w:tcW w:w="1200" w:type="dxa"/>
            <w:vAlign w:val="center"/>
            <w:hideMark/>
          </w:tcPr>
          <w:p w14:paraId="1567BF2A"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133</w:t>
            </w:r>
          </w:p>
        </w:tc>
        <w:tc>
          <w:tcPr>
            <w:tcW w:w="1200" w:type="dxa"/>
            <w:vAlign w:val="center"/>
            <w:hideMark/>
          </w:tcPr>
          <w:p w14:paraId="481D6E52"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6570</w:t>
            </w:r>
          </w:p>
        </w:tc>
        <w:tc>
          <w:tcPr>
            <w:tcW w:w="1200" w:type="dxa"/>
            <w:vAlign w:val="center"/>
            <w:hideMark/>
          </w:tcPr>
          <w:p w14:paraId="2C1E253E"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5 (4-6)</w:t>
            </w:r>
          </w:p>
        </w:tc>
        <w:tc>
          <w:tcPr>
            <w:tcW w:w="1200" w:type="dxa"/>
            <w:vAlign w:val="center"/>
            <w:hideMark/>
          </w:tcPr>
          <w:p w14:paraId="1B87931E" w14:textId="77777777" w:rsidR="00994A56" w:rsidRDefault="00994A56" w:rsidP="00994A56">
            <w:pPr>
              <w:jc w:val="center"/>
              <w:rPr>
                <w:rFonts w:ascii="Arial" w:hAnsi="Arial" w:cs="Arial"/>
                <w:color w:val="000000"/>
                <w:sz w:val="16"/>
                <w:szCs w:val="16"/>
              </w:rPr>
            </w:pPr>
            <w:r>
              <w:rPr>
                <w:rFonts w:ascii="Arial" w:hAnsi="Arial" w:cs="Arial"/>
                <w:color w:val="000000"/>
                <w:sz w:val="16"/>
                <w:szCs w:val="16"/>
              </w:rPr>
              <w:t>873.810,00</w:t>
            </w:r>
          </w:p>
        </w:tc>
        <w:tc>
          <w:tcPr>
            <w:tcW w:w="1200" w:type="dxa"/>
            <w:vAlign w:val="center"/>
            <w:hideMark/>
          </w:tcPr>
          <w:p w14:paraId="3B23A656" w14:textId="77777777" w:rsidR="00994A56" w:rsidRDefault="00C56E4F" w:rsidP="00994A56">
            <w:pPr>
              <w:jc w:val="center"/>
              <w:rPr>
                <w:rFonts w:ascii="Arial" w:hAnsi="Arial" w:cs="Arial"/>
                <w:color w:val="000000"/>
                <w:sz w:val="16"/>
                <w:szCs w:val="16"/>
              </w:rPr>
            </w:pPr>
            <w:r>
              <w:rPr>
                <w:rFonts w:ascii="Arial" w:hAnsi="Arial" w:cs="Arial"/>
                <w:color w:val="000000"/>
                <w:sz w:val="16"/>
                <w:szCs w:val="16"/>
              </w:rPr>
              <w:t>27</w:t>
            </w:r>
          </w:p>
        </w:tc>
      </w:tr>
    </w:tbl>
    <w:p w14:paraId="61396855" w14:textId="77777777" w:rsidR="00994A56" w:rsidRDefault="00994A56" w:rsidP="00A75AFF">
      <w:pPr>
        <w:jc w:val="both"/>
        <w:rPr>
          <w:rFonts w:ascii="Arial" w:hAnsi="Arial" w:cs="Arial"/>
          <w:color w:val="FF0000"/>
          <w:sz w:val="20"/>
          <w:szCs w:val="20"/>
        </w:rPr>
      </w:pPr>
    </w:p>
    <w:p w14:paraId="72646D8D" w14:textId="77777777" w:rsidR="00C56E4F" w:rsidRDefault="00C56E4F" w:rsidP="00C56E4F">
      <w:pPr>
        <w:rPr>
          <w:rFonts w:ascii="Arial" w:hAnsi="Arial" w:cs="Arial"/>
          <w:sz w:val="20"/>
          <w:szCs w:val="20"/>
        </w:rPr>
      </w:pPr>
      <w:r w:rsidRPr="00EA57F5">
        <w:rPr>
          <w:rFonts w:ascii="Arial" w:hAnsi="Arial" w:cs="Arial"/>
          <w:sz w:val="20"/>
          <w:szCs w:val="20"/>
        </w:rPr>
        <w:t xml:space="preserve">Se estima que durante un año serán tratados un total de </w:t>
      </w:r>
      <w:r>
        <w:rPr>
          <w:rFonts w:ascii="Arial" w:hAnsi="Arial" w:cs="Arial"/>
          <w:sz w:val="20"/>
          <w:szCs w:val="20"/>
        </w:rPr>
        <w:t>133</w:t>
      </w:r>
      <w:r w:rsidRPr="00EA57F5">
        <w:rPr>
          <w:rFonts w:ascii="Arial" w:hAnsi="Arial" w:cs="Arial"/>
          <w:sz w:val="20"/>
          <w:szCs w:val="20"/>
        </w:rPr>
        <w:t xml:space="preserve"> pacientes con el nuevo fármaco. El coste anual adicional para el hospital será de </w:t>
      </w:r>
      <w:r>
        <w:rPr>
          <w:rFonts w:ascii="Arial" w:hAnsi="Arial" w:cs="Arial"/>
          <w:sz w:val="20"/>
          <w:szCs w:val="20"/>
        </w:rPr>
        <w:t xml:space="preserve">873.810 </w:t>
      </w:r>
      <w:r w:rsidRPr="00EA57F5">
        <w:rPr>
          <w:rFonts w:ascii="Arial" w:hAnsi="Arial" w:cs="Arial"/>
          <w:sz w:val="20"/>
          <w:szCs w:val="20"/>
        </w:rPr>
        <w:t>euros</w:t>
      </w:r>
      <w:r>
        <w:rPr>
          <w:rFonts w:ascii="Arial" w:hAnsi="Arial" w:cs="Arial"/>
          <w:sz w:val="20"/>
          <w:szCs w:val="20"/>
        </w:rPr>
        <w:t xml:space="preserve"> para el tratamiento de mantenimiento</w:t>
      </w:r>
      <w:r w:rsidRPr="00EA57F5">
        <w:rPr>
          <w:rFonts w:ascii="Arial" w:hAnsi="Arial" w:cs="Arial"/>
          <w:sz w:val="20"/>
          <w:szCs w:val="20"/>
        </w:rPr>
        <w:t xml:space="preserve">. El número estimado de pacientes que obtendrán beneficio durante el periodo de un año será de </w:t>
      </w:r>
      <w:r>
        <w:rPr>
          <w:rFonts w:ascii="Arial" w:hAnsi="Arial" w:cs="Arial"/>
          <w:sz w:val="20"/>
          <w:szCs w:val="20"/>
        </w:rPr>
        <w:t xml:space="preserve">15 en el IGA, 17 en EASI75 y 27 en PP-NRS. </w:t>
      </w:r>
    </w:p>
    <w:p w14:paraId="3AEA812D" w14:textId="77777777" w:rsidR="00E6745B" w:rsidRPr="00EA57F5" w:rsidRDefault="00E6745B" w:rsidP="00C56E4F">
      <w:pPr>
        <w:rPr>
          <w:rFonts w:ascii="Arial" w:hAnsi="Arial" w:cs="Arial"/>
          <w:sz w:val="20"/>
          <w:szCs w:val="20"/>
        </w:rPr>
      </w:pPr>
    </w:p>
    <w:p w14:paraId="3AD0DD58"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52" w:name="_Toc344399661"/>
      <w:bookmarkStart w:id="153" w:name="_Toc348931392"/>
      <w:bookmarkStart w:id="154" w:name="_Toc216191115"/>
      <w:r w:rsidRPr="00E3472F">
        <w:rPr>
          <w:rFonts w:cs="Arial"/>
          <w:sz w:val="20"/>
        </w:rPr>
        <w:t>7.4</w:t>
      </w:r>
      <w:r>
        <w:rPr>
          <w:rFonts w:cs="Arial"/>
          <w:sz w:val="20"/>
        </w:rPr>
        <w:t xml:space="preserve"> </w:t>
      </w:r>
      <w:r w:rsidRPr="00E3472F">
        <w:rPr>
          <w:rFonts w:cs="Arial"/>
          <w:sz w:val="20"/>
        </w:rPr>
        <w:t>Estimación del impacto económico sobre la prescripción de Atención Primaria.</w:t>
      </w:r>
      <w:bookmarkEnd w:id="152"/>
      <w:bookmarkEnd w:id="153"/>
      <w:bookmarkEnd w:id="154"/>
      <w:r w:rsidRPr="00E3472F">
        <w:rPr>
          <w:rFonts w:cs="Arial"/>
          <w:sz w:val="20"/>
        </w:rPr>
        <w:t xml:space="preserve">  </w:t>
      </w:r>
    </w:p>
    <w:p w14:paraId="79C83DF9" w14:textId="77777777" w:rsidR="00BC3E8E" w:rsidRPr="006F6ABB" w:rsidRDefault="00BC3E8E" w:rsidP="00BC3E8E">
      <w:pPr>
        <w:pStyle w:val="Encabezado"/>
        <w:tabs>
          <w:tab w:val="clear" w:pos="4252"/>
          <w:tab w:val="clear" w:pos="8504"/>
        </w:tabs>
        <w:rPr>
          <w:rFonts w:ascii="Arial" w:hAnsi="Arial" w:cs="Arial"/>
          <w:color w:val="0000FF"/>
        </w:rPr>
      </w:pPr>
    </w:p>
    <w:p w14:paraId="11FE84D4" w14:textId="77777777" w:rsidR="00BC3E8E" w:rsidRPr="00870234" w:rsidRDefault="00870234" w:rsidP="00BC3E8E">
      <w:pPr>
        <w:rPr>
          <w:rFonts w:ascii="Arial" w:hAnsi="Arial" w:cs="Arial"/>
          <w:sz w:val="20"/>
        </w:rPr>
      </w:pPr>
      <w:r w:rsidRPr="00870234">
        <w:rPr>
          <w:rFonts w:ascii="Arial" w:hAnsi="Arial" w:cs="Arial"/>
          <w:sz w:val="20"/>
        </w:rPr>
        <w:t xml:space="preserve">No </w:t>
      </w:r>
      <w:r>
        <w:rPr>
          <w:rFonts w:ascii="Arial" w:hAnsi="Arial" w:cs="Arial"/>
          <w:sz w:val="20"/>
        </w:rPr>
        <w:t>procede.</w:t>
      </w:r>
    </w:p>
    <w:p w14:paraId="6C3A66CB" w14:textId="77777777" w:rsidR="00870234" w:rsidRPr="006F6ABB" w:rsidRDefault="00870234" w:rsidP="00BC3E8E">
      <w:pPr>
        <w:rPr>
          <w:rFonts w:ascii="Arial" w:hAnsi="Arial" w:cs="Arial"/>
          <w:b/>
          <w:bCs/>
        </w:rPr>
      </w:pPr>
    </w:p>
    <w:p w14:paraId="17867947" w14:textId="77777777" w:rsidR="00BC3E8E" w:rsidRPr="00E3472F" w:rsidRDefault="00BC3E8E" w:rsidP="00BC3E8E">
      <w:pPr>
        <w:pStyle w:val="Ttulo2"/>
        <w:pBdr>
          <w:top w:val="single" w:sz="4" w:space="1" w:color="auto"/>
          <w:left w:val="single" w:sz="4" w:space="4" w:color="auto"/>
          <w:bottom w:val="single" w:sz="4" w:space="1" w:color="auto"/>
          <w:right w:val="single" w:sz="4" w:space="0" w:color="auto"/>
        </w:pBdr>
        <w:shd w:val="clear" w:color="auto" w:fill="D9D9D9"/>
        <w:rPr>
          <w:rFonts w:cs="Arial"/>
          <w:sz w:val="20"/>
        </w:rPr>
      </w:pPr>
      <w:bookmarkStart w:id="155" w:name="_Toc344399662"/>
      <w:bookmarkStart w:id="156" w:name="_Toc348931393"/>
      <w:bookmarkStart w:id="157" w:name="_Toc216191116"/>
      <w:r w:rsidRPr="00E3472F">
        <w:rPr>
          <w:rFonts w:cs="Arial"/>
          <w:sz w:val="20"/>
        </w:rPr>
        <w:t>7.5 Estimación del impacto económico global a nivel autonómico/estatal</w:t>
      </w:r>
      <w:bookmarkEnd w:id="155"/>
      <w:bookmarkEnd w:id="156"/>
      <w:bookmarkEnd w:id="157"/>
      <w:r w:rsidRPr="00E3472F">
        <w:rPr>
          <w:rFonts w:cs="Arial"/>
          <w:sz w:val="20"/>
        </w:rPr>
        <w:t xml:space="preserve">  </w:t>
      </w:r>
    </w:p>
    <w:p w14:paraId="1CE75244" w14:textId="77777777" w:rsidR="005C5447" w:rsidRDefault="005C5447" w:rsidP="003F55C0">
      <w:pPr>
        <w:rPr>
          <w:rFonts w:ascii="Arial" w:hAnsi="Arial" w:cs="Arial"/>
          <w:color w:val="002060"/>
          <w:sz w:val="20"/>
          <w:szCs w:val="20"/>
        </w:rPr>
      </w:pPr>
    </w:p>
    <w:p w14:paraId="714BBA64" w14:textId="77777777" w:rsidR="00541241" w:rsidRDefault="003F55C0" w:rsidP="00412973">
      <w:pPr>
        <w:pStyle w:val="Encabezado"/>
        <w:tabs>
          <w:tab w:val="clear" w:pos="4252"/>
          <w:tab w:val="clear" w:pos="8504"/>
        </w:tabs>
        <w:jc w:val="both"/>
        <w:rPr>
          <w:rFonts w:ascii="Arial" w:hAnsi="Arial" w:cs="Arial"/>
          <w:sz w:val="20"/>
          <w:szCs w:val="20"/>
        </w:rPr>
      </w:pPr>
      <w:r w:rsidRPr="006958B7">
        <w:rPr>
          <w:rFonts w:ascii="Arial" w:hAnsi="Arial" w:cs="Arial"/>
          <w:sz w:val="20"/>
          <w:szCs w:val="20"/>
        </w:rPr>
        <w:t xml:space="preserve">Según los datos del Instituto Nacional de estadística, la población española a fecha de diciembre </w:t>
      </w:r>
      <w:r w:rsidRPr="001F7F82">
        <w:rPr>
          <w:rFonts w:ascii="Arial" w:hAnsi="Arial" w:cs="Arial"/>
          <w:sz w:val="20"/>
          <w:szCs w:val="20"/>
        </w:rPr>
        <w:t xml:space="preserve">de 2024 era de 48,619,695 </w:t>
      </w:r>
      <w:r w:rsidR="00646A51" w:rsidRPr="001F7F82">
        <w:rPr>
          <w:rFonts w:ascii="Arial" w:hAnsi="Arial" w:cs="Arial"/>
          <w:sz w:val="20"/>
          <w:szCs w:val="20"/>
        </w:rPr>
        <w:fldChar w:fldCharType="begin"/>
      </w:r>
      <w:r w:rsidR="00511A83" w:rsidRPr="001F7F82">
        <w:rPr>
          <w:rFonts w:ascii="Arial" w:hAnsi="Arial" w:cs="Arial"/>
          <w:sz w:val="20"/>
          <w:szCs w:val="20"/>
        </w:rPr>
        <w:instrText xml:space="preserve"> ADDIN ZOTERO_ITEM CSL_CITATION {"citationID":"zAWoWRDW","properties":{"formattedCitation":"(39)","plainCitation":"(39)","noteIndex":0},"citationItems":[{"id":122,"uris":["http://zotero.org/users/18702181/items/W75XVVYJ"],"itemData":{"id":122,"type":"webpage","abstract":"Publication date: 2024-12-19 11:00:00.0","container-title":"INE","language":"en","title":"Press Release: Annual Population Census. 1 January 2024. Preliminary Results .","title-short":"Press Release","URL":"https://www.ine.es/dyngs/Prensa/en/CENSO2024.htm?utm_source=chatgpt.com","accessed":{"date-parts":[["2025",11,26]]}}}],"schema":"https://github.com/citation-style-language/schema/raw/master/csl-citation.json"} </w:instrText>
      </w:r>
      <w:r w:rsidR="00646A51" w:rsidRPr="001F7F82">
        <w:rPr>
          <w:rFonts w:ascii="Arial" w:hAnsi="Arial" w:cs="Arial"/>
          <w:sz w:val="20"/>
          <w:szCs w:val="20"/>
        </w:rPr>
        <w:fldChar w:fldCharType="separate"/>
      </w:r>
      <w:r w:rsidR="00511A83" w:rsidRPr="001F7F82">
        <w:rPr>
          <w:rFonts w:ascii="Arial" w:hAnsi="Arial" w:cs="Arial"/>
          <w:sz w:val="20"/>
          <w:szCs w:val="20"/>
        </w:rPr>
        <w:t>(39)</w:t>
      </w:r>
      <w:r w:rsidR="00646A51" w:rsidRPr="001F7F82">
        <w:rPr>
          <w:rFonts w:ascii="Arial" w:hAnsi="Arial" w:cs="Arial"/>
          <w:sz w:val="20"/>
          <w:szCs w:val="20"/>
        </w:rPr>
        <w:fldChar w:fldCharType="end"/>
      </w:r>
      <w:r w:rsidRPr="001F7F82">
        <w:rPr>
          <w:rFonts w:ascii="Arial" w:hAnsi="Arial" w:cs="Arial"/>
          <w:sz w:val="20"/>
          <w:szCs w:val="20"/>
        </w:rPr>
        <w:t>.</w:t>
      </w:r>
      <w:r w:rsidR="00A6527B" w:rsidRPr="001F7F82">
        <w:rPr>
          <w:rFonts w:ascii="Arial" w:hAnsi="Arial" w:cs="Arial"/>
          <w:sz w:val="20"/>
          <w:szCs w:val="20"/>
        </w:rPr>
        <w:t xml:space="preserve"> </w:t>
      </w:r>
      <w:r w:rsidRPr="001F7F82">
        <w:rPr>
          <w:rFonts w:ascii="Arial" w:hAnsi="Arial" w:cs="Arial"/>
          <w:sz w:val="20"/>
          <w:szCs w:val="20"/>
        </w:rPr>
        <w:t xml:space="preserve">Haciendo un cálculo estimado en base a los datos de población publicada en Indicadores del Sistema Nacional de Salud (INCLAS) </w:t>
      </w:r>
      <w:r w:rsidR="00646A51" w:rsidRPr="001F7F82">
        <w:rPr>
          <w:rFonts w:ascii="Arial" w:hAnsi="Arial" w:cs="Arial"/>
          <w:sz w:val="20"/>
          <w:szCs w:val="20"/>
        </w:rPr>
        <w:fldChar w:fldCharType="begin"/>
      </w:r>
      <w:r w:rsidR="00511A83" w:rsidRPr="001F7F82">
        <w:rPr>
          <w:rFonts w:ascii="Arial" w:hAnsi="Arial" w:cs="Arial"/>
          <w:sz w:val="20"/>
          <w:szCs w:val="20"/>
        </w:rPr>
        <w:instrText xml:space="preserve"> ADDIN ZOTERO_ITEM CSL_CITATION {"citationID":"TgKkoCas","properties":{"formattedCitation":"(40)","plainCitation":"(40)","noteIndex":0},"citationItems":[{"id":124,"uris":["http://zotero.org/users/18702181/items/VFF8ZRW7"],"itemData":{"id":124,"type":"webpage","title":"Indicadores clave del Sistema Nacional de Salud","URL":"https://inclasns.sanidad.gob.es/report/population/?utm_source=chatgpt.com","accessed":{"date-parts":[["2025",11,26]]}}}],"schema":"https://github.com/citation-style-language/schema/raw/master/csl-citation.json"} </w:instrText>
      </w:r>
      <w:r w:rsidR="00646A51" w:rsidRPr="001F7F82">
        <w:rPr>
          <w:rFonts w:ascii="Arial" w:hAnsi="Arial" w:cs="Arial"/>
          <w:sz w:val="20"/>
          <w:szCs w:val="20"/>
        </w:rPr>
        <w:fldChar w:fldCharType="separate"/>
      </w:r>
      <w:r w:rsidR="00511A83" w:rsidRPr="001F7F82">
        <w:rPr>
          <w:rFonts w:ascii="Arial" w:hAnsi="Arial" w:cs="Arial"/>
          <w:sz w:val="20"/>
          <w:szCs w:val="20"/>
        </w:rPr>
        <w:t>(40)</w:t>
      </w:r>
      <w:r w:rsidR="00646A51" w:rsidRPr="001F7F82">
        <w:rPr>
          <w:rFonts w:ascii="Arial" w:hAnsi="Arial" w:cs="Arial"/>
          <w:sz w:val="20"/>
          <w:szCs w:val="20"/>
        </w:rPr>
        <w:fldChar w:fldCharType="end"/>
      </w:r>
      <w:r w:rsidRPr="001F7F82">
        <w:rPr>
          <w:rFonts w:ascii="Arial" w:hAnsi="Arial" w:cs="Arial"/>
          <w:sz w:val="20"/>
          <w:szCs w:val="20"/>
        </w:rPr>
        <w:t xml:space="preserve">, aproximadamente hay una población entre 3.085.281 personas de 12 a 17 años en España y una población de adultos mayores de 18 años de 41.113.261. </w:t>
      </w:r>
    </w:p>
    <w:p w14:paraId="013A774F" w14:textId="77777777" w:rsidR="00541241" w:rsidRDefault="00A6527B" w:rsidP="00412973">
      <w:pPr>
        <w:pStyle w:val="Encabezado"/>
        <w:tabs>
          <w:tab w:val="clear" w:pos="4252"/>
          <w:tab w:val="clear" w:pos="8504"/>
        </w:tabs>
        <w:jc w:val="both"/>
        <w:rPr>
          <w:rFonts w:ascii="Arial" w:hAnsi="Arial" w:cs="Arial"/>
          <w:sz w:val="20"/>
          <w:szCs w:val="20"/>
        </w:rPr>
      </w:pPr>
      <w:r w:rsidRPr="001F7F82">
        <w:rPr>
          <w:rFonts w:ascii="Arial" w:hAnsi="Arial" w:cs="Arial"/>
          <w:sz w:val="20"/>
          <w:szCs w:val="20"/>
        </w:rPr>
        <w:t xml:space="preserve">Para estimar los datos de prevalencia se toman como referencia los estudios epidemiológicos realizados en Cataluña en el año 2022 </w:t>
      </w:r>
      <w:r w:rsidR="00646A51" w:rsidRPr="001F7F82">
        <w:rPr>
          <w:rFonts w:ascii="Arial" w:hAnsi="Arial" w:cs="Arial"/>
          <w:sz w:val="20"/>
          <w:szCs w:val="20"/>
        </w:rPr>
        <w:fldChar w:fldCharType="begin"/>
      </w:r>
      <w:r w:rsidR="00511A83" w:rsidRPr="001F7F82">
        <w:rPr>
          <w:rFonts w:ascii="Arial" w:hAnsi="Arial" w:cs="Arial"/>
          <w:sz w:val="20"/>
          <w:szCs w:val="20"/>
        </w:rPr>
        <w:instrText xml:space="preserve"> ADDIN ZOTERO_ITEM CSL_CITATION {"citationID":"zlZwtZpS","properties":{"formattedCitation":"(41,42)","plainCitation":"(41,42)","noteIndex":0},"citationItems":[{"id":129,"uris":["http://zotero.org/users/18702181/items/6E3NJASR"],"itemData":{"id":129,"type":"article-journal","abstract":"BACKGROUND: Studies on the prevalence of atopic dermatitis (AD) for the adolescent cohort in general-based large populations are scarce worldwide. We performed a retrospective population--based observational cohort study of 76,665 adolescent patients diagnosed with AD in Catalonia (Spain). We studied the prevalence of AD by age, gender, disease severity, comorbidities, serum total immunoglobulin E (tIgE) and appropriate medical treatment (AMT) for the Catalan population.\nMETHODS: Adolescent individuals (12-17 years) diagnosed with AD by medical records at different health care levels (primary, hospital, emergency) from the Catalan Health System (CHS) were included. Statistical analyses evaluated sociodemographic characteristics, prevalence, comorbidities, serum tIgE and AMT.\nRESULTS: The overall diagnosed AD prevalence in the adolescent Catalan population (76,665) was 16.9%, being higher for the non-severe (16.7%) than for the severe (0.2%) populations. Topical corticosteroids were the most prescribed drug (49.5%), and the use of all prescribed treatments was higher in severe AD patients, especially systemic corticosteroids (49.7%) and immunosuppressants (45.4%). AD patients had, on average, a serum tIgE of 163.6 KU/L, which was higher for severe than non-severe disease (155.5 KU/L vs 101.9 KU/L, respectively). Allergic rhinitis (15.0%) and asthma (13.5%) were among the most frequent comorbid respiratory and allergy diseases.\nCONCLUSIONS: This is the first Spanish study reporting the overall diagnosed prevalence for a large-scale adolescent cohort (12-17 years old) from Catalonia. It provides new and robust evidence of AD's prevalence and related characteristics in this region.","container-title":"Allergologia Et Immunopathologia","DOI":"10.15586/aei.v51i4.893","ISSN":"1578-1267","issue":"4","journalAbbreviation":"Allergol Immunopathol (Madr)","language":"eng","page":"101-109","PMID":"37422786","source":"PubMed","title":"Prevalence of atopic dermatitis in the adolescent population of Catalonia (Spain)","volume":"51","author":[{"family":"Mora","given":"Toni"},{"family":"Sánchez-Collado","given":"Irene"},{"family":"Mullol","given":"Joaquim"},{"family":"Muñoz-Cano","given":"Rosa"},{"family":"Ribó","given":"Paula"},{"family":"Valero","given":"Antonio"}],"issued":{"date-parts":[["2023"]]}}},{"id":126,"uris":["http://zotero.org/users/18702181/items/5WN5C8BS"],"itemData":{"id":126,"type":"article-journal","abstract":"BACKGROUND: Studies on the prevalence of atopic dermatitis (AD) in adults in general populations are scarce worldwide. We performed a retrospective population-based observational cohort study of 537 098 adult patients diagnosed with AD in Catalonia, Spain, a larger population than in previous studies. Objectives: To study the prevalence of AD by age, sex, disease severity, multimorbidity, serum total immunoglobin E (tIgE), and appropriate medical treatment (AMT) for the population of Catalonia.\nMETHODS: The study population comprised adult individuals (≥18 years) diagnosed with AD according to medical records at different health care levels (primary, hospital, emergency) in the Catalan Health System. Statistical analyses were conducted to evaluate sociodemographic characteristics, prevalence, multimorbidity, serum tIgE, and AMT.\nRESULTS: The prevalence of AD in the adult Catalan population was 8.7%, being higher for nonsevere disease (8.5%) than for severe disease (0.2%) and in females (10.1%) than in males (7.3%). Topical corticosteroids were the most prescribed drug (66.5%), and treatment was prescribed more frequently in severe AD patients, especially systemic corticosteroids (63.8%) and immunosuppressants (60.7%). More than half of severe AD patients (52.2%) had serum tIgE ≥100 kU/L, and higher values were observed for those with multimorbidity. The most frequent comorbid respiratory diseases were acute bronchitis (13.7%), allergic rhinitis (12.1%), and asthma (8.6%).\nCONCLUSIONS: We provide new and robust evidence of the prevalence of AD and related characteristics in adults using a large-scale population-based study and a more significant cohort of individuals.","container-title":"Journal of Investigational Allergology &amp; Clinical Immunology","DOI":"10.18176/jiaci.0899","ISSN":"1018-9068","issue":"4","journalAbbreviation":"J Investig Allergol Clin Immunol","language":"eng","page":"225-232","PMID":"36811843","source":"PubMed","title":"Prevalence of Atopic Dermatitis in the Adult Population of Catalonia, Spain: A Large-Scale, Retrospective, Population-Based Study","title-short":"Prevalence of Atopic Dermatitis in the Adult Population of Catalonia, Spain","volume":"34","author":[{"family":"Mora","given":"T."},{"family":"Sánchez-Collado","given":"I."},{"family":"Mullol","given":"J."},{"family":"Muñoz-Cano","given":"R."},{"family":"Ribó","given":"P."},{"family":"Valero","given":"A."}],"issued":{"date-parts":[["2024",7,29]]}}}],"schema":"https://github.com/citation-style-language/schema/raw/master/csl-citation.json"} </w:instrText>
      </w:r>
      <w:r w:rsidR="00646A51" w:rsidRPr="001F7F82">
        <w:rPr>
          <w:rFonts w:ascii="Arial" w:hAnsi="Arial" w:cs="Arial"/>
          <w:sz w:val="20"/>
          <w:szCs w:val="20"/>
        </w:rPr>
        <w:fldChar w:fldCharType="separate"/>
      </w:r>
      <w:r w:rsidR="00511A83" w:rsidRPr="001F7F82">
        <w:rPr>
          <w:rFonts w:ascii="Arial" w:hAnsi="Arial" w:cs="Arial"/>
          <w:sz w:val="20"/>
          <w:szCs w:val="20"/>
        </w:rPr>
        <w:t>(41,42)</w:t>
      </w:r>
      <w:r w:rsidR="00646A51" w:rsidRPr="001F7F82">
        <w:rPr>
          <w:rFonts w:ascii="Arial" w:hAnsi="Arial" w:cs="Arial"/>
          <w:sz w:val="20"/>
          <w:szCs w:val="20"/>
        </w:rPr>
        <w:fldChar w:fldCharType="end"/>
      </w:r>
      <w:r w:rsidR="0083766D" w:rsidRPr="001F7F82">
        <w:rPr>
          <w:rFonts w:ascii="Arial" w:hAnsi="Arial" w:cs="Arial"/>
          <w:sz w:val="20"/>
          <w:szCs w:val="20"/>
        </w:rPr>
        <w:t xml:space="preserve">. La prevalencia estimada en adultos fue de 8.7% (8,6% leve-moderada y 0,2% severa), en adolescentes fue de 16,9% (16,7% leve-moderada y 0,2% grave). </w:t>
      </w:r>
    </w:p>
    <w:p w14:paraId="3AFFB13F" w14:textId="77777777" w:rsidR="00541241" w:rsidRDefault="0083766D" w:rsidP="00412973">
      <w:pPr>
        <w:pStyle w:val="Encabezado"/>
        <w:tabs>
          <w:tab w:val="clear" w:pos="4252"/>
          <w:tab w:val="clear" w:pos="8504"/>
        </w:tabs>
        <w:jc w:val="both"/>
        <w:rPr>
          <w:rFonts w:ascii="Arial" w:hAnsi="Arial" w:cs="Arial"/>
          <w:sz w:val="20"/>
          <w:szCs w:val="20"/>
        </w:rPr>
      </w:pPr>
      <w:r w:rsidRPr="001F7F82">
        <w:rPr>
          <w:rFonts w:ascii="Arial" w:hAnsi="Arial" w:cs="Arial"/>
          <w:sz w:val="20"/>
          <w:szCs w:val="20"/>
        </w:rPr>
        <w:t xml:space="preserve">Además, otro estudio reciente estima que la forma moderada severa representa entre un 41 y un 69% de los pacientes adultos con DA en España </w:t>
      </w:r>
      <w:r w:rsidR="00646A51" w:rsidRPr="001F7F82">
        <w:rPr>
          <w:rFonts w:ascii="Arial" w:hAnsi="Arial" w:cs="Arial"/>
          <w:sz w:val="20"/>
          <w:szCs w:val="20"/>
        </w:rPr>
        <w:fldChar w:fldCharType="begin"/>
      </w:r>
      <w:r w:rsidR="00511A83" w:rsidRPr="001F7F82">
        <w:rPr>
          <w:rFonts w:ascii="Arial" w:hAnsi="Arial" w:cs="Arial"/>
          <w:sz w:val="20"/>
          <w:szCs w:val="20"/>
        </w:rPr>
        <w:instrText xml:space="preserve"> ADDIN ZOTERO_ITEM CSL_CITATION {"citationID":"skTmtwEA","properties":{"formattedCitation":"(37)","plainCitation":"(37)","noteIndex":0},"citationItems":[{"id":118,"uris":["http://zotero.org/users/18702181/items/YC7SGVVK"],"itemData":{"id":118,"type":"article-journal","abstract":"BACKGROUND: Moderate-severe atopic dermatitis (AD) has a significant impact on patients' lives, with many requiring systemic treatment to manage symptoms (e.g., pruritus). Several drugs are used off-label to treat AD. This study describes sociodemographic/clinical characteristics, treatment patterns, health resource use (HRU) and costs in adults with AD who initiated systemic treatment or phototherapy in routine practice.\nMETHODS: This retrospective observational study of electronic medical records in the BIG-PAC database identified adults with prior diagnosis of AD (ICD-9: 691.8 or 692.9) starting oral corticosteroids, immunosuppressants, biologics or phototherapy between 01/01/2012 and 31/12/2016. Patients were followed for 3 years from treatment initiation, up to 31/12/2019. Data on patient characteristics, treatment patterns, HRU and costs were analyzed descriptively.\nRESULTS: Patients (N=1995) had a mean age of 60 years, 64% were female, with a mean time of 23 years since diagnosis (84% were ≥18 years at AD onset). Main comorbidities were anxiety (38%), arterial hypertension (36%) and dyslipidemia (35%). Most patients used oral corticosteroids as first systemic (84%; median duration 29 days) and immunosuppressants in 13% of patients (median duration 117 days, 5% cyclosporine and 4% methotrexate). Half of patients required a second line systemic and 12% a third line. The use of immunosuppressants and biologics increased with treatment lines. About 13% of patients received systemic treatments continuously over the 3-year follow-up. The average 3-year per patient cost was 3835 euros, with an average annual cost of 1278 euros.\nCONCLUSIONS: Results suggest a high comorbidity and economic burden in this real-world adult population with AD, and the need for systemic treatments indicated for use in AD.","container-title":"Actas Dermo-Sifiliograficas","DOI":"10.1016/j.ad.2022.08.015","ISSN":"1578-2190","issue":"1","journalAbbreviation":"Actas Dermosifiliogr","language":"eng, spa","page":"9-18","PMID":"36030827","source":"PubMed","title":"Real-World Treatment Patterns, Resource Use and Costs in Adult Patients With Atopic Dermatitis Receiving Systemic Treatment: Derma-Atopic Study in Spain","title-short":"Real-World Treatment Patterns, Resource Use and Costs in Adult Patients With Atopic Dermatitis Receiving Systemic Treatment","volume":"114","author":[{"family":"Artime","given":"E."},{"family":"Serra","given":"E."},{"family":"Mert","given":"C."},{"family":"Díaz-Cerezo","given":"S."},{"family":"Huete","given":"T."},{"family":"Hernández-Subirá","given":"I."},{"family":"Lledo-Bryant","given":"L."},{"family":"Sicras-Mainar","given":"A."}],"issued":{"date-parts":[["2023",1]]}}}],"schema":"https://github.com/citation-style-language/schema/raw/master/csl-citation.json"} </w:instrText>
      </w:r>
      <w:r w:rsidR="00646A51" w:rsidRPr="001F7F82">
        <w:rPr>
          <w:rFonts w:ascii="Arial" w:hAnsi="Arial" w:cs="Arial"/>
          <w:sz w:val="20"/>
          <w:szCs w:val="20"/>
        </w:rPr>
        <w:fldChar w:fldCharType="separate"/>
      </w:r>
      <w:r w:rsidR="00511A83" w:rsidRPr="001F7F82">
        <w:rPr>
          <w:rFonts w:ascii="Arial" w:hAnsi="Arial" w:cs="Arial"/>
          <w:sz w:val="20"/>
          <w:szCs w:val="20"/>
        </w:rPr>
        <w:t>(37)</w:t>
      </w:r>
      <w:r w:rsidR="00646A51" w:rsidRPr="001F7F82">
        <w:rPr>
          <w:rFonts w:ascii="Arial" w:hAnsi="Arial" w:cs="Arial"/>
          <w:sz w:val="20"/>
          <w:szCs w:val="20"/>
        </w:rPr>
        <w:fldChar w:fldCharType="end"/>
      </w:r>
      <w:r w:rsidRPr="001F7F82">
        <w:rPr>
          <w:rFonts w:ascii="Arial" w:hAnsi="Arial" w:cs="Arial"/>
          <w:sz w:val="20"/>
          <w:szCs w:val="20"/>
        </w:rPr>
        <w:t xml:space="preserve">. </w:t>
      </w:r>
    </w:p>
    <w:p w14:paraId="7E3F836B" w14:textId="77777777" w:rsidR="00541241" w:rsidRDefault="006F7686" w:rsidP="00412973">
      <w:pPr>
        <w:pStyle w:val="Encabezado"/>
        <w:tabs>
          <w:tab w:val="clear" w:pos="4252"/>
          <w:tab w:val="clear" w:pos="8504"/>
        </w:tabs>
        <w:jc w:val="both"/>
        <w:rPr>
          <w:rFonts w:ascii="Arial" w:hAnsi="Arial" w:cs="Arial"/>
          <w:sz w:val="20"/>
          <w:szCs w:val="20"/>
        </w:rPr>
      </w:pPr>
      <w:r w:rsidRPr="001F7F82">
        <w:rPr>
          <w:rFonts w:ascii="Arial" w:hAnsi="Arial" w:cs="Arial"/>
          <w:sz w:val="20"/>
          <w:szCs w:val="20"/>
        </w:rPr>
        <w:t xml:space="preserve">En algunas publicaciones establece que aproximadamente 1/3 de los adolescentes con DA tiene DA moderada-severa. </w:t>
      </w:r>
    </w:p>
    <w:p w14:paraId="65A19AC0" w14:textId="77777777" w:rsidR="00541241" w:rsidRDefault="006F7686" w:rsidP="00412973">
      <w:pPr>
        <w:pStyle w:val="Encabezado"/>
        <w:tabs>
          <w:tab w:val="clear" w:pos="4252"/>
          <w:tab w:val="clear" w:pos="8504"/>
        </w:tabs>
        <w:jc w:val="both"/>
        <w:rPr>
          <w:rFonts w:ascii="Arial" w:hAnsi="Arial" w:cs="Arial"/>
          <w:sz w:val="20"/>
          <w:szCs w:val="20"/>
        </w:rPr>
      </w:pPr>
      <w:r w:rsidRPr="001F7F82">
        <w:rPr>
          <w:rFonts w:ascii="Arial" w:hAnsi="Arial" w:cs="Arial"/>
          <w:sz w:val="20"/>
          <w:szCs w:val="20"/>
        </w:rPr>
        <w:t xml:space="preserve">En una revisión sistemática reciente, se considera que la proporción de casos de DA moderada severa en niños y adolescentes varía entre 1,9% y 7,2% y en adultos entre 2,8 y 15,6% en adultos </w:t>
      </w:r>
      <w:r w:rsidR="00646A51" w:rsidRPr="001F7F82">
        <w:rPr>
          <w:rFonts w:ascii="Arial" w:hAnsi="Arial" w:cs="Arial"/>
          <w:sz w:val="20"/>
          <w:szCs w:val="20"/>
        </w:rPr>
        <w:fldChar w:fldCharType="begin"/>
      </w:r>
      <w:r w:rsidR="00511A83" w:rsidRPr="001F7F82">
        <w:rPr>
          <w:rFonts w:ascii="Arial" w:hAnsi="Arial" w:cs="Arial"/>
          <w:sz w:val="20"/>
          <w:szCs w:val="20"/>
        </w:rPr>
        <w:instrText xml:space="preserve"> ADDIN ZOTERO_ITEM CSL_CITATION {"citationID":"gO1UN7r5","properties":{"formattedCitation":"(43)","plainCitation":"(43)","noteIndex":0},"citationItems":[{"id":132,"uris":["http://zotero.org/users/18702181/items/ZBAWVAGW"],"itemData":{"id":132,"type":"article-journal","abstract":"Abstract: Background: Atopic dermatitis (AD) negatively affects quality of life and places a substantial financial burden on health care systems due to treatment costs and increased demand for services.Objective: To estimate the worldwide prevalence of AD, the proportion of severe cases worldwide and explore sources of heterogeneity.Methods: We searched MEDLINE, Embase, and Global Index Medicus from January 2012 up until August 30, 2022. We included primary prevalence studies published from 2012 onward. Study selection was conducted by two reviewers independently. One reviewer performed data extraction and assessed risk of bias using the JBI Critical Appraisal Checklist for Prevalence Studies, with independent checking by a second reviewer. Random-effects meta-analyses were conducted to pool results; subgroup analyses were conducted to evaluate potential modifiers. Certainty of evidence was rated using the Grading of Recommendations Assessment, Development, and Evaluation approach. Main outcomes were point prevalence and proportion of severe cases.Results: We identified 12,774 unique references and assessed 1029 full texts, ultimately resulting in the inclusion of 310 studies with 25.5 million individuals. Point prevalence was 11.1% (95% CI 9.4–13.1; 123 studies; 12,776,910 individuals; moderate certainty of evidence) in children and adolescents, and 6.3% (95% CI 5.0–7.8; 59 studies; 12,794,260 individuals; moderate certainty of evidence) in adults. Relatively similar results were observed for studies with low risk of bias. Proportion of severe cases varied from 1.9 to 7.2% in children and adolescents and 2.8% to 15.6% in adults.Conclusions: These findings may underpin effective health care policies, research initiatives, and clinical decision-making.","container-title":"Dermatitis®","DOI":"10.1089/derm.2024.0165","ISSN":"1710-3568","issue":"6","page":"575-582","publisher":"Mary Ann Liebert, Inc., publishers","source":"liebertpub.com (Atypon)","title":"Prevalence of Atopic Dermatitis: A Systematic Review and Meta-Analysis","title-short":"Prevalence of Atopic Dermatitis","volume":"36","author":[{"family":"Migliavaca","given":"Celina Borges"},{"family":"Lazzarini","given":"Rosana"},{"family":"Stein","given":"Cinara"},{"family":"Escher","given":"Gabrielle Nunes"},{"family":"Gaspari","given":"Camilla Natal","non-dropping-particle":"de"},{"family":"Santos","given":"Harryson Wings Godoy","non-dropping-particle":"dos"},{"family":"Myers","given":"Daniela E."},{"family":"Lemeshow","given":"Adina R."},{"family":"Pinheiro","given":"Márcia Regina Teixeira"},{"family":"Falavigna","given":"Maicon"},{"family":"Pachito","given":"Daniela V."}],"issued":{"date-parts":[["2025",11]]}}}],"schema":"https://github.com/citation-style-language/schema/raw/master/csl-citation.json"} </w:instrText>
      </w:r>
      <w:r w:rsidR="00646A51" w:rsidRPr="001F7F82">
        <w:rPr>
          <w:rFonts w:ascii="Arial" w:hAnsi="Arial" w:cs="Arial"/>
          <w:sz w:val="20"/>
          <w:szCs w:val="20"/>
        </w:rPr>
        <w:fldChar w:fldCharType="separate"/>
      </w:r>
      <w:r w:rsidR="00511A83" w:rsidRPr="001F7F82">
        <w:rPr>
          <w:rFonts w:ascii="Arial" w:hAnsi="Arial" w:cs="Arial"/>
          <w:sz w:val="20"/>
          <w:szCs w:val="20"/>
        </w:rPr>
        <w:t>(43)</w:t>
      </w:r>
      <w:r w:rsidR="00646A51" w:rsidRPr="001F7F82">
        <w:rPr>
          <w:rFonts w:ascii="Arial" w:hAnsi="Arial" w:cs="Arial"/>
          <w:sz w:val="20"/>
          <w:szCs w:val="20"/>
        </w:rPr>
        <w:fldChar w:fldCharType="end"/>
      </w:r>
      <w:r w:rsidRPr="001F7F82">
        <w:rPr>
          <w:rFonts w:ascii="Arial" w:hAnsi="Arial" w:cs="Arial"/>
          <w:sz w:val="20"/>
          <w:szCs w:val="20"/>
        </w:rPr>
        <w:t xml:space="preserve">. </w:t>
      </w:r>
    </w:p>
    <w:p w14:paraId="03BAB3C3" w14:textId="77777777" w:rsidR="00541241" w:rsidRDefault="00541241" w:rsidP="00412973">
      <w:pPr>
        <w:pStyle w:val="Encabezado"/>
        <w:tabs>
          <w:tab w:val="clear" w:pos="4252"/>
          <w:tab w:val="clear" w:pos="8504"/>
        </w:tabs>
        <w:jc w:val="both"/>
        <w:rPr>
          <w:rFonts w:ascii="Arial" w:hAnsi="Arial" w:cs="Arial"/>
          <w:sz w:val="20"/>
          <w:szCs w:val="20"/>
        </w:rPr>
      </w:pPr>
    </w:p>
    <w:p w14:paraId="2C8EE48E" w14:textId="77777777" w:rsidR="00541241" w:rsidRDefault="006F7686" w:rsidP="00412973">
      <w:pPr>
        <w:pStyle w:val="Encabezado"/>
        <w:tabs>
          <w:tab w:val="clear" w:pos="4252"/>
          <w:tab w:val="clear" w:pos="8504"/>
        </w:tabs>
        <w:jc w:val="both"/>
        <w:rPr>
          <w:rFonts w:ascii="Arial" w:hAnsi="Arial" w:cs="Arial"/>
          <w:sz w:val="20"/>
          <w:szCs w:val="20"/>
        </w:rPr>
      </w:pPr>
      <w:r w:rsidRPr="001F7F82">
        <w:rPr>
          <w:rFonts w:ascii="Arial" w:hAnsi="Arial" w:cs="Arial"/>
          <w:sz w:val="20"/>
          <w:szCs w:val="20"/>
        </w:rPr>
        <w:t>Considerando los datos disponibles se hace la siguiente estimación:</w:t>
      </w:r>
    </w:p>
    <w:p w14:paraId="00E2F594" w14:textId="77777777" w:rsidR="006F7686" w:rsidRPr="006958B7" w:rsidRDefault="006F7686" w:rsidP="006958B7">
      <w:pPr>
        <w:numPr>
          <w:ilvl w:val="0"/>
          <w:numId w:val="14"/>
        </w:numPr>
        <w:jc w:val="both"/>
        <w:rPr>
          <w:rFonts w:ascii="Arial" w:hAnsi="Arial" w:cs="Arial"/>
          <w:sz w:val="20"/>
          <w:szCs w:val="20"/>
        </w:rPr>
      </w:pPr>
      <w:r w:rsidRPr="006958B7">
        <w:rPr>
          <w:rFonts w:ascii="Arial" w:hAnsi="Arial" w:cs="Arial"/>
          <w:sz w:val="20"/>
          <w:szCs w:val="20"/>
        </w:rPr>
        <w:t>Adultos: 8,7% de prevalencia de DA</w:t>
      </w:r>
      <w:r w:rsidR="00EC02ED" w:rsidRPr="006958B7">
        <w:rPr>
          <w:rFonts w:ascii="Arial" w:hAnsi="Arial" w:cs="Arial"/>
          <w:sz w:val="20"/>
          <w:szCs w:val="20"/>
        </w:rPr>
        <w:t>, de estos un 55% aproximadamente tendría DA-moderada severa, es decir, un 4,8% (4,6% moderada, 0,2% severa)</w:t>
      </w:r>
    </w:p>
    <w:p w14:paraId="1DF3E803" w14:textId="77777777" w:rsidR="00EC02ED" w:rsidRPr="006958B7" w:rsidRDefault="00EC02ED" w:rsidP="006958B7">
      <w:pPr>
        <w:numPr>
          <w:ilvl w:val="0"/>
          <w:numId w:val="14"/>
        </w:numPr>
        <w:jc w:val="both"/>
        <w:rPr>
          <w:rFonts w:ascii="Arial" w:hAnsi="Arial" w:cs="Arial"/>
          <w:sz w:val="20"/>
          <w:szCs w:val="20"/>
        </w:rPr>
      </w:pPr>
      <w:r w:rsidRPr="006958B7">
        <w:rPr>
          <w:rFonts w:ascii="Arial" w:hAnsi="Arial" w:cs="Arial"/>
          <w:sz w:val="20"/>
          <w:szCs w:val="20"/>
        </w:rPr>
        <w:t>Adolescentes: 16,9% de prevalencia de DA, de estos, 1/3 aproximadamente tiene DA moderada grave, es decir, 5,6 % (5,4% moderada, 0,2% severa).</w:t>
      </w:r>
    </w:p>
    <w:p w14:paraId="31188C3D" w14:textId="77777777" w:rsidR="00EC02ED" w:rsidRPr="006958B7" w:rsidRDefault="00EC02ED" w:rsidP="006958B7">
      <w:pPr>
        <w:jc w:val="both"/>
        <w:rPr>
          <w:rFonts w:ascii="Arial" w:hAnsi="Arial" w:cs="Arial"/>
          <w:sz w:val="20"/>
          <w:szCs w:val="20"/>
        </w:rPr>
      </w:pPr>
      <w:r w:rsidRPr="006958B7">
        <w:rPr>
          <w:rFonts w:ascii="Arial" w:hAnsi="Arial" w:cs="Arial"/>
          <w:sz w:val="20"/>
          <w:szCs w:val="20"/>
        </w:rPr>
        <w:t>En base a esta estimación, en la población española la población con DA moderada-severa sería:</w:t>
      </w:r>
    </w:p>
    <w:p w14:paraId="15C8DAA4" w14:textId="77777777" w:rsidR="00EC02ED" w:rsidRPr="006958B7" w:rsidRDefault="00EC02ED" w:rsidP="006958B7">
      <w:pPr>
        <w:numPr>
          <w:ilvl w:val="0"/>
          <w:numId w:val="15"/>
        </w:numPr>
        <w:jc w:val="both"/>
        <w:rPr>
          <w:rFonts w:ascii="Arial" w:hAnsi="Arial" w:cs="Arial"/>
          <w:sz w:val="20"/>
          <w:szCs w:val="20"/>
        </w:rPr>
      </w:pPr>
      <w:r w:rsidRPr="006958B7">
        <w:rPr>
          <w:rFonts w:ascii="Arial" w:hAnsi="Arial" w:cs="Arial"/>
          <w:sz w:val="20"/>
          <w:szCs w:val="20"/>
        </w:rPr>
        <w:t xml:space="preserve">Adultos: </w:t>
      </w:r>
      <w:r w:rsidR="006958B7">
        <w:rPr>
          <w:rFonts w:ascii="Arial" w:hAnsi="Arial" w:cs="Arial"/>
          <w:sz w:val="20"/>
          <w:szCs w:val="20"/>
        </w:rPr>
        <w:t>197.436</w:t>
      </w:r>
    </w:p>
    <w:p w14:paraId="55787292" w14:textId="77777777" w:rsidR="00FB0364" w:rsidRPr="006958B7" w:rsidRDefault="00FB0364" w:rsidP="006958B7">
      <w:pPr>
        <w:numPr>
          <w:ilvl w:val="0"/>
          <w:numId w:val="15"/>
        </w:numPr>
        <w:jc w:val="both"/>
        <w:rPr>
          <w:rFonts w:ascii="Arial" w:hAnsi="Arial" w:cs="Arial"/>
          <w:sz w:val="20"/>
          <w:szCs w:val="20"/>
        </w:rPr>
      </w:pPr>
      <w:r w:rsidRPr="006958B7">
        <w:rPr>
          <w:rFonts w:ascii="Arial" w:hAnsi="Arial" w:cs="Arial"/>
          <w:sz w:val="20"/>
          <w:szCs w:val="20"/>
        </w:rPr>
        <w:t xml:space="preserve">Adolescentes: </w:t>
      </w:r>
      <w:r w:rsidR="006958B7">
        <w:rPr>
          <w:rFonts w:ascii="Arial" w:hAnsi="Arial" w:cs="Arial"/>
          <w:sz w:val="20"/>
          <w:szCs w:val="20"/>
        </w:rPr>
        <w:t>172.775</w:t>
      </w:r>
    </w:p>
    <w:p w14:paraId="08D03AF3" w14:textId="77777777" w:rsidR="00FB0364" w:rsidRPr="00E6745B" w:rsidRDefault="00FB0364" w:rsidP="00FB0364">
      <w:pPr>
        <w:rPr>
          <w:rFonts w:ascii="Arial" w:hAnsi="Arial" w:cs="Arial"/>
          <w:sz w:val="20"/>
          <w:szCs w:val="20"/>
        </w:rPr>
      </w:pPr>
    </w:p>
    <w:p w14:paraId="37722749" w14:textId="77777777" w:rsidR="001B4D98" w:rsidRPr="00CC7C15" w:rsidRDefault="001B4D98" w:rsidP="00FB0364">
      <w:pPr>
        <w:rPr>
          <w:rFonts w:ascii="Arial" w:hAnsi="Arial" w:cs="Arial"/>
          <w:sz w:val="20"/>
          <w:szCs w:val="20"/>
        </w:rPr>
      </w:pPr>
      <w:r w:rsidRPr="00CC7C15">
        <w:rPr>
          <w:rFonts w:ascii="Arial" w:hAnsi="Arial" w:cs="Arial"/>
          <w:sz w:val="20"/>
          <w:szCs w:val="20"/>
        </w:rPr>
        <w:t xml:space="preserve">Teniendo en cuenta que en la financiación se restringe a pacientes con EASI≥21, es decir, DA grave por lo que, para hacer la estimación del impacto a nivel estatal, tanto en adultos como en adolescentes, se considera una prevalencia de 0,2% de DA grave. </w:t>
      </w:r>
    </w:p>
    <w:p w14:paraId="3159FF66" w14:textId="77777777" w:rsidR="001B4D98" w:rsidRPr="00CC7C15" w:rsidRDefault="001B4D98" w:rsidP="001B4D98">
      <w:pPr>
        <w:numPr>
          <w:ilvl w:val="0"/>
          <w:numId w:val="16"/>
        </w:numPr>
        <w:rPr>
          <w:rFonts w:ascii="Arial" w:hAnsi="Arial" w:cs="Arial"/>
          <w:sz w:val="20"/>
          <w:szCs w:val="20"/>
        </w:rPr>
      </w:pPr>
      <w:r w:rsidRPr="00CC7C15">
        <w:rPr>
          <w:rFonts w:ascii="Arial" w:hAnsi="Arial" w:cs="Arial"/>
          <w:sz w:val="20"/>
          <w:szCs w:val="20"/>
        </w:rPr>
        <w:t>Adultos: 82.226</w:t>
      </w:r>
    </w:p>
    <w:p w14:paraId="64A7CAC3" w14:textId="77777777" w:rsidR="001B4D98" w:rsidRPr="00CC7C15" w:rsidRDefault="001B4D98" w:rsidP="001B4D98">
      <w:pPr>
        <w:numPr>
          <w:ilvl w:val="0"/>
          <w:numId w:val="16"/>
        </w:numPr>
        <w:rPr>
          <w:rFonts w:ascii="Arial" w:hAnsi="Arial" w:cs="Arial"/>
          <w:sz w:val="20"/>
          <w:szCs w:val="20"/>
        </w:rPr>
      </w:pPr>
      <w:r w:rsidRPr="00CC7C15">
        <w:rPr>
          <w:rFonts w:ascii="Arial" w:hAnsi="Arial" w:cs="Arial"/>
          <w:sz w:val="20"/>
          <w:szCs w:val="20"/>
        </w:rPr>
        <w:t>Adolescentes:6.170</w:t>
      </w:r>
    </w:p>
    <w:p w14:paraId="141A8B76" w14:textId="77777777" w:rsidR="0057192E" w:rsidRPr="00A75AFF" w:rsidRDefault="0057192E" w:rsidP="0057192E">
      <w:pPr>
        <w:rPr>
          <w:rFonts w:ascii="Arial" w:hAnsi="Arial" w:cs="Arial"/>
          <w:sz w:val="20"/>
          <w:szCs w:val="20"/>
        </w:rPr>
      </w:pPr>
    </w:p>
    <w:p w14:paraId="5964E191" w14:textId="77777777" w:rsidR="0057192E" w:rsidRPr="00A75AFF" w:rsidRDefault="00A75AFF" w:rsidP="0057192E">
      <w:pPr>
        <w:rPr>
          <w:rFonts w:ascii="Arial" w:hAnsi="Arial" w:cs="Arial"/>
          <w:sz w:val="20"/>
          <w:szCs w:val="20"/>
        </w:rPr>
      </w:pPr>
      <w:r w:rsidRPr="00A75AFF">
        <w:rPr>
          <w:rFonts w:ascii="Arial" w:hAnsi="Arial" w:cs="Arial"/>
          <w:sz w:val="20"/>
          <w:szCs w:val="20"/>
        </w:rPr>
        <w:t>En base a los datos poblacionales, se recogen en las tablas 30-32, la estimación del número de pacientes adulto/adolescente en el 1º año/&gt;1 año candidatos al tratamiento a nivel nacional, coste estimado anual y unidades de eficacia anual</w:t>
      </w:r>
      <w:r>
        <w:rPr>
          <w:rFonts w:ascii="Arial" w:hAnsi="Arial" w:cs="Arial"/>
          <w:sz w:val="20"/>
          <w:szCs w:val="20"/>
        </w:rPr>
        <w:t>.</w:t>
      </w:r>
    </w:p>
    <w:tbl>
      <w:tblPr>
        <w:tblpPr w:leftFromText="141" w:rightFromText="141" w:vertAnchor="text" w:horzAnchor="margin" w:tblpY="97"/>
        <w:tblW w:w="9220" w:type="dxa"/>
        <w:tblCellMar>
          <w:left w:w="70" w:type="dxa"/>
          <w:right w:w="70" w:type="dxa"/>
        </w:tblCellMar>
        <w:tblLook w:val="04A0" w:firstRow="1" w:lastRow="0" w:firstColumn="1" w:lastColumn="0" w:noHBand="0" w:noVBand="1"/>
      </w:tblPr>
      <w:tblGrid>
        <w:gridCol w:w="1520"/>
        <w:gridCol w:w="1720"/>
        <w:gridCol w:w="1480"/>
        <w:gridCol w:w="1560"/>
        <w:gridCol w:w="1440"/>
        <w:gridCol w:w="1500"/>
      </w:tblGrid>
      <w:tr w:rsidR="00DC274C" w14:paraId="23E2B0A4" w14:textId="77777777" w:rsidTr="00DC274C">
        <w:trPr>
          <w:trHeight w:val="720"/>
        </w:trPr>
        <w:tc>
          <w:tcPr>
            <w:tcW w:w="9220" w:type="dxa"/>
            <w:gridSpan w:val="6"/>
            <w:tcBorders>
              <w:top w:val="single" w:sz="8" w:space="0" w:color="auto"/>
              <w:left w:val="single" w:sz="8" w:space="0" w:color="auto"/>
              <w:bottom w:val="single" w:sz="8" w:space="0" w:color="auto"/>
              <w:right w:val="single" w:sz="8" w:space="0" w:color="000000"/>
            </w:tcBorders>
            <w:shd w:val="clear" w:color="000000" w:fill="CCFFCC"/>
            <w:vAlign w:val="center"/>
            <w:hideMark/>
          </w:tcPr>
          <w:p w14:paraId="0E2E5E42" w14:textId="77777777" w:rsidR="00DC274C" w:rsidRDefault="00DB2899" w:rsidP="00DC274C">
            <w:pPr>
              <w:jc w:val="center"/>
              <w:rPr>
                <w:rFonts w:ascii="Arial" w:hAnsi="Arial" w:cs="Arial"/>
                <w:b/>
                <w:bCs/>
                <w:color w:val="000000"/>
                <w:sz w:val="20"/>
                <w:szCs w:val="20"/>
              </w:rPr>
            </w:pPr>
            <w:r>
              <w:rPr>
                <w:rFonts w:ascii="Arial" w:hAnsi="Arial" w:cs="Arial"/>
                <w:b/>
                <w:bCs/>
                <w:color w:val="000000"/>
                <w:sz w:val="20"/>
                <w:szCs w:val="20"/>
              </w:rPr>
              <w:t xml:space="preserve">Tabla </w:t>
            </w:r>
            <w:r w:rsidR="00A75AFF">
              <w:rPr>
                <w:rFonts w:ascii="Arial" w:hAnsi="Arial" w:cs="Arial"/>
                <w:b/>
                <w:bCs/>
                <w:color w:val="000000"/>
                <w:sz w:val="20"/>
                <w:szCs w:val="20"/>
              </w:rPr>
              <w:t>30</w:t>
            </w:r>
            <w:r>
              <w:rPr>
                <w:rFonts w:ascii="Arial" w:hAnsi="Arial" w:cs="Arial"/>
                <w:b/>
                <w:bCs/>
                <w:color w:val="000000"/>
                <w:sz w:val="20"/>
                <w:szCs w:val="20"/>
              </w:rPr>
              <w:t xml:space="preserve">. </w:t>
            </w:r>
            <w:r w:rsidR="00DC274C">
              <w:rPr>
                <w:rFonts w:ascii="Arial" w:hAnsi="Arial" w:cs="Arial"/>
                <w:b/>
                <w:bCs/>
                <w:color w:val="000000"/>
                <w:sz w:val="20"/>
                <w:szCs w:val="20"/>
              </w:rPr>
              <w:t xml:space="preserve">Estimación del número de pacientes </w:t>
            </w:r>
            <w:r w:rsidR="00DC274C">
              <w:rPr>
                <w:rFonts w:ascii="Arial" w:hAnsi="Arial" w:cs="Arial"/>
                <w:b/>
                <w:bCs/>
                <w:color w:val="000000"/>
                <w:sz w:val="20"/>
                <w:szCs w:val="20"/>
                <w:u w:val="single"/>
              </w:rPr>
              <w:t>adulto en el 1º</w:t>
            </w:r>
            <w:r w:rsidR="00DC274C">
              <w:rPr>
                <w:rFonts w:ascii="Arial" w:hAnsi="Arial" w:cs="Arial"/>
                <w:b/>
                <w:bCs/>
                <w:color w:val="000000"/>
                <w:sz w:val="20"/>
                <w:szCs w:val="20"/>
              </w:rPr>
              <w:t xml:space="preserve"> año candidatos al tratamiento a nivel nacional, coste estimado anual y unidades de eficacia anual</w:t>
            </w:r>
          </w:p>
        </w:tc>
      </w:tr>
      <w:tr w:rsidR="00DC274C" w14:paraId="6E881925" w14:textId="77777777" w:rsidTr="00DC274C">
        <w:trPr>
          <w:trHeight w:val="915"/>
        </w:trPr>
        <w:tc>
          <w:tcPr>
            <w:tcW w:w="1520" w:type="dxa"/>
            <w:tcBorders>
              <w:top w:val="nil"/>
              <w:left w:val="single" w:sz="8" w:space="0" w:color="auto"/>
              <w:bottom w:val="single" w:sz="8" w:space="0" w:color="auto"/>
              <w:right w:val="single" w:sz="8" w:space="0" w:color="auto"/>
            </w:tcBorders>
            <w:vAlign w:val="center"/>
            <w:hideMark/>
          </w:tcPr>
          <w:p w14:paraId="4A9F52E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Nº anual de pacientes</w:t>
            </w:r>
          </w:p>
        </w:tc>
        <w:tc>
          <w:tcPr>
            <w:tcW w:w="1720" w:type="dxa"/>
            <w:tcBorders>
              <w:top w:val="nil"/>
              <w:left w:val="nil"/>
              <w:bottom w:val="single" w:sz="8" w:space="0" w:color="auto"/>
              <w:right w:val="single" w:sz="8" w:space="0" w:color="auto"/>
            </w:tcBorders>
            <w:vAlign w:val="center"/>
            <w:hideMark/>
          </w:tcPr>
          <w:p w14:paraId="5D3D35A6"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Coste incremental por paciente año 1</w:t>
            </w:r>
          </w:p>
        </w:tc>
        <w:tc>
          <w:tcPr>
            <w:tcW w:w="1480" w:type="dxa"/>
            <w:tcBorders>
              <w:top w:val="nil"/>
              <w:left w:val="nil"/>
              <w:bottom w:val="single" w:sz="8" w:space="0" w:color="auto"/>
              <w:right w:val="single" w:sz="8" w:space="0" w:color="auto"/>
            </w:tcBorders>
            <w:vAlign w:val="center"/>
            <w:hideMark/>
          </w:tcPr>
          <w:p w14:paraId="103FFC32"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Variable</w:t>
            </w:r>
          </w:p>
        </w:tc>
        <w:tc>
          <w:tcPr>
            <w:tcW w:w="1560" w:type="dxa"/>
            <w:tcBorders>
              <w:top w:val="nil"/>
              <w:left w:val="nil"/>
              <w:bottom w:val="single" w:sz="8" w:space="0" w:color="auto"/>
              <w:right w:val="single" w:sz="8" w:space="0" w:color="auto"/>
            </w:tcBorders>
            <w:vAlign w:val="center"/>
            <w:hideMark/>
          </w:tcPr>
          <w:p w14:paraId="01BACA4F"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NNT</w:t>
            </w:r>
          </w:p>
        </w:tc>
        <w:tc>
          <w:tcPr>
            <w:tcW w:w="1440" w:type="dxa"/>
            <w:tcBorders>
              <w:top w:val="nil"/>
              <w:left w:val="nil"/>
              <w:bottom w:val="single" w:sz="8" w:space="0" w:color="auto"/>
              <w:right w:val="single" w:sz="8" w:space="0" w:color="auto"/>
            </w:tcBorders>
            <w:vAlign w:val="center"/>
            <w:hideMark/>
          </w:tcPr>
          <w:p w14:paraId="75EFD864"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Impacto económico anual</w:t>
            </w:r>
          </w:p>
        </w:tc>
        <w:tc>
          <w:tcPr>
            <w:tcW w:w="1500" w:type="dxa"/>
            <w:tcBorders>
              <w:top w:val="nil"/>
              <w:left w:val="nil"/>
              <w:bottom w:val="single" w:sz="8" w:space="0" w:color="auto"/>
              <w:right w:val="single" w:sz="8" w:space="0" w:color="auto"/>
            </w:tcBorders>
            <w:vAlign w:val="center"/>
            <w:hideMark/>
          </w:tcPr>
          <w:p w14:paraId="0D4D6E2B"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Unidades de eficacia anuales</w:t>
            </w:r>
          </w:p>
        </w:tc>
      </w:tr>
      <w:tr w:rsidR="00DC274C" w14:paraId="3C8D38C2" w14:textId="77777777" w:rsidTr="00DC274C">
        <w:trPr>
          <w:trHeight w:val="315"/>
        </w:trPr>
        <w:tc>
          <w:tcPr>
            <w:tcW w:w="1520" w:type="dxa"/>
            <w:tcBorders>
              <w:top w:val="nil"/>
              <w:left w:val="nil"/>
              <w:bottom w:val="single" w:sz="8" w:space="0" w:color="auto"/>
              <w:right w:val="single" w:sz="8" w:space="0" w:color="auto"/>
            </w:tcBorders>
            <w:vAlign w:val="center"/>
            <w:hideMark/>
          </w:tcPr>
          <w:p w14:paraId="7639A31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82.226</w:t>
            </w:r>
          </w:p>
        </w:tc>
        <w:tc>
          <w:tcPr>
            <w:tcW w:w="1720" w:type="dxa"/>
            <w:tcBorders>
              <w:top w:val="nil"/>
              <w:left w:val="nil"/>
              <w:bottom w:val="single" w:sz="8" w:space="0" w:color="auto"/>
              <w:right w:val="single" w:sz="8" w:space="0" w:color="auto"/>
            </w:tcBorders>
            <w:vAlign w:val="center"/>
            <w:hideMark/>
          </w:tcPr>
          <w:p w14:paraId="1C338759"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10.602</w:t>
            </w:r>
          </w:p>
        </w:tc>
        <w:tc>
          <w:tcPr>
            <w:tcW w:w="1480" w:type="dxa"/>
            <w:tcBorders>
              <w:top w:val="nil"/>
              <w:left w:val="nil"/>
              <w:bottom w:val="single" w:sz="8" w:space="0" w:color="auto"/>
              <w:right w:val="single" w:sz="8" w:space="0" w:color="auto"/>
            </w:tcBorders>
            <w:vAlign w:val="center"/>
            <w:hideMark/>
          </w:tcPr>
          <w:p w14:paraId="7FDC25E3"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IGA</w:t>
            </w:r>
          </w:p>
        </w:tc>
        <w:tc>
          <w:tcPr>
            <w:tcW w:w="1560" w:type="dxa"/>
            <w:tcBorders>
              <w:top w:val="nil"/>
              <w:left w:val="nil"/>
              <w:bottom w:val="single" w:sz="8" w:space="0" w:color="auto"/>
              <w:right w:val="single" w:sz="8" w:space="0" w:color="auto"/>
            </w:tcBorders>
            <w:vAlign w:val="center"/>
            <w:hideMark/>
          </w:tcPr>
          <w:p w14:paraId="3BA67D63"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9 (7-15)</w:t>
            </w:r>
          </w:p>
        </w:tc>
        <w:tc>
          <w:tcPr>
            <w:tcW w:w="1440" w:type="dxa"/>
            <w:tcBorders>
              <w:top w:val="nil"/>
              <w:left w:val="nil"/>
              <w:bottom w:val="single" w:sz="8" w:space="0" w:color="auto"/>
              <w:right w:val="single" w:sz="8" w:space="0" w:color="auto"/>
            </w:tcBorders>
            <w:vAlign w:val="center"/>
            <w:hideMark/>
          </w:tcPr>
          <w:p w14:paraId="7D25059E"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871.760.052</w:t>
            </w:r>
          </w:p>
        </w:tc>
        <w:tc>
          <w:tcPr>
            <w:tcW w:w="1500" w:type="dxa"/>
            <w:tcBorders>
              <w:top w:val="nil"/>
              <w:left w:val="nil"/>
              <w:bottom w:val="single" w:sz="8" w:space="0" w:color="auto"/>
              <w:right w:val="single" w:sz="8" w:space="0" w:color="auto"/>
            </w:tcBorders>
            <w:vAlign w:val="center"/>
            <w:hideMark/>
          </w:tcPr>
          <w:p w14:paraId="1055899E"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9.136</w:t>
            </w:r>
          </w:p>
        </w:tc>
      </w:tr>
      <w:tr w:rsidR="00DC274C" w14:paraId="13A2A17B" w14:textId="77777777" w:rsidTr="00DC274C">
        <w:trPr>
          <w:trHeight w:val="315"/>
        </w:trPr>
        <w:tc>
          <w:tcPr>
            <w:tcW w:w="1520" w:type="dxa"/>
            <w:tcBorders>
              <w:top w:val="nil"/>
              <w:left w:val="nil"/>
              <w:bottom w:val="single" w:sz="8" w:space="0" w:color="auto"/>
              <w:right w:val="single" w:sz="8" w:space="0" w:color="auto"/>
            </w:tcBorders>
            <w:vAlign w:val="center"/>
            <w:hideMark/>
          </w:tcPr>
          <w:p w14:paraId="10C73376"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82.226</w:t>
            </w:r>
          </w:p>
        </w:tc>
        <w:tc>
          <w:tcPr>
            <w:tcW w:w="1720" w:type="dxa"/>
            <w:tcBorders>
              <w:top w:val="nil"/>
              <w:left w:val="nil"/>
              <w:bottom w:val="single" w:sz="8" w:space="0" w:color="auto"/>
              <w:right w:val="single" w:sz="8" w:space="0" w:color="auto"/>
            </w:tcBorders>
            <w:vAlign w:val="center"/>
            <w:hideMark/>
          </w:tcPr>
          <w:p w14:paraId="450DE632"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10.602</w:t>
            </w:r>
          </w:p>
        </w:tc>
        <w:tc>
          <w:tcPr>
            <w:tcW w:w="1480" w:type="dxa"/>
            <w:tcBorders>
              <w:top w:val="nil"/>
              <w:left w:val="nil"/>
              <w:bottom w:val="single" w:sz="8" w:space="0" w:color="auto"/>
              <w:right w:val="single" w:sz="8" w:space="0" w:color="auto"/>
            </w:tcBorders>
            <w:vAlign w:val="center"/>
            <w:hideMark/>
          </w:tcPr>
          <w:p w14:paraId="4144EC13"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EASI75</w:t>
            </w:r>
          </w:p>
        </w:tc>
        <w:tc>
          <w:tcPr>
            <w:tcW w:w="1560" w:type="dxa"/>
            <w:tcBorders>
              <w:top w:val="nil"/>
              <w:left w:val="nil"/>
              <w:bottom w:val="single" w:sz="8" w:space="0" w:color="auto"/>
              <w:right w:val="single" w:sz="8" w:space="0" w:color="auto"/>
            </w:tcBorders>
            <w:vAlign w:val="center"/>
            <w:hideMark/>
          </w:tcPr>
          <w:p w14:paraId="0C215B90"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 (6-12)</w:t>
            </w:r>
          </w:p>
        </w:tc>
        <w:tc>
          <w:tcPr>
            <w:tcW w:w="1440" w:type="dxa"/>
            <w:tcBorders>
              <w:top w:val="nil"/>
              <w:left w:val="nil"/>
              <w:bottom w:val="single" w:sz="8" w:space="0" w:color="auto"/>
              <w:right w:val="single" w:sz="8" w:space="0" w:color="auto"/>
            </w:tcBorders>
            <w:vAlign w:val="center"/>
            <w:hideMark/>
          </w:tcPr>
          <w:p w14:paraId="76C261CD"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871.760.052</w:t>
            </w:r>
          </w:p>
        </w:tc>
        <w:tc>
          <w:tcPr>
            <w:tcW w:w="1500" w:type="dxa"/>
            <w:tcBorders>
              <w:top w:val="nil"/>
              <w:left w:val="nil"/>
              <w:bottom w:val="single" w:sz="8" w:space="0" w:color="auto"/>
              <w:right w:val="single" w:sz="8" w:space="0" w:color="auto"/>
            </w:tcBorders>
            <w:vAlign w:val="center"/>
            <w:hideMark/>
          </w:tcPr>
          <w:p w14:paraId="1A2EE20C"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10.278</w:t>
            </w:r>
          </w:p>
        </w:tc>
      </w:tr>
      <w:tr w:rsidR="00DC274C" w14:paraId="3CFEBC1E" w14:textId="77777777" w:rsidTr="00DC274C">
        <w:trPr>
          <w:trHeight w:val="315"/>
        </w:trPr>
        <w:tc>
          <w:tcPr>
            <w:tcW w:w="1520" w:type="dxa"/>
            <w:tcBorders>
              <w:top w:val="nil"/>
              <w:left w:val="nil"/>
              <w:bottom w:val="single" w:sz="8" w:space="0" w:color="auto"/>
              <w:right w:val="single" w:sz="8" w:space="0" w:color="auto"/>
            </w:tcBorders>
            <w:vAlign w:val="center"/>
            <w:hideMark/>
          </w:tcPr>
          <w:p w14:paraId="6119AB39"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82.226</w:t>
            </w:r>
          </w:p>
        </w:tc>
        <w:tc>
          <w:tcPr>
            <w:tcW w:w="1720" w:type="dxa"/>
            <w:tcBorders>
              <w:top w:val="nil"/>
              <w:left w:val="nil"/>
              <w:bottom w:val="single" w:sz="8" w:space="0" w:color="auto"/>
              <w:right w:val="single" w:sz="8" w:space="0" w:color="auto"/>
            </w:tcBorders>
            <w:vAlign w:val="center"/>
            <w:hideMark/>
          </w:tcPr>
          <w:p w14:paraId="30CA84BF"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10.602</w:t>
            </w:r>
          </w:p>
        </w:tc>
        <w:tc>
          <w:tcPr>
            <w:tcW w:w="1480" w:type="dxa"/>
            <w:tcBorders>
              <w:top w:val="nil"/>
              <w:left w:val="nil"/>
              <w:bottom w:val="single" w:sz="8" w:space="0" w:color="auto"/>
              <w:right w:val="single" w:sz="8" w:space="0" w:color="auto"/>
            </w:tcBorders>
            <w:vAlign w:val="center"/>
            <w:hideMark/>
          </w:tcPr>
          <w:p w14:paraId="64536176"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PP-NRS</w:t>
            </w:r>
          </w:p>
        </w:tc>
        <w:tc>
          <w:tcPr>
            <w:tcW w:w="1560" w:type="dxa"/>
            <w:tcBorders>
              <w:top w:val="nil"/>
              <w:left w:val="nil"/>
              <w:bottom w:val="single" w:sz="8" w:space="0" w:color="auto"/>
              <w:right w:val="single" w:sz="8" w:space="0" w:color="auto"/>
            </w:tcBorders>
            <w:vAlign w:val="center"/>
            <w:hideMark/>
          </w:tcPr>
          <w:p w14:paraId="6DCED00B"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5 (4-6)</w:t>
            </w:r>
          </w:p>
        </w:tc>
        <w:tc>
          <w:tcPr>
            <w:tcW w:w="1440" w:type="dxa"/>
            <w:tcBorders>
              <w:top w:val="nil"/>
              <w:left w:val="nil"/>
              <w:bottom w:val="single" w:sz="8" w:space="0" w:color="auto"/>
              <w:right w:val="single" w:sz="8" w:space="0" w:color="auto"/>
            </w:tcBorders>
            <w:vAlign w:val="center"/>
            <w:hideMark/>
          </w:tcPr>
          <w:p w14:paraId="32103094"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871.760.052</w:t>
            </w:r>
          </w:p>
        </w:tc>
        <w:tc>
          <w:tcPr>
            <w:tcW w:w="1500" w:type="dxa"/>
            <w:tcBorders>
              <w:top w:val="nil"/>
              <w:left w:val="nil"/>
              <w:bottom w:val="single" w:sz="8" w:space="0" w:color="auto"/>
              <w:right w:val="single" w:sz="8" w:space="0" w:color="auto"/>
            </w:tcBorders>
            <w:vAlign w:val="center"/>
            <w:hideMark/>
          </w:tcPr>
          <w:p w14:paraId="32247DE6" w14:textId="77777777" w:rsidR="00DC274C" w:rsidRDefault="00DC274C" w:rsidP="00DC274C">
            <w:pPr>
              <w:jc w:val="center"/>
              <w:rPr>
                <w:rFonts w:ascii="Arial" w:hAnsi="Arial" w:cs="Arial"/>
                <w:color w:val="000000"/>
                <w:sz w:val="16"/>
                <w:szCs w:val="16"/>
              </w:rPr>
            </w:pPr>
            <w:r>
              <w:rPr>
                <w:rFonts w:ascii="Arial" w:hAnsi="Arial" w:cs="Arial"/>
                <w:color w:val="000000"/>
                <w:sz w:val="16"/>
                <w:szCs w:val="16"/>
              </w:rPr>
              <w:t>16.445</w:t>
            </w:r>
          </w:p>
        </w:tc>
      </w:tr>
    </w:tbl>
    <w:p w14:paraId="1383A364" w14:textId="77777777" w:rsidR="0057192E" w:rsidRDefault="0057192E" w:rsidP="0057192E">
      <w:pPr>
        <w:rPr>
          <w:rFonts w:ascii="Arial" w:hAnsi="Arial" w:cs="Arial"/>
          <w:color w:val="002060"/>
          <w:sz w:val="20"/>
          <w:szCs w:val="20"/>
        </w:rPr>
      </w:pPr>
    </w:p>
    <w:p w14:paraId="3C1FFAA9" w14:textId="77777777" w:rsidR="0057192E" w:rsidRDefault="0057192E" w:rsidP="0057192E">
      <w:pPr>
        <w:rPr>
          <w:rFonts w:ascii="Arial" w:hAnsi="Arial" w:cs="Arial"/>
          <w:color w:val="002060"/>
          <w:sz w:val="20"/>
          <w:szCs w:val="20"/>
        </w:rPr>
      </w:pPr>
    </w:p>
    <w:p w14:paraId="31DFFC3D" w14:textId="77777777" w:rsidR="0057192E" w:rsidRDefault="0057192E" w:rsidP="0057192E">
      <w:pPr>
        <w:rPr>
          <w:rFonts w:ascii="Arial" w:hAnsi="Arial" w:cs="Arial"/>
          <w:color w:val="002060"/>
          <w:sz w:val="20"/>
          <w:szCs w:val="20"/>
        </w:rPr>
      </w:pPr>
    </w:p>
    <w:tbl>
      <w:tblPr>
        <w:tblpPr w:leftFromText="141" w:rightFromText="141" w:vertAnchor="text" w:horzAnchor="margin" w:tblpY="-3"/>
        <w:tblW w:w="9220" w:type="dxa"/>
        <w:tblCellMar>
          <w:left w:w="70" w:type="dxa"/>
          <w:right w:w="70" w:type="dxa"/>
        </w:tblCellMar>
        <w:tblLook w:val="04A0" w:firstRow="1" w:lastRow="0" w:firstColumn="1" w:lastColumn="0" w:noHBand="0" w:noVBand="1"/>
      </w:tblPr>
      <w:tblGrid>
        <w:gridCol w:w="1520"/>
        <w:gridCol w:w="1720"/>
        <w:gridCol w:w="1480"/>
        <w:gridCol w:w="1560"/>
        <w:gridCol w:w="1440"/>
        <w:gridCol w:w="1500"/>
      </w:tblGrid>
      <w:tr w:rsidR="00DB2899" w14:paraId="3CE6B35B" w14:textId="77777777" w:rsidTr="00DB2899">
        <w:trPr>
          <w:trHeight w:val="480"/>
        </w:trPr>
        <w:tc>
          <w:tcPr>
            <w:tcW w:w="9220" w:type="dxa"/>
            <w:gridSpan w:val="6"/>
            <w:tcBorders>
              <w:top w:val="single" w:sz="8" w:space="0" w:color="auto"/>
              <w:left w:val="single" w:sz="8" w:space="0" w:color="auto"/>
              <w:bottom w:val="single" w:sz="8" w:space="0" w:color="auto"/>
              <w:right w:val="single" w:sz="8" w:space="0" w:color="000000"/>
            </w:tcBorders>
            <w:shd w:val="clear" w:color="000000" w:fill="CCFFCC"/>
            <w:vAlign w:val="center"/>
            <w:hideMark/>
          </w:tcPr>
          <w:p w14:paraId="78DC77A3" w14:textId="77777777" w:rsidR="00DB2899" w:rsidRDefault="00DB2899" w:rsidP="00DB2899">
            <w:pPr>
              <w:jc w:val="center"/>
              <w:rPr>
                <w:rFonts w:ascii="Arial" w:hAnsi="Arial" w:cs="Arial"/>
                <w:b/>
                <w:bCs/>
                <w:color w:val="000000"/>
                <w:sz w:val="20"/>
                <w:szCs w:val="20"/>
              </w:rPr>
            </w:pPr>
            <w:r>
              <w:rPr>
                <w:rFonts w:ascii="Arial" w:hAnsi="Arial" w:cs="Arial"/>
                <w:b/>
                <w:bCs/>
                <w:color w:val="000000"/>
                <w:sz w:val="20"/>
                <w:szCs w:val="20"/>
              </w:rPr>
              <w:t>Tabla 3</w:t>
            </w:r>
            <w:r w:rsidR="00A75AFF">
              <w:rPr>
                <w:rFonts w:ascii="Arial" w:hAnsi="Arial" w:cs="Arial"/>
                <w:b/>
                <w:bCs/>
                <w:color w:val="000000"/>
                <w:sz w:val="20"/>
                <w:szCs w:val="20"/>
              </w:rPr>
              <w:t>1</w:t>
            </w:r>
            <w:r>
              <w:rPr>
                <w:rFonts w:ascii="Arial" w:hAnsi="Arial" w:cs="Arial"/>
                <w:b/>
                <w:bCs/>
                <w:color w:val="000000"/>
                <w:sz w:val="20"/>
                <w:szCs w:val="20"/>
              </w:rPr>
              <w:t xml:space="preserve">. Estimación del número de pacientes </w:t>
            </w:r>
            <w:r>
              <w:rPr>
                <w:rFonts w:ascii="Arial" w:hAnsi="Arial" w:cs="Arial"/>
                <w:b/>
                <w:bCs/>
                <w:color w:val="000000"/>
                <w:sz w:val="20"/>
                <w:szCs w:val="20"/>
                <w:u w:val="single"/>
              </w:rPr>
              <w:t>adulto en &gt;1º</w:t>
            </w:r>
            <w:r>
              <w:rPr>
                <w:rFonts w:ascii="Arial" w:hAnsi="Arial" w:cs="Arial"/>
                <w:b/>
                <w:bCs/>
                <w:color w:val="000000"/>
                <w:sz w:val="20"/>
                <w:szCs w:val="20"/>
              </w:rPr>
              <w:t xml:space="preserve"> año candidatos al tratamiento a nivel nacional, coste estimado anual y unidades de eficacia anual</w:t>
            </w:r>
          </w:p>
        </w:tc>
      </w:tr>
      <w:tr w:rsidR="00DB2899" w14:paraId="295A621D" w14:textId="77777777" w:rsidTr="00DB2899">
        <w:trPr>
          <w:trHeight w:val="585"/>
        </w:trPr>
        <w:tc>
          <w:tcPr>
            <w:tcW w:w="1520" w:type="dxa"/>
            <w:tcBorders>
              <w:top w:val="nil"/>
              <w:left w:val="single" w:sz="8" w:space="0" w:color="auto"/>
              <w:bottom w:val="single" w:sz="8" w:space="0" w:color="auto"/>
              <w:right w:val="single" w:sz="8" w:space="0" w:color="auto"/>
            </w:tcBorders>
            <w:vAlign w:val="center"/>
            <w:hideMark/>
          </w:tcPr>
          <w:p w14:paraId="797B8FBC"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Nº anual de pacientes</w:t>
            </w:r>
          </w:p>
        </w:tc>
        <w:tc>
          <w:tcPr>
            <w:tcW w:w="1720" w:type="dxa"/>
            <w:tcBorders>
              <w:top w:val="nil"/>
              <w:left w:val="nil"/>
              <w:bottom w:val="single" w:sz="8" w:space="0" w:color="auto"/>
              <w:right w:val="single" w:sz="8" w:space="0" w:color="auto"/>
            </w:tcBorders>
            <w:vAlign w:val="center"/>
            <w:hideMark/>
          </w:tcPr>
          <w:p w14:paraId="14460BCC"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Coste incremental por paciente año &gt;1</w:t>
            </w:r>
          </w:p>
        </w:tc>
        <w:tc>
          <w:tcPr>
            <w:tcW w:w="1480" w:type="dxa"/>
            <w:tcBorders>
              <w:top w:val="nil"/>
              <w:left w:val="nil"/>
              <w:bottom w:val="single" w:sz="8" w:space="0" w:color="auto"/>
              <w:right w:val="single" w:sz="8" w:space="0" w:color="auto"/>
            </w:tcBorders>
            <w:vAlign w:val="center"/>
            <w:hideMark/>
          </w:tcPr>
          <w:p w14:paraId="5E3F452F"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Variable</w:t>
            </w:r>
          </w:p>
        </w:tc>
        <w:tc>
          <w:tcPr>
            <w:tcW w:w="1560" w:type="dxa"/>
            <w:tcBorders>
              <w:top w:val="nil"/>
              <w:left w:val="nil"/>
              <w:bottom w:val="single" w:sz="8" w:space="0" w:color="auto"/>
              <w:right w:val="single" w:sz="8" w:space="0" w:color="auto"/>
            </w:tcBorders>
            <w:vAlign w:val="center"/>
            <w:hideMark/>
          </w:tcPr>
          <w:p w14:paraId="3C4DFF21"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NNT</w:t>
            </w:r>
          </w:p>
        </w:tc>
        <w:tc>
          <w:tcPr>
            <w:tcW w:w="1440" w:type="dxa"/>
            <w:tcBorders>
              <w:top w:val="nil"/>
              <w:left w:val="nil"/>
              <w:bottom w:val="single" w:sz="8" w:space="0" w:color="auto"/>
              <w:right w:val="single" w:sz="8" w:space="0" w:color="auto"/>
            </w:tcBorders>
            <w:vAlign w:val="center"/>
            <w:hideMark/>
          </w:tcPr>
          <w:p w14:paraId="174173C6"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Impacto económico anual</w:t>
            </w:r>
          </w:p>
        </w:tc>
        <w:tc>
          <w:tcPr>
            <w:tcW w:w="1500" w:type="dxa"/>
            <w:tcBorders>
              <w:top w:val="nil"/>
              <w:left w:val="nil"/>
              <w:bottom w:val="single" w:sz="8" w:space="0" w:color="auto"/>
              <w:right w:val="single" w:sz="8" w:space="0" w:color="auto"/>
            </w:tcBorders>
            <w:vAlign w:val="center"/>
            <w:hideMark/>
          </w:tcPr>
          <w:p w14:paraId="45034427"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Unidades de eficacia anuales</w:t>
            </w:r>
          </w:p>
        </w:tc>
      </w:tr>
      <w:tr w:rsidR="00DB2899" w14:paraId="37A60992" w14:textId="77777777" w:rsidTr="00DB2899">
        <w:trPr>
          <w:trHeight w:val="315"/>
        </w:trPr>
        <w:tc>
          <w:tcPr>
            <w:tcW w:w="1520" w:type="dxa"/>
            <w:tcBorders>
              <w:top w:val="nil"/>
              <w:left w:val="nil"/>
              <w:bottom w:val="single" w:sz="8" w:space="0" w:color="auto"/>
              <w:right w:val="single" w:sz="8" w:space="0" w:color="auto"/>
            </w:tcBorders>
            <w:vAlign w:val="center"/>
            <w:hideMark/>
          </w:tcPr>
          <w:p w14:paraId="0B72B320"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82.226</w:t>
            </w:r>
          </w:p>
        </w:tc>
        <w:tc>
          <w:tcPr>
            <w:tcW w:w="1720" w:type="dxa"/>
            <w:tcBorders>
              <w:top w:val="nil"/>
              <w:left w:val="nil"/>
              <w:bottom w:val="single" w:sz="8" w:space="0" w:color="auto"/>
              <w:right w:val="single" w:sz="8" w:space="0" w:color="auto"/>
            </w:tcBorders>
            <w:vAlign w:val="center"/>
            <w:hideMark/>
          </w:tcPr>
          <w:p w14:paraId="4A4E9C21"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6.570</w:t>
            </w:r>
          </w:p>
        </w:tc>
        <w:tc>
          <w:tcPr>
            <w:tcW w:w="1480" w:type="dxa"/>
            <w:tcBorders>
              <w:top w:val="nil"/>
              <w:left w:val="nil"/>
              <w:bottom w:val="single" w:sz="8" w:space="0" w:color="auto"/>
              <w:right w:val="single" w:sz="8" w:space="0" w:color="auto"/>
            </w:tcBorders>
            <w:vAlign w:val="center"/>
            <w:hideMark/>
          </w:tcPr>
          <w:p w14:paraId="44C87F18"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IGA</w:t>
            </w:r>
          </w:p>
        </w:tc>
        <w:tc>
          <w:tcPr>
            <w:tcW w:w="1560" w:type="dxa"/>
            <w:tcBorders>
              <w:top w:val="nil"/>
              <w:left w:val="nil"/>
              <w:bottom w:val="single" w:sz="8" w:space="0" w:color="auto"/>
              <w:right w:val="single" w:sz="8" w:space="0" w:color="auto"/>
            </w:tcBorders>
            <w:vAlign w:val="center"/>
            <w:hideMark/>
          </w:tcPr>
          <w:p w14:paraId="5AC0A524"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9 (7-15)</w:t>
            </w:r>
          </w:p>
        </w:tc>
        <w:tc>
          <w:tcPr>
            <w:tcW w:w="1440" w:type="dxa"/>
            <w:tcBorders>
              <w:top w:val="nil"/>
              <w:left w:val="nil"/>
              <w:bottom w:val="single" w:sz="8" w:space="0" w:color="auto"/>
              <w:right w:val="single" w:sz="8" w:space="0" w:color="auto"/>
            </w:tcBorders>
            <w:vAlign w:val="center"/>
            <w:hideMark/>
          </w:tcPr>
          <w:p w14:paraId="2B8C45B9"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540.224.820</w:t>
            </w:r>
          </w:p>
        </w:tc>
        <w:tc>
          <w:tcPr>
            <w:tcW w:w="1500" w:type="dxa"/>
            <w:tcBorders>
              <w:top w:val="nil"/>
              <w:left w:val="nil"/>
              <w:bottom w:val="single" w:sz="8" w:space="0" w:color="auto"/>
              <w:right w:val="single" w:sz="8" w:space="0" w:color="auto"/>
            </w:tcBorders>
            <w:vAlign w:val="center"/>
            <w:hideMark/>
          </w:tcPr>
          <w:p w14:paraId="3F5B9669"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9.136</w:t>
            </w:r>
          </w:p>
        </w:tc>
      </w:tr>
      <w:tr w:rsidR="00DB2899" w14:paraId="50795F81" w14:textId="77777777" w:rsidTr="00DB2899">
        <w:trPr>
          <w:trHeight w:val="315"/>
        </w:trPr>
        <w:tc>
          <w:tcPr>
            <w:tcW w:w="1520" w:type="dxa"/>
            <w:tcBorders>
              <w:top w:val="nil"/>
              <w:left w:val="nil"/>
              <w:bottom w:val="single" w:sz="8" w:space="0" w:color="auto"/>
              <w:right w:val="single" w:sz="8" w:space="0" w:color="auto"/>
            </w:tcBorders>
            <w:vAlign w:val="center"/>
            <w:hideMark/>
          </w:tcPr>
          <w:p w14:paraId="77C9EE31"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82.226</w:t>
            </w:r>
          </w:p>
        </w:tc>
        <w:tc>
          <w:tcPr>
            <w:tcW w:w="1720" w:type="dxa"/>
            <w:tcBorders>
              <w:top w:val="nil"/>
              <w:left w:val="nil"/>
              <w:bottom w:val="single" w:sz="8" w:space="0" w:color="auto"/>
              <w:right w:val="single" w:sz="8" w:space="0" w:color="auto"/>
            </w:tcBorders>
            <w:vAlign w:val="center"/>
            <w:hideMark/>
          </w:tcPr>
          <w:p w14:paraId="18C3CAEF"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6.570</w:t>
            </w:r>
          </w:p>
        </w:tc>
        <w:tc>
          <w:tcPr>
            <w:tcW w:w="1480" w:type="dxa"/>
            <w:tcBorders>
              <w:top w:val="nil"/>
              <w:left w:val="nil"/>
              <w:bottom w:val="single" w:sz="8" w:space="0" w:color="auto"/>
              <w:right w:val="single" w:sz="8" w:space="0" w:color="auto"/>
            </w:tcBorders>
            <w:vAlign w:val="center"/>
            <w:hideMark/>
          </w:tcPr>
          <w:p w14:paraId="2A4CF37D"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EASI75</w:t>
            </w:r>
          </w:p>
        </w:tc>
        <w:tc>
          <w:tcPr>
            <w:tcW w:w="1560" w:type="dxa"/>
            <w:tcBorders>
              <w:top w:val="nil"/>
              <w:left w:val="nil"/>
              <w:bottom w:val="single" w:sz="8" w:space="0" w:color="auto"/>
              <w:right w:val="single" w:sz="8" w:space="0" w:color="auto"/>
            </w:tcBorders>
            <w:vAlign w:val="center"/>
            <w:hideMark/>
          </w:tcPr>
          <w:p w14:paraId="6525D2E2"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8 (6-12)</w:t>
            </w:r>
          </w:p>
        </w:tc>
        <w:tc>
          <w:tcPr>
            <w:tcW w:w="1440" w:type="dxa"/>
            <w:tcBorders>
              <w:top w:val="nil"/>
              <w:left w:val="nil"/>
              <w:bottom w:val="single" w:sz="8" w:space="0" w:color="auto"/>
              <w:right w:val="single" w:sz="8" w:space="0" w:color="auto"/>
            </w:tcBorders>
            <w:vAlign w:val="center"/>
            <w:hideMark/>
          </w:tcPr>
          <w:p w14:paraId="77180516"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540.224.820</w:t>
            </w:r>
          </w:p>
        </w:tc>
        <w:tc>
          <w:tcPr>
            <w:tcW w:w="1500" w:type="dxa"/>
            <w:tcBorders>
              <w:top w:val="nil"/>
              <w:left w:val="nil"/>
              <w:bottom w:val="single" w:sz="8" w:space="0" w:color="auto"/>
              <w:right w:val="single" w:sz="8" w:space="0" w:color="auto"/>
            </w:tcBorders>
            <w:vAlign w:val="center"/>
            <w:hideMark/>
          </w:tcPr>
          <w:p w14:paraId="6F8806CA"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10.278</w:t>
            </w:r>
          </w:p>
        </w:tc>
      </w:tr>
      <w:tr w:rsidR="00DB2899" w14:paraId="263DABA0" w14:textId="77777777" w:rsidTr="00DB2899">
        <w:trPr>
          <w:trHeight w:val="315"/>
        </w:trPr>
        <w:tc>
          <w:tcPr>
            <w:tcW w:w="1520" w:type="dxa"/>
            <w:tcBorders>
              <w:top w:val="nil"/>
              <w:left w:val="nil"/>
              <w:bottom w:val="single" w:sz="8" w:space="0" w:color="auto"/>
              <w:right w:val="single" w:sz="8" w:space="0" w:color="auto"/>
            </w:tcBorders>
            <w:vAlign w:val="center"/>
            <w:hideMark/>
          </w:tcPr>
          <w:p w14:paraId="5B51B5E6"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82.226</w:t>
            </w:r>
          </w:p>
        </w:tc>
        <w:tc>
          <w:tcPr>
            <w:tcW w:w="1720" w:type="dxa"/>
            <w:tcBorders>
              <w:top w:val="nil"/>
              <w:left w:val="nil"/>
              <w:bottom w:val="single" w:sz="8" w:space="0" w:color="auto"/>
              <w:right w:val="single" w:sz="8" w:space="0" w:color="auto"/>
            </w:tcBorders>
            <w:vAlign w:val="center"/>
            <w:hideMark/>
          </w:tcPr>
          <w:p w14:paraId="68BC10D1"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6.570</w:t>
            </w:r>
          </w:p>
        </w:tc>
        <w:tc>
          <w:tcPr>
            <w:tcW w:w="1480" w:type="dxa"/>
            <w:tcBorders>
              <w:top w:val="nil"/>
              <w:left w:val="nil"/>
              <w:bottom w:val="single" w:sz="8" w:space="0" w:color="auto"/>
              <w:right w:val="single" w:sz="8" w:space="0" w:color="auto"/>
            </w:tcBorders>
            <w:vAlign w:val="center"/>
            <w:hideMark/>
          </w:tcPr>
          <w:p w14:paraId="11DE2115"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PP-NRS</w:t>
            </w:r>
          </w:p>
        </w:tc>
        <w:tc>
          <w:tcPr>
            <w:tcW w:w="1560" w:type="dxa"/>
            <w:tcBorders>
              <w:top w:val="nil"/>
              <w:left w:val="nil"/>
              <w:bottom w:val="single" w:sz="8" w:space="0" w:color="auto"/>
              <w:right w:val="single" w:sz="8" w:space="0" w:color="auto"/>
            </w:tcBorders>
            <w:vAlign w:val="center"/>
            <w:hideMark/>
          </w:tcPr>
          <w:p w14:paraId="11A7DF79"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5 (4-6)</w:t>
            </w:r>
          </w:p>
        </w:tc>
        <w:tc>
          <w:tcPr>
            <w:tcW w:w="1440" w:type="dxa"/>
            <w:tcBorders>
              <w:top w:val="nil"/>
              <w:left w:val="nil"/>
              <w:bottom w:val="single" w:sz="8" w:space="0" w:color="auto"/>
              <w:right w:val="single" w:sz="8" w:space="0" w:color="auto"/>
            </w:tcBorders>
            <w:vAlign w:val="center"/>
            <w:hideMark/>
          </w:tcPr>
          <w:p w14:paraId="7034EB50"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540.224.820</w:t>
            </w:r>
          </w:p>
        </w:tc>
        <w:tc>
          <w:tcPr>
            <w:tcW w:w="1500" w:type="dxa"/>
            <w:tcBorders>
              <w:top w:val="nil"/>
              <w:left w:val="nil"/>
              <w:bottom w:val="single" w:sz="8" w:space="0" w:color="auto"/>
              <w:right w:val="single" w:sz="8" w:space="0" w:color="auto"/>
            </w:tcBorders>
            <w:vAlign w:val="center"/>
            <w:hideMark/>
          </w:tcPr>
          <w:p w14:paraId="39344B68"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16.445</w:t>
            </w:r>
          </w:p>
        </w:tc>
      </w:tr>
    </w:tbl>
    <w:p w14:paraId="26EDE09C" w14:textId="77777777" w:rsidR="0057192E" w:rsidRDefault="0057192E" w:rsidP="0057192E">
      <w:pPr>
        <w:rPr>
          <w:rFonts w:ascii="Arial" w:hAnsi="Arial" w:cs="Arial"/>
          <w:color w:val="002060"/>
          <w:sz w:val="20"/>
          <w:szCs w:val="20"/>
        </w:rPr>
      </w:pPr>
    </w:p>
    <w:tbl>
      <w:tblPr>
        <w:tblpPr w:leftFromText="141" w:rightFromText="141" w:vertAnchor="text" w:horzAnchor="margin" w:tblpY="80"/>
        <w:tblW w:w="9239" w:type="dxa"/>
        <w:tblCellMar>
          <w:left w:w="70" w:type="dxa"/>
          <w:right w:w="70" w:type="dxa"/>
        </w:tblCellMar>
        <w:tblLook w:val="04A0" w:firstRow="1" w:lastRow="0" w:firstColumn="1" w:lastColumn="0" w:noHBand="0" w:noVBand="1"/>
      </w:tblPr>
      <w:tblGrid>
        <w:gridCol w:w="1448"/>
        <w:gridCol w:w="1379"/>
        <w:gridCol w:w="1379"/>
        <w:gridCol w:w="1379"/>
        <w:gridCol w:w="1379"/>
        <w:gridCol w:w="2275"/>
      </w:tblGrid>
      <w:tr w:rsidR="00DB2899" w14:paraId="22EE5499" w14:textId="77777777" w:rsidTr="00DB2899">
        <w:trPr>
          <w:trHeight w:val="494"/>
        </w:trPr>
        <w:tc>
          <w:tcPr>
            <w:tcW w:w="9239" w:type="dxa"/>
            <w:gridSpan w:val="6"/>
            <w:tcBorders>
              <w:top w:val="single" w:sz="8" w:space="0" w:color="auto"/>
              <w:left w:val="single" w:sz="8" w:space="0" w:color="auto"/>
              <w:bottom w:val="single" w:sz="8" w:space="0" w:color="auto"/>
              <w:right w:val="single" w:sz="8" w:space="0" w:color="000000"/>
            </w:tcBorders>
            <w:shd w:val="clear" w:color="000000" w:fill="CCFFCC"/>
            <w:vAlign w:val="center"/>
            <w:hideMark/>
          </w:tcPr>
          <w:p w14:paraId="0ECE7F17" w14:textId="77777777" w:rsidR="00DB2899" w:rsidRDefault="00DB2899" w:rsidP="00DB2899">
            <w:pPr>
              <w:jc w:val="center"/>
              <w:rPr>
                <w:rFonts w:ascii="Arial" w:hAnsi="Arial" w:cs="Arial"/>
                <w:b/>
                <w:bCs/>
                <w:color w:val="000000"/>
                <w:sz w:val="20"/>
                <w:szCs w:val="20"/>
              </w:rPr>
            </w:pPr>
            <w:r>
              <w:rPr>
                <w:rFonts w:ascii="Arial" w:hAnsi="Arial" w:cs="Arial"/>
                <w:b/>
                <w:bCs/>
                <w:color w:val="000000"/>
                <w:sz w:val="20"/>
                <w:szCs w:val="20"/>
              </w:rPr>
              <w:t>Tabla 3</w:t>
            </w:r>
            <w:r w:rsidR="00A75AFF">
              <w:rPr>
                <w:rFonts w:ascii="Arial" w:hAnsi="Arial" w:cs="Arial"/>
                <w:b/>
                <w:bCs/>
                <w:color w:val="000000"/>
                <w:sz w:val="20"/>
                <w:szCs w:val="20"/>
              </w:rPr>
              <w:t>2</w:t>
            </w:r>
            <w:r>
              <w:rPr>
                <w:rFonts w:ascii="Arial" w:hAnsi="Arial" w:cs="Arial"/>
                <w:b/>
                <w:bCs/>
                <w:color w:val="000000"/>
                <w:sz w:val="20"/>
                <w:szCs w:val="20"/>
              </w:rPr>
              <w:t xml:space="preserve">. Estimación del número de pacientes </w:t>
            </w:r>
            <w:r>
              <w:rPr>
                <w:rFonts w:ascii="Arial" w:hAnsi="Arial" w:cs="Arial"/>
                <w:b/>
                <w:bCs/>
                <w:color w:val="000000"/>
                <w:sz w:val="20"/>
                <w:szCs w:val="20"/>
                <w:u w:val="single"/>
              </w:rPr>
              <w:t>adolescentes en el 1º</w:t>
            </w:r>
            <w:r>
              <w:rPr>
                <w:rFonts w:ascii="Arial" w:hAnsi="Arial" w:cs="Arial"/>
                <w:b/>
                <w:bCs/>
                <w:color w:val="000000"/>
                <w:sz w:val="20"/>
                <w:szCs w:val="20"/>
              </w:rPr>
              <w:t xml:space="preserve"> año candidatos al tratamiento a nivel nacional, coste estimado anual y unidades de eficacia anual</w:t>
            </w:r>
          </w:p>
        </w:tc>
      </w:tr>
      <w:tr w:rsidR="00DB2899" w14:paraId="5012EECE" w14:textId="77777777" w:rsidTr="00DB2899">
        <w:trPr>
          <w:trHeight w:val="628"/>
        </w:trPr>
        <w:tc>
          <w:tcPr>
            <w:tcW w:w="1448" w:type="dxa"/>
            <w:tcBorders>
              <w:top w:val="nil"/>
              <w:left w:val="single" w:sz="8" w:space="0" w:color="auto"/>
              <w:bottom w:val="single" w:sz="8" w:space="0" w:color="auto"/>
              <w:right w:val="single" w:sz="8" w:space="0" w:color="auto"/>
            </w:tcBorders>
            <w:vAlign w:val="center"/>
            <w:hideMark/>
          </w:tcPr>
          <w:p w14:paraId="2C3030C0"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Nº anual de pacientes</w:t>
            </w:r>
          </w:p>
        </w:tc>
        <w:tc>
          <w:tcPr>
            <w:tcW w:w="1379" w:type="dxa"/>
            <w:tcBorders>
              <w:top w:val="nil"/>
              <w:left w:val="nil"/>
              <w:bottom w:val="single" w:sz="8" w:space="0" w:color="auto"/>
              <w:right w:val="single" w:sz="8" w:space="0" w:color="auto"/>
            </w:tcBorders>
            <w:vAlign w:val="center"/>
            <w:hideMark/>
          </w:tcPr>
          <w:p w14:paraId="4FCAEDF2"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Coste incremental por paciente año 1</w:t>
            </w:r>
          </w:p>
        </w:tc>
        <w:tc>
          <w:tcPr>
            <w:tcW w:w="1379" w:type="dxa"/>
            <w:tcBorders>
              <w:top w:val="nil"/>
              <w:left w:val="nil"/>
              <w:bottom w:val="single" w:sz="8" w:space="0" w:color="auto"/>
              <w:right w:val="single" w:sz="8" w:space="0" w:color="auto"/>
            </w:tcBorders>
            <w:vAlign w:val="center"/>
            <w:hideMark/>
          </w:tcPr>
          <w:p w14:paraId="37173F98"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Variable</w:t>
            </w:r>
          </w:p>
        </w:tc>
        <w:tc>
          <w:tcPr>
            <w:tcW w:w="1379" w:type="dxa"/>
            <w:tcBorders>
              <w:top w:val="nil"/>
              <w:left w:val="nil"/>
              <w:bottom w:val="single" w:sz="8" w:space="0" w:color="auto"/>
              <w:right w:val="single" w:sz="8" w:space="0" w:color="auto"/>
            </w:tcBorders>
            <w:vAlign w:val="center"/>
            <w:hideMark/>
          </w:tcPr>
          <w:p w14:paraId="11EF8C87"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NNT</w:t>
            </w:r>
          </w:p>
        </w:tc>
        <w:tc>
          <w:tcPr>
            <w:tcW w:w="1379" w:type="dxa"/>
            <w:tcBorders>
              <w:top w:val="nil"/>
              <w:left w:val="nil"/>
              <w:bottom w:val="single" w:sz="8" w:space="0" w:color="auto"/>
              <w:right w:val="single" w:sz="8" w:space="0" w:color="auto"/>
            </w:tcBorders>
            <w:vAlign w:val="center"/>
            <w:hideMark/>
          </w:tcPr>
          <w:p w14:paraId="2DEED682"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Impacto económico anual</w:t>
            </w:r>
          </w:p>
        </w:tc>
        <w:tc>
          <w:tcPr>
            <w:tcW w:w="2275" w:type="dxa"/>
            <w:tcBorders>
              <w:top w:val="nil"/>
              <w:left w:val="nil"/>
              <w:bottom w:val="single" w:sz="8" w:space="0" w:color="auto"/>
              <w:right w:val="single" w:sz="8" w:space="0" w:color="auto"/>
            </w:tcBorders>
            <w:vAlign w:val="center"/>
            <w:hideMark/>
          </w:tcPr>
          <w:p w14:paraId="3EA80D4C"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Unidades de eficacia anuales</w:t>
            </w:r>
          </w:p>
        </w:tc>
      </w:tr>
      <w:tr w:rsidR="00DB2899" w14:paraId="56F5BE7D" w14:textId="77777777" w:rsidTr="00DB2899">
        <w:trPr>
          <w:trHeight w:val="216"/>
        </w:trPr>
        <w:tc>
          <w:tcPr>
            <w:tcW w:w="1448" w:type="dxa"/>
            <w:tcBorders>
              <w:top w:val="nil"/>
              <w:left w:val="single" w:sz="8" w:space="0" w:color="auto"/>
              <w:bottom w:val="single" w:sz="8" w:space="0" w:color="auto"/>
              <w:right w:val="single" w:sz="8" w:space="0" w:color="auto"/>
            </w:tcBorders>
            <w:vAlign w:val="center"/>
            <w:hideMark/>
          </w:tcPr>
          <w:p w14:paraId="016038A5"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6.170</w:t>
            </w:r>
          </w:p>
        </w:tc>
        <w:tc>
          <w:tcPr>
            <w:tcW w:w="1379" w:type="dxa"/>
            <w:tcBorders>
              <w:top w:val="nil"/>
              <w:left w:val="nil"/>
              <w:bottom w:val="single" w:sz="8" w:space="0" w:color="auto"/>
              <w:right w:val="single" w:sz="8" w:space="0" w:color="auto"/>
            </w:tcBorders>
            <w:vAlign w:val="center"/>
            <w:hideMark/>
          </w:tcPr>
          <w:p w14:paraId="6369C351"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10.602</w:t>
            </w:r>
          </w:p>
        </w:tc>
        <w:tc>
          <w:tcPr>
            <w:tcW w:w="1379" w:type="dxa"/>
            <w:tcBorders>
              <w:top w:val="nil"/>
              <w:left w:val="nil"/>
              <w:bottom w:val="single" w:sz="8" w:space="0" w:color="auto"/>
              <w:right w:val="single" w:sz="8" w:space="0" w:color="auto"/>
            </w:tcBorders>
            <w:vAlign w:val="center"/>
            <w:hideMark/>
          </w:tcPr>
          <w:p w14:paraId="6B76EF2A"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IGA</w:t>
            </w:r>
          </w:p>
        </w:tc>
        <w:tc>
          <w:tcPr>
            <w:tcW w:w="1379" w:type="dxa"/>
            <w:tcBorders>
              <w:top w:val="nil"/>
              <w:left w:val="nil"/>
              <w:bottom w:val="single" w:sz="8" w:space="0" w:color="auto"/>
              <w:right w:val="single" w:sz="8" w:space="0" w:color="auto"/>
            </w:tcBorders>
            <w:vAlign w:val="center"/>
            <w:hideMark/>
          </w:tcPr>
          <w:p w14:paraId="4CC20369"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9 (7-15)</w:t>
            </w:r>
          </w:p>
        </w:tc>
        <w:tc>
          <w:tcPr>
            <w:tcW w:w="1379" w:type="dxa"/>
            <w:tcBorders>
              <w:top w:val="nil"/>
              <w:left w:val="nil"/>
              <w:bottom w:val="single" w:sz="8" w:space="0" w:color="auto"/>
              <w:right w:val="single" w:sz="8" w:space="0" w:color="auto"/>
            </w:tcBorders>
            <w:vAlign w:val="center"/>
            <w:hideMark/>
          </w:tcPr>
          <w:p w14:paraId="4A09B560"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65.414.340</w:t>
            </w:r>
          </w:p>
        </w:tc>
        <w:tc>
          <w:tcPr>
            <w:tcW w:w="2275" w:type="dxa"/>
            <w:tcBorders>
              <w:top w:val="nil"/>
              <w:left w:val="nil"/>
              <w:bottom w:val="single" w:sz="8" w:space="0" w:color="auto"/>
              <w:right w:val="single" w:sz="8" w:space="0" w:color="auto"/>
            </w:tcBorders>
            <w:vAlign w:val="center"/>
            <w:hideMark/>
          </w:tcPr>
          <w:p w14:paraId="718002BB"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686</w:t>
            </w:r>
          </w:p>
        </w:tc>
      </w:tr>
      <w:tr w:rsidR="00DB2899" w14:paraId="069FA120" w14:textId="77777777" w:rsidTr="00DB2899">
        <w:trPr>
          <w:trHeight w:val="216"/>
        </w:trPr>
        <w:tc>
          <w:tcPr>
            <w:tcW w:w="1448" w:type="dxa"/>
            <w:tcBorders>
              <w:top w:val="nil"/>
              <w:left w:val="single" w:sz="8" w:space="0" w:color="auto"/>
              <w:bottom w:val="single" w:sz="8" w:space="0" w:color="auto"/>
              <w:right w:val="single" w:sz="8" w:space="0" w:color="auto"/>
            </w:tcBorders>
            <w:vAlign w:val="center"/>
            <w:hideMark/>
          </w:tcPr>
          <w:p w14:paraId="2C99934F"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6.170</w:t>
            </w:r>
          </w:p>
        </w:tc>
        <w:tc>
          <w:tcPr>
            <w:tcW w:w="1379" w:type="dxa"/>
            <w:tcBorders>
              <w:top w:val="nil"/>
              <w:left w:val="nil"/>
              <w:bottom w:val="single" w:sz="8" w:space="0" w:color="auto"/>
              <w:right w:val="single" w:sz="8" w:space="0" w:color="auto"/>
            </w:tcBorders>
            <w:vAlign w:val="center"/>
            <w:hideMark/>
          </w:tcPr>
          <w:p w14:paraId="1AB505A2"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10.602</w:t>
            </w:r>
          </w:p>
        </w:tc>
        <w:tc>
          <w:tcPr>
            <w:tcW w:w="1379" w:type="dxa"/>
            <w:tcBorders>
              <w:top w:val="nil"/>
              <w:left w:val="nil"/>
              <w:bottom w:val="single" w:sz="8" w:space="0" w:color="auto"/>
              <w:right w:val="single" w:sz="8" w:space="0" w:color="auto"/>
            </w:tcBorders>
            <w:vAlign w:val="center"/>
            <w:hideMark/>
          </w:tcPr>
          <w:p w14:paraId="2DA5D9B7"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EASI75</w:t>
            </w:r>
          </w:p>
        </w:tc>
        <w:tc>
          <w:tcPr>
            <w:tcW w:w="1379" w:type="dxa"/>
            <w:tcBorders>
              <w:top w:val="nil"/>
              <w:left w:val="nil"/>
              <w:bottom w:val="single" w:sz="8" w:space="0" w:color="auto"/>
              <w:right w:val="single" w:sz="8" w:space="0" w:color="auto"/>
            </w:tcBorders>
            <w:vAlign w:val="center"/>
            <w:hideMark/>
          </w:tcPr>
          <w:p w14:paraId="4E9E0E5B"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8 (6-12)</w:t>
            </w:r>
          </w:p>
        </w:tc>
        <w:tc>
          <w:tcPr>
            <w:tcW w:w="1379" w:type="dxa"/>
            <w:tcBorders>
              <w:top w:val="nil"/>
              <w:left w:val="nil"/>
              <w:bottom w:val="single" w:sz="8" w:space="0" w:color="auto"/>
              <w:right w:val="single" w:sz="8" w:space="0" w:color="auto"/>
            </w:tcBorders>
            <w:vAlign w:val="center"/>
            <w:hideMark/>
          </w:tcPr>
          <w:p w14:paraId="2099A0D6"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65.414.340</w:t>
            </w:r>
          </w:p>
        </w:tc>
        <w:tc>
          <w:tcPr>
            <w:tcW w:w="2275" w:type="dxa"/>
            <w:tcBorders>
              <w:top w:val="nil"/>
              <w:left w:val="nil"/>
              <w:bottom w:val="single" w:sz="8" w:space="0" w:color="auto"/>
              <w:right w:val="single" w:sz="8" w:space="0" w:color="auto"/>
            </w:tcBorders>
            <w:vAlign w:val="center"/>
            <w:hideMark/>
          </w:tcPr>
          <w:p w14:paraId="40BBFB2C"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771</w:t>
            </w:r>
          </w:p>
        </w:tc>
      </w:tr>
      <w:tr w:rsidR="00DB2899" w14:paraId="08682F69" w14:textId="77777777" w:rsidTr="00DB2899">
        <w:trPr>
          <w:trHeight w:val="216"/>
        </w:trPr>
        <w:tc>
          <w:tcPr>
            <w:tcW w:w="1448" w:type="dxa"/>
            <w:tcBorders>
              <w:top w:val="nil"/>
              <w:left w:val="single" w:sz="8" w:space="0" w:color="auto"/>
              <w:bottom w:val="single" w:sz="8" w:space="0" w:color="auto"/>
              <w:right w:val="single" w:sz="8" w:space="0" w:color="auto"/>
            </w:tcBorders>
            <w:vAlign w:val="center"/>
            <w:hideMark/>
          </w:tcPr>
          <w:p w14:paraId="34F50FCF"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6.170</w:t>
            </w:r>
          </w:p>
        </w:tc>
        <w:tc>
          <w:tcPr>
            <w:tcW w:w="1379" w:type="dxa"/>
            <w:tcBorders>
              <w:top w:val="nil"/>
              <w:left w:val="nil"/>
              <w:bottom w:val="single" w:sz="8" w:space="0" w:color="auto"/>
              <w:right w:val="single" w:sz="8" w:space="0" w:color="auto"/>
            </w:tcBorders>
            <w:vAlign w:val="center"/>
            <w:hideMark/>
          </w:tcPr>
          <w:p w14:paraId="386C411B"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10.602</w:t>
            </w:r>
          </w:p>
        </w:tc>
        <w:tc>
          <w:tcPr>
            <w:tcW w:w="1379" w:type="dxa"/>
            <w:tcBorders>
              <w:top w:val="nil"/>
              <w:left w:val="nil"/>
              <w:bottom w:val="single" w:sz="8" w:space="0" w:color="auto"/>
              <w:right w:val="single" w:sz="8" w:space="0" w:color="auto"/>
            </w:tcBorders>
            <w:vAlign w:val="center"/>
            <w:hideMark/>
          </w:tcPr>
          <w:p w14:paraId="2C0A7889"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PP-NRS</w:t>
            </w:r>
          </w:p>
        </w:tc>
        <w:tc>
          <w:tcPr>
            <w:tcW w:w="1379" w:type="dxa"/>
            <w:tcBorders>
              <w:top w:val="nil"/>
              <w:left w:val="nil"/>
              <w:bottom w:val="single" w:sz="8" w:space="0" w:color="auto"/>
              <w:right w:val="single" w:sz="8" w:space="0" w:color="auto"/>
            </w:tcBorders>
            <w:vAlign w:val="center"/>
            <w:hideMark/>
          </w:tcPr>
          <w:p w14:paraId="28BEDD70"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5 (4-6)</w:t>
            </w:r>
          </w:p>
        </w:tc>
        <w:tc>
          <w:tcPr>
            <w:tcW w:w="1379" w:type="dxa"/>
            <w:tcBorders>
              <w:top w:val="nil"/>
              <w:left w:val="nil"/>
              <w:bottom w:val="single" w:sz="8" w:space="0" w:color="auto"/>
              <w:right w:val="single" w:sz="8" w:space="0" w:color="auto"/>
            </w:tcBorders>
            <w:vAlign w:val="center"/>
            <w:hideMark/>
          </w:tcPr>
          <w:p w14:paraId="3D41D7F9"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65.414.340</w:t>
            </w:r>
          </w:p>
        </w:tc>
        <w:tc>
          <w:tcPr>
            <w:tcW w:w="2275" w:type="dxa"/>
            <w:tcBorders>
              <w:top w:val="nil"/>
              <w:left w:val="nil"/>
              <w:bottom w:val="single" w:sz="8" w:space="0" w:color="auto"/>
              <w:right w:val="single" w:sz="8" w:space="0" w:color="auto"/>
            </w:tcBorders>
            <w:vAlign w:val="center"/>
            <w:hideMark/>
          </w:tcPr>
          <w:p w14:paraId="22072D79"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1.234</w:t>
            </w:r>
          </w:p>
        </w:tc>
      </w:tr>
    </w:tbl>
    <w:p w14:paraId="1FEF8851" w14:textId="77777777" w:rsidR="0057192E" w:rsidRDefault="0057192E" w:rsidP="0057192E">
      <w:pPr>
        <w:rPr>
          <w:rFonts w:ascii="Arial" w:hAnsi="Arial" w:cs="Arial"/>
          <w:color w:val="002060"/>
          <w:sz w:val="20"/>
          <w:szCs w:val="20"/>
        </w:rPr>
      </w:pPr>
    </w:p>
    <w:tbl>
      <w:tblPr>
        <w:tblpPr w:leftFromText="141" w:rightFromText="141" w:vertAnchor="text" w:horzAnchor="margin" w:tblpYSpec="outside"/>
        <w:tblW w:w="9224" w:type="dxa"/>
        <w:tblCellMar>
          <w:left w:w="70" w:type="dxa"/>
          <w:right w:w="70" w:type="dxa"/>
        </w:tblCellMar>
        <w:tblLook w:val="04A0" w:firstRow="1" w:lastRow="0" w:firstColumn="1" w:lastColumn="0" w:noHBand="0" w:noVBand="1"/>
      </w:tblPr>
      <w:tblGrid>
        <w:gridCol w:w="1445"/>
        <w:gridCol w:w="1376"/>
        <w:gridCol w:w="1376"/>
        <w:gridCol w:w="1376"/>
        <w:gridCol w:w="1376"/>
        <w:gridCol w:w="2275"/>
      </w:tblGrid>
      <w:tr w:rsidR="00DB2899" w14:paraId="08D9EE68" w14:textId="77777777" w:rsidTr="00DB2899">
        <w:trPr>
          <w:trHeight w:val="384"/>
        </w:trPr>
        <w:tc>
          <w:tcPr>
            <w:tcW w:w="9224" w:type="dxa"/>
            <w:gridSpan w:val="6"/>
            <w:tcBorders>
              <w:top w:val="single" w:sz="8" w:space="0" w:color="auto"/>
              <w:left w:val="single" w:sz="8" w:space="0" w:color="auto"/>
              <w:bottom w:val="single" w:sz="8" w:space="0" w:color="auto"/>
              <w:right w:val="single" w:sz="8" w:space="0" w:color="000000"/>
            </w:tcBorders>
            <w:shd w:val="clear" w:color="000000" w:fill="CCFFCC"/>
            <w:vAlign w:val="center"/>
            <w:hideMark/>
          </w:tcPr>
          <w:p w14:paraId="434D559B" w14:textId="77777777" w:rsidR="00DB2899" w:rsidRDefault="00DB2899" w:rsidP="00DB2899">
            <w:pPr>
              <w:jc w:val="center"/>
              <w:rPr>
                <w:rFonts w:ascii="Arial" w:hAnsi="Arial" w:cs="Arial"/>
                <w:b/>
                <w:bCs/>
                <w:color w:val="000000"/>
                <w:sz w:val="20"/>
                <w:szCs w:val="20"/>
              </w:rPr>
            </w:pPr>
            <w:r>
              <w:rPr>
                <w:rFonts w:ascii="Arial" w:hAnsi="Arial" w:cs="Arial"/>
                <w:b/>
                <w:bCs/>
                <w:color w:val="000000"/>
                <w:sz w:val="20"/>
                <w:szCs w:val="20"/>
              </w:rPr>
              <w:t>Tabla 3</w:t>
            </w:r>
            <w:r w:rsidR="00A75AFF">
              <w:rPr>
                <w:rFonts w:ascii="Arial" w:hAnsi="Arial" w:cs="Arial"/>
                <w:b/>
                <w:bCs/>
                <w:color w:val="000000"/>
                <w:sz w:val="20"/>
                <w:szCs w:val="20"/>
              </w:rPr>
              <w:t>3</w:t>
            </w:r>
            <w:r>
              <w:rPr>
                <w:rFonts w:ascii="Arial" w:hAnsi="Arial" w:cs="Arial"/>
                <w:b/>
                <w:bCs/>
                <w:color w:val="000000"/>
                <w:sz w:val="20"/>
                <w:szCs w:val="20"/>
              </w:rPr>
              <w:t xml:space="preserve">. Estimación del número de pacientes </w:t>
            </w:r>
            <w:r>
              <w:rPr>
                <w:rFonts w:ascii="Arial" w:hAnsi="Arial" w:cs="Arial"/>
                <w:b/>
                <w:bCs/>
                <w:color w:val="000000"/>
                <w:sz w:val="20"/>
                <w:szCs w:val="20"/>
                <w:u w:val="single"/>
              </w:rPr>
              <w:t>adolescente en el &gt;1º</w:t>
            </w:r>
            <w:r>
              <w:rPr>
                <w:rFonts w:ascii="Arial" w:hAnsi="Arial" w:cs="Arial"/>
                <w:b/>
                <w:bCs/>
                <w:color w:val="000000"/>
                <w:sz w:val="20"/>
                <w:szCs w:val="20"/>
              </w:rPr>
              <w:t xml:space="preserve"> año candidatos al tratamiento a nivel nacional, coste estimado anual y unidades de eficacia anual</w:t>
            </w:r>
          </w:p>
        </w:tc>
      </w:tr>
      <w:tr w:rsidR="00DB2899" w14:paraId="0A3E8249" w14:textId="77777777" w:rsidTr="00DB2899">
        <w:trPr>
          <w:trHeight w:val="468"/>
        </w:trPr>
        <w:tc>
          <w:tcPr>
            <w:tcW w:w="1445" w:type="dxa"/>
            <w:tcBorders>
              <w:top w:val="nil"/>
              <w:left w:val="single" w:sz="8" w:space="0" w:color="auto"/>
              <w:bottom w:val="nil"/>
              <w:right w:val="single" w:sz="8" w:space="0" w:color="auto"/>
            </w:tcBorders>
            <w:vAlign w:val="center"/>
            <w:hideMark/>
          </w:tcPr>
          <w:p w14:paraId="2B9BD01E"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Nº anual de pacientes</w:t>
            </w:r>
          </w:p>
        </w:tc>
        <w:tc>
          <w:tcPr>
            <w:tcW w:w="1376" w:type="dxa"/>
            <w:tcBorders>
              <w:top w:val="nil"/>
              <w:left w:val="nil"/>
              <w:bottom w:val="single" w:sz="8" w:space="0" w:color="auto"/>
              <w:right w:val="single" w:sz="8" w:space="0" w:color="auto"/>
            </w:tcBorders>
            <w:vAlign w:val="center"/>
            <w:hideMark/>
          </w:tcPr>
          <w:p w14:paraId="138BDB8E"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Coste incremental por paciente año &gt;1</w:t>
            </w:r>
          </w:p>
        </w:tc>
        <w:tc>
          <w:tcPr>
            <w:tcW w:w="1376" w:type="dxa"/>
            <w:tcBorders>
              <w:top w:val="nil"/>
              <w:left w:val="nil"/>
              <w:bottom w:val="single" w:sz="8" w:space="0" w:color="auto"/>
              <w:right w:val="single" w:sz="8" w:space="0" w:color="auto"/>
            </w:tcBorders>
            <w:vAlign w:val="center"/>
            <w:hideMark/>
          </w:tcPr>
          <w:p w14:paraId="77728317"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Variable</w:t>
            </w:r>
          </w:p>
        </w:tc>
        <w:tc>
          <w:tcPr>
            <w:tcW w:w="1376" w:type="dxa"/>
            <w:tcBorders>
              <w:top w:val="nil"/>
              <w:left w:val="nil"/>
              <w:bottom w:val="single" w:sz="8" w:space="0" w:color="auto"/>
              <w:right w:val="single" w:sz="8" w:space="0" w:color="auto"/>
            </w:tcBorders>
            <w:vAlign w:val="center"/>
            <w:hideMark/>
          </w:tcPr>
          <w:p w14:paraId="7F1C0582"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NNT</w:t>
            </w:r>
          </w:p>
        </w:tc>
        <w:tc>
          <w:tcPr>
            <w:tcW w:w="1376" w:type="dxa"/>
            <w:tcBorders>
              <w:top w:val="nil"/>
              <w:left w:val="nil"/>
              <w:bottom w:val="single" w:sz="8" w:space="0" w:color="auto"/>
              <w:right w:val="single" w:sz="8" w:space="0" w:color="auto"/>
            </w:tcBorders>
            <w:vAlign w:val="center"/>
            <w:hideMark/>
          </w:tcPr>
          <w:p w14:paraId="710C4BAD"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Impacto económico anual</w:t>
            </w:r>
          </w:p>
        </w:tc>
        <w:tc>
          <w:tcPr>
            <w:tcW w:w="2275" w:type="dxa"/>
            <w:tcBorders>
              <w:top w:val="nil"/>
              <w:left w:val="nil"/>
              <w:bottom w:val="single" w:sz="8" w:space="0" w:color="auto"/>
              <w:right w:val="single" w:sz="8" w:space="0" w:color="auto"/>
            </w:tcBorders>
            <w:vAlign w:val="center"/>
            <w:hideMark/>
          </w:tcPr>
          <w:p w14:paraId="7FC02AFF"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Unidades de eficacia anuales</w:t>
            </w:r>
          </w:p>
        </w:tc>
      </w:tr>
      <w:tr w:rsidR="00DB2899" w14:paraId="3FA64C82" w14:textId="77777777" w:rsidTr="00DB2899">
        <w:trPr>
          <w:trHeight w:val="252"/>
        </w:trPr>
        <w:tc>
          <w:tcPr>
            <w:tcW w:w="1445" w:type="dxa"/>
            <w:tcBorders>
              <w:top w:val="single" w:sz="8" w:space="0" w:color="auto"/>
              <w:left w:val="single" w:sz="8" w:space="0" w:color="auto"/>
              <w:bottom w:val="single" w:sz="8" w:space="0" w:color="auto"/>
              <w:right w:val="single" w:sz="8" w:space="0" w:color="auto"/>
            </w:tcBorders>
            <w:vAlign w:val="center"/>
            <w:hideMark/>
          </w:tcPr>
          <w:p w14:paraId="1B18D18F"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6.170</w:t>
            </w:r>
          </w:p>
        </w:tc>
        <w:tc>
          <w:tcPr>
            <w:tcW w:w="1376" w:type="dxa"/>
            <w:tcBorders>
              <w:top w:val="nil"/>
              <w:left w:val="nil"/>
              <w:bottom w:val="single" w:sz="8" w:space="0" w:color="auto"/>
              <w:right w:val="single" w:sz="8" w:space="0" w:color="auto"/>
            </w:tcBorders>
            <w:vAlign w:val="center"/>
            <w:hideMark/>
          </w:tcPr>
          <w:p w14:paraId="222C26C7"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6.570</w:t>
            </w:r>
          </w:p>
        </w:tc>
        <w:tc>
          <w:tcPr>
            <w:tcW w:w="1376" w:type="dxa"/>
            <w:tcBorders>
              <w:top w:val="nil"/>
              <w:left w:val="nil"/>
              <w:bottom w:val="single" w:sz="8" w:space="0" w:color="auto"/>
              <w:right w:val="single" w:sz="8" w:space="0" w:color="auto"/>
            </w:tcBorders>
            <w:vAlign w:val="center"/>
            <w:hideMark/>
          </w:tcPr>
          <w:p w14:paraId="12D8733E"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IGA</w:t>
            </w:r>
          </w:p>
        </w:tc>
        <w:tc>
          <w:tcPr>
            <w:tcW w:w="1376" w:type="dxa"/>
            <w:tcBorders>
              <w:top w:val="nil"/>
              <w:left w:val="nil"/>
              <w:bottom w:val="single" w:sz="8" w:space="0" w:color="auto"/>
              <w:right w:val="single" w:sz="8" w:space="0" w:color="auto"/>
            </w:tcBorders>
            <w:vAlign w:val="center"/>
            <w:hideMark/>
          </w:tcPr>
          <w:p w14:paraId="14C9C7ED"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9 (7-15)</w:t>
            </w:r>
          </w:p>
        </w:tc>
        <w:tc>
          <w:tcPr>
            <w:tcW w:w="1376" w:type="dxa"/>
            <w:tcBorders>
              <w:top w:val="nil"/>
              <w:left w:val="nil"/>
              <w:bottom w:val="single" w:sz="8" w:space="0" w:color="auto"/>
              <w:right w:val="single" w:sz="8" w:space="0" w:color="auto"/>
            </w:tcBorders>
            <w:vAlign w:val="center"/>
            <w:hideMark/>
          </w:tcPr>
          <w:p w14:paraId="1C077DA1"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40.536.900</w:t>
            </w:r>
          </w:p>
        </w:tc>
        <w:tc>
          <w:tcPr>
            <w:tcW w:w="2275" w:type="dxa"/>
            <w:tcBorders>
              <w:top w:val="nil"/>
              <w:left w:val="nil"/>
              <w:bottom w:val="single" w:sz="8" w:space="0" w:color="auto"/>
              <w:right w:val="single" w:sz="8" w:space="0" w:color="auto"/>
            </w:tcBorders>
            <w:vAlign w:val="center"/>
            <w:hideMark/>
          </w:tcPr>
          <w:p w14:paraId="666B5B9C"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686</w:t>
            </w:r>
          </w:p>
        </w:tc>
      </w:tr>
      <w:tr w:rsidR="00DB2899" w14:paraId="5A36A726" w14:textId="77777777" w:rsidTr="00DB2899">
        <w:trPr>
          <w:trHeight w:val="252"/>
        </w:trPr>
        <w:tc>
          <w:tcPr>
            <w:tcW w:w="1445" w:type="dxa"/>
            <w:tcBorders>
              <w:top w:val="nil"/>
              <w:left w:val="single" w:sz="8" w:space="0" w:color="auto"/>
              <w:bottom w:val="single" w:sz="8" w:space="0" w:color="auto"/>
              <w:right w:val="single" w:sz="8" w:space="0" w:color="auto"/>
            </w:tcBorders>
            <w:vAlign w:val="center"/>
            <w:hideMark/>
          </w:tcPr>
          <w:p w14:paraId="69D1F316"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6.170</w:t>
            </w:r>
          </w:p>
        </w:tc>
        <w:tc>
          <w:tcPr>
            <w:tcW w:w="1376" w:type="dxa"/>
            <w:tcBorders>
              <w:top w:val="nil"/>
              <w:left w:val="nil"/>
              <w:bottom w:val="single" w:sz="8" w:space="0" w:color="auto"/>
              <w:right w:val="single" w:sz="8" w:space="0" w:color="auto"/>
            </w:tcBorders>
            <w:vAlign w:val="center"/>
            <w:hideMark/>
          </w:tcPr>
          <w:p w14:paraId="3667875B"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6.570</w:t>
            </w:r>
          </w:p>
        </w:tc>
        <w:tc>
          <w:tcPr>
            <w:tcW w:w="1376" w:type="dxa"/>
            <w:tcBorders>
              <w:top w:val="nil"/>
              <w:left w:val="nil"/>
              <w:bottom w:val="single" w:sz="8" w:space="0" w:color="auto"/>
              <w:right w:val="single" w:sz="8" w:space="0" w:color="auto"/>
            </w:tcBorders>
            <w:vAlign w:val="center"/>
            <w:hideMark/>
          </w:tcPr>
          <w:p w14:paraId="3CC08B45"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EASI75</w:t>
            </w:r>
          </w:p>
        </w:tc>
        <w:tc>
          <w:tcPr>
            <w:tcW w:w="1376" w:type="dxa"/>
            <w:tcBorders>
              <w:top w:val="nil"/>
              <w:left w:val="nil"/>
              <w:bottom w:val="single" w:sz="8" w:space="0" w:color="auto"/>
              <w:right w:val="single" w:sz="8" w:space="0" w:color="auto"/>
            </w:tcBorders>
            <w:vAlign w:val="center"/>
            <w:hideMark/>
          </w:tcPr>
          <w:p w14:paraId="41ABAE68"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8 (6-12)</w:t>
            </w:r>
          </w:p>
        </w:tc>
        <w:tc>
          <w:tcPr>
            <w:tcW w:w="1376" w:type="dxa"/>
            <w:tcBorders>
              <w:top w:val="nil"/>
              <w:left w:val="nil"/>
              <w:bottom w:val="single" w:sz="8" w:space="0" w:color="auto"/>
              <w:right w:val="single" w:sz="8" w:space="0" w:color="auto"/>
            </w:tcBorders>
            <w:vAlign w:val="center"/>
            <w:hideMark/>
          </w:tcPr>
          <w:p w14:paraId="724EAB89"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40.536.900</w:t>
            </w:r>
          </w:p>
        </w:tc>
        <w:tc>
          <w:tcPr>
            <w:tcW w:w="2275" w:type="dxa"/>
            <w:tcBorders>
              <w:top w:val="nil"/>
              <w:left w:val="nil"/>
              <w:bottom w:val="single" w:sz="8" w:space="0" w:color="auto"/>
              <w:right w:val="single" w:sz="8" w:space="0" w:color="auto"/>
            </w:tcBorders>
            <w:vAlign w:val="center"/>
            <w:hideMark/>
          </w:tcPr>
          <w:p w14:paraId="4F17AC37"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771</w:t>
            </w:r>
          </w:p>
        </w:tc>
      </w:tr>
      <w:tr w:rsidR="00DB2899" w14:paraId="52C7491B" w14:textId="77777777" w:rsidTr="00DB2899">
        <w:trPr>
          <w:trHeight w:val="252"/>
        </w:trPr>
        <w:tc>
          <w:tcPr>
            <w:tcW w:w="1445" w:type="dxa"/>
            <w:tcBorders>
              <w:top w:val="nil"/>
              <w:left w:val="single" w:sz="8" w:space="0" w:color="auto"/>
              <w:bottom w:val="single" w:sz="8" w:space="0" w:color="auto"/>
              <w:right w:val="single" w:sz="8" w:space="0" w:color="auto"/>
            </w:tcBorders>
            <w:vAlign w:val="center"/>
            <w:hideMark/>
          </w:tcPr>
          <w:p w14:paraId="7DB74F97"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6.170</w:t>
            </w:r>
          </w:p>
        </w:tc>
        <w:tc>
          <w:tcPr>
            <w:tcW w:w="1376" w:type="dxa"/>
            <w:tcBorders>
              <w:top w:val="nil"/>
              <w:left w:val="nil"/>
              <w:bottom w:val="single" w:sz="8" w:space="0" w:color="auto"/>
              <w:right w:val="single" w:sz="8" w:space="0" w:color="auto"/>
            </w:tcBorders>
            <w:vAlign w:val="center"/>
            <w:hideMark/>
          </w:tcPr>
          <w:p w14:paraId="7C755E8B"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6.570</w:t>
            </w:r>
          </w:p>
        </w:tc>
        <w:tc>
          <w:tcPr>
            <w:tcW w:w="1376" w:type="dxa"/>
            <w:tcBorders>
              <w:top w:val="nil"/>
              <w:left w:val="nil"/>
              <w:bottom w:val="single" w:sz="8" w:space="0" w:color="auto"/>
              <w:right w:val="single" w:sz="8" w:space="0" w:color="auto"/>
            </w:tcBorders>
            <w:vAlign w:val="center"/>
            <w:hideMark/>
          </w:tcPr>
          <w:p w14:paraId="3DB90317"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PP-NRS</w:t>
            </w:r>
          </w:p>
        </w:tc>
        <w:tc>
          <w:tcPr>
            <w:tcW w:w="1376" w:type="dxa"/>
            <w:tcBorders>
              <w:top w:val="nil"/>
              <w:left w:val="nil"/>
              <w:bottom w:val="single" w:sz="8" w:space="0" w:color="auto"/>
              <w:right w:val="single" w:sz="8" w:space="0" w:color="auto"/>
            </w:tcBorders>
            <w:vAlign w:val="center"/>
            <w:hideMark/>
          </w:tcPr>
          <w:p w14:paraId="7DB86849"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5 (4-6)</w:t>
            </w:r>
          </w:p>
        </w:tc>
        <w:tc>
          <w:tcPr>
            <w:tcW w:w="1376" w:type="dxa"/>
            <w:tcBorders>
              <w:top w:val="nil"/>
              <w:left w:val="nil"/>
              <w:bottom w:val="single" w:sz="8" w:space="0" w:color="auto"/>
              <w:right w:val="single" w:sz="8" w:space="0" w:color="auto"/>
            </w:tcBorders>
            <w:vAlign w:val="center"/>
            <w:hideMark/>
          </w:tcPr>
          <w:p w14:paraId="2685BE0B"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40.536.900</w:t>
            </w:r>
          </w:p>
        </w:tc>
        <w:tc>
          <w:tcPr>
            <w:tcW w:w="2275" w:type="dxa"/>
            <w:tcBorders>
              <w:top w:val="nil"/>
              <w:left w:val="nil"/>
              <w:bottom w:val="single" w:sz="8" w:space="0" w:color="auto"/>
              <w:right w:val="single" w:sz="8" w:space="0" w:color="auto"/>
            </w:tcBorders>
            <w:vAlign w:val="center"/>
            <w:hideMark/>
          </w:tcPr>
          <w:p w14:paraId="73D879D8" w14:textId="77777777" w:rsidR="00DB2899" w:rsidRDefault="00DB2899" w:rsidP="00DB2899">
            <w:pPr>
              <w:jc w:val="center"/>
              <w:rPr>
                <w:rFonts w:ascii="Arial" w:hAnsi="Arial" w:cs="Arial"/>
                <w:color w:val="000000"/>
                <w:sz w:val="16"/>
                <w:szCs w:val="16"/>
              </w:rPr>
            </w:pPr>
            <w:r>
              <w:rPr>
                <w:rFonts w:ascii="Arial" w:hAnsi="Arial" w:cs="Arial"/>
                <w:color w:val="000000"/>
                <w:sz w:val="16"/>
                <w:szCs w:val="16"/>
              </w:rPr>
              <w:t>1.234</w:t>
            </w:r>
          </w:p>
        </w:tc>
      </w:tr>
    </w:tbl>
    <w:p w14:paraId="424C718B" w14:textId="77777777" w:rsidR="003F55C0" w:rsidRPr="006F6ABB" w:rsidRDefault="003F55C0" w:rsidP="00BC3E8E">
      <w:pPr>
        <w:rPr>
          <w:rFonts w:ascii="Arial" w:hAnsi="Arial" w:cs="Arial"/>
          <w:strike/>
        </w:rPr>
      </w:pPr>
    </w:p>
    <w:p w14:paraId="09ACA815" w14:textId="77777777" w:rsidR="00BC3E8E" w:rsidRPr="002F4972" w:rsidRDefault="00BC3E8E" w:rsidP="00BC3E8E">
      <w:pPr>
        <w:pStyle w:val="Ttulo1"/>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BC3E8E" w:rsidRPr="006F6ABB" w14:paraId="333BD37F" w14:textId="77777777" w:rsidTr="00BC3E8E">
        <w:trPr>
          <w:trHeight w:val="228"/>
        </w:trPr>
        <w:tc>
          <w:tcPr>
            <w:tcW w:w="8859" w:type="dxa"/>
            <w:tcBorders>
              <w:top w:val="single" w:sz="4" w:space="0" w:color="auto"/>
              <w:left w:val="single" w:sz="4" w:space="0" w:color="auto"/>
              <w:bottom w:val="single" w:sz="4" w:space="0" w:color="auto"/>
              <w:right w:val="single" w:sz="4" w:space="0" w:color="auto"/>
            </w:tcBorders>
            <w:shd w:val="clear" w:color="auto" w:fill="B3B3B3"/>
          </w:tcPr>
          <w:p w14:paraId="3FB8E527" w14:textId="77777777" w:rsidR="00BC3E8E" w:rsidRPr="00AA1167" w:rsidRDefault="00BC3E8E" w:rsidP="00BC3E8E">
            <w:pPr>
              <w:pStyle w:val="Ttulo1"/>
              <w:shd w:val="clear" w:color="auto" w:fill="A6A6A6"/>
              <w:rPr>
                <w:rFonts w:ascii="Arial" w:hAnsi="Arial" w:cs="Arial"/>
                <w:bCs w:val="0"/>
                <w:kern w:val="0"/>
                <w:sz w:val="20"/>
                <w:szCs w:val="20"/>
              </w:rPr>
            </w:pPr>
            <w:r w:rsidRPr="00AA1167">
              <w:rPr>
                <w:rFonts w:ascii="Arial" w:hAnsi="Arial" w:cs="Arial"/>
                <w:bCs w:val="0"/>
                <w:color w:val="000080"/>
                <w:kern w:val="0"/>
                <w:sz w:val="20"/>
                <w:szCs w:val="20"/>
                <w:lang w:val="en-GB"/>
              </w:rPr>
              <w:t xml:space="preserve"> </w:t>
            </w:r>
            <w:bookmarkStart w:id="158" w:name="_Toc344399663"/>
            <w:bookmarkStart w:id="159" w:name="_Toc348931394"/>
            <w:bookmarkStart w:id="160" w:name="_Toc216191117"/>
            <w:r w:rsidRPr="00AA1167">
              <w:rPr>
                <w:rFonts w:ascii="Arial" w:hAnsi="Arial" w:cs="Arial"/>
                <w:bCs w:val="0"/>
                <w:kern w:val="0"/>
                <w:sz w:val="20"/>
                <w:szCs w:val="20"/>
              </w:rPr>
              <w:t>8. EVALUACIÓN DE LA CONVENIENCIA.</w:t>
            </w:r>
            <w:bookmarkEnd w:id="158"/>
            <w:bookmarkEnd w:id="159"/>
            <w:bookmarkEnd w:id="160"/>
            <w:r w:rsidRPr="00AA1167">
              <w:rPr>
                <w:rFonts w:ascii="Arial" w:hAnsi="Arial" w:cs="Arial"/>
                <w:bCs w:val="0"/>
                <w:kern w:val="0"/>
                <w:sz w:val="20"/>
                <w:szCs w:val="20"/>
              </w:rPr>
              <w:t xml:space="preserve"> </w:t>
            </w:r>
          </w:p>
        </w:tc>
      </w:tr>
    </w:tbl>
    <w:p w14:paraId="192D902C" w14:textId="77777777" w:rsidR="00BC3E8E" w:rsidRPr="006F6ABB" w:rsidRDefault="00BC3E8E" w:rsidP="00BC3E8E">
      <w:pPr>
        <w:rPr>
          <w:rFonts w:ascii="Arial" w:hAnsi="Arial" w:cs="Arial"/>
          <w:sz w:val="20"/>
          <w:szCs w:val="20"/>
        </w:rPr>
      </w:pPr>
    </w:p>
    <w:p w14:paraId="0400A415"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61" w:name="_Toc344399664"/>
      <w:bookmarkStart w:id="162" w:name="_Toc348931395"/>
      <w:bookmarkStart w:id="163" w:name="_Toc216191118"/>
      <w:r w:rsidRPr="00E3472F">
        <w:rPr>
          <w:rFonts w:cs="Arial"/>
          <w:sz w:val="20"/>
        </w:rPr>
        <w:t>8.1 Descripción de la conveniencia</w:t>
      </w:r>
      <w:bookmarkEnd w:id="161"/>
      <w:bookmarkEnd w:id="162"/>
      <w:bookmarkEnd w:id="163"/>
    </w:p>
    <w:p w14:paraId="27A360AB" w14:textId="77777777" w:rsidR="00870234" w:rsidRDefault="00870234" w:rsidP="00BC3E8E">
      <w:pPr>
        <w:shd w:val="clear" w:color="auto" w:fill="FFFFFF"/>
        <w:jc w:val="both"/>
        <w:rPr>
          <w:rFonts w:ascii="Arial" w:hAnsi="Arial" w:cs="Arial"/>
          <w:sz w:val="20"/>
          <w:szCs w:val="20"/>
        </w:rPr>
      </w:pPr>
    </w:p>
    <w:p w14:paraId="41C04BF3" w14:textId="77777777" w:rsidR="00BC3E8E" w:rsidRPr="006F6ABB" w:rsidRDefault="00870234" w:rsidP="00BC3E8E">
      <w:pPr>
        <w:shd w:val="clear" w:color="auto" w:fill="FFFFFF"/>
        <w:jc w:val="both"/>
        <w:rPr>
          <w:rFonts w:ascii="Arial" w:hAnsi="Arial" w:cs="Arial"/>
          <w:color w:val="000080"/>
          <w:sz w:val="20"/>
          <w:szCs w:val="20"/>
        </w:rPr>
      </w:pPr>
      <w:r w:rsidRPr="00870234">
        <w:rPr>
          <w:rFonts w:ascii="Arial" w:hAnsi="Arial" w:cs="Arial"/>
          <w:sz w:val="20"/>
          <w:szCs w:val="20"/>
        </w:rPr>
        <w:t xml:space="preserve">Se trata de un medicamento de administración </w:t>
      </w:r>
      <w:r w:rsidR="00E71C86">
        <w:rPr>
          <w:rFonts w:ascii="Arial" w:hAnsi="Arial" w:cs="Arial"/>
          <w:sz w:val="20"/>
          <w:szCs w:val="20"/>
        </w:rPr>
        <w:t>SC</w:t>
      </w:r>
      <w:r w:rsidRPr="00870234">
        <w:rPr>
          <w:rFonts w:ascii="Arial" w:hAnsi="Arial" w:cs="Arial"/>
          <w:sz w:val="20"/>
          <w:szCs w:val="20"/>
        </w:rPr>
        <w:t xml:space="preserve"> en pauta mensual durante 16 semanas y posteriormente bimensual</w:t>
      </w:r>
      <w:r>
        <w:rPr>
          <w:rFonts w:ascii="Arial" w:hAnsi="Arial" w:cs="Arial"/>
          <w:color w:val="000080"/>
          <w:sz w:val="20"/>
          <w:szCs w:val="20"/>
        </w:rPr>
        <w:t xml:space="preserve">. </w:t>
      </w:r>
      <w:r w:rsidRPr="00870234">
        <w:rPr>
          <w:rFonts w:ascii="Arial" w:hAnsi="Arial" w:cs="Arial"/>
          <w:sz w:val="20"/>
          <w:szCs w:val="20"/>
        </w:rPr>
        <w:t>La frecuencia de administración es menor que con otros biológicos SC y no necesita un control analítico exhaustivo como en el caso de los iJAK.</w:t>
      </w:r>
      <w:r>
        <w:rPr>
          <w:rFonts w:ascii="Arial" w:hAnsi="Arial" w:cs="Arial"/>
          <w:color w:val="000080"/>
          <w:sz w:val="20"/>
          <w:szCs w:val="20"/>
        </w:rPr>
        <w:t xml:space="preserve"> </w:t>
      </w:r>
    </w:p>
    <w:p w14:paraId="092E7C3A" w14:textId="77777777" w:rsidR="00BC3E8E" w:rsidRPr="006F6ABB" w:rsidRDefault="00BC3E8E" w:rsidP="00BC3E8E">
      <w:pPr>
        <w:rPr>
          <w:rFonts w:ascii="Arial" w:hAnsi="Arial" w:cs="Arial"/>
          <w:color w:val="000080"/>
          <w:sz w:val="20"/>
          <w:szCs w:val="20"/>
        </w:rPr>
      </w:pPr>
    </w:p>
    <w:p w14:paraId="57607378"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64" w:name="_Toc344399665"/>
      <w:bookmarkStart w:id="165" w:name="_Toc348931396"/>
      <w:bookmarkStart w:id="166" w:name="_Toc216191119"/>
      <w:r w:rsidRPr="00E3472F">
        <w:rPr>
          <w:rFonts w:cs="Arial"/>
          <w:sz w:val="20"/>
        </w:rPr>
        <w:t>8.2 Influencia de la conveniencia en la efectividad del tratamiento</w:t>
      </w:r>
      <w:bookmarkEnd w:id="164"/>
      <w:bookmarkEnd w:id="165"/>
      <w:bookmarkEnd w:id="166"/>
    </w:p>
    <w:p w14:paraId="2A3A977D" w14:textId="77777777" w:rsidR="00BC3E8E" w:rsidRDefault="00BC3E8E" w:rsidP="00BC3E8E">
      <w:pPr>
        <w:shd w:val="clear" w:color="auto" w:fill="FFFFFF"/>
        <w:jc w:val="both"/>
        <w:rPr>
          <w:rFonts w:ascii="Arial" w:hAnsi="Arial" w:cs="Arial"/>
          <w:b/>
          <w:bCs/>
          <w:color w:val="000080"/>
          <w:sz w:val="20"/>
          <w:szCs w:val="20"/>
        </w:rPr>
      </w:pPr>
    </w:p>
    <w:p w14:paraId="24D26889" w14:textId="77777777" w:rsidR="00787C17" w:rsidRPr="004F05D9" w:rsidRDefault="00787C17" w:rsidP="00BC3E8E">
      <w:pPr>
        <w:shd w:val="clear" w:color="auto" w:fill="FFFFFF"/>
        <w:jc w:val="both"/>
        <w:rPr>
          <w:rFonts w:ascii="Arial" w:hAnsi="Arial" w:cs="Arial"/>
          <w:sz w:val="20"/>
          <w:szCs w:val="20"/>
        </w:rPr>
      </w:pPr>
      <w:r w:rsidRPr="004F05D9">
        <w:rPr>
          <w:rFonts w:ascii="Arial" w:hAnsi="Arial" w:cs="Arial"/>
          <w:sz w:val="20"/>
          <w:szCs w:val="20"/>
        </w:rPr>
        <w:t xml:space="preserve">Considerando la alta prevalencia en niños, la administración </w:t>
      </w:r>
      <w:r w:rsidR="00E71C86">
        <w:rPr>
          <w:rFonts w:ascii="Arial" w:hAnsi="Arial" w:cs="Arial"/>
          <w:sz w:val="20"/>
          <w:szCs w:val="20"/>
        </w:rPr>
        <w:t>SC</w:t>
      </w:r>
      <w:r w:rsidRPr="004F05D9">
        <w:rPr>
          <w:rFonts w:ascii="Arial" w:hAnsi="Arial" w:cs="Arial"/>
          <w:sz w:val="20"/>
          <w:szCs w:val="20"/>
        </w:rPr>
        <w:t xml:space="preserve"> no es la mejor tolerada en esta población</w:t>
      </w:r>
      <w:r w:rsidR="004F05D9" w:rsidRPr="004F05D9">
        <w:rPr>
          <w:rFonts w:ascii="Arial" w:hAnsi="Arial" w:cs="Arial"/>
          <w:sz w:val="20"/>
          <w:szCs w:val="20"/>
        </w:rPr>
        <w:t xml:space="preserve"> y puede tener una menor tolerabilidad. </w:t>
      </w:r>
    </w:p>
    <w:p w14:paraId="3701063E" w14:textId="77777777" w:rsidR="00787C17" w:rsidRPr="004F05D9" w:rsidRDefault="00787C17" w:rsidP="00BC3E8E">
      <w:pPr>
        <w:shd w:val="clear" w:color="auto" w:fill="FFFFFF"/>
        <w:jc w:val="both"/>
        <w:rPr>
          <w:rFonts w:ascii="Arial" w:hAnsi="Arial" w:cs="Arial"/>
          <w:sz w:val="20"/>
          <w:szCs w:val="20"/>
        </w:rPr>
      </w:pPr>
      <w:r w:rsidRPr="004F05D9">
        <w:rPr>
          <w:rFonts w:ascii="Arial" w:hAnsi="Arial" w:cs="Arial"/>
          <w:sz w:val="20"/>
          <w:szCs w:val="20"/>
        </w:rPr>
        <w:t>A diferencia de los tratamientos inmunosupresores que a menudo requieren monitorización estricta por toxicidad (renal, hepática), los biológicos son adecuados para el tratamiento a largo plazo (crónico), permitiendo la remisión sostenida de la enfermedad</w:t>
      </w:r>
    </w:p>
    <w:p w14:paraId="3D595463" w14:textId="77777777" w:rsidR="00BC3E8E" w:rsidRPr="006F6ABB" w:rsidRDefault="00BC3E8E" w:rsidP="00BC3E8E">
      <w:pPr>
        <w:rPr>
          <w:rFonts w:ascii="Arial" w:hAnsi="Arial" w:cs="Arial"/>
          <w:color w:val="FF0000"/>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58950BF1" w14:textId="77777777" w:rsidTr="00BC3E8E">
        <w:tc>
          <w:tcPr>
            <w:tcW w:w="8890" w:type="dxa"/>
            <w:tcBorders>
              <w:top w:val="single" w:sz="4" w:space="0" w:color="auto"/>
              <w:left w:val="single" w:sz="4" w:space="0" w:color="auto"/>
              <w:bottom w:val="single" w:sz="4" w:space="0" w:color="auto"/>
              <w:right w:val="single" w:sz="4" w:space="0" w:color="auto"/>
            </w:tcBorders>
            <w:shd w:val="clear" w:color="auto" w:fill="B3B3B3"/>
          </w:tcPr>
          <w:p w14:paraId="270727F8" w14:textId="77777777" w:rsidR="00BC3E8E" w:rsidRPr="00AA1167" w:rsidRDefault="00BC3E8E" w:rsidP="00BC3E8E">
            <w:pPr>
              <w:pStyle w:val="Ttulo1"/>
              <w:shd w:val="clear" w:color="auto" w:fill="A6A6A6"/>
              <w:rPr>
                <w:rFonts w:ascii="Arial" w:hAnsi="Arial" w:cs="Arial"/>
                <w:bCs w:val="0"/>
                <w:kern w:val="0"/>
                <w:sz w:val="20"/>
                <w:szCs w:val="20"/>
              </w:rPr>
            </w:pPr>
            <w:bookmarkStart w:id="167" w:name="_Toc344399666"/>
            <w:bookmarkStart w:id="168" w:name="_Toc348931397"/>
            <w:bookmarkStart w:id="169" w:name="_Toc216191120"/>
            <w:r w:rsidRPr="00AA1167">
              <w:rPr>
                <w:rFonts w:ascii="Arial" w:hAnsi="Arial" w:cs="Arial"/>
                <w:bCs w:val="0"/>
                <w:kern w:val="0"/>
                <w:sz w:val="20"/>
                <w:szCs w:val="20"/>
              </w:rPr>
              <w:t>9. AREA DE CONCLUSIONES.</w:t>
            </w:r>
            <w:bookmarkEnd w:id="167"/>
            <w:bookmarkEnd w:id="168"/>
            <w:bookmarkEnd w:id="169"/>
          </w:p>
        </w:tc>
      </w:tr>
    </w:tbl>
    <w:p w14:paraId="68F7F4E4" w14:textId="77777777" w:rsidR="00BC3E8E" w:rsidRPr="006F6ABB" w:rsidRDefault="00BC3E8E" w:rsidP="00BC3E8E">
      <w:pPr>
        <w:pStyle w:val="Encabezado"/>
        <w:tabs>
          <w:tab w:val="clear" w:pos="4252"/>
          <w:tab w:val="clear" w:pos="8504"/>
        </w:tabs>
        <w:rPr>
          <w:rFonts w:ascii="Arial" w:hAnsi="Arial" w:cs="Arial"/>
          <w:b/>
          <w:bCs/>
        </w:rPr>
      </w:pPr>
    </w:p>
    <w:p w14:paraId="0B7AAE97" w14:textId="77777777" w:rsidR="00BC3E8E" w:rsidRPr="00616F7A"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70" w:name="_Toc344399667"/>
      <w:bookmarkStart w:id="171" w:name="_Toc348931398"/>
      <w:bookmarkStart w:id="172" w:name="_Toc216191121"/>
      <w:r w:rsidRPr="00616F7A">
        <w:rPr>
          <w:rFonts w:cs="Arial"/>
          <w:sz w:val="20"/>
        </w:rPr>
        <w:t>9.1 Resumen de los aspectos más significativos respecto a la alternativa y propuestas</w:t>
      </w:r>
      <w:bookmarkEnd w:id="170"/>
      <w:bookmarkEnd w:id="171"/>
      <w:bookmarkEnd w:id="172"/>
    </w:p>
    <w:p w14:paraId="1DF8E780" w14:textId="602D0E52" w:rsidR="00BC3E8E" w:rsidRDefault="00BC3E8E" w:rsidP="008B665D">
      <w:pPr>
        <w:rPr>
          <w:rFonts w:ascii="Arial" w:hAnsi="Arial" w:cs="Arial"/>
          <w:bCs/>
          <w:sz w:val="20"/>
          <w:szCs w:val="20"/>
        </w:rPr>
      </w:pPr>
    </w:p>
    <w:p w14:paraId="70D5DEF5" w14:textId="77777777" w:rsidR="001F7F82" w:rsidRDefault="001F7F82" w:rsidP="008B665D">
      <w:pPr>
        <w:rPr>
          <w:rFonts w:ascii="Arial" w:hAnsi="Arial" w:cs="Arial"/>
          <w:bCs/>
          <w:sz w:val="20"/>
          <w:szCs w:val="20"/>
        </w:rPr>
      </w:pPr>
    </w:p>
    <w:p w14:paraId="57D74574" w14:textId="77777777" w:rsidR="001F7F82" w:rsidRDefault="001F7F82" w:rsidP="001F7F82">
      <w:pPr>
        <w:rPr>
          <w:rFonts w:ascii="Arial" w:hAnsi="Arial" w:cs="Arial"/>
          <w:b/>
          <w:bCs/>
          <w:sz w:val="20"/>
          <w:szCs w:val="20"/>
          <w:u w:val="single"/>
        </w:rPr>
      </w:pPr>
      <w:r>
        <w:rPr>
          <w:rFonts w:ascii="Arial" w:hAnsi="Arial" w:cs="Arial"/>
          <w:b/>
          <w:bCs/>
          <w:sz w:val="20"/>
          <w:szCs w:val="20"/>
          <w:u w:val="single"/>
        </w:rPr>
        <w:t>EFICACIA</w:t>
      </w:r>
    </w:p>
    <w:p w14:paraId="78905512" w14:textId="77777777" w:rsidR="00D72AC0" w:rsidRPr="00D72AC0" w:rsidRDefault="00D72AC0" w:rsidP="00D72AC0">
      <w:pPr>
        <w:rPr>
          <w:rFonts w:ascii="Arial" w:hAnsi="Arial" w:cs="Arial"/>
          <w:b/>
          <w:bCs/>
          <w:sz w:val="20"/>
          <w:szCs w:val="20"/>
        </w:rPr>
      </w:pPr>
      <w:r w:rsidRPr="00D72AC0">
        <w:rPr>
          <w:rFonts w:ascii="Arial" w:hAnsi="Arial" w:cs="Arial"/>
          <w:b/>
          <w:bCs/>
          <w:sz w:val="20"/>
          <w:szCs w:val="20"/>
        </w:rPr>
        <w:t>Variable de mayor relevancia clínica</w:t>
      </w:r>
      <w:r>
        <w:rPr>
          <w:rFonts w:ascii="Arial" w:hAnsi="Arial" w:cs="Arial"/>
          <w:sz w:val="20"/>
          <w:szCs w:val="20"/>
        </w:rPr>
        <w:t xml:space="preserve">: </w:t>
      </w:r>
      <w:r w:rsidRPr="00D72AC0">
        <w:rPr>
          <w:rFonts w:ascii="Arial" w:hAnsi="Arial" w:cs="Arial"/>
          <w:sz w:val="20"/>
          <w:szCs w:val="20"/>
        </w:rPr>
        <w:t>IGA 0/1 con ≥2 puntos de reducción y EASI-75 a semana 1</w:t>
      </w:r>
      <w:r>
        <w:rPr>
          <w:rFonts w:ascii="Arial" w:hAnsi="Arial" w:cs="Arial"/>
          <w:sz w:val="20"/>
          <w:szCs w:val="20"/>
        </w:rPr>
        <w:t>6.</w:t>
      </w:r>
      <w:r>
        <w:rPr>
          <w:rFonts w:ascii="Arial" w:hAnsi="Arial" w:cs="Arial"/>
          <w:b/>
          <w:bCs/>
          <w:sz w:val="20"/>
          <w:szCs w:val="20"/>
        </w:rPr>
        <w:t xml:space="preserve"> </w:t>
      </w:r>
      <w:r w:rsidRPr="00D72AC0">
        <w:rPr>
          <w:rFonts w:ascii="Arial" w:hAnsi="Arial" w:cs="Arial"/>
          <w:sz w:val="20"/>
          <w:szCs w:val="20"/>
        </w:rPr>
        <w:t>Ensayos pivotales fase III: ARCADIA 1 (n=941) y ARCADIA 2 (n=787).</w:t>
      </w:r>
    </w:p>
    <w:p w14:paraId="541C7CE3" w14:textId="77777777" w:rsidR="00D72AC0" w:rsidRPr="00D72AC0" w:rsidRDefault="00D72AC0" w:rsidP="00D72AC0">
      <w:pPr>
        <w:suppressAutoHyphens/>
        <w:rPr>
          <w:rFonts w:ascii="Arial" w:hAnsi="Arial" w:cs="Arial"/>
          <w:sz w:val="20"/>
          <w:szCs w:val="20"/>
        </w:rPr>
      </w:pPr>
    </w:p>
    <w:p w14:paraId="63EFF94A" w14:textId="77777777" w:rsidR="00D72AC0" w:rsidRPr="00D72AC0" w:rsidRDefault="00D72AC0" w:rsidP="00D72AC0">
      <w:pPr>
        <w:suppressAutoHyphens/>
        <w:rPr>
          <w:rFonts w:ascii="Arial" w:hAnsi="Arial" w:cs="Arial"/>
          <w:sz w:val="20"/>
          <w:szCs w:val="20"/>
        </w:rPr>
      </w:pPr>
      <w:r w:rsidRPr="00D72AC0">
        <w:rPr>
          <w:rFonts w:ascii="Segoe UI Emoji" w:hAnsi="Segoe UI Emoji" w:cs="Segoe UI Emoji"/>
          <w:sz w:val="20"/>
          <w:szCs w:val="20"/>
        </w:rPr>
        <w:t>🔹</w:t>
      </w:r>
      <w:r w:rsidRPr="00D72AC0">
        <w:rPr>
          <w:rFonts w:ascii="Arial" w:hAnsi="Arial" w:cs="Arial"/>
          <w:sz w:val="20"/>
          <w:szCs w:val="20"/>
        </w:rPr>
        <w:t xml:space="preserve"> ARCADIA 1 (semana 16, población total)</w:t>
      </w:r>
    </w:p>
    <w:p w14:paraId="083B6A25" w14:textId="77777777" w:rsidR="00D72AC0" w:rsidRPr="00D72AC0" w:rsidRDefault="00D72AC0" w:rsidP="00D72AC0">
      <w:pPr>
        <w:suppressAutoHyphens/>
        <w:rPr>
          <w:rFonts w:ascii="Arial" w:hAnsi="Arial" w:cs="Arial"/>
          <w:sz w:val="20"/>
          <w:szCs w:val="20"/>
        </w:rPr>
      </w:pPr>
    </w:p>
    <w:p w14:paraId="6A63D43F" w14:textId="77777777" w:rsidR="00D72AC0" w:rsidRPr="00D72AC0" w:rsidRDefault="00D72AC0" w:rsidP="00D72AC0">
      <w:pPr>
        <w:suppressAutoHyphens/>
        <w:rPr>
          <w:rFonts w:ascii="Arial" w:hAnsi="Arial" w:cs="Arial"/>
          <w:sz w:val="20"/>
          <w:szCs w:val="20"/>
        </w:rPr>
      </w:pPr>
      <w:r w:rsidRPr="00D72AC0">
        <w:rPr>
          <w:rFonts w:ascii="Arial" w:hAnsi="Arial" w:cs="Arial"/>
          <w:sz w:val="20"/>
          <w:szCs w:val="20"/>
        </w:rPr>
        <w:t>IGA 0/1:35,6% vs 24,6% → Δ 11% (IC95% 5–17)</w:t>
      </w:r>
      <w:r>
        <w:rPr>
          <w:rFonts w:ascii="Arial" w:hAnsi="Arial" w:cs="Arial"/>
          <w:sz w:val="20"/>
          <w:szCs w:val="20"/>
        </w:rPr>
        <w:t xml:space="preserve"> </w:t>
      </w:r>
      <w:r w:rsidRPr="00D72AC0">
        <w:rPr>
          <w:rFonts w:ascii="Arial" w:hAnsi="Arial" w:cs="Arial"/>
          <w:sz w:val="20"/>
          <w:szCs w:val="20"/>
        </w:rPr>
        <w:t>p=0,0006 | NNT=9</w:t>
      </w:r>
    </w:p>
    <w:p w14:paraId="12D267AE" w14:textId="77777777" w:rsidR="00D72AC0" w:rsidRPr="00D72AC0" w:rsidRDefault="00D72AC0" w:rsidP="00D72AC0">
      <w:pPr>
        <w:suppressAutoHyphens/>
        <w:rPr>
          <w:rFonts w:ascii="Arial" w:hAnsi="Arial" w:cs="Arial"/>
          <w:sz w:val="20"/>
          <w:szCs w:val="20"/>
        </w:rPr>
      </w:pPr>
    </w:p>
    <w:p w14:paraId="2CE03C2E" w14:textId="77777777" w:rsidR="00D72AC0" w:rsidRPr="00D72AC0" w:rsidRDefault="00D72AC0" w:rsidP="00D72AC0">
      <w:pPr>
        <w:suppressAutoHyphens/>
        <w:rPr>
          <w:rFonts w:ascii="Arial" w:hAnsi="Arial" w:cs="Arial"/>
          <w:sz w:val="20"/>
          <w:szCs w:val="20"/>
        </w:rPr>
      </w:pPr>
      <w:r w:rsidRPr="00D72AC0">
        <w:rPr>
          <w:rFonts w:ascii="Arial" w:hAnsi="Arial" w:cs="Arial"/>
          <w:sz w:val="20"/>
          <w:szCs w:val="20"/>
        </w:rPr>
        <w:t>EASI-75:</w:t>
      </w:r>
      <w:r>
        <w:rPr>
          <w:rFonts w:ascii="Arial" w:hAnsi="Arial" w:cs="Arial"/>
          <w:sz w:val="20"/>
          <w:szCs w:val="20"/>
        </w:rPr>
        <w:t xml:space="preserve"> </w:t>
      </w:r>
      <w:r w:rsidRPr="00D72AC0">
        <w:rPr>
          <w:rFonts w:ascii="Arial" w:hAnsi="Arial" w:cs="Arial"/>
          <w:sz w:val="20"/>
          <w:szCs w:val="20"/>
        </w:rPr>
        <w:t>43,5% vs 29,0% → Δ 15% (IC95% 8–21)</w:t>
      </w:r>
      <w:r>
        <w:rPr>
          <w:rFonts w:ascii="Arial" w:hAnsi="Arial" w:cs="Arial"/>
          <w:sz w:val="20"/>
          <w:szCs w:val="20"/>
        </w:rPr>
        <w:t xml:space="preserve"> </w:t>
      </w:r>
      <w:r w:rsidRPr="00D72AC0">
        <w:rPr>
          <w:rFonts w:ascii="Arial" w:hAnsi="Arial" w:cs="Arial"/>
          <w:sz w:val="20"/>
          <w:szCs w:val="20"/>
        </w:rPr>
        <w:t>p&lt;0,0001 | NNT=7</w:t>
      </w:r>
    </w:p>
    <w:p w14:paraId="31716C81" w14:textId="77777777" w:rsidR="00D72AC0" w:rsidRPr="00D72AC0" w:rsidRDefault="00D72AC0" w:rsidP="00D72AC0">
      <w:pPr>
        <w:suppressAutoHyphens/>
        <w:rPr>
          <w:rFonts w:ascii="Arial" w:hAnsi="Arial" w:cs="Arial"/>
          <w:sz w:val="20"/>
          <w:szCs w:val="20"/>
        </w:rPr>
      </w:pPr>
    </w:p>
    <w:p w14:paraId="675C68C1" w14:textId="77777777" w:rsidR="00D72AC0" w:rsidRPr="00D72AC0" w:rsidRDefault="00D72AC0" w:rsidP="00D72AC0">
      <w:pPr>
        <w:suppressAutoHyphens/>
        <w:rPr>
          <w:rFonts w:ascii="Arial" w:hAnsi="Arial" w:cs="Arial"/>
          <w:sz w:val="20"/>
          <w:szCs w:val="20"/>
        </w:rPr>
      </w:pPr>
      <w:r w:rsidRPr="00D72AC0">
        <w:rPr>
          <w:rFonts w:ascii="Segoe UI Emoji" w:hAnsi="Segoe UI Emoji" w:cs="Segoe UI Emoji"/>
          <w:sz w:val="20"/>
          <w:szCs w:val="20"/>
        </w:rPr>
        <w:t>🔹</w:t>
      </w:r>
      <w:r w:rsidRPr="00D72AC0">
        <w:rPr>
          <w:rFonts w:ascii="Arial" w:hAnsi="Arial" w:cs="Arial"/>
          <w:sz w:val="20"/>
          <w:szCs w:val="20"/>
        </w:rPr>
        <w:t xml:space="preserve"> ARCADIA 2 (semana 16, población total)</w:t>
      </w:r>
    </w:p>
    <w:p w14:paraId="5F2B906C" w14:textId="77777777" w:rsidR="00D72AC0" w:rsidRPr="00D72AC0" w:rsidRDefault="00D72AC0" w:rsidP="00D72AC0">
      <w:pPr>
        <w:suppressAutoHyphens/>
        <w:rPr>
          <w:rFonts w:ascii="Arial" w:hAnsi="Arial" w:cs="Arial"/>
          <w:sz w:val="20"/>
          <w:szCs w:val="20"/>
        </w:rPr>
      </w:pPr>
    </w:p>
    <w:p w14:paraId="2550770C" w14:textId="77777777" w:rsidR="00D72AC0" w:rsidRPr="00D72AC0" w:rsidRDefault="00D72AC0" w:rsidP="00D72AC0">
      <w:pPr>
        <w:suppressAutoHyphens/>
        <w:rPr>
          <w:rFonts w:ascii="Arial" w:hAnsi="Arial" w:cs="Arial"/>
          <w:sz w:val="20"/>
          <w:szCs w:val="20"/>
        </w:rPr>
      </w:pPr>
      <w:r w:rsidRPr="00D72AC0">
        <w:rPr>
          <w:rFonts w:ascii="Arial" w:hAnsi="Arial" w:cs="Arial"/>
          <w:sz w:val="20"/>
          <w:szCs w:val="20"/>
        </w:rPr>
        <w:t>IGA 0/1:</w:t>
      </w:r>
      <w:r>
        <w:rPr>
          <w:rFonts w:ascii="Arial" w:hAnsi="Arial" w:cs="Arial"/>
          <w:sz w:val="20"/>
          <w:szCs w:val="20"/>
        </w:rPr>
        <w:t xml:space="preserve"> </w:t>
      </w:r>
      <w:r w:rsidRPr="00D72AC0">
        <w:rPr>
          <w:rFonts w:ascii="Arial" w:hAnsi="Arial" w:cs="Arial"/>
          <w:sz w:val="20"/>
          <w:szCs w:val="20"/>
        </w:rPr>
        <w:t>37,7% vs 26,0% → Δ 12% (IC95% 5–18)</w:t>
      </w:r>
      <w:r>
        <w:rPr>
          <w:rFonts w:ascii="Arial" w:hAnsi="Arial" w:cs="Arial"/>
          <w:sz w:val="20"/>
          <w:szCs w:val="20"/>
        </w:rPr>
        <w:t xml:space="preserve"> </w:t>
      </w:r>
      <w:r w:rsidRPr="00D72AC0">
        <w:rPr>
          <w:rFonts w:ascii="Arial" w:hAnsi="Arial" w:cs="Arial"/>
          <w:sz w:val="20"/>
          <w:szCs w:val="20"/>
        </w:rPr>
        <w:t>p=0,001 | NNT=9</w:t>
      </w:r>
    </w:p>
    <w:p w14:paraId="1AF3CBD9" w14:textId="77777777" w:rsidR="00D72AC0" w:rsidRPr="00D72AC0" w:rsidRDefault="00D72AC0" w:rsidP="00D72AC0">
      <w:pPr>
        <w:suppressAutoHyphens/>
        <w:rPr>
          <w:rFonts w:ascii="Arial" w:hAnsi="Arial" w:cs="Arial"/>
          <w:sz w:val="20"/>
          <w:szCs w:val="20"/>
        </w:rPr>
      </w:pPr>
    </w:p>
    <w:p w14:paraId="15DFF80F" w14:textId="77777777" w:rsidR="001F7F82" w:rsidRDefault="00D72AC0" w:rsidP="00D72AC0">
      <w:pPr>
        <w:suppressAutoHyphens/>
        <w:rPr>
          <w:rFonts w:ascii="Arial" w:hAnsi="Arial" w:cs="Arial"/>
          <w:sz w:val="20"/>
          <w:szCs w:val="20"/>
        </w:rPr>
      </w:pPr>
      <w:r w:rsidRPr="00D72AC0">
        <w:rPr>
          <w:rFonts w:ascii="Arial" w:hAnsi="Arial" w:cs="Arial"/>
          <w:sz w:val="20"/>
          <w:szCs w:val="20"/>
        </w:rPr>
        <w:t>EASI-75:</w:t>
      </w:r>
      <w:r>
        <w:rPr>
          <w:rFonts w:ascii="Arial" w:hAnsi="Arial" w:cs="Arial"/>
          <w:sz w:val="20"/>
          <w:szCs w:val="20"/>
        </w:rPr>
        <w:t xml:space="preserve"> </w:t>
      </w:r>
      <w:r w:rsidRPr="00D72AC0">
        <w:rPr>
          <w:rFonts w:ascii="Arial" w:hAnsi="Arial" w:cs="Arial"/>
          <w:sz w:val="20"/>
          <w:szCs w:val="20"/>
        </w:rPr>
        <w:t>42,1% vs 30,2% → Δ 12% (IC95% 5–19)</w:t>
      </w:r>
      <w:r>
        <w:rPr>
          <w:rFonts w:ascii="Arial" w:hAnsi="Arial" w:cs="Arial"/>
          <w:sz w:val="20"/>
          <w:szCs w:val="20"/>
        </w:rPr>
        <w:t xml:space="preserve"> </w:t>
      </w:r>
      <w:r w:rsidRPr="00D72AC0">
        <w:rPr>
          <w:rFonts w:ascii="Arial" w:hAnsi="Arial" w:cs="Arial"/>
          <w:sz w:val="20"/>
          <w:szCs w:val="20"/>
        </w:rPr>
        <w:t>p=0,0011 | NNT=8</w:t>
      </w:r>
    </w:p>
    <w:p w14:paraId="4C3C2214" w14:textId="77777777" w:rsidR="001F7F82" w:rsidRDefault="001F7F82" w:rsidP="001F7F82">
      <w:pPr>
        <w:rPr>
          <w:rFonts w:ascii="Arial" w:hAnsi="Arial" w:cs="Arial"/>
          <w:i/>
          <w:iCs/>
          <w:sz w:val="20"/>
          <w:szCs w:val="20"/>
        </w:rPr>
      </w:pPr>
    </w:p>
    <w:p w14:paraId="39F42FCF" w14:textId="77777777" w:rsidR="00D72AC0" w:rsidRPr="00D72AC0" w:rsidRDefault="00D72AC0" w:rsidP="00D72AC0">
      <w:pPr>
        <w:suppressAutoHyphens/>
      </w:pPr>
      <w:r w:rsidRPr="00D72AC0">
        <w:rPr>
          <w:rFonts w:ascii="Arial" w:hAnsi="Arial" w:cs="Arial"/>
          <w:b/>
          <w:bCs/>
          <w:sz w:val="20"/>
          <w:szCs w:val="20"/>
        </w:rPr>
        <w:t>O</w:t>
      </w:r>
      <w:r w:rsidR="001F7F82" w:rsidRPr="00D72AC0">
        <w:rPr>
          <w:rFonts w:ascii="Arial" w:hAnsi="Arial" w:cs="Arial"/>
          <w:b/>
          <w:bCs/>
          <w:sz w:val="20"/>
          <w:szCs w:val="20"/>
        </w:rPr>
        <w:t>tras variables</w:t>
      </w:r>
      <w:r w:rsidR="001F7F82">
        <w:rPr>
          <w:rFonts w:ascii="Arial" w:hAnsi="Arial" w:cs="Arial"/>
          <w:sz w:val="20"/>
          <w:szCs w:val="20"/>
          <w:u w:val="single"/>
        </w:rPr>
        <w:t>.</w:t>
      </w:r>
      <w:r>
        <w:t xml:space="preserve"> </w:t>
      </w:r>
      <w:r w:rsidRPr="00D72AC0">
        <w:rPr>
          <w:rFonts w:ascii="Arial" w:hAnsi="Arial" w:cs="Arial"/>
          <w:sz w:val="20"/>
          <w:szCs w:val="20"/>
        </w:rPr>
        <w:t>En los ensayos fase III ARCADIA 1 y ARCADIA 2, la proporción de pacientes que alcanzó una reducción ≥4 puntos en la escala de prurito PP-NRS a la semana 16 fue significativamente superior con nemolizumab frente a placebo. En ARCADIA 1, en la población total, 42,7% vs 17,8% (Δ 25%; p&lt;0,0001; NNT=4), y en la subpoblación con prurito grave (NRS≥7), 46,1% vs 18,6% (Δ 27%; NNT=4). En ARCADIA 2, los resultados fueron muy consistentes: 41,0% vs 18,1% (Δ 23%; p&lt;0,0001; NNT=4) en la población total y 48,4% vs 21,3% (Δ 27%; NNT=4) en pacientes con prurito grave</w:t>
      </w:r>
    </w:p>
    <w:p w14:paraId="67DAEA2B" w14:textId="77777777" w:rsidR="001F7F82" w:rsidRDefault="001F7F82" w:rsidP="001F7F82">
      <w:pPr>
        <w:rPr>
          <w:rFonts w:ascii="Arial" w:hAnsi="Arial" w:cs="Arial"/>
          <w:sz w:val="20"/>
          <w:szCs w:val="20"/>
        </w:rPr>
      </w:pPr>
    </w:p>
    <w:p w14:paraId="545668E2" w14:textId="77777777" w:rsidR="001F7F82" w:rsidRDefault="001F7F82" w:rsidP="001F7F82">
      <w:pPr>
        <w:rPr>
          <w:rFonts w:ascii="Arial" w:hAnsi="Arial" w:cs="Arial"/>
          <w:i/>
          <w:iCs/>
          <w:sz w:val="20"/>
          <w:szCs w:val="20"/>
        </w:rPr>
      </w:pPr>
    </w:p>
    <w:p w14:paraId="12028A35" w14:textId="77777777" w:rsidR="001F7F82" w:rsidRPr="00D72AC0" w:rsidRDefault="001F7F82" w:rsidP="001F7F82">
      <w:pPr>
        <w:numPr>
          <w:ilvl w:val="0"/>
          <w:numId w:val="22"/>
        </w:numPr>
        <w:suppressAutoHyphens/>
      </w:pPr>
      <w:r>
        <w:rPr>
          <w:rFonts w:ascii="Arial" w:hAnsi="Arial" w:cs="Arial"/>
          <w:sz w:val="20"/>
          <w:szCs w:val="20"/>
          <w:u w:val="single"/>
        </w:rPr>
        <w:t>Relevancia clínica.</w:t>
      </w:r>
    </w:p>
    <w:p w14:paraId="067CE082" w14:textId="77777777" w:rsidR="00D72AC0" w:rsidRDefault="00D72AC0" w:rsidP="00D72AC0">
      <w:pPr>
        <w:suppressAutoHyphens/>
      </w:pPr>
    </w:p>
    <w:p w14:paraId="7FBD991D" w14:textId="77777777" w:rsidR="001F7F82" w:rsidRPr="000C11C6" w:rsidRDefault="000C11C6" w:rsidP="000C11C6">
      <w:pPr>
        <w:ind w:left="360"/>
        <w:jc w:val="both"/>
        <w:rPr>
          <w:rFonts w:ascii="Arial" w:hAnsi="Arial" w:cs="Arial"/>
          <w:sz w:val="20"/>
          <w:szCs w:val="20"/>
        </w:rPr>
      </w:pPr>
      <w:r w:rsidRPr="000C11C6">
        <w:rPr>
          <w:rFonts w:ascii="Arial" w:hAnsi="Arial" w:cs="Arial"/>
          <w:sz w:val="20"/>
          <w:szCs w:val="20"/>
        </w:rPr>
        <w:t>En los ensayos ARCADIA 1 y ARCADIA 2, las variables coprimarias fueron IGA 0/1 y EASI-75 a la semana 16, escalas con cierto componente subjetivo que se minimizó mediante un diseño aleatorizado, doble ciego y controlad</w:t>
      </w:r>
      <w:r>
        <w:rPr>
          <w:rFonts w:ascii="Arial" w:hAnsi="Arial" w:cs="Arial"/>
          <w:sz w:val="20"/>
          <w:szCs w:val="20"/>
        </w:rPr>
        <w:t>o, a pesar que fue controlado con placebo y no con el tratamiento de referencia</w:t>
      </w:r>
      <w:r w:rsidRPr="000C11C6">
        <w:rPr>
          <w:rFonts w:ascii="Arial" w:hAnsi="Arial" w:cs="Arial"/>
          <w:sz w:val="20"/>
          <w:szCs w:val="20"/>
        </w:rPr>
        <w:t>. Además, se incluyó como objetivo secundario clave la mejora ≥4 puntos en PP-NRS, una medida reportada por el paciente con alta relevancia clínica al evaluar el prurito. El tamaño muestral se calculó a partir de los resultados del estudio fase 2b, asumiendo diferencias clínicamente relevantes del 18% (IGA) y 30% (EASI-75); sin embargo, aunque los resultados fueron estadísticamente significativos, las diferencias absolutas observadas en los estudios pivotales (≈11–12% para IGA y ≈12–15% para EASI-75) quedaron por debajo de esos umbrales predefinidos, lo que sugiere un beneficio modesto en aclaramiento cutáneo. Asimismo, la ausencia de comparaciones directas frente a tratamientos activos limita la interpretación de su posicionamiento clínico y no permite establecer con claridad una ventaja adicional en eficacia, seguridad o coste-efectividad frente a las alternativas disponibles.</w:t>
      </w:r>
    </w:p>
    <w:p w14:paraId="27A7EF17" w14:textId="77777777" w:rsidR="001F7F82" w:rsidRDefault="001F7F82" w:rsidP="001F7F82">
      <w:pPr>
        <w:rPr>
          <w:rFonts w:ascii="Arial" w:hAnsi="Arial" w:cs="Arial"/>
          <w:i/>
          <w:iCs/>
          <w:sz w:val="20"/>
          <w:szCs w:val="20"/>
        </w:rPr>
      </w:pPr>
    </w:p>
    <w:p w14:paraId="708BFB14" w14:textId="77777777" w:rsidR="001F7F82" w:rsidRDefault="001F7F82" w:rsidP="001F7F82">
      <w:pPr>
        <w:numPr>
          <w:ilvl w:val="0"/>
          <w:numId w:val="24"/>
        </w:numPr>
        <w:suppressAutoHyphens/>
      </w:pPr>
      <w:r>
        <w:rPr>
          <w:rFonts w:ascii="Arial" w:hAnsi="Arial" w:cs="Arial"/>
          <w:sz w:val="20"/>
          <w:szCs w:val="20"/>
          <w:u w:val="single"/>
        </w:rPr>
        <w:t>Subpoblaciones</w:t>
      </w:r>
    </w:p>
    <w:p w14:paraId="452C112C" w14:textId="77777777" w:rsidR="001F7F82" w:rsidRDefault="001F7F82" w:rsidP="001F7F82">
      <w:pPr>
        <w:rPr>
          <w:rFonts w:ascii="Arial" w:hAnsi="Arial" w:cs="Arial"/>
          <w:sz w:val="20"/>
          <w:szCs w:val="20"/>
          <w:lang w:val="en-US"/>
        </w:rPr>
      </w:pPr>
    </w:p>
    <w:p w14:paraId="469B95D5"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Resultados consistentes en adolescentes (≥12 años).</w:t>
      </w:r>
    </w:p>
    <w:p w14:paraId="59CFE5D8"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Efecto mantenido en subgrupo grave (NRS ≥7).</w:t>
      </w:r>
    </w:p>
    <w:p w14:paraId="17B164AA"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No diferencias relevantes por peso (&lt;90 kg vs ≥90 kg).</w:t>
      </w:r>
    </w:p>
    <w:p w14:paraId="0B6F9565"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Escasa exposición previa a biológicos (solo ~6% dupilumab).</w:t>
      </w:r>
    </w:p>
    <w:p w14:paraId="52C2E9AE" w14:textId="77777777" w:rsidR="001F7F82" w:rsidRPr="00AA733F" w:rsidRDefault="001F7F82" w:rsidP="001F7F82">
      <w:pPr>
        <w:rPr>
          <w:rFonts w:ascii="Arial" w:hAnsi="Arial" w:cs="Arial"/>
          <w:sz w:val="20"/>
          <w:szCs w:val="20"/>
        </w:rPr>
      </w:pPr>
    </w:p>
    <w:p w14:paraId="1A8B9593" w14:textId="77777777" w:rsidR="001F7F82" w:rsidRPr="000C11C6" w:rsidRDefault="001F7F82" w:rsidP="001F7F82">
      <w:pPr>
        <w:numPr>
          <w:ilvl w:val="0"/>
          <w:numId w:val="24"/>
        </w:numPr>
        <w:suppressAutoHyphens/>
      </w:pPr>
      <w:r>
        <w:rPr>
          <w:rFonts w:ascii="Arial" w:hAnsi="Arial" w:cs="Arial"/>
          <w:sz w:val="20"/>
          <w:szCs w:val="20"/>
          <w:u w:val="single"/>
        </w:rPr>
        <w:t>Limitaciones</w:t>
      </w:r>
    </w:p>
    <w:p w14:paraId="77F5E850" w14:textId="77777777" w:rsidR="000C11C6" w:rsidRDefault="000C11C6" w:rsidP="000C11C6">
      <w:pPr>
        <w:pStyle w:val="Prrafodelista"/>
      </w:pPr>
    </w:p>
    <w:p w14:paraId="2FDE42F1"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Comparación frente a placebo (no frente a biológicos/iJAK activos).</w:t>
      </w:r>
    </w:p>
    <w:p w14:paraId="7CBAF761"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Uso concomitante obligatorio de TCS.</w:t>
      </w:r>
    </w:p>
    <w:p w14:paraId="2BB150A8"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Evaluación primaria a 16 semanas.</w:t>
      </w:r>
    </w:p>
    <w:p w14:paraId="4C6FFFCB"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Poca experiencia en &lt;12 años.</w:t>
      </w:r>
    </w:p>
    <w:p w14:paraId="7FB4E283"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Exclusión de asma grave no controlada.</w:t>
      </w:r>
    </w:p>
    <w:p w14:paraId="5962BEA3" w14:textId="77777777" w:rsidR="000C11C6" w:rsidRDefault="000C11C6" w:rsidP="000C11C6">
      <w:pPr>
        <w:suppressAutoHyphens/>
      </w:pPr>
    </w:p>
    <w:p w14:paraId="3C386794" w14:textId="77777777" w:rsidR="001F7F82" w:rsidRDefault="001F7F82" w:rsidP="001F7F82">
      <w:pPr>
        <w:rPr>
          <w:rFonts w:ascii="Arial" w:hAnsi="Arial" w:cs="Arial"/>
          <w:sz w:val="20"/>
          <w:szCs w:val="20"/>
          <w:lang w:val="en-US"/>
        </w:rPr>
      </w:pPr>
    </w:p>
    <w:p w14:paraId="5AEA75FA" w14:textId="77777777" w:rsidR="001F7F82" w:rsidRDefault="001F7F82" w:rsidP="001F7F82">
      <w:pPr>
        <w:rPr>
          <w:rFonts w:ascii="Arial" w:hAnsi="Arial" w:cs="Arial"/>
          <w:i/>
          <w:iCs/>
          <w:sz w:val="20"/>
          <w:szCs w:val="20"/>
          <w:u w:val="single"/>
        </w:rPr>
      </w:pPr>
    </w:p>
    <w:p w14:paraId="6FBCD028" w14:textId="77777777" w:rsidR="001F7F82" w:rsidRDefault="001F7F82" w:rsidP="001F7F82">
      <w:r>
        <w:rPr>
          <w:rFonts w:ascii="Arial" w:hAnsi="Arial" w:cs="Arial"/>
          <w:b/>
          <w:bCs/>
          <w:sz w:val="20"/>
          <w:szCs w:val="20"/>
          <w:u w:val="single"/>
        </w:rPr>
        <w:t>SEGURIDAD</w:t>
      </w:r>
    </w:p>
    <w:p w14:paraId="398A94A7" w14:textId="77777777" w:rsidR="00BA6B74" w:rsidRDefault="00BA6B74" w:rsidP="000C11C6">
      <w:pPr>
        <w:shd w:val="clear" w:color="auto" w:fill="FFFFFF"/>
        <w:jc w:val="both"/>
        <w:rPr>
          <w:rFonts w:ascii="Arial" w:hAnsi="Arial" w:cs="Arial"/>
          <w:sz w:val="20"/>
          <w:szCs w:val="20"/>
        </w:rPr>
      </w:pPr>
      <w:r w:rsidRPr="00BA6B74">
        <w:rPr>
          <w:rFonts w:ascii="Arial" w:hAnsi="Arial" w:cs="Arial"/>
          <w:sz w:val="20"/>
          <w:szCs w:val="20"/>
        </w:rPr>
        <w:t>Los EA fueron frecuentes pero mayoritariamente leves o moderados, con tasas similares a placebo (47,5% vs 47,8%). Los EA graves fueron poco comunes, incluyendo infecciones graves, herpes zóster aislado, colitis eosinofílica o edema periférico, y no se registraron muertes relacionadas con el tratamiento. Las discontinuaciones por EA fueron bajas (2,6% vs 3,1% placebo). Nemolizumab mostró un perfil de seguridad más favorable que los iJAK y competitivo frente a los biológicos anti-IL-4/13. En conjunto, su balance beneficio-riesgo es favorable, con alta tolerabilidad y seguridad</w:t>
      </w:r>
      <w:r>
        <w:rPr>
          <w:rFonts w:ascii="Arial" w:hAnsi="Arial" w:cs="Arial"/>
          <w:sz w:val="20"/>
          <w:szCs w:val="20"/>
        </w:rPr>
        <w:t>.</w:t>
      </w:r>
    </w:p>
    <w:p w14:paraId="1475A9E8" w14:textId="77777777" w:rsidR="00BA6B74" w:rsidRPr="00BA6B74" w:rsidRDefault="00BA6B74" w:rsidP="000C11C6">
      <w:pPr>
        <w:shd w:val="clear" w:color="auto" w:fill="FFFFFF"/>
        <w:jc w:val="both"/>
        <w:rPr>
          <w:rFonts w:ascii="Arial" w:hAnsi="Arial" w:cs="Arial"/>
          <w:sz w:val="20"/>
          <w:szCs w:val="20"/>
        </w:rPr>
      </w:pPr>
    </w:p>
    <w:p w14:paraId="0103D797" w14:textId="77777777" w:rsidR="001F7F82" w:rsidRPr="00BA6B74" w:rsidRDefault="001F7F82" w:rsidP="001F7F82">
      <w:pPr>
        <w:numPr>
          <w:ilvl w:val="0"/>
          <w:numId w:val="24"/>
        </w:numPr>
        <w:suppressAutoHyphens/>
        <w:rPr>
          <w:rFonts w:ascii="Arial" w:hAnsi="Arial" w:cs="Arial"/>
          <w:sz w:val="20"/>
          <w:szCs w:val="20"/>
        </w:rPr>
      </w:pPr>
      <w:r w:rsidRPr="00BA6B74">
        <w:rPr>
          <w:rFonts w:ascii="Arial" w:hAnsi="Arial" w:cs="Arial"/>
          <w:sz w:val="20"/>
          <w:szCs w:val="20"/>
        </w:rPr>
        <w:t>Subpoblaciones</w:t>
      </w:r>
    </w:p>
    <w:p w14:paraId="0B727913"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Precaución en pacientes con asma.</w:t>
      </w:r>
    </w:p>
    <w:p w14:paraId="419B90BD"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No ajuste en ancianos ni en insuficiencia renal/hepática.</w:t>
      </w:r>
    </w:p>
    <w:p w14:paraId="080C88E7" w14:textId="77777777" w:rsidR="000C11C6" w:rsidRPr="000C11C6" w:rsidRDefault="000C11C6" w:rsidP="000C11C6">
      <w:pPr>
        <w:pStyle w:val="Prrafodelista"/>
        <w:numPr>
          <w:ilvl w:val="0"/>
          <w:numId w:val="24"/>
        </w:numPr>
        <w:rPr>
          <w:rFonts w:ascii="Arial" w:hAnsi="Arial" w:cs="Arial"/>
          <w:sz w:val="20"/>
          <w:szCs w:val="20"/>
        </w:rPr>
      </w:pPr>
      <w:r w:rsidRPr="000C11C6">
        <w:rPr>
          <w:rFonts w:ascii="Arial" w:hAnsi="Arial" w:cs="Arial"/>
          <w:sz w:val="20"/>
          <w:szCs w:val="20"/>
        </w:rPr>
        <w:t>No datos en &lt;12 años o &lt;30 kg</w:t>
      </w:r>
    </w:p>
    <w:p w14:paraId="63ECC6CE" w14:textId="77777777" w:rsidR="000C11C6" w:rsidRDefault="000C11C6" w:rsidP="000C11C6">
      <w:pPr>
        <w:suppressAutoHyphens/>
      </w:pPr>
    </w:p>
    <w:p w14:paraId="0D93B238" w14:textId="77777777" w:rsidR="001F7F82" w:rsidRDefault="001F7F82" w:rsidP="001F7F82">
      <w:pPr>
        <w:rPr>
          <w:rFonts w:ascii="Arial" w:hAnsi="Arial" w:cs="Arial"/>
          <w:color w:val="FF0000"/>
          <w:sz w:val="20"/>
          <w:szCs w:val="20"/>
        </w:rPr>
      </w:pPr>
    </w:p>
    <w:p w14:paraId="7628B89A" w14:textId="77777777" w:rsidR="001F7F82" w:rsidRDefault="001F7F82" w:rsidP="001F7F82">
      <w:r>
        <w:rPr>
          <w:rFonts w:ascii="Arial" w:hAnsi="Arial" w:cs="Arial"/>
          <w:b/>
          <w:bCs/>
          <w:sz w:val="20"/>
          <w:szCs w:val="20"/>
          <w:u w:val="single"/>
        </w:rPr>
        <w:t>COSTE</w:t>
      </w:r>
    </w:p>
    <w:p w14:paraId="133ED6DF" w14:textId="77777777" w:rsidR="00BA6B74" w:rsidRDefault="00BA6B74" w:rsidP="00BA6B74">
      <w:pPr>
        <w:rPr>
          <w:rFonts w:ascii="Arial" w:hAnsi="Arial" w:cs="Arial"/>
          <w:sz w:val="20"/>
          <w:szCs w:val="20"/>
        </w:rPr>
      </w:pPr>
      <w:r>
        <w:rPr>
          <w:rFonts w:ascii="Arial" w:hAnsi="Arial" w:cs="Arial"/>
          <w:bCs/>
          <w:sz w:val="20"/>
          <w:szCs w:val="20"/>
        </w:rPr>
        <w:t>N</w:t>
      </w:r>
      <w:r>
        <w:rPr>
          <w:rFonts w:ascii="Arial" w:hAnsi="Arial" w:cs="Arial"/>
          <w:sz w:val="20"/>
          <w:szCs w:val="20"/>
        </w:rPr>
        <w:t xml:space="preserve">emolizumab no está comercializado en España a la fecha de redacción de este informe, por ello, el precio se ha calculado en base al coste del fármaco importado como medicamento extranjero y ajustándolo en base al anticuerpo monoclonal con menor coste/día en el mantenimiento (lebrikizumab). </w:t>
      </w:r>
    </w:p>
    <w:p w14:paraId="6CC5E447" w14:textId="77777777" w:rsidR="00BA6B74" w:rsidRDefault="00BA6B74" w:rsidP="00BA6B74">
      <w:pPr>
        <w:rPr>
          <w:rFonts w:ascii="Arial" w:hAnsi="Arial" w:cs="Arial"/>
          <w:bCs/>
          <w:sz w:val="20"/>
          <w:szCs w:val="20"/>
        </w:rPr>
      </w:pPr>
      <w:r>
        <w:rPr>
          <w:rFonts w:ascii="Arial" w:hAnsi="Arial" w:cs="Arial"/>
          <w:sz w:val="20"/>
          <w:szCs w:val="20"/>
        </w:rPr>
        <w:t>Se debe considerar que probablemente la introducción de un nuevo fármaco en el mercado, aumente la competencia en cuanto a precios de las distintas alternativas</w:t>
      </w:r>
    </w:p>
    <w:p w14:paraId="7ED36BA1" w14:textId="77777777" w:rsidR="001F7F82" w:rsidRPr="008B665D" w:rsidRDefault="00BA6B74" w:rsidP="008B665D">
      <w:pPr>
        <w:rPr>
          <w:rFonts w:ascii="Arial" w:hAnsi="Arial" w:cs="Arial"/>
          <w:bCs/>
          <w:sz w:val="20"/>
          <w:szCs w:val="20"/>
        </w:rPr>
      </w:pPr>
      <w:r w:rsidRPr="00BA6B74">
        <w:rPr>
          <w:rFonts w:ascii="Arial" w:hAnsi="Arial" w:cs="Arial"/>
          <w:bCs/>
          <w:sz w:val="20"/>
          <w:szCs w:val="20"/>
        </w:rPr>
        <w:t>Nemolizumab competiría con estándares actuales en la segunda línea biológica de DA, por lo que no se espera impacto relevante. Podría suponer una línea de tratamiento biológico adicional en algunos pacientes antes de pasar a iJAK, menos seguros. Teniendo en cuenta tanto este uso adicional –generador de gasto moderado- como la posible inducción de competencia de precios –generadora de ahorro-, el escenario es difícil de cuantificar, pero se espera un impacto presupuestario muy limitado.</w:t>
      </w:r>
    </w:p>
    <w:p w14:paraId="0FD4F8CD" w14:textId="77777777" w:rsidR="00BC3E8E" w:rsidRPr="008B665D" w:rsidRDefault="00BC3E8E" w:rsidP="00BC3E8E">
      <w:pPr>
        <w:pStyle w:val="Textoindependiente3"/>
        <w:ind w:left="708"/>
        <w:jc w:val="both"/>
        <w:rPr>
          <w:bCs/>
          <w:sz w:val="20"/>
        </w:rPr>
      </w:pPr>
    </w:p>
    <w:p w14:paraId="785986F1" w14:textId="77777777" w:rsidR="00BC3E8E" w:rsidRPr="00616F7A"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73" w:name="_Toc344399668"/>
      <w:bookmarkStart w:id="174" w:name="_Toc348931399"/>
      <w:bookmarkStart w:id="175" w:name="_Toc216191122"/>
      <w:r w:rsidRPr="00616F7A">
        <w:rPr>
          <w:rFonts w:cs="Arial"/>
          <w:sz w:val="20"/>
        </w:rPr>
        <w:t>9.2 Decisión</w:t>
      </w:r>
      <w:bookmarkEnd w:id="173"/>
      <w:bookmarkEnd w:id="174"/>
      <w:bookmarkEnd w:id="175"/>
    </w:p>
    <w:p w14:paraId="1D9ACDC7" w14:textId="77777777" w:rsidR="00BC3E8E" w:rsidRPr="006F6ABB" w:rsidRDefault="00BC3E8E" w:rsidP="00BC3E8E">
      <w:pPr>
        <w:pStyle w:val="Textoindependiente2"/>
        <w:jc w:val="left"/>
        <w:rPr>
          <w:rFonts w:cs="Arial"/>
          <w:sz w:val="20"/>
        </w:rPr>
      </w:pPr>
    </w:p>
    <w:p w14:paraId="56D51971" w14:textId="77777777" w:rsidR="001F7F82" w:rsidRDefault="001F7F82" w:rsidP="001F7F82">
      <w:pPr>
        <w:jc w:val="both"/>
        <w:rPr>
          <w:rFonts w:ascii="Arial" w:hAnsi="Arial" w:cs="Arial"/>
          <w:sz w:val="20"/>
          <w:szCs w:val="20"/>
        </w:rPr>
      </w:pPr>
      <w:r w:rsidRPr="00255129">
        <w:rPr>
          <w:rFonts w:ascii="Arial" w:hAnsi="Arial" w:cs="Arial"/>
          <w:sz w:val="20"/>
          <w:szCs w:val="20"/>
        </w:rPr>
        <w:t>La propuesta de los autores del informe es que sea clasificado como</w:t>
      </w:r>
      <w:r>
        <w:rPr>
          <w:rFonts w:ascii="Arial" w:hAnsi="Arial" w:cs="Arial"/>
          <w:sz w:val="20"/>
          <w:szCs w:val="20"/>
        </w:rPr>
        <w:t xml:space="preserve"> categoría D según la guía GINF: Incluirlo con recomendaciones específicas. </w:t>
      </w:r>
    </w:p>
    <w:p w14:paraId="483DEF33" w14:textId="77777777" w:rsidR="00BC3E8E" w:rsidRPr="006F6ABB" w:rsidRDefault="00BC3E8E" w:rsidP="00BC3E8E">
      <w:pPr>
        <w:pStyle w:val="Encabezado"/>
        <w:tabs>
          <w:tab w:val="clear" w:pos="4252"/>
          <w:tab w:val="clear" w:pos="8504"/>
        </w:tabs>
        <w:rPr>
          <w:rFonts w:ascii="Arial" w:hAnsi="Arial" w:cs="Arial"/>
          <w:b/>
          <w:bCs/>
        </w:rPr>
      </w:pPr>
    </w:p>
    <w:p w14:paraId="0B0E47A1"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76" w:name="_Toc344399669"/>
      <w:bookmarkStart w:id="177" w:name="_Toc348931400"/>
      <w:bookmarkStart w:id="178" w:name="_Toc216191123"/>
      <w:r w:rsidRPr="00E3472F">
        <w:rPr>
          <w:rFonts w:cs="Arial"/>
          <w:sz w:val="20"/>
        </w:rPr>
        <w:t>9.3 Condiciones de uso (Solo en caso de clasificación D-E de la guía GINF)</w:t>
      </w:r>
      <w:bookmarkEnd w:id="176"/>
      <w:bookmarkEnd w:id="177"/>
      <w:bookmarkEnd w:id="178"/>
    </w:p>
    <w:p w14:paraId="3DDEA5A2" w14:textId="77777777" w:rsidR="00BC3E8E" w:rsidRPr="006F6ABB" w:rsidRDefault="00BC3E8E" w:rsidP="00BC3E8E">
      <w:pPr>
        <w:pStyle w:val="Encabezado"/>
        <w:tabs>
          <w:tab w:val="clear" w:pos="4252"/>
          <w:tab w:val="clear" w:pos="8504"/>
        </w:tabs>
        <w:rPr>
          <w:rFonts w:ascii="Arial" w:hAnsi="Arial" w:cs="Arial"/>
          <w:b/>
          <w:bCs/>
          <w:color w:val="FF0000"/>
        </w:rPr>
      </w:pPr>
    </w:p>
    <w:p w14:paraId="21850FE5" w14:textId="77777777" w:rsidR="00911185" w:rsidRDefault="00911185" w:rsidP="00911185">
      <w:pPr>
        <w:jc w:val="both"/>
        <w:rPr>
          <w:rFonts w:ascii="Arial" w:hAnsi="Arial" w:cs="Arial"/>
          <w:sz w:val="20"/>
          <w:szCs w:val="20"/>
        </w:rPr>
      </w:pPr>
      <w:r>
        <w:rPr>
          <w:rFonts w:ascii="Arial" w:hAnsi="Arial" w:cs="Arial"/>
          <w:sz w:val="20"/>
          <w:szCs w:val="20"/>
        </w:rPr>
        <w:t xml:space="preserve">Se considera que nemolizumab sería una alternativa en pacientes con dermatitis grave (EASI≥21) en los que están indicadas y financiadas el resto de anticuerpos monoclonales actualmente disponibles. </w:t>
      </w:r>
    </w:p>
    <w:p w14:paraId="08BF8815" w14:textId="77777777" w:rsidR="00911185" w:rsidRDefault="00911185" w:rsidP="00911185">
      <w:pPr>
        <w:jc w:val="both"/>
        <w:rPr>
          <w:rFonts w:ascii="Arial" w:hAnsi="Arial" w:cs="Arial"/>
          <w:sz w:val="20"/>
          <w:szCs w:val="20"/>
        </w:rPr>
      </w:pPr>
    </w:p>
    <w:p w14:paraId="36D43079" w14:textId="77777777" w:rsidR="00911185" w:rsidRDefault="00911185" w:rsidP="00911185">
      <w:pPr>
        <w:jc w:val="both"/>
        <w:rPr>
          <w:rFonts w:ascii="Arial" w:hAnsi="Arial" w:cs="Arial"/>
          <w:sz w:val="20"/>
          <w:szCs w:val="20"/>
        </w:rPr>
      </w:pPr>
      <w:r>
        <w:rPr>
          <w:rFonts w:ascii="Arial" w:hAnsi="Arial" w:cs="Arial"/>
          <w:sz w:val="20"/>
          <w:szCs w:val="20"/>
        </w:rPr>
        <w:t>En relación al posicionamiento con respecto al resto de alternativas, se considera que podría ser una opción de tratamiento en aquellos pacientes con una respuesta inadecuada a dupilumab..</w:t>
      </w:r>
    </w:p>
    <w:p w14:paraId="05545732" w14:textId="668DC75E" w:rsidR="00911185" w:rsidRDefault="00911185" w:rsidP="00BA6B74">
      <w:pPr>
        <w:jc w:val="both"/>
        <w:rPr>
          <w:rFonts w:ascii="Arial" w:hAnsi="Arial" w:cs="Arial"/>
          <w:sz w:val="20"/>
          <w:szCs w:val="20"/>
        </w:rPr>
      </w:pPr>
      <w:r>
        <w:rPr>
          <w:rFonts w:ascii="Arial" w:hAnsi="Arial" w:cs="Arial"/>
          <w:sz w:val="20"/>
          <w:szCs w:val="20"/>
        </w:rPr>
        <w:t>En ese lugar en terapéutica, nemolizumab, tralokinumab y lebrikizumab, se consideran alternativas terapéuticas de similar beneficio clínico (ATSBC), por lo que la elección de uno u otro se verá condicionada por el coste, según el precio que se establezca para nemolizumab y la posible competencia de precios. Existe incertidumbre sobre la utilidad de los anti-IL-13 tras dupilumab, que inhibe la subunidad alfa del receptor de IL-4, común con el receptor de IL-13; sin embargo, la forma en que interfieren con la IL-13 es distinta. Serán neces</w:t>
      </w:r>
      <w:r w:rsidR="00C1567E">
        <w:rPr>
          <w:rFonts w:ascii="Arial" w:hAnsi="Arial" w:cs="Arial"/>
          <w:sz w:val="20"/>
          <w:szCs w:val="20"/>
        </w:rPr>
        <w:t>a</w:t>
      </w:r>
      <w:r>
        <w:rPr>
          <w:rFonts w:ascii="Arial" w:hAnsi="Arial" w:cs="Arial"/>
          <w:sz w:val="20"/>
          <w:szCs w:val="20"/>
        </w:rPr>
        <w:t>r</w:t>
      </w:r>
      <w:r w:rsidR="00C1567E">
        <w:rPr>
          <w:rFonts w:ascii="Arial" w:hAnsi="Arial" w:cs="Arial"/>
          <w:sz w:val="20"/>
          <w:szCs w:val="20"/>
        </w:rPr>
        <w:t>i</w:t>
      </w:r>
      <w:r>
        <w:rPr>
          <w:rFonts w:ascii="Arial" w:hAnsi="Arial" w:cs="Arial"/>
          <w:sz w:val="20"/>
          <w:szCs w:val="20"/>
        </w:rPr>
        <w:t>s estudios adicionales para evaluar la eficacia de estos tras agentes en pacientes resistentes a dupilumab</w:t>
      </w:r>
    </w:p>
    <w:p w14:paraId="0FA1C659" w14:textId="77777777" w:rsidR="00911185" w:rsidRDefault="00911185" w:rsidP="00911185">
      <w:pPr>
        <w:rPr>
          <w:rFonts w:ascii="Arial" w:hAnsi="Arial" w:cs="Arial"/>
          <w:sz w:val="20"/>
          <w:szCs w:val="20"/>
        </w:rPr>
      </w:pPr>
    </w:p>
    <w:p w14:paraId="4C430C1D" w14:textId="77777777" w:rsidR="00BC3E8E" w:rsidRPr="006F6ABB" w:rsidRDefault="00BC3E8E" w:rsidP="00BC3E8E">
      <w:pPr>
        <w:pStyle w:val="Encabezado"/>
        <w:tabs>
          <w:tab w:val="clear" w:pos="4252"/>
          <w:tab w:val="clear" w:pos="8504"/>
        </w:tabs>
        <w:rPr>
          <w:rFonts w:ascii="Arial" w:hAnsi="Arial" w:cs="Arial"/>
          <w:b/>
          <w:bCs/>
        </w:rPr>
      </w:pPr>
    </w:p>
    <w:p w14:paraId="43348ED3" w14:textId="77777777"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79" w:name="_Toc344399670"/>
      <w:bookmarkStart w:id="180" w:name="_Toc348931401"/>
      <w:bookmarkStart w:id="181" w:name="_Toc216191124"/>
      <w:r w:rsidRPr="00E3472F">
        <w:rPr>
          <w:rFonts w:cs="Arial"/>
          <w:sz w:val="20"/>
        </w:rPr>
        <w:t>9.4 Plan de seguimiento</w:t>
      </w:r>
      <w:bookmarkEnd w:id="179"/>
      <w:bookmarkEnd w:id="180"/>
      <w:bookmarkEnd w:id="181"/>
    </w:p>
    <w:p w14:paraId="525809C5" w14:textId="77777777" w:rsidR="00BC3E8E" w:rsidRPr="006F6ABB" w:rsidRDefault="00BC3E8E" w:rsidP="00BC3E8E">
      <w:pPr>
        <w:pStyle w:val="Encabezado"/>
        <w:tabs>
          <w:tab w:val="clear" w:pos="4252"/>
          <w:tab w:val="clear" w:pos="8504"/>
        </w:tabs>
        <w:rPr>
          <w:rFonts w:ascii="Arial" w:hAnsi="Arial" w:cs="Arial"/>
          <w:b/>
          <w:bCs/>
        </w:rPr>
      </w:pPr>
    </w:p>
    <w:p w14:paraId="167BB198" w14:textId="77777777" w:rsidR="00BC3E8E" w:rsidRDefault="00BC3E8E" w:rsidP="00BC3E8E">
      <w:pPr>
        <w:jc w:val="right"/>
        <w:rPr>
          <w:rFonts w:ascii="Arial" w:hAnsi="Arial" w:cs="Arial"/>
          <w:color w:val="0000FF"/>
          <w:sz w:val="20"/>
          <w:szCs w:val="20"/>
          <w:u w:val="single"/>
        </w:rPr>
      </w:pPr>
    </w:p>
    <w:p w14:paraId="2258E4B2" w14:textId="77777777" w:rsidR="00BC3E8E" w:rsidRPr="006F6ABB" w:rsidRDefault="00BC3E8E" w:rsidP="00BC3E8E">
      <w:pPr>
        <w:pStyle w:val="Ttulo1"/>
        <w:pBdr>
          <w:top w:val="single" w:sz="4" w:space="1" w:color="auto"/>
          <w:left w:val="single" w:sz="4" w:space="4" w:color="auto"/>
          <w:bottom w:val="single" w:sz="4" w:space="1" w:color="auto"/>
          <w:right w:val="single" w:sz="4" w:space="4" w:color="auto"/>
        </w:pBdr>
        <w:shd w:val="clear" w:color="auto" w:fill="A6A6A6"/>
        <w:rPr>
          <w:rFonts w:cs="Arial"/>
        </w:rPr>
      </w:pPr>
      <w:bookmarkStart w:id="182" w:name="_Toc348931402"/>
      <w:bookmarkStart w:id="183" w:name="_Toc216191125"/>
      <w:r>
        <w:rPr>
          <w:rFonts w:cs="Arial"/>
        </w:rPr>
        <w:t>10</w:t>
      </w:r>
      <w:r w:rsidRPr="00DA38F3">
        <w:rPr>
          <w:rFonts w:cs="Arial"/>
        </w:rPr>
        <w:t xml:space="preserve">. </w:t>
      </w:r>
      <w:r>
        <w:rPr>
          <w:rFonts w:cs="Arial"/>
        </w:rPr>
        <w:t>BIBLIOGRAFÍA</w:t>
      </w:r>
      <w:bookmarkEnd w:id="182"/>
      <w:bookmarkEnd w:id="183"/>
    </w:p>
    <w:p w14:paraId="474A3749" w14:textId="77777777" w:rsidR="00BC3E8E" w:rsidRDefault="00BC3E8E" w:rsidP="00BC3E8E">
      <w:pPr>
        <w:rPr>
          <w:rFonts w:ascii="Arial" w:hAnsi="Arial" w:cs="Arial"/>
          <w:color w:val="0000FF"/>
          <w:sz w:val="20"/>
          <w:szCs w:val="20"/>
          <w:u w:val="single"/>
        </w:rPr>
      </w:pPr>
    </w:p>
    <w:p w14:paraId="0537D552" w14:textId="77777777" w:rsidR="00511A83" w:rsidRPr="00511A83" w:rsidRDefault="00646A51" w:rsidP="00511A83">
      <w:pPr>
        <w:pStyle w:val="Bibliografa"/>
        <w:rPr>
          <w:rFonts w:ascii="Arial" w:hAnsi="Arial" w:cs="Arial"/>
          <w:sz w:val="20"/>
        </w:rPr>
      </w:pPr>
      <w:r>
        <w:rPr>
          <w:rFonts w:ascii="Arial" w:hAnsi="Arial" w:cs="Arial"/>
          <w:color w:val="0000FF"/>
          <w:sz w:val="20"/>
          <w:szCs w:val="20"/>
          <w:u w:val="single"/>
        </w:rPr>
        <w:fldChar w:fldCharType="begin"/>
      </w:r>
      <w:r w:rsidR="00050BA5">
        <w:rPr>
          <w:rFonts w:ascii="Arial" w:hAnsi="Arial" w:cs="Arial"/>
          <w:color w:val="0000FF"/>
          <w:sz w:val="20"/>
          <w:szCs w:val="20"/>
          <w:u w:val="single"/>
        </w:rPr>
        <w:instrText xml:space="preserve"> ADDIN ZOTERO_BIBL {"uncited":[],"omitted":[],"custom":[]} CSL_BIBLIOGRAPHY </w:instrText>
      </w:r>
      <w:r>
        <w:rPr>
          <w:rFonts w:ascii="Arial" w:hAnsi="Arial" w:cs="Arial"/>
          <w:color w:val="0000FF"/>
          <w:sz w:val="20"/>
          <w:szCs w:val="20"/>
          <w:u w:val="single"/>
        </w:rPr>
        <w:fldChar w:fldCharType="separate"/>
      </w:r>
      <w:r w:rsidR="00511A83" w:rsidRPr="00511A83">
        <w:rPr>
          <w:rFonts w:ascii="Arial" w:hAnsi="Arial" w:cs="Arial"/>
          <w:sz w:val="20"/>
        </w:rPr>
        <w:t>1.</w:t>
      </w:r>
      <w:r w:rsidR="00511A83" w:rsidRPr="00511A83">
        <w:rPr>
          <w:rFonts w:ascii="Arial" w:hAnsi="Arial" w:cs="Arial"/>
          <w:sz w:val="20"/>
        </w:rPr>
        <w:tab/>
        <w:t>Saeki H, Ohya Y, Arakawa H, Ichiyama S, Katsunuma T, Katoh N, et al. English version of clinical practice guidelines for the management of atopic dermatitis 2024. J Dermatol. febrero de 2025;52(2):e70-142. doi:10.1111/1346-8138.17544 PubMed PMID: 39707640.</w:t>
      </w:r>
    </w:p>
    <w:p w14:paraId="49FF708C" w14:textId="77777777" w:rsidR="00511A83" w:rsidRPr="00511A83" w:rsidRDefault="00511A83" w:rsidP="00511A83">
      <w:pPr>
        <w:pStyle w:val="Bibliografa"/>
        <w:rPr>
          <w:rFonts w:ascii="Arial" w:hAnsi="Arial" w:cs="Arial"/>
          <w:sz w:val="20"/>
        </w:rPr>
      </w:pPr>
      <w:r w:rsidRPr="00511A83">
        <w:rPr>
          <w:rFonts w:ascii="Arial" w:hAnsi="Arial" w:cs="Arial"/>
          <w:sz w:val="20"/>
        </w:rPr>
        <w:t>2.</w:t>
      </w:r>
      <w:r w:rsidRPr="00511A83">
        <w:rPr>
          <w:rFonts w:ascii="Arial" w:hAnsi="Arial" w:cs="Arial"/>
          <w:sz w:val="20"/>
        </w:rPr>
        <w:tab/>
        <w:t>Martorell-Aragonés A, Martorell-calatayud C, Martorell-Calatayud A. Avances en el diagnóstico y tratamiento de la dermatitis atópica. An Pediatría Contin. 1 de marzo de 2011;9(2):73-80. doi:10.1016/S1696-2818(11)70011-7</w:t>
      </w:r>
    </w:p>
    <w:p w14:paraId="678D88D1" w14:textId="77777777" w:rsidR="00511A83" w:rsidRPr="00511A83" w:rsidRDefault="00511A83" w:rsidP="00511A83">
      <w:pPr>
        <w:pStyle w:val="Bibliografa"/>
        <w:rPr>
          <w:rFonts w:ascii="Arial" w:hAnsi="Arial" w:cs="Arial"/>
          <w:sz w:val="20"/>
        </w:rPr>
      </w:pPr>
      <w:r w:rsidRPr="00511A83">
        <w:rPr>
          <w:rFonts w:ascii="Arial" w:hAnsi="Arial" w:cs="Arial"/>
          <w:sz w:val="20"/>
        </w:rPr>
        <w:t>3.</w:t>
      </w:r>
      <w:r w:rsidRPr="00511A83">
        <w:rPr>
          <w:rFonts w:ascii="Arial" w:hAnsi="Arial" w:cs="Arial"/>
          <w:sz w:val="20"/>
        </w:rPr>
        <w:tab/>
        <w:t>Guttman-Yassky E, Renert-Yuval Y, Brunner PM. Atopic dermatitis. Lancet Lond Engl. 15 de febrero de 2025;405(10478):583-96. doi:10.1016/S0140-6736(24)02519-4 PubMed PMID: 39955121.</w:t>
      </w:r>
    </w:p>
    <w:p w14:paraId="3BC6B196" w14:textId="77777777" w:rsidR="00511A83" w:rsidRPr="00511A83" w:rsidRDefault="00511A83" w:rsidP="00511A83">
      <w:pPr>
        <w:pStyle w:val="Bibliografa"/>
        <w:rPr>
          <w:rFonts w:ascii="Arial" w:hAnsi="Arial" w:cs="Arial"/>
          <w:sz w:val="20"/>
        </w:rPr>
      </w:pPr>
      <w:r w:rsidRPr="00511A83">
        <w:rPr>
          <w:rFonts w:ascii="Arial" w:hAnsi="Arial" w:cs="Arial"/>
          <w:sz w:val="20"/>
        </w:rPr>
        <w:t>4.</w:t>
      </w:r>
      <w:r w:rsidRPr="00511A83">
        <w:rPr>
          <w:rFonts w:ascii="Arial" w:hAnsi="Arial" w:cs="Arial"/>
          <w:sz w:val="20"/>
        </w:rPr>
        <w:tab/>
        <w:t>Yang YB, Lynde CW, Fleming P. Common Atopic Dermatitis Rating Scales: A Practical Approach and Brief Review. J Cutan Med Surg. 2020;24(4):399-404. doi:10.1177/1203475420923644 PubMed PMID: 32396013.</w:t>
      </w:r>
    </w:p>
    <w:p w14:paraId="5097A467" w14:textId="77777777" w:rsidR="00511A83" w:rsidRPr="00511A83" w:rsidRDefault="00511A83" w:rsidP="00511A83">
      <w:pPr>
        <w:pStyle w:val="Bibliografa"/>
        <w:rPr>
          <w:rFonts w:ascii="Arial" w:hAnsi="Arial" w:cs="Arial"/>
          <w:sz w:val="20"/>
        </w:rPr>
      </w:pPr>
      <w:r w:rsidRPr="00511A83">
        <w:rPr>
          <w:rFonts w:ascii="Arial" w:hAnsi="Arial" w:cs="Arial"/>
          <w:sz w:val="20"/>
        </w:rPr>
        <w:t>5.</w:t>
      </w:r>
      <w:r w:rsidRPr="00511A83">
        <w:rPr>
          <w:rFonts w:ascii="Arial" w:hAnsi="Arial" w:cs="Arial"/>
          <w:sz w:val="20"/>
        </w:rPr>
        <w:tab/>
        <w:t>Silverberg JI, Wollenberg A, Reich A, Thaçi D, Legat FJ, Papp KA, et al. Nemolizumab with concomitant topical therapy in adolescents and adults with moderate-to-severe atopic dermatitis (ARCADIA 1 and ARCADIA 2): results from two replicate, double-blind, randomised controlled phase 3 trials. The Lancet. 3 de agosto de 2024;404(10451):445-60. doi:10.1016/S0140-6736(24)01203-0 PubMed PMID: 39067461.</w:t>
      </w:r>
    </w:p>
    <w:p w14:paraId="648AE63F" w14:textId="77777777" w:rsidR="00511A83" w:rsidRPr="00511A83" w:rsidRDefault="00511A83" w:rsidP="00511A83">
      <w:pPr>
        <w:pStyle w:val="Bibliografa"/>
        <w:rPr>
          <w:rFonts w:ascii="Arial" w:hAnsi="Arial" w:cs="Arial"/>
          <w:sz w:val="20"/>
        </w:rPr>
      </w:pPr>
      <w:r w:rsidRPr="00511A83">
        <w:rPr>
          <w:rFonts w:ascii="Arial" w:hAnsi="Arial" w:cs="Arial"/>
          <w:sz w:val="20"/>
        </w:rPr>
        <w:t>6.</w:t>
      </w:r>
      <w:r w:rsidRPr="00511A83">
        <w:rPr>
          <w:rFonts w:ascii="Arial" w:hAnsi="Arial" w:cs="Arial"/>
          <w:sz w:val="20"/>
        </w:rPr>
        <w:tab/>
        <w:t>Nemolizumab for treating moderate to severe atopic dermatitis in people 12 years and over [Internet]. London: National Institute for Health and Care Excellence (NICE); 2025 [citado 5 de noviembre de 2025]. (National Institute for Health and Care Excellence: Technology Appraisals). Disponible en: http://www.ncbi.nlm.nih.gov/books/NBK617252/ PubMed PMID: 40828954.</w:t>
      </w:r>
    </w:p>
    <w:p w14:paraId="3FAFEF21" w14:textId="77777777" w:rsidR="00511A83" w:rsidRPr="00511A83" w:rsidRDefault="00511A83" w:rsidP="00511A83">
      <w:pPr>
        <w:pStyle w:val="Bibliografa"/>
        <w:rPr>
          <w:rFonts w:ascii="Arial" w:hAnsi="Arial" w:cs="Arial"/>
          <w:sz w:val="20"/>
        </w:rPr>
      </w:pPr>
      <w:r w:rsidRPr="00511A83">
        <w:rPr>
          <w:rFonts w:ascii="Arial" w:hAnsi="Arial" w:cs="Arial"/>
          <w:sz w:val="20"/>
        </w:rPr>
        <w:t>7.</w:t>
      </w:r>
      <w:r w:rsidRPr="00511A83">
        <w:rPr>
          <w:rFonts w:ascii="Arial" w:hAnsi="Arial" w:cs="Arial"/>
          <w:sz w:val="20"/>
        </w:rPr>
        <w:tab/>
        <w:t>Davis DMR, Drucker AM, Alikhan A, Bercovitch L, Cohen DE, Darr JM, et al. Guidelines of care for the management of atopic dermatitis in adults with phototherapy and systemic therapies. J Am Acad Dermatol. febrero de 2024;90(2):e43-56. doi:10.1016/j.jaad.2023.08.102 PubMed PMID: 37943240.</w:t>
      </w:r>
    </w:p>
    <w:p w14:paraId="5B75A293" w14:textId="77777777" w:rsidR="00511A83" w:rsidRPr="00511A83" w:rsidRDefault="00511A83" w:rsidP="00511A83">
      <w:pPr>
        <w:pStyle w:val="Bibliografa"/>
        <w:rPr>
          <w:rFonts w:ascii="Arial" w:hAnsi="Arial" w:cs="Arial"/>
          <w:sz w:val="20"/>
        </w:rPr>
      </w:pPr>
      <w:r w:rsidRPr="00511A83">
        <w:rPr>
          <w:rFonts w:ascii="Arial" w:hAnsi="Arial" w:cs="Arial"/>
          <w:sz w:val="20"/>
        </w:rPr>
        <w:t>8.</w:t>
      </w:r>
      <w:r w:rsidRPr="00511A83">
        <w:rPr>
          <w:rFonts w:ascii="Arial" w:hAnsi="Arial" w:cs="Arial"/>
          <w:sz w:val="20"/>
        </w:rPr>
        <w:tab/>
        <w:t>Davis DMR, Frazer-Green L, Alikhan A, Bercovitch L, Cohen DE, Darr JM, et al. Focused update: Guidelines of care for the management of atopic dermatitis in adults. J Am Acad Dermatol. 1 de septiembre de 2025;93(3):745.e1-745.e7. doi:10.1016/j.jaad.2025.05.1386 PubMed PMID: 40531067.</w:t>
      </w:r>
    </w:p>
    <w:p w14:paraId="4AEAB639" w14:textId="77777777" w:rsidR="00511A83" w:rsidRPr="00511A83" w:rsidRDefault="00511A83" w:rsidP="00511A83">
      <w:pPr>
        <w:pStyle w:val="Bibliografa"/>
        <w:rPr>
          <w:rFonts w:ascii="Arial" w:hAnsi="Arial" w:cs="Arial"/>
          <w:sz w:val="20"/>
        </w:rPr>
      </w:pPr>
      <w:r w:rsidRPr="00511A83">
        <w:rPr>
          <w:rFonts w:ascii="Arial" w:hAnsi="Arial" w:cs="Arial"/>
          <w:sz w:val="20"/>
        </w:rPr>
        <w:t>9.</w:t>
      </w:r>
      <w:r w:rsidRPr="00511A83">
        <w:rPr>
          <w:rFonts w:ascii="Arial" w:hAnsi="Arial" w:cs="Arial"/>
          <w:sz w:val="20"/>
        </w:rPr>
        <w:tab/>
        <w:t>Wollenberg A, Kinberger M, Arents B, Aszodi N, Barbarot S, Bieber T, et al. European Guideline (EuroGuiDerm) on atopic eczema: Living update. J Eur Acad Dermatol Venereol. septiembre de 2025;39(9):1537-66. doi:10.1111/jdv.20639 PubMed PMID: 40317496; PubMed Central PMCID: PMC12376260.</w:t>
      </w:r>
    </w:p>
    <w:p w14:paraId="295D73DD" w14:textId="77777777" w:rsidR="00511A83" w:rsidRPr="00511A83" w:rsidRDefault="00511A83" w:rsidP="00511A83">
      <w:pPr>
        <w:pStyle w:val="Bibliografa"/>
        <w:rPr>
          <w:rFonts w:ascii="Arial" w:hAnsi="Arial" w:cs="Arial"/>
          <w:sz w:val="20"/>
        </w:rPr>
      </w:pPr>
      <w:r w:rsidRPr="00511A83">
        <w:rPr>
          <w:rFonts w:ascii="Arial" w:hAnsi="Arial" w:cs="Arial"/>
          <w:sz w:val="20"/>
        </w:rPr>
        <w:t>10.</w:t>
      </w:r>
      <w:r w:rsidRPr="00511A83">
        <w:rPr>
          <w:rFonts w:ascii="Arial" w:hAnsi="Arial" w:cs="Arial"/>
          <w:sz w:val="20"/>
        </w:rPr>
        <w:tab/>
        <w:t>Ministerio de Sanidad - Profesionales de la Salud - Buscador situación financiación medicamentos [Internet]. [citado 9 de diciembre de 2025]. Disponible en: https://www.sanidad.gob.es/profesionales/medicamentos.do</w:t>
      </w:r>
    </w:p>
    <w:p w14:paraId="01329FE2" w14:textId="77777777" w:rsidR="00511A83" w:rsidRPr="00511A83" w:rsidRDefault="00511A83" w:rsidP="00511A83">
      <w:pPr>
        <w:pStyle w:val="Bibliografa"/>
        <w:rPr>
          <w:rFonts w:ascii="Arial" w:hAnsi="Arial" w:cs="Arial"/>
          <w:sz w:val="20"/>
        </w:rPr>
      </w:pPr>
      <w:r w:rsidRPr="00511A83">
        <w:rPr>
          <w:rFonts w:ascii="Arial" w:hAnsi="Arial" w:cs="Arial"/>
          <w:sz w:val="20"/>
        </w:rPr>
        <w:t>11.</w:t>
      </w:r>
      <w:r w:rsidRPr="00511A83">
        <w:rPr>
          <w:rFonts w:ascii="Arial" w:hAnsi="Arial" w:cs="Arial"/>
          <w:sz w:val="20"/>
        </w:rPr>
        <w:tab/>
        <w:t>:: CIMA ::. Centro de información de medicamentos [Internet]. [citado 9 de diciembre de 2025]. Disponible en: https://cima.aemps.es/cima/publico/home.html</w:t>
      </w:r>
    </w:p>
    <w:p w14:paraId="0E2C563B" w14:textId="77777777" w:rsidR="00511A83" w:rsidRPr="00511A83" w:rsidRDefault="00511A83" w:rsidP="00511A83">
      <w:pPr>
        <w:pStyle w:val="Bibliografa"/>
        <w:rPr>
          <w:rFonts w:ascii="Arial" w:hAnsi="Arial" w:cs="Arial"/>
          <w:sz w:val="20"/>
        </w:rPr>
      </w:pPr>
      <w:r w:rsidRPr="00511A83">
        <w:rPr>
          <w:rFonts w:ascii="Arial" w:hAnsi="Arial" w:cs="Arial"/>
          <w:sz w:val="20"/>
        </w:rPr>
        <w:t>12.</w:t>
      </w:r>
      <w:r w:rsidRPr="00511A83">
        <w:rPr>
          <w:rFonts w:ascii="Arial" w:hAnsi="Arial" w:cs="Arial"/>
          <w:sz w:val="20"/>
        </w:rPr>
        <w:tab/>
        <w:t>Agencia Española del Medicamento (AEMPS). CIMA. Ficha técnica Nemluvio 30 mg polvo y disolvente para solución inyectable en pluma precargada. [Internet]. [citado 5 de noviembre de 2025]. Disponible en: https://cima.aemps.es/cima/dochtml/ft/1241901001/FT_1241901001.html</w:t>
      </w:r>
    </w:p>
    <w:p w14:paraId="55F4C098" w14:textId="77777777" w:rsidR="00511A83" w:rsidRPr="00511A83" w:rsidRDefault="00511A83" w:rsidP="00511A83">
      <w:pPr>
        <w:pStyle w:val="Bibliografa"/>
        <w:rPr>
          <w:rFonts w:ascii="Arial" w:hAnsi="Arial" w:cs="Arial"/>
          <w:sz w:val="20"/>
        </w:rPr>
      </w:pPr>
      <w:r w:rsidRPr="00511A83">
        <w:rPr>
          <w:rFonts w:ascii="Arial" w:hAnsi="Arial" w:cs="Arial"/>
          <w:sz w:val="20"/>
        </w:rPr>
        <w:t>13.</w:t>
      </w:r>
      <w:r w:rsidRPr="00511A83">
        <w:rPr>
          <w:rFonts w:ascii="Arial" w:hAnsi="Arial" w:cs="Arial"/>
          <w:sz w:val="20"/>
        </w:rPr>
        <w:tab/>
        <w:t>European Medicines Agency (EMA). Informe EPAR Nemluvio [Internet]. 2024 [citado 5 de noviembre de 2025]. Disponible en: https://www.ema.europa.eu/en/medicines/human/EPAR/nemluvio</w:t>
      </w:r>
    </w:p>
    <w:p w14:paraId="298D5E2D" w14:textId="77777777" w:rsidR="00511A83" w:rsidRPr="00511A83" w:rsidRDefault="00511A83" w:rsidP="00511A83">
      <w:pPr>
        <w:pStyle w:val="Bibliografa"/>
        <w:rPr>
          <w:rFonts w:ascii="Arial" w:hAnsi="Arial" w:cs="Arial"/>
          <w:sz w:val="20"/>
        </w:rPr>
      </w:pPr>
      <w:r w:rsidRPr="00511A83">
        <w:rPr>
          <w:rFonts w:ascii="Arial" w:hAnsi="Arial" w:cs="Arial"/>
          <w:sz w:val="20"/>
        </w:rPr>
        <w:t>14.</w:t>
      </w:r>
      <w:r w:rsidRPr="00511A83">
        <w:rPr>
          <w:rFonts w:ascii="Arial" w:hAnsi="Arial" w:cs="Arial"/>
          <w:sz w:val="20"/>
        </w:rPr>
        <w:tab/>
        <w:t>Food and Drug Administration. Nemluvio. FDA Prescribing information. [Internet]. 2025 [citado 5 de noviembre de 2025]. Disponible en: https://www.accessdata.fda.gov/drugsatfda_docs/label/2024/761391s000lbl.pdf</w:t>
      </w:r>
    </w:p>
    <w:p w14:paraId="2F62A324" w14:textId="77777777" w:rsidR="00511A83" w:rsidRPr="00511A83" w:rsidRDefault="00511A83" w:rsidP="00511A83">
      <w:pPr>
        <w:pStyle w:val="Bibliografa"/>
        <w:rPr>
          <w:rFonts w:ascii="Arial" w:hAnsi="Arial" w:cs="Arial"/>
          <w:sz w:val="20"/>
        </w:rPr>
      </w:pPr>
      <w:r w:rsidRPr="00511A83">
        <w:rPr>
          <w:rFonts w:ascii="Arial" w:hAnsi="Arial" w:cs="Arial"/>
          <w:sz w:val="20"/>
        </w:rPr>
        <w:t>15.</w:t>
      </w:r>
      <w:r w:rsidRPr="00511A83">
        <w:rPr>
          <w:rFonts w:ascii="Arial" w:hAnsi="Arial" w:cs="Arial"/>
          <w:sz w:val="20"/>
        </w:rPr>
        <w:tab/>
        <w:t>Kabashima K, Matsumura T, Komazaki H, Kawashima M, Nemolizumab-JP01 Study Group. Trial of Nemolizumab and Topical Agents for Atopic Dermatitis with Pruritus. N Engl J Med. 9 de julio de 2020;383(2):141-50. doi:10.1056/NEJMoa1917006 PubMed PMID: 32640132.</w:t>
      </w:r>
    </w:p>
    <w:p w14:paraId="761957CB" w14:textId="77777777" w:rsidR="00511A83" w:rsidRPr="00511A83" w:rsidRDefault="00511A83" w:rsidP="00511A83">
      <w:pPr>
        <w:pStyle w:val="Bibliografa"/>
        <w:rPr>
          <w:rFonts w:ascii="Arial" w:hAnsi="Arial" w:cs="Arial"/>
          <w:sz w:val="20"/>
        </w:rPr>
      </w:pPr>
      <w:r w:rsidRPr="00511A83">
        <w:rPr>
          <w:rFonts w:ascii="Arial" w:hAnsi="Arial" w:cs="Arial"/>
          <w:sz w:val="20"/>
        </w:rPr>
        <w:t>16.</w:t>
      </w:r>
      <w:r w:rsidRPr="00511A83">
        <w:rPr>
          <w:rFonts w:ascii="Arial" w:hAnsi="Arial" w:cs="Arial"/>
          <w:sz w:val="20"/>
        </w:rPr>
        <w:tab/>
        <w:t>Reich K, Thyssen JP, Blauvelt A, Eyerich K, Soong W, Rice ZP, et al. Efficacy and safety of abrocitinib versus dupilumab in adults with moderate-to-severe atopic dermatitis: a randomised, double-blind, multicentre phase 3 trial. Lancet Lond Engl. 23 de julio de 2022;400(10348):273-82. doi:10.1016/S0140-6736(22)01199-0 PubMed PMID: 35871814.</w:t>
      </w:r>
    </w:p>
    <w:p w14:paraId="4549FE08" w14:textId="77777777" w:rsidR="00511A83" w:rsidRPr="00511A83" w:rsidRDefault="00511A83" w:rsidP="00511A83">
      <w:pPr>
        <w:pStyle w:val="Bibliografa"/>
        <w:rPr>
          <w:rFonts w:ascii="Arial" w:hAnsi="Arial" w:cs="Arial"/>
          <w:sz w:val="20"/>
        </w:rPr>
      </w:pPr>
      <w:r w:rsidRPr="00511A83">
        <w:rPr>
          <w:rFonts w:ascii="Arial" w:hAnsi="Arial" w:cs="Arial"/>
          <w:sz w:val="20"/>
        </w:rPr>
        <w:t>17.</w:t>
      </w:r>
      <w:r w:rsidRPr="00511A83">
        <w:rPr>
          <w:rFonts w:ascii="Arial" w:hAnsi="Arial" w:cs="Arial"/>
          <w:sz w:val="20"/>
        </w:rPr>
        <w:tab/>
        <w:t>Blauvelt A, Teixeira HD, Simpson EL, Costanzo A, De Bruin-Weller M, Barbarot S, et al. Efficacy and Safety of Upadacitinib vs Dupilumab in Adults With Moderate-to-Severe Atopic Dermatitis. JAMA Dermatol. septiembre de 2021;157(9):1047-55. doi:10.1001/jamadermatol.2021.3023 PubMed PMID: 34347860; PubMed Central PMCID: PMC8340015.</w:t>
      </w:r>
    </w:p>
    <w:p w14:paraId="42A35957" w14:textId="77777777" w:rsidR="00511A83" w:rsidRPr="00511A83" w:rsidRDefault="00511A83" w:rsidP="00511A83">
      <w:pPr>
        <w:pStyle w:val="Bibliografa"/>
        <w:rPr>
          <w:rFonts w:ascii="Arial" w:hAnsi="Arial" w:cs="Arial"/>
          <w:sz w:val="20"/>
        </w:rPr>
      </w:pPr>
      <w:r w:rsidRPr="00511A83">
        <w:rPr>
          <w:rFonts w:ascii="Arial" w:hAnsi="Arial" w:cs="Arial"/>
          <w:sz w:val="20"/>
        </w:rPr>
        <w:t>18.</w:t>
      </w:r>
      <w:r w:rsidRPr="00511A83">
        <w:rPr>
          <w:rFonts w:ascii="Arial" w:hAnsi="Arial" w:cs="Arial"/>
          <w:sz w:val="20"/>
        </w:rPr>
        <w:tab/>
        <w:t>Silverberg JI, Bunick CG, Hong HCH, Mendes-Bastos P, Stein Gold L, Costanzo A, et al. Efficacy and safety of upadacitinib versus dupilumab in adults and adolescents with moderate-to-severe atopic dermatitis: week 16 results of an open-label randomized efficacy assessor-blinded head-to-head phase IIIb/IV study (Level Up). Br J Dermatol. 23 de diciembre de 2024;192(1):36-45. doi:10.1093/bjd/ljae404 PubMed PMID: 39438067.</w:t>
      </w:r>
    </w:p>
    <w:p w14:paraId="0FA72FAE" w14:textId="77777777" w:rsidR="00511A83" w:rsidRPr="00511A83" w:rsidRDefault="00511A83" w:rsidP="00511A83">
      <w:pPr>
        <w:pStyle w:val="Bibliografa"/>
        <w:rPr>
          <w:rFonts w:ascii="Arial" w:hAnsi="Arial" w:cs="Arial"/>
          <w:sz w:val="20"/>
        </w:rPr>
      </w:pPr>
      <w:r w:rsidRPr="00511A83">
        <w:rPr>
          <w:rFonts w:ascii="Arial" w:hAnsi="Arial" w:cs="Arial"/>
          <w:sz w:val="20"/>
        </w:rPr>
        <w:t>19.</w:t>
      </w:r>
      <w:r w:rsidRPr="00511A83">
        <w:rPr>
          <w:rFonts w:ascii="Arial" w:hAnsi="Arial" w:cs="Arial"/>
          <w:sz w:val="20"/>
        </w:rPr>
        <w:tab/>
        <w:t>European Medicines Agency (EMA). Informe EPAR Adtralza (Tralokinumab) [Internet]. 2021 [citado 18 de noviembre de 2025]. Disponible en: https://www.ema.europa.eu/en/medicines/human/EPAR/adtralza</w:t>
      </w:r>
    </w:p>
    <w:p w14:paraId="1BDCEE38" w14:textId="77777777" w:rsidR="00511A83" w:rsidRPr="00511A83" w:rsidRDefault="00511A83" w:rsidP="00511A83">
      <w:pPr>
        <w:pStyle w:val="Bibliografa"/>
        <w:rPr>
          <w:rFonts w:ascii="Arial" w:hAnsi="Arial" w:cs="Arial"/>
          <w:sz w:val="20"/>
        </w:rPr>
      </w:pPr>
      <w:r w:rsidRPr="00511A83">
        <w:rPr>
          <w:rFonts w:ascii="Arial" w:hAnsi="Arial" w:cs="Arial"/>
          <w:sz w:val="20"/>
        </w:rPr>
        <w:t>20.</w:t>
      </w:r>
      <w:r w:rsidRPr="00511A83">
        <w:rPr>
          <w:rFonts w:ascii="Arial" w:hAnsi="Arial" w:cs="Arial"/>
          <w:sz w:val="20"/>
        </w:rPr>
        <w:tab/>
        <w:t>Comité Asesor para la Financiación de la Prestación Farmacéutica del SNS. Recomendaciones sobre los criterios y procedimientos para orientar la fijación de precios y la inclusión y exclusión, a la entrada en el mercado o con posterioridad, de un medicamento en la coebrtura pública. 2022.</w:t>
      </w:r>
    </w:p>
    <w:p w14:paraId="05ABA32E" w14:textId="77777777" w:rsidR="00511A83" w:rsidRPr="00511A83" w:rsidRDefault="00511A83" w:rsidP="00511A83">
      <w:pPr>
        <w:pStyle w:val="Bibliografa"/>
        <w:rPr>
          <w:rFonts w:ascii="Arial" w:hAnsi="Arial" w:cs="Arial"/>
          <w:sz w:val="20"/>
        </w:rPr>
      </w:pPr>
      <w:r w:rsidRPr="00511A83">
        <w:rPr>
          <w:rFonts w:ascii="Arial" w:hAnsi="Arial" w:cs="Arial"/>
          <w:sz w:val="20"/>
        </w:rPr>
        <w:t>21.</w:t>
      </w:r>
      <w:r w:rsidRPr="00511A83">
        <w:rPr>
          <w:rFonts w:ascii="Arial" w:hAnsi="Arial" w:cs="Arial"/>
          <w:sz w:val="20"/>
        </w:rPr>
        <w:tab/>
        <w:t>Kim T, Shin KS, Kim H, Kim E, Choi L, Lee DH. Matching-adjusted Indirect Comparison (MAIC) of Tralokinumab Versus Dupilumab for the Treatment of Moderate to Severe Adult Atopic Dermatitis. Korean J Clin Pharm. 2023;33(3):178-85. doi:10.24304/kjcp.2023.33.3.178</w:t>
      </w:r>
    </w:p>
    <w:p w14:paraId="249FBE1B" w14:textId="77777777" w:rsidR="00511A83" w:rsidRPr="00511A83" w:rsidRDefault="00511A83" w:rsidP="00511A83">
      <w:pPr>
        <w:pStyle w:val="Bibliografa"/>
        <w:rPr>
          <w:rFonts w:ascii="Arial" w:hAnsi="Arial" w:cs="Arial"/>
          <w:sz w:val="20"/>
        </w:rPr>
      </w:pPr>
      <w:r w:rsidRPr="00511A83">
        <w:rPr>
          <w:rFonts w:ascii="Arial" w:hAnsi="Arial" w:cs="Arial"/>
          <w:sz w:val="20"/>
        </w:rPr>
        <w:t>22.</w:t>
      </w:r>
      <w:r w:rsidRPr="00511A83">
        <w:rPr>
          <w:rFonts w:ascii="Arial" w:hAnsi="Arial" w:cs="Arial"/>
          <w:sz w:val="20"/>
        </w:rPr>
        <w:tab/>
        <w:t>Li H, Arthur A, Forouzandeh M, Pomputius A, Cuervo-Pardo L, Montanez-Wiscovich M. New and Emerging Pharmacotherapies for Pruritus: A Systematic Review and Network Meta-Analysis. Dermat Contact Atopic Occup Drug. 2025;36(4):333-42. doi:10.1089/derm.2023.0419 PubMed PMID: 40541282.</w:t>
      </w:r>
    </w:p>
    <w:p w14:paraId="1F4CD399" w14:textId="77777777" w:rsidR="00511A83" w:rsidRPr="00511A83" w:rsidRDefault="00511A83" w:rsidP="00511A83">
      <w:pPr>
        <w:pStyle w:val="Bibliografa"/>
        <w:rPr>
          <w:rFonts w:ascii="Arial" w:hAnsi="Arial" w:cs="Arial"/>
          <w:sz w:val="20"/>
        </w:rPr>
      </w:pPr>
      <w:r w:rsidRPr="00511A83">
        <w:rPr>
          <w:rFonts w:ascii="Arial" w:hAnsi="Arial" w:cs="Arial"/>
          <w:sz w:val="20"/>
        </w:rPr>
        <w:t>23.</w:t>
      </w:r>
      <w:r w:rsidRPr="00511A83">
        <w:rPr>
          <w:rFonts w:ascii="Arial" w:hAnsi="Arial" w:cs="Arial"/>
          <w:sz w:val="20"/>
        </w:rPr>
        <w:tab/>
        <w:t>Bai JQA, Geng RSQ, Gupta S, Akuffo-Addo E, Lam M, Sibbald C. Nemolizumab for the Treatment of Dermatological Conditions: A Systematic Review of Randomized Placebo-Controlled Trials. J Cutan Med Surg. 19 de junio de 2025;12034754251351620. doi:10.1177/12034754251351620 PubMed PMID: 40538092.</w:t>
      </w:r>
    </w:p>
    <w:p w14:paraId="615E5A7D" w14:textId="77777777" w:rsidR="00511A83" w:rsidRPr="00511A83" w:rsidRDefault="00511A83" w:rsidP="00511A83">
      <w:pPr>
        <w:pStyle w:val="Bibliografa"/>
        <w:rPr>
          <w:rFonts w:ascii="Arial" w:hAnsi="Arial" w:cs="Arial"/>
          <w:sz w:val="20"/>
        </w:rPr>
      </w:pPr>
      <w:r w:rsidRPr="00511A83">
        <w:rPr>
          <w:rFonts w:ascii="Arial" w:hAnsi="Arial" w:cs="Arial"/>
          <w:sz w:val="20"/>
        </w:rPr>
        <w:t>24.</w:t>
      </w:r>
      <w:r w:rsidRPr="00511A83">
        <w:rPr>
          <w:rFonts w:ascii="Arial" w:hAnsi="Arial" w:cs="Arial"/>
          <w:sz w:val="20"/>
        </w:rPr>
        <w:tab/>
        <w:t>Drucker AM, Walwyn C, Chu C, Yiu ZZN, Rochwerg B, Di Giorgio S, et al. Living network meta-analysis to compare nemolizumab against other available targeted systemic treatments for atopic dermatitis. Br J Dermatol. 18 de agosto de 2025;193(3):548-52. doi:10.1093/bjd/ljaf166 PubMed PMID: 40334148; PubMed Central PMCID: PMC12360034.</w:t>
      </w:r>
    </w:p>
    <w:p w14:paraId="7BC2594E" w14:textId="77777777" w:rsidR="00511A83" w:rsidRPr="00511A83" w:rsidRDefault="00511A83" w:rsidP="00511A83">
      <w:pPr>
        <w:pStyle w:val="Bibliografa"/>
        <w:rPr>
          <w:rFonts w:ascii="Arial" w:hAnsi="Arial" w:cs="Arial"/>
          <w:sz w:val="20"/>
        </w:rPr>
      </w:pPr>
      <w:r w:rsidRPr="00511A83">
        <w:rPr>
          <w:rFonts w:ascii="Arial" w:hAnsi="Arial" w:cs="Arial"/>
          <w:sz w:val="20"/>
        </w:rPr>
        <w:t>25.</w:t>
      </w:r>
      <w:r w:rsidRPr="00511A83">
        <w:rPr>
          <w:rFonts w:ascii="Arial" w:hAnsi="Arial" w:cs="Arial"/>
          <w:sz w:val="20"/>
        </w:rPr>
        <w:tab/>
        <w:t>Reich K, Kabashima K, Peris K, Silverberg JI, Eichenfield LF, Bieber T, et al. Efficacy and Safety of Baricitinib Combined With Topical Corticosteroids for Treatment of Moderate to Severe Atopic Dermatitis. JAMA Dermatol. diciembre de 2020;156(12):1-11. doi:10.1001/jamadermatol.2020.3260 PubMed PMID: 33001140; PubMed Central PMCID: PMC7527941.</w:t>
      </w:r>
    </w:p>
    <w:p w14:paraId="69E8F4C1" w14:textId="77777777" w:rsidR="00511A83" w:rsidRPr="00511A83" w:rsidRDefault="00511A83" w:rsidP="00511A83">
      <w:pPr>
        <w:pStyle w:val="Bibliografa"/>
        <w:rPr>
          <w:rFonts w:ascii="Arial" w:hAnsi="Arial" w:cs="Arial"/>
          <w:sz w:val="20"/>
        </w:rPr>
      </w:pPr>
      <w:r w:rsidRPr="00511A83">
        <w:rPr>
          <w:rFonts w:ascii="Arial" w:hAnsi="Arial" w:cs="Arial"/>
          <w:sz w:val="20"/>
        </w:rPr>
        <w:t>26.</w:t>
      </w:r>
      <w:r w:rsidRPr="00511A83">
        <w:rPr>
          <w:rFonts w:ascii="Arial" w:hAnsi="Arial" w:cs="Arial"/>
          <w:sz w:val="20"/>
        </w:rPr>
        <w:tab/>
        <w:t>Blauvelt A, de Bruin-Weller M, Gooderham M, Cather JC, Weisman J, Pariser D, et al. Long-term management of moderate-to-severe atopic dermatitis with dupilumab and concomitant topical corticosteroids (LIBERTY AD CHRONOS): a 1-year, randomised, double-blinded, placebo-controlled, phase 3 trial. Lancet Lond Engl. 10 de junio de 2017;389(10086):2287-303. doi:10.1016/S0140-6736(17)31191-1 PubMed PMID: 28478972.</w:t>
      </w:r>
    </w:p>
    <w:p w14:paraId="29026DDA" w14:textId="77777777" w:rsidR="00511A83" w:rsidRPr="00511A83" w:rsidRDefault="00511A83" w:rsidP="00511A83">
      <w:pPr>
        <w:pStyle w:val="Bibliografa"/>
        <w:rPr>
          <w:rFonts w:ascii="Arial" w:hAnsi="Arial" w:cs="Arial"/>
          <w:sz w:val="20"/>
        </w:rPr>
      </w:pPr>
      <w:r w:rsidRPr="00511A83">
        <w:rPr>
          <w:rFonts w:ascii="Arial" w:hAnsi="Arial" w:cs="Arial"/>
          <w:sz w:val="20"/>
        </w:rPr>
        <w:t>27.</w:t>
      </w:r>
      <w:r w:rsidRPr="00511A83">
        <w:rPr>
          <w:rFonts w:ascii="Arial" w:hAnsi="Arial" w:cs="Arial"/>
          <w:sz w:val="20"/>
        </w:rPr>
        <w:tab/>
        <w:t>Simpson EL, Gooderham M, Wollenberg A, Weidinger S, Armstrong A, Soung J, et al. Efficacy and Safety of Lebrikizumab in Combination With Topical Corticosteroids in Adolescents and Adults With Moderate-to-Severe Atopic Dermatitis: A Randomized Clinical Trial (ADhere). JAMA Dermatol. 1 de febrero de 2023;159(2):182-91. doi:10.1001/jamadermatol.2022.5534 PubMed PMID: 36630140; PubMed Central PMCID: PMC9857439.</w:t>
      </w:r>
    </w:p>
    <w:p w14:paraId="5D3D0096" w14:textId="77777777" w:rsidR="00511A83" w:rsidRPr="00511A83" w:rsidRDefault="00511A83" w:rsidP="00511A83">
      <w:pPr>
        <w:pStyle w:val="Bibliografa"/>
        <w:rPr>
          <w:rFonts w:ascii="Arial" w:hAnsi="Arial" w:cs="Arial"/>
          <w:sz w:val="20"/>
        </w:rPr>
      </w:pPr>
      <w:r w:rsidRPr="00511A83">
        <w:rPr>
          <w:rFonts w:ascii="Arial" w:hAnsi="Arial" w:cs="Arial"/>
          <w:sz w:val="20"/>
        </w:rPr>
        <w:t>28.</w:t>
      </w:r>
      <w:r w:rsidRPr="00511A83">
        <w:rPr>
          <w:rFonts w:ascii="Arial" w:hAnsi="Arial" w:cs="Arial"/>
          <w:sz w:val="20"/>
        </w:rPr>
        <w:tab/>
        <w:t>Reich K, Teixeira HD, de Bruin-Weller M, Bieber T, Soong W, Kabashima K, et al. Safety and efficacy of upadacitinib in combination with topical corticosteroids in adolescents and adults with moderate-to-severe atopic dermatitis (AD Up): results from a randomised, double-blind, placebo-controlled, phase 3 trial. Lancet Lond Engl. 5 de junio de 2021;397(10290):2169-81. doi:10.1016/S0140-6736(21)00589-4 PubMed PMID: 34023009.</w:t>
      </w:r>
    </w:p>
    <w:p w14:paraId="084C63C5" w14:textId="77777777" w:rsidR="00511A83" w:rsidRPr="00511A83" w:rsidRDefault="00511A83" w:rsidP="00511A83">
      <w:pPr>
        <w:pStyle w:val="Bibliografa"/>
        <w:rPr>
          <w:rFonts w:ascii="Arial" w:hAnsi="Arial" w:cs="Arial"/>
          <w:sz w:val="20"/>
        </w:rPr>
      </w:pPr>
      <w:r w:rsidRPr="00511A83">
        <w:rPr>
          <w:rFonts w:ascii="Arial" w:hAnsi="Arial" w:cs="Arial"/>
          <w:sz w:val="20"/>
        </w:rPr>
        <w:t>29.</w:t>
      </w:r>
      <w:r w:rsidRPr="00511A83">
        <w:rPr>
          <w:rFonts w:ascii="Arial" w:hAnsi="Arial" w:cs="Arial"/>
          <w:sz w:val="20"/>
        </w:rPr>
        <w:tab/>
        <w:t>Bieber T, Simpson EL, Silverberg JI, Thaçi D, Paul C, Pink AE, et al. Abrocitinib versus Placebo or Dupilumab for Atopic Dermatitis. N Engl J Med. 25 de marzo de 2021. Located at: world. doi:10.1056/NEJMoa2019380</w:t>
      </w:r>
    </w:p>
    <w:p w14:paraId="759C37E8" w14:textId="77777777" w:rsidR="00511A83" w:rsidRPr="00511A83" w:rsidRDefault="00511A83" w:rsidP="00511A83">
      <w:pPr>
        <w:pStyle w:val="Bibliografa"/>
        <w:rPr>
          <w:rFonts w:ascii="Arial" w:hAnsi="Arial" w:cs="Arial"/>
          <w:sz w:val="20"/>
        </w:rPr>
      </w:pPr>
      <w:r w:rsidRPr="00511A83">
        <w:rPr>
          <w:rFonts w:ascii="Arial" w:hAnsi="Arial" w:cs="Arial"/>
          <w:sz w:val="20"/>
        </w:rPr>
        <w:t>30.</w:t>
      </w:r>
      <w:r w:rsidRPr="00511A83">
        <w:rPr>
          <w:rFonts w:ascii="Arial" w:hAnsi="Arial" w:cs="Arial"/>
          <w:sz w:val="20"/>
        </w:rPr>
        <w:tab/>
        <w:t>Simpson EL, Bieber T, Guttman-Yassky E, Beck LA, Blauvelt A, Cork MJ, et al. Two Phase 3 Trials of Dupilumab versus Placebo in Atopic Dermatitis. N Engl J Med. 15 de diciembre de 2016;375(24):2335-48. doi:10.1056/NEJMoa1610020 PubMed PMID: 27690741.</w:t>
      </w:r>
    </w:p>
    <w:p w14:paraId="0519BA18" w14:textId="77777777" w:rsidR="00511A83" w:rsidRPr="00511A83" w:rsidRDefault="00511A83" w:rsidP="00511A83">
      <w:pPr>
        <w:pStyle w:val="Bibliografa"/>
        <w:rPr>
          <w:rFonts w:ascii="Arial" w:hAnsi="Arial" w:cs="Arial"/>
          <w:sz w:val="20"/>
        </w:rPr>
      </w:pPr>
      <w:r w:rsidRPr="00511A83">
        <w:rPr>
          <w:rFonts w:ascii="Arial" w:hAnsi="Arial" w:cs="Arial"/>
          <w:sz w:val="20"/>
        </w:rPr>
        <w:t>31.</w:t>
      </w:r>
      <w:r w:rsidRPr="00511A83">
        <w:rPr>
          <w:rFonts w:ascii="Arial" w:hAnsi="Arial" w:cs="Arial"/>
          <w:sz w:val="20"/>
        </w:rPr>
        <w:tab/>
        <w:t>Wollenberg A, Blauvelt A, Guttman-Yassky E, Worm M, Lynde C, Lacour JP, et al. Tralokinumab for moderate-to-severe atopic dermatitis: results from two 52-week, randomized, double-blind, multicentre, placebo-controlled phase III trials (ECZTRA 1 and ECZTRA 2). Br J Dermatol. marzo de 2021;184(3):437-49. doi:10.1111/bjd.19574 PubMed PMID: 33000465; PubMed Central PMCID: PMC7986411.</w:t>
      </w:r>
    </w:p>
    <w:p w14:paraId="4704D31B" w14:textId="77777777" w:rsidR="00511A83" w:rsidRPr="00511A83" w:rsidRDefault="00511A83" w:rsidP="00511A83">
      <w:pPr>
        <w:pStyle w:val="Bibliografa"/>
        <w:rPr>
          <w:rFonts w:ascii="Arial" w:hAnsi="Arial" w:cs="Arial"/>
          <w:sz w:val="20"/>
        </w:rPr>
      </w:pPr>
      <w:r w:rsidRPr="00511A83">
        <w:rPr>
          <w:rFonts w:ascii="Arial" w:hAnsi="Arial" w:cs="Arial"/>
          <w:sz w:val="20"/>
        </w:rPr>
        <w:t>32.</w:t>
      </w:r>
      <w:r w:rsidRPr="00511A83">
        <w:rPr>
          <w:rFonts w:ascii="Arial" w:hAnsi="Arial" w:cs="Arial"/>
          <w:sz w:val="20"/>
        </w:rPr>
        <w:tab/>
        <w:t>Silverberg JI, Guttman-Yassky E, Thaçi D, Irvine AD, Stein Gold L, Blauvelt A, et al. Two Phase 3 Trials of Lebrikizumab for Moderate-to-Severe Atopic Dermatitis. N Engl J Med. 23 de marzo de 2023;388(12):1080-91. doi:10.1056/NEJMoa2206714 PubMed PMID: 36920778.</w:t>
      </w:r>
    </w:p>
    <w:p w14:paraId="1F2388FA" w14:textId="77777777" w:rsidR="00511A83" w:rsidRPr="00511A83" w:rsidRDefault="00511A83" w:rsidP="00511A83">
      <w:pPr>
        <w:pStyle w:val="Bibliografa"/>
        <w:rPr>
          <w:rFonts w:ascii="Arial" w:hAnsi="Arial" w:cs="Arial"/>
          <w:sz w:val="20"/>
        </w:rPr>
      </w:pPr>
      <w:r w:rsidRPr="00511A83">
        <w:rPr>
          <w:rFonts w:ascii="Arial" w:hAnsi="Arial" w:cs="Arial"/>
          <w:sz w:val="20"/>
        </w:rPr>
        <w:t>33.</w:t>
      </w:r>
      <w:r w:rsidRPr="00511A83">
        <w:rPr>
          <w:rFonts w:ascii="Arial" w:hAnsi="Arial" w:cs="Arial"/>
          <w:sz w:val="20"/>
        </w:rPr>
        <w:tab/>
        <w:t>Instituto para la Calidad y la Eficiencia en la Atención Sanitaria (IQWiG). Nemolizumab (atopic dermatitis) [Internet]. [citado 18 de noviembre de 2025]. Disponible en: https://www.iqwig.de/en/projects/a25-32.html doi:10.60584/A25-32</w:t>
      </w:r>
    </w:p>
    <w:p w14:paraId="314AB451" w14:textId="77777777" w:rsidR="00511A83" w:rsidRPr="00511A83" w:rsidRDefault="00511A83" w:rsidP="00511A83">
      <w:pPr>
        <w:pStyle w:val="Bibliografa"/>
        <w:rPr>
          <w:rFonts w:ascii="Arial" w:hAnsi="Arial" w:cs="Arial"/>
          <w:sz w:val="20"/>
        </w:rPr>
      </w:pPr>
      <w:r w:rsidRPr="00511A83">
        <w:rPr>
          <w:rFonts w:ascii="Arial" w:hAnsi="Arial" w:cs="Arial"/>
          <w:sz w:val="20"/>
        </w:rPr>
        <w:t>34.</w:t>
      </w:r>
      <w:r w:rsidRPr="00511A83">
        <w:rPr>
          <w:rFonts w:ascii="Arial" w:hAnsi="Arial" w:cs="Arial"/>
          <w:sz w:val="20"/>
        </w:rPr>
        <w:tab/>
        <w:t>Haute Autorité de Santé. NEMLUVIO (nemolizumab) - Atopic dermatitis in adults and in adolescents ≥ 12 years. [Internet]. [citado 18 de noviembre de 2025]. Disponible en: https://www.has-sante.fr/jcms/p_3635776/en/nemluvio-nemolizumab-atopic-dermatitis-in-adults-and-in-adolescents-12-years</w:t>
      </w:r>
    </w:p>
    <w:p w14:paraId="19F44492" w14:textId="77777777" w:rsidR="00511A83" w:rsidRPr="00511A83" w:rsidRDefault="00511A83" w:rsidP="00511A83">
      <w:pPr>
        <w:pStyle w:val="Bibliografa"/>
        <w:rPr>
          <w:rFonts w:ascii="Arial" w:hAnsi="Arial" w:cs="Arial"/>
          <w:sz w:val="20"/>
        </w:rPr>
      </w:pPr>
      <w:r w:rsidRPr="00511A83">
        <w:rPr>
          <w:rFonts w:ascii="Arial" w:hAnsi="Arial" w:cs="Arial"/>
          <w:sz w:val="20"/>
        </w:rPr>
        <w:t>35.</w:t>
      </w:r>
      <w:r w:rsidRPr="00511A83">
        <w:rPr>
          <w:rFonts w:ascii="Arial" w:hAnsi="Arial" w:cs="Arial"/>
          <w:sz w:val="20"/>
        </w:rPr>
        <w:tab/>
        <w:t>Kamata M, Sun DI, Paller AS. Deciding Which Patients With Atopic Dermatitis to Prioritize for Biologics and Janus Kinase Inhibitors. J Allergy Clin Immunol Pract. 1 de agosto de 2025;13(8):1901-1910.e1. doi:10.1016/j.jaip.2025.04.042 PubMed PMID: 40368249.</w:t>
      </w:r>
    </w:p>
    <w:p w14:paraId="4AF750E8" w14:textId="77777777" w:rsidR="00511A83" w:rsidRPr="00511A83" w:rsidRDefault="00511A83" w:rsidP="00511A83">
      <w:pPr>
        <w:pStyle w:val="Bibliografa"/>
        <w:rPr>
          <w:rFonts w:ascii="Arial" w:hAnsi="Arial" w:cs="Arial"/>
          <w:sz w:val="20"/>
        </w:rPr>
      </w:pPr>
      <w:r w:rsidRPr="00511A83">
        <w:rPr>
          <w:rFonts w:ascii="Arial" w:hAnsi="Arial" w:cs="Arial"/>
          <w:sz w:val="20"/>
        </w:rPr>
        <w:t>36.</w:t>
      </w:r>
      <w:r w:rsidRPr="00511A83">
        <w:rPr>
          <w:rFonts w:ascii="Arial" w:hAnsi="Arial" w:cs="Arial"/>
          <w:sz w:val="20"/>
        </w:rPr>
        <w:tab/>
        <w:t>Augustin M, Tauber M, Sidbury R, Silverberg JI, Papp KA, Thaçi D, et al. Safety and efficacy of nemolizumab for atopic dermatitis up to 2 years in open-label extension study. J Eur Acad Dermatol Venereol JEADV. 13 de octubre de 2025. doi:10.1111/jdv.70080 PubMed PMID: 41081535.</w:t>
      </w:r>
    </w:p>
    <w:p w14:paraId="0CE7B325" w14:textId="77777777" w:rsidR="00511A83" w:rsidRPr="00511A83" w:rsidRDefault="00511A83" w:rsidP="00511A83">
      <w:pPr>
        <w:pStyle w:val="Bibliografa"/>
        <w:rPr>
          <w:rFonts w:ascii="Arial" w:hAnsi="Arial" w:cs="Arial"/>
          <w:sz w:val="20"/>
        </w:rPr>
      </w:pPr>
      <w:r w:rsidRPr="00511A83">
        <w:rPr>
          <w:rFonts w:ascii="Arial" w:hAnsi="Arial" w:cs="Arial"/>
          <w:sz w:val="20"/>
        </w:rPr>
        <w:t>37.</w:t>
      </w:r>
      <w:r w:rsidRPr="00511A83">
        <w:rPr>
          <w:rFonts w:ascii="Arial" w:hAnsi="Arial" w:cs="Arial"/>
          <w:sz w:val="20"/>
        </w:rPr>
        <w:tab/>
        <w:t>Artime E, Serra E, Mert C, Díaz-Cerezo S, Huete T, Hernández-Subirá I, et al. Real-World Treatment Patterns, Resource Use and Costs in Adult Patients With Atopic Dermatitis Receiving Systemic Treatment: Derma-Atopic Study in Spain. Actas Dermosifiliogr. enero de 2023;114(1):9-18. doi:10.1016/j.ad.2022.08.015 PubMed PMID: 36030827.</w:t>
      </w:r>
    </w:p>
    <w:p w14:paraId="2FD04445" w14:textId="77777777" w:rsidR="00511A83" w:rsidRPr="00511A83" w:rsidRDefault="00511A83" w:rsidP="00511A83">
      <w:pPr>
        <w:pStyle w:val="Bibliografa"/>
        <w:rPr>
          <w:rFonts w:ascii="Arial" w:hAnsi="Arial" w:cs="Arial"/>
          <w:sz w:val="20"/>
        </w:rPr>
      </w:pPr>
      <w:r w:rsidRPr="00511A83">
        <w:rPr>
          <w:rFonts w:ascii="Arial" w:hAnsi="Arial" w:cs="Arial"/>
          <w:sz w:val="20"/>
        </w:rPr>
        <w:t>38.</w:t>
      </w:r>
      <w:r w:rsidRPr="00511A83">
        <w:rPr>
          <w:rFonts w:ascii="Arial" w:hAnsi="Arial" w:cs="Arial"/>
          <w:sz w:val="20"/>
        </w:rPr>
        <w:tab/>
        <w:t>Deep knowledge on small-molecule drugs and the global patents covering them [Internet]. [citado 26 de noviembre de 2025]. When do the patents on DUPIXENT expire, and when will biosimilar DUPIXENT launch? Disponible en: //www.DrugPatentWatch.com/p/biologics/tradename/DUPIXENT?srsltid=AfmBOopSYUe8tkp1eX2a9sVEWZHtCdAc38J6re5T3DzyWl7V5JhgaAod&amp;utm_source=chatgpt.com</w:t>
      </w:r>
    </w:p>
    <w:p w14:paraId="63D7DCE3" w14:textId="77777777" w:rsidR="00511A83" w:rsidRPr="00511A83" w:rsidRDefault="00511A83" w:rsidP="00511A83">
      <w:pPr>
        <w:pStyle w:val="Bibliografa"/>
        <w:rPr>
          <w:rFonts w:ascii="Arial" w:hAnsi="Arial" w:cs="Arial"/>
          <w:sz w:val="20"/>
        </w:rPr>
      </w:pPr>
      <w:r w:rsidRPr="00511A83">
        <w:rPr>
          <w:rFonts w:ascii="Arial" w:hAnsi="Arial" w:cs="Arial"/>
          <w:sz w:val="20"/>
        </w:rPr>
        <w:t>39.</w:t>
      </w:r>
      <w:r w:rsidRPr="00511A83">
        <w:rPr>
          <w:rFonts w:ascii="Arial" w:hAnsi="Arial" w:cs="Arial"/>
          <w:sz w:val="20"/>
        </w:rPr>
        <w:tab/>
        <w:t>INE [Internet]. [citado 26 de noviembre de 2025]. Press Release: Annual Population Census. 1 January 2024. Preliminary Results . Disponible en: https://www.ine.es/dyngs/Prensa/en/CENSO2024.htm?utm_source=chatgpt.com</w:t>
      </w:r>
    </w:p>
    <w:p w14:paraId="6B41D7CA" w14:textId="77777777" w:rsidR="00511A83" w:rsidRPr="00511A83" w:rsidRDefault="00511A83" w:rsidP="00511A83">
      <w:pPr>
        <w:pStyle w:val="Bibliografa"/>
        <w:rPr>
          <w:rFonts w:ascii="Arial" w:hAnsi="Arial" w:cs="Arial"/>
          <w:sz w:val="20"/>
        </w:rPr>
      </w:pPr>
      <w:r w:rsidRPr="00511A83">
        <w:rPr>
          <w:rFonts w:ascii="Arial" w:hAnsi="Arial" w:cs="Arial"/>
          <w:sz w:val="20"/>
        </w:rPr>
        <w:t>40.</w:t>
      </w:r>
      <w:r w:rsidRPr="00511A83">
        <w:rPr>
          <w:rFonts w:ascii="Arial" w:hAnsi="Arial" w:cs="Arial"/>
          <w:sz w:val="20"/>
        </w:rPr>
        <w:tab/>
        <w:t>Indicadores clave del Sistema Nacional de Salud [Internet]. [citado 26 de noviembre de 2025]. Disponible en: https://inclasns.sanidad.gob.es/report/population/?utm_source=chatgpt.com</w:t>
      </w:r>
    </w:p>
    <w:p w14:paraId="58004CBA" w14:textId="77777777" w:rsidR="00511A83" w:rsidRPr="00511A83" w:rsidRDefault="00511A83" w:rsidP="00511A83">
      <w:pPr>
        <w:pStyle w:val="Bibliografa"/>
        <w:rPr>
          <w:rFonts w:ascii="Arial" w:hAnsi="Arial" w:cs="Arial"/>
          <w:sz w:val="20"/>
        </w:rPr>
      </w:pPr>
      <w:r w:rsidRPr="00511A83">
        <w:rPr>
          <w:rFonts w:ascii="Arial" w:hAnsi="Arial" w:cs="Arial"/>
          <w:sz w:val="20"/>
        </w:rPr>
        <w:t>41.</w:t>
      </w:r>
      <w:r w:rsidRPr="00511A83">
        <w:rPr>
          <w:rFonts w:ascii="Arial" w:hAnsi="Arial" w:cs="Arial"/>
          <w:sz w:val="20"/>
        </w:rPr>
        <w:tab/>
        <w:t>Mora T, Sánchez-Collado I, Mullol J, Muñoz-Cano R, Ribó P, Valero A. Prevalence of atopic dermatitis in the adolescent population of Catalonia (Spain). Allergol Immunopathol (Madr). 2023;51(4):101-9. doi:10.15586/aei.v51i4.893 PubMed PMID: 37422786.</w:t>
      </w:r>
    </w:p>
    <w:p w14:paraId="1E8C6E96" w14:textId="77777777" w:rsidR="00511A83" w:rsidRPr="00511A83" w:rsidRDefault="00511A83" w:rsidP="00511A83">
      <w:pPr>
        <w:pStyle w:val="Bibliografa"/>
        <w:rPr>
          <w:rFonts w:ascii="Arial" w:hAnsi="Arial" w:cs="Arial"/>
          <w:sz w:val="20"/>
        </w:rPr>
      </w:pPr>
      <w:r w:rsidRPr="00511A83">
        <w:rPr>
          <w:rFonts w:ascii="Arial" w:hAnsi="Arial" w:cs="Arial"/>
          <w:sz w:val="20"/>
        </w:rPr>
        <w:t>42.</w:t>
      </w:r>
      <w:r w:rsidRPr="00511A83">
        <w:rPr>
          <w:rFonts w:ascii="Arial" w:hAnsi="Arial" w:cs="Arial"/>
          <w:sz w:val="20"/>
        </w:rPr>
        <w:tab/>
        <w:t>Mora T, Sánchez-Collado I, Mullol J, Muñoz-Cano R, Ribó P, Valero A. Prevalence of Atopic Dermatitis in the Adult Population of Catalonia, Spain: A Large-Scale, Retrospective, Population-Based Study. J Investig Allergol Clin Immunol. 29 de julio de 2024;34(4):225-32. doi:10.18176/jiaci.0899 PubMed PMID: 36811843.</w:t>
      </w:r>
    </w:p>
    <w:p w14:paraId="0C7B435E" w14:textId="77777777" w:rsidR="00511A83" w:rsidRPr="00511A83" w:rsidRDefault="00511A83" w:rsidP="00511A83">
      <w:pPr>
        <w:pStyle w:val="Bibliografa"/>
        <w:rPr>
          <w:rFonts w:ascii="Arial" w:hAnsi="Arial" w:cs="Arial"/>
          <w:sz w:val="20"/>
        </w:rPr>
      </w:pPr>
      <w:r w:rsidRPr="00511A83">
        <w:rPr>
          <w:rFonts w:ascii="Arial" w:hAnsi="Arial" w:cs="Arial"/>
          <w:sz w:val="20"/>
        </w:rPr>
        <w:t>43.</w:t>
      </w:r>
      <w:r w:rsidRPr="00511A83">
        <w:rPr>
          <w:rFonts w:ascii="Arial" w:hAnsi="Arial" w:cs="Arial"/>
          <w:sz w:val="20"/>
        </w:rPr>
        <w:tab/>
        <w:t>Migliavaca CB, Lazzarini R, Stein C, Escher GN, de Gaspari CN, dos Santos HWG, et al. Prevalence of Atopic Dermatitis: A Systematic Review and Meta-Analysis. Dermatitis®. noviembre de 2025;36(6):575-82. doi:10.1089/derm.2024.0165</w:t>
      </w:r>
    </w:p>
    <w:p w14:paraId="6FD41C93" w14:textId="77777777" w:rsidR="00BC3E8E" w:rsidRDefault="00646A51" w:rsidP="00BC3E8E">
      <w:pPr>
        <w:rPr>
          <w:rFonts w:ascii="Arial" w:hAnsi="Arial" w:cs="Arial"/>
          <w:color w:val="0000FF"/>
          <w:sz w:val="20"/>
          <w:szCs w:val="20"/>
          <w:u w:val="single"/>
        </w:rPr>
      </w:pPr>
      <w:r>
        <w:rPr>
          <w:rFonts w:ascii="Arial" w:hAnsi="Arial" w:cs="Arial"/>
          <w:color w:val="0000FF"/>
          <w:sz w:val="20"/>
          <w:szCs w:val="20"/>
          <w:u w:val="single"/>
        </w:rPr>
        <w:fldChar w:fldCharType="end"/>
      </w:r>
    </w:p>
    <w:p w14:paraId="375932C8" w14:textId="77777777" w:rsidR="00280125" w:rsidRDefault="00280125" w:rsidP="00BC3E8E">
      <w:pPr>
        <w:shd w:val="clear" w:color="auto" w:fill="DBE5F1"/>
        <w:autoSpaceDE w:val="0"/>
        <w:autoSpaceDN w:val="0"/>
        <w:adjustRightInd w:val="0"/>
        <w:spacing w:line="240" w:lineRule="atLeast"/>
        <w:jc w:val="center"/>
        <w:rPr>
          <w:rFonts w:ascii="Arial" w:hAnsi="Arial" w:cs="Arial"/>
          <w:b/>
          <w:bCs/>
          <w:color w:val="000000"/>
          <w:sz w:val="20"/>
          <w:szCs w:val="20"/>
        </w:rPr>
      </w:pPr>
    </w:p>
    <w:p w14:paraId="73FDF466" w14:textId="77777777" w:rsidR="00280125" w:rsidRPr="00280125" w:rsidRDefault="00280125" w:rsidP="00280125">
      <w:pPr>
        <w:rPr>
          <w:rFonts w:ascii="Arial" w:hAnsi="Arial" w:cs="Arial"/>
          <w:sz w:val="20"/>
          <w:szCs w:val="20"/>
        </w:rPr>
      </w:pPr>
    </w:p>
    <w:p w14:paraId="7095F3C6" w14:textId="77777777" w:rsidR="00280125" w:rsidRPr="00280125" w:rsidRDefault="00280125" w:rsidP="00280125">
      <w:pPr>
        <w:rPr>
          <w:rFonts w:ascii="Arial" w:hAnsi="Arial" w:cs="Arial"/>
          <w:sz w:val="20"/>
          <w:szCs w:val="20"/>
        </w:rPr>
      </w:pPr>
    </w:p>
    <w:p w14:paraId="43B5E38C" w14:textId="77777777" w:rsidR="00280125" w:rsidRDefault="00280125" w:rsidP="00BC3E8E">
      <w:pPr>
        <w:shd w:val="clear" w:color="auto" w:fill="DBE5F1"/>
        <w:autoSpaceDE w:val="0"/>
        <w:autoSpaceDN w:val="0"/>
        <w:adjustRightInd w:val="0"/>
        <w:spacing w:line="240" w:lineRule="atLeast"/>
        <w:jc w:val="center"/>
        <w:rPr>
          <w:rFonts w:ascii="Arial" w:hAnsi="Arial" w:cs="Arial"/>
          <w:b/>
          <w:bCs/>
          <w:color w:val="000000"/>
          <w:sz w:val="20"/>
          <w:szCs w:val="20"/>
        </w:rPr>
      </w:pPr>
    </w:p>
    <w:p w14:paraId="33E74C00" w14:textId="77777777" w:rsidR="00280125" w:rsidRDefault="00280125" w:rsidP="00280125">
      <w:pPr>
        <w:shd w:val="clear" w:color="auto" w:fill="DBE5F1"/>
        <w:tabs>
          <w:tab w:val="left" w:pos="234"/>
        </w:tabs>
        <w:autoSpaceDE w:val="0"/>
        <w:autoSpaceDN w:val="0"/>
        <w:adjustRightInd w:val="0"/>
        <w:spacing w:line="240" w:lineRule="atLeast"/>
        <w:rPr>
          <w:rFonts w:ascii="Arial" w:hAnsi="Arial" w:cs="Arial"/>
          <w:b/>
          <w:bCs/>
          <w:color w:val="000000"/>
          <w:sz w:val="20"/>
          <w:szCs w:val="20"/>
        </w:rPr>
      </w:pPr>
    </w:p>
    <w:p w14:paraId="4B5B632E" w14:textId="77777777" w:rsidR="00280125" w:rsidRDefault="00280125" w:rsidP="00BC3E8E">
      <w:pPr>
        <w:shd w:val="clear" w:color="auto" w:fill="DBE5F1"/>
        <w:autoSpaceDE w:val="0"/>
        <w:autoSpaceDN w:val="0"/>
        <w:adjustRightInd w:val="0"/>
        <w:spacing w:line="240" w:lineRule="atLeast"/>
        <w:jc w:val="center"/>
        <w:rPr>
          <w:rFonts w:ascii="Arial" w:hAnsi="Arial" w:cs="Arial"/>
          <w:sz w:val="20"/>
          <w:szCs w:val="20"/>
        </w:rPr>
      </w:pPr>
    </w:p>
    <w:p w14:paraId="0BF8CAFC" w14:textId="77777777" w:rsidR="00280125" w:rsidRPr="00280125" w:rsidRDefault="00280125" w:rsidP="00280125">
      <w:pPr>
        <w:rPr>
          <w:b/>
          <w:bCs/>
        </w:rPr>
      </w:pPr>
      <w:r>
        <w:br w:type="page"/>
      </w:r>
    </w:p>
    <w:p w14:paraId="628FCEE8" w14:textId="77777777" w:rsidR="00280125" w:rsidRDefault="00280125" w:rsidP="006875A6">
      <w:pPr>
        <w:jc w:val="center"/>
        <w:rPr>
          <w:rFonts w:ascii="Arial" w:hAnsi="Arial" w:cs="Arial"/>
          <w:b/>
          <w:bCs/>
          <w:sz w:val="20"/>
          <w:szCs w:val="20"/>
        </w:rPr>
      </w:pPr>
      <w:r w:rsidRPr="00280125">
        <w:rPr>
          <w:rFonts w:ascii="Arial" w:hAnsi="Arial" w:cs="Arial"/>
          <w:b/>
          <w:bCs/>
          <w:sz w:val="20"/>
          <w:szCs w:val="20"/>
        </w:rPr>
        <w:t>ANEXOS</w:t>
      </w:r>
    </w:p>
    <w:p w14:paraId="42017E50" w14:textId="77777777" w:rsidR="006875A6" w:rsidRDefault="006875A6" w:rsidP="006875A6">
      <w:pPr>
        <w:jc w:val="center"/>
        <w:rPr>
          <w:rFonts w:ascii="Arial" w:hAnsi="Arial" w:cs="Arial"/>
          <w:b/>
          <w:bCs/>
          <w:sz w:val="20"/>
          <w:szCs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4016"/>
        <w:gridCol w:w="1701"/>
        <w:gridCol w:w="1560"/>
      </w:tblGrid>
      <w:tr w:rsidR="00280125" w:rsidRPr="006F6ABB" w14:paraId="0F3CDD59" w14:textId="77777777">
        <w:tc>
          <w:tcPr>
            <w:tcW w:w="9181" w:type="dxa"/>
            <w:gridSpan w:val="4"/>
            <w:shd w:val="clear" w:color="auto" w:fill="CCFFCC"/>
          </w:tcPr>
          <w:p w14:paraId="4E578958" w14:textId="77777777" w:rsidR="00280125" w:rsidRPr="006F6ABB" w:rsidRDefault="00280125">
            <w:pPr>
              <w:autoSpaceDE w:val="0"/>
              <w:autoSpaceDN w:val="0"/>
              <w:adjustRightInd w:val="0"/>
              <w:rPr>
                <w:rFonts w:ascii="Arial" w:hAnsi="Arial" w:cs="Arial"/>
                <w:b/>
                <w:bCs/>
                <w:sz w:val="18"/>
                <w:szCs w:val="18"/>
              </w:rPr>
            </w:pPr>
            <w:r w:rsidRPr="006F6ABB">
              <w:rPr>
                <w:rFonts w:ascii="Arial" w:hAnsi="Arial" w:cs="Arial"/>
                <w:b/>
                <w:bCs/>
                <w:sz w:val="18"/>
                <w:szCs w:val="18"/>
              </w:rPr>
              <w:t>Tabla unificada de sesgos (Colaboración Cochrane)</w:t>
            </w:r>
            <w:r>
              <w:rPr>
                <w:rFonts w:ascii="Arial" w:hAnsi="Arial" w:cs="Arial"/>
                <w:b/>
                <w:bCs/>
                <w:sz w:val="18"/>
                <w:szCs w:val="18"/>
              </w:rPr>
              <w:t xml:space="preserve"> </w:t>
            </w:r>
            <w:r w:rsidRPr="006F6ABB">
              <w:rPr>
                <w:rFonts w:ascii="Arial" w:hAnsi="Arial" w:cs="Arial"/>
                <w:b/>
                <w:bCs/>
                <w:sz w:val="18"/>
                <w:szCs w:val="18"/>
              </w:rPr>
              <w:t>Evaluaciones del riesgo de sesgo</w:t>
            </w:r>
            <w:r>
              <w:rPr>
                <w:rFonts w:ascii="Arial" w:hAnsi="Arial" w:cs="Arial"/>
                <w:b/>
                <w:bCs/>
                <w:sz w:val="18"/>
                <w:szCs w:val="18"/>
              </w:rPr>
              <w:t>. Estudios ARCADIA 1 y 2</w:t>
            </w:r>
          </w:p>
        </w:tc>
      </w:tr>
      <w:tr w:rsidR="00280125" w:rsidRPr="006F6ABB" w14:paraId="4E201078" w14:textId="77777777">
        <w:tc>
          <w:tcPr>
            <w:tcW w:w="1904" w:type="dxa"/>
            <w:shd w:val="clear" w:color="auto" w:fill="E6E6E6"/>
          </w:tcPr>
          <w:p w14:paraId="2D0453C9"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Item</w:t>
            </w:r>
          </w:p>
        </w:tc>
        <w:tc>
          <w:tcPr>
            <w:tcW w:w="4016" w:type="dxa"/>
            <w:shd w:val="clear" w:color="auto" w:fill="E6E6E6"/>
          </w:tcPr>
          <w:p w14:paraId="1A0EFF31"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 xml:space="preserve">Descripción </w:t>
            </w:r>
          </w:p>
          <w:p w14:paraId="4C60C4FB"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(cita)</w:t>
            </w:r>
          </w:p>
        </w:tc>
        <w:tc>
          <w:tcPr>
            <w:tcW w:w="1701" w:type="dxa"/>
            <w:shd w:val="clear" w:color="auto" w:fill="E6E6E6"/>
          </w:tcPr>
          <w:p w14:paraId="3771A448" w14:textId="77777777" w:rsidR="00280125" w:rsidRPr="006F6ABB" w:rsidRDefault="00280125">
            <w:pPr>
              <w:autoSpaceDE w:val="0"/>
              <w:autoSpaceDN w:val="0"/>
              <w:adjustRightInd w:val="0"/>
              <w:rPr>
                <w:rFonts w:ascii="Arial" w:hAnsi="Arial" w:cs="Arial"/>
                <w:sz w:val="16"/>
                <w:szCs w:val="16"/>
              </w:rPr>
            </w:pPr>
            <w:r w:rsidRPr="006F6ABB">
              <w:rPr>
                <w:rFonts w:ascii="Arial" w:hAnsi="Arial" w:cs="Arial"/>
                <w:b/>
                <w:bCs/>
                <w:sz w:val="16"/>
                <w:szCs w:val="16"/>
              </w:rPr>
              <w:t>Apoyo para la valoración</w:t>
            </w:r>
            <w:r w:rsidRPr="006F6ABB">
              <w:rPr>
                <w:rFonts w:ascii="Arial" w:hAnsi="Arial" w:cs="Arial"/>
                <w:sz w:val="16"/>
                <w:szCs w:val="16"/>
              </w:rPr>
              <w:t>, observaciones que fundamentan la evaluación.</w:t>
            </w:r>
          </w:p>
        </w:tc>
        <w:tc>
          <w:tcPr>
            <w:tcW w:w="1560" w:type="dxa"/>
            <w:shd w:val="clear" w:color="auto" w:fill="E6E6E6"/>
          </w:tcPr>
          <w:p w14:paraId="1DB8227E"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Evaluación del riesgo de sesgo</w:t>
            </w:r>
          </w:p>
          <w:p w14:paraId="3C10086D" w14:textId="77777777" w:rsidR="00280125" w:rsidRPr="006F6ABB" w:rsidRDefault="00280125">
            <w:pPr>
              <w:autoSpaceDE w:val="0"/>
              <w:autoSpaceDN w:val="0"/>
              <w:adjustRightInd w:val="0"/>
              <w:ind w:right="-108"/>
              <w:rPr>
                <w:rFonts w:ascii="Arial" w:hAnsi="Arial" w:cs="Arial"/>
                <w:b/>
                <w:bCs/>
                <w:sz w:val="16"/>
                <w:szCs w:val="16"/>
              </w:rPr>
            </w:pPr>
            <w:r w:rsidRPr="006F6ABB">
              <w:rPr>
                <w:rFonts w:ascii="Arial" w:hAnsi="Arial" w:cs="Arial"/>
                <w:sz w:val="16"/>
                <w:szCs w:val="16"/>
              </w:rPr>
              <w:t>(Alto riesgo, Bajo riesgo, Riesgo poco claro)</w:t>
            </w:r>
          </w:p>
        </w:tc>
      </w:tr>
      <w:tr w:rsidR="00280125" w:rsidRPr="006F6ABB" w14:paraId="7B502BFA" w14:textId="77777777">
        <w:tc>
          <w:tcPr>
            <w:tcW w:w="9181" w:type="dxa"/>
            <w:gridSpan w:val="4"/>
            <w:shd w:val="clear" w:color="auto" w:fill="CCFFCC"/>
          </w:tcPr>
          <w:p w14:paraId="3F24A163"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Sesgo de selección</w:t>
            </w:r>
          </w:p>
        </w:tc>
      </w:tr>
      <w:tr w:rsidR="00280125" w:rsidRPr="006F6ABB" w14:paraId="06D15E09" w14:textId="77777777">
        <w:tc>
          <w:tcPr>
            <w:tcW w:w="1904" w:type="dxa"/>
            <w:shd w:val="clear" w:color="auto" w:fill="E6E6E6"/>
          </w:tcPr>
          <w:p w14:paraId="4DB40DEE" w14:textId="77777777" w:rsidR="00280125" w:rsidRPr="006F6ABB" w:rsidRDefault="00280125">
            <w:pPr>
              <w:autoSpaceDE w:val="0"/>
              <w:autoSpaceDN w:val="0"/>
              <w:adjustRightInd w:val="0"/>
              <w:rPr>
                <w:rFonts w:ascii="Arial" w:hAnsi="Arial" w:cs="Arial"/>
                <w:sz w:val="16"/>
                <w:szCs w:val="16"/>
              </w:rPr>
            </w:pPr>
            <w:r w:rsidRPr="006F6ABB">
              <w:rPr>
                <w:rFonts w:ascii="Arial" w:hAnsi="Arial" w:cs="Arial"/>
                <w:sz w:val="16"/>
                <w:szCs w:val="16"/>
              </w:rPr>
              <w:t xml:space="preserve">Generación de la secuencia de aleatorización </w:t>
            </w:r>
          </w:p>
        </w:tc>
        <w:tc>
          <w:tcPr>
            <w:tcW w:w="4016" w:type="dxa"/>
          </w:tcPr>
          <w:p w14:paraId="0F8743E6" w14:textId="77777777" w:rsidR="00280125" w:rsidRPr="00280125" w:rsidRDefault="00280125" w:rsidP="00514DDC">
            <w:pPr>
              <w:autoSpaceDE w:val="0"/>
              <w:autoSpaceDN w:val="0"/>
              <w:adjustRightInd w:val="0"/>
              <w:rPr>
                <w:rFonts w:ascii="Arial" w:hAnsi="Arial" w:cs="Arial"/>
                <w:sz w:val="16"/>
                <w:szCs w:val="16"/>
              </w:rPr>
            </w:pPr>
            <w:r w:rsidRPr="00280125">
              <w:rPr>
                <w:rFonts w:ascii="Arial" w:hAnsi="Arial" w:cs="Arial"/>
                <w:sz w:val="16"/>
                <w:szCs w:val="16"/>
              </w:rPr>
              <w:t>The interactive response technology (IRT) system is a standardized technology that manages randomization of patients into particular treatment arms. The randomisation scheme was</w:t>
            </w:r>
          </w:p>
          <w:p w14:paraId="53447943" w14:textId="77777777" w:rsidR="00280125" w:rsidRPr="006F6ABB" w:rsidRDefault="00280125" w:rsidP="00514DDC">
            <w:pPr>
              <w:autoSpaceDE w:val="0"/>
              <w:autoSpaceDN w:val="0"/>
              <w:adjustRightInd w:val="0"/>
              <w:rPr>
                <w:rFonts w:ascii="Arial" w:hAnsi="Arial" w:cs="Arial"/>
                <w:b/>
                <w:bCs/>
                <w:sz w:val="16"/>
                <w:szCs w:val="16"/>
              </w:rPr>
            </w:pPr>
            <w:r w:rsidRPr="00280125">
              <w:rPr>
                <w:rFonts w:ascii="Arial" w:hAnsi="Arial" w:cs="Arial"/>
                <w:sz w:val="16"/>
                <w:szCs w:val="16"/>
              </w:rPr>
              <w:t>stratified by baseline disease severity.</w:t>
            </w:r>
          </w:p>
        </w:tc>
        <w:tc>
          <w:tcPr>
            <w:tcW w:w="1701" w:type="dxa"/>
          </w:tcPr>
          <w:p w14:paraId="04ECEDB7" w14:textId="77777777" w:rsidR="00280125" w:rsidRPr="006F6ABB" w:rsidRDefault="00514DDC" w:rsidP="00280125">
            <w:pPr>
              <w:autoSpaceDE w:val="0"/>
              <w:autoSpaceDN w:val="0"/>
              <w:adjustRightInd w:val="0"/>
              <w:jc w:val="center"/>
              <w:rPr>
                <w:rFonts w:ascii="Arial" w:hAnsi="Arial" w:cs="Arial"/>
                <w:b/>
                <w:bCs/>
                <w:sz w:val="16"/>
                <w:szCs w:val="16"/>
              </w:rPr>
            </w:pPr>
            <w:r>
              <w:rPr>
                <w:rFonts w:ascii="Arial" w:hAnsi="Arial" w:cs="Arial"/>
                <w:sz w:val="16"/>
                <w:szCs w:val="16"/>
              </w:rPr>
              <w:t>Sistema automático que impide el sesgo de selección</w:t>
            </w:r>
          </w:p>
        </w:tc>
        <w:tc>
          <w:tcPr>
            <w:tcW w:w="1560" w:type="dxa"/>
          </w:tcPr>
          <w:p w14:paraId="106827F3" w14:textId="77777777" w:rsidR="00280125" w:rsidRPr="006F6ABB" w:rsidRDefault="00280125" w:rsidP="00280125">
            <w:pPr>
              <w:autoSpaceDE w:val="0"/>
              <w:autoSpaceDN w:val="0"/>
              <w:adjustRightInd w:val="0"/>
              <w:jc w:val="center"/>
              <w:rPr>
                <w:rFonts w:ascii="Arial" w:hAnsi="Arial" w:cs="Arial"/>
                <w:sz w:val="16"/>
                <w:szCs w:val="16"/>
              </w:rPr>
            </w:pPr>
            <w:r>
              <w:rPr>
                <w:rFonts w:ascii="Arial" w:hAnsi="Arial" w:cs="Arial"/>
                <w:sz w:val="16"/>
                <w:szCs w:val="16"/>
              </w:rPr>
              <w:t>Bajo riesgo</w:t>
            </w:r>
          </w:p>
        </w:tc>
      </w:tr>
      <w:tr w:rsidR="00280125" w:rsidRPr="006F6ABB" w14:paraId="04AA1EF7" w14:textId="77777777">
        <w:tc>
          <w:tcPr>
            <w:tcW w:w="1904" w:type="dxa"/>
            <w:shd w:val="clear" w:color="auto" w:fill="E6E6E6"/>
          </w:tcPr>
          <w:p w14:paraId="2911410F" w14:textId="77777777" w:rsidR="00280125" w:rsidRPr="006F6ABB" w:rsidRDefault="00280125">
            <w:pPr>
              <w:autoSpaceDE w:val="0"/>
              <w:autoSpaceDN w:val="0"/>
              <w:adjustRightInd w:val="0"/>
              <w:rPr>
                <w:rFonts w:ascii="Arial" w:hAnsi="Arial" w:cs="Arial"/>
                <w:sz w:val="16"/>
                <w:szCs w:val="16"/>
              </w:rPr>
            </w:pPr>
            <w:r w:rsidRPr="006F6ABB">
              <w:rPr>
                <w:rFonts w:ascii="Arial" w:hAnsi="Arial" w:cs="Arial"/>
                <w:sz w:val="16"/>
                <w:szCs w:val="16"/>
              </w:rPr>
              <w:t xml:space="preserve">Ocultación de la asignación </w:t>
            </w:r>
          </w:p>
        </w:tc>
        <w:tc>
          <w:tcPr>
            <w:tcW w:w="4016" w:type="dxa"/>
          </w:tcPr>
          <w:p w14:paraId="15F9A25C" w14:textId="77777777" w:rsidR="00514DDC" w:rsidRPr="00514DDC" w:rsidRDefault="00514DDC" w:rsidP="00514DDC">
            <w:pPr>
              <w:autoSpaceDE w:val="0"/>
              <w:autoSpaceDN w:val="0"/>
              <w:adjustRightInd w:val="0"/>
              <w:rPr>
                <w:rFonts w:ascii="Arial" w:hAnsi="Arial" w:cs="Arial"/>
                <w:sz w:val="16"/>
                <w:szCs w:val="16"/>
              </w:rPr>
            </w:pPr>
            <w:r w:rsidRPr="00924589">
              <w:rPr>
                <w:rFonts w:ascii="Arial" w:hAnsi="Arial" w:cs="Arial"/>
                <w:sz w:val="16"/>
                <w:szCs w:val="16"/>
                <w:lang w:val="en-GB"/>
              </w:rPr>
              <w:t xml:space="preserve">The IRT system also helped to maintain blinding by making sure that specific roles in a study (e.g.,clinical research coordinators) did not know the treatment that each patient was receiving. </w:t>
            </w:r>
            <w:r w:rsidRPr="00514DDC">
              <w:rPr>
                <w:rFonts w:ascii="Arial" w:hAnsi="Arial" w:cs="Arial"/>
                <w:sz w:val="16"/>
                <w:szCs w:val="16"/>
              </w:rPr>
              <w:t xml:space="preserve">It was conducted by an independent randomization coordinator. </w:t>
            </w:r>
          </w:p>
          <w:p w14:paraId="24D668F5" w14:textId="77777777" w:rsidR="00280125" w:rsidRPr="006F6ABB" w:rsidRDefault="00514DDC" w:rsidP="00514DDC">
            <w:pPr>
              <w:autoSpaceDE w:val="0"/>
              <w:autoSpaceDN w:val="0"/>
              <w:adjustRightInd w:val="0"/>
              <w:rPr>
                <w:rFonts w:ascii="Arial" w:hAnsi="Arial" w:cs="Arial"/>
                <w:sz w:val="16"/>
                <w:szCs w:val="16"/>
              </w:rPr>
            </w:pPr>
            <w:r w:rsidRPr="00514DDC">
              <w:rPr>
                <w:rFonts w:ascii="Arial" w:hAnsi="Arial" w:cs="Arial"/>
                <w:sz w:val="16"/>
                <w:szCs w:val="16"/>
              </w:rPr>
              <w:t>Also, no one directly involved in conducting the study was involved in the randomization process.</w:t>
            </w:r>
          </w:p>
        </w:tc>
        <w:tc>
          <w:tcPr>
            <w:tcW w:w="1701" w:type="dxa"/>
          </w:tcPr>
          <w:p w14:paraId="5085480F" w14:textId="77777777" w:rsidR="00280125" w:rsidRPr="00514DDC" w:rsidRDefault="00514DDC">
            <w:pPr>
              <w:autoSpaceDE w:val="0"/>
              <w:autoSpaceDN w:val="0"/>
              <w:adjustRightInd w:val="0"/>
              <w:rPr>
                <w:rFonts w:ascii="Arial" w:hAnsi="Arial" w:cs="Arial"/>
                <w:sz w:val="16"/>
                <w:szCs w:val="16"/>
              </w:rPr>
            </w:pPr>
            <w:r w:rsidRPr="00514DDC">
              <w:rPr>
                <w:rFonts w:ascii="Arial" w:hAnsi="Arial" w:cs="Arial"/>
                <w:sz w:val="16"/>
                <w:szCs w:val="16"/>
              </w:rPr>
              <w:t>Sistema automático que impide el sesgo de selección</w:t>
            </w:r>
          </w:p>
        </w:tc>
        <w:tc>
          <w:tcPr>
            <w:tcW w:w="1560" w:type="dxa"/>
          </w:tcPr>
          <w:p w14:paraId="242A451D" w14:textId="77777777" w:rsidR="00280125" w:rsidRPr="00280125" w:rsidRDefault="00280125" w:rsidP="00280125">
            <w:pPr>
              <w:autoSpaceDE w:val="0"/>
              <w:autoSpaceDN w:val="0"/>
              <w:adjustRightInd w:val="0"/>
              <w:jc w:val="center"/>
              <w:rPr>
                <w:rFonts w:ascii="Arial" w:hAnsi="Arial" w:cs="Arial"/>
                <w:sz w:val="16"/>
                <w:szCs w:val="16"/>
              </w:rPr>
            </w:pPr>
            <w:r w:rsidRPr="00280125">
              <w:rPr>
                <w:rFonts w:ascii="Arial" w:hAnsi="Arial" w:cs="Arial"/>
                <w:sz w:val="16"/>
                <w:szCs w:val="16"/>
              </w:rPr>
              <w:t>Bajo riesgo</w:t>
            </w:r>
          </w:p>
        </w:tc>
      </w:tr>
      <w:tr w:rsidR="00280125" w:rsidRPr="006F6ABB" w14:paraId="7E344C62" w14:textId="77777777">
        <w:tc>
          <w:tcPr>
            <w:tcW w:w="9181" w:type="dxa"/>
            <w:gridSpan w:val="4"/>
            <w:shd w:val="clear" w:color="auto" w:fill="CCFFCC"/>
          </w:tcPr>
          <w:p w14:paraId="0D728A67"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Sesgo de realización</w:t>
            </w:r>
          </w:p>
        </w:tc>
      </w:tr>
      <w:tr w:rsidR="00280125" w:rsidRPr="006F6ABB" w14:paraId="3BCD4472" w14:textId="77777777">
        <w:tc>
          <w:tcPr>
            <w:tcW w:w="1904" w:type="dxa"/>
            <w:shd w:val="clear" w:color="auto" w:fill="E6E6E6"/>
          </w:tcPr>
          <w:p w14:paraId="376349EE" w14:textId="77777777" w:rsidR="00280125" w:rsidRPr="006F6ABB" w:rsidRDefault="00280125">
            <w:pPr>
              <w:autoSpaceDE w:val="0"/>
              <w:autoSpaceDN w:val="0"/>
              <w:adjustRightInd w:val="0"/>
              <w:rPr>
                <w:rFonts w:ascii="Arial" w:hAnsi="Arial" w:cs="Arial"/>
                <w:sz w:val="16"/>
                <w:szCs w:val="16"/>
              </w:rPr>
            </w:pPr>
            <w:r w:rsidRPr="006F6ABB">
              <w:rPr>
                <w:rFonts w:ascii="Arial" w:hAnsi="Arial" w:cs="Arial"/>
                <w:sz w:val="16"/>
                <w:szCs w:val="16"/>
              </w:rPr>
              <w:t xml:space="preserve">Cegamiento de los participantes y del personal </w:t>
            </w:r>
          </w:p>
        </w:tc>
        <w:tc>
          <w:tcPr>
            <w:tcW w:w="4016" w:type="dxa"/>
          </w:tcPr>
          <w:p w14:paraId="771812E3" w14:textId="77777777" w:rsidR="00280125" w:rsidRPr="00514DDC" w:rsidRDefault="00280125" w:rsidP="00514DDC">
            <w:pPr>
              <w:autoSpaceDE w:val="0"/>
              <w:autoSpaceDN w:val="0"/>
              <w:adjustRightInd w:val="0"/>
              <w:rPr>
                <w:rFonts w:ascii="Arial" w:hAnsi="Arial" w:cs="Arial"/>
                <w:sz w:val="16"/>
                <w:szCs w:val="16"/>
              </w:rPr>
            </w:pPr>
            <w:r w:rsidRPr="00514DDC">
              <w:rPr>
                <w:rFonts w:ascii="Arial" w:hAnsi="Arial" w:cs="Arial"/>
                <w:sz w:val="16"/>
                <w:szCs w:val="16"/>
              </w:rPr>
              <w:t>Staff and participants were masked throughout the study, and study staff did not have access to the randomised treatment assignment.</w:t>
            </w:r>
            <w:r w:rsidR="00514DDC" w:rsidRPr="00514DDC">
              <w:t xml:space="preserve"> </w:t>
            </w:r>
            <w:r w:rsidR="00514DDC" w:rsidRPr="00514DDC">
              <w:rPr>
                <w:rFonts w:ascii="Arial" w:hAnsi="Arial" w:cs="Arial"/>
                <w:sz w:val="16"/>
                <w:szCs w:val="16"/>
              </w:rPr>
              <w:t xml:space="preserve">The study centre pharmacist(s) or other qualified personnel were to prepare all nemolizumab or placebo treatments and were not to be involved with any study assessments. </w:t>
            </w:r>
          </w:p>
          <w:p w14:paraId="71999017" w14:textId="77777777" w:rsidR="00514DDC" w:rsidRPr="00514DDC" w:rsidRDefault="00514DDC" w:rsidP="00514DDC">
            <w:pPr>
              <w:autoSpaceDE w:val="0"/>
              <w:autoSpaceDN w:val="0"/>
              <w:adjustRightInd w:val="0"/>
              <w:rPr>
                <w:rFonts w:ascii="Arial" w:hAnsi="Arial" w:cs="Arial"/>
                <w:sz w:val="16"/>
                <w:szCs w:val="16"/>
              </w:rPr>
            </w:pPr>
            <w:r w:rsidRPr="00514DDC">
              <w:rPr>
                <w:rFonts w:ascii="Arial" w:hAnsi="Arial" w:cs="Arial"/>
                <w:sz w:val="16"/>
                <w:szCs w:val="16"/>
              </w:rPr>
              <w:t>Nemolizumab and its placebo had identical appearance and packaging.</w:t>
            </w:r>
          </w:p>
        </w:tc>
        <w:tc>
          <w:tcPr>
            <w:tcW w:w="1701" w:type="dxa"/>
          </w:tcPr>
          <w:p w14:paraId="2B39A57D" w14:textId="77777777" w:rsidR="00280125" w:rsidRPr="00514DDC" w:rsidRDefault="00514DDC" w:rsidP="00514DDC">
            <w:pPr>
              <w:autoSpaceDE w:val="0"/>
              <w:autoSpaceDN w:val="0"/>
              <w:adjustRightInd w:val="0"/>
              <w:jc w:val="center"/>
              <w:rPr>
                <w:rFonts w:ascii="Arial" w:hAnsi="Arial" w:cs="Arial"/>
                <w:sz w:val="16"/>
                <w:szCs w:val="16"/>
              </w:rPr>
            </w:pPr>
            <w:r w:rsidRPr="00514DDC">
              <w:rPr>
                <w:rFonts w:ascii="Arial" w:hAnsi="Arial" w:cs="Arial"/>
                <w:sz w:val="16"/>
                <w:szCs w:val="16"/>
              </w:rPr>
              <w:t>Jeringas preparadas por una persona cualificada externa al estudio, que tienen la misma apariencia</w:t>
            </w:r>
          </w:p>
        </w:tc>
        <w:tc>
          <w:tcPr>
            <w:tcW w:w="1560" w:type="dxa"/>
          </w:tcPr>
          <w:p w14:paraId="5D8E6BDF" w14:textId="77777777" w:rsidR="00280125" w:rsidRPr="00514DDC" w:rsidRDefault="00514DDC" w:rsidP="00514DDC">
            <w:pPr>
              <w:autoSpaceDE w:val="0"/>
              <w:autoSpaceDN w:val="0"/>
              <w:adjustRightInd w:val="0"/>
              <w:jc w:val="center"/>
              <w:rPr>
                <w:rFonts w:ascii="Arial" w:hAnsi="Arial" w:cs="Arial"/>
                <w:sz w:val="16"/>
                <w:szCs w:val="16"/>
              </w:rPr>
            </w:pPr>
            <w:r w:rsidRPr="00514DDC">
              <w:rPr>
                <w:rFonts w:ascii="Arial" w:hAnsi="Arial" w:cs="Arial"/>
                <w:sz w:val="16"/>
                <w:szCs w:val="16"/>
              </w:rPr>
              <w:t>Bajo riesgo</w:t>
            </w:r>
          </w:p>
        </w:tc>
      </w:tr>
      <w:tr w:rsidR="00280125" w:rsidRPr="006F6ABB" w14:paraId="20A9937B" w14:textId="77777777">
        <w:tc>
          <w:tcPr>
            <w:tcW w:w="9181" w:type="dxa"/>
            <w:gridSpan w:val="4"/>
            <w:shd w:val="clear" w:color="auto" w:fill="CCFFCC"/>
          </w:tcPr>
          <w:p w14:paraId="4CC79B9C"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Sesgo de detección</w:t>
            </w:r>
          </w:p>
        </w:tc>
      </w:tr>
      <w:tr w:rsidR="00280125" w:rsidRPr="006F6ABB" w14:paraId="727739D6" w14:textId="77777777">
        <w:tc>
          <w:tcPr>
            <w:tcW w:w="1904" w:type="dxa"/>
            <w:shd w:val="clear" w:color="auto" w:fill="E6E6E6"/>
          </w:tcPr>
          <w:p w14:paraId="248B8710" w14:textId="77777777" w:rsidR="00280125" w:rsidRPr="006F6ABB" w:rsidRDefault="00280125">
            <w:pPr>
              <w:autoSpaceDE w:val="0"/>
              <w:autoSpaceDN w:val="0"/>
              <w:adjustRightInd w:val="0"/>
              <w:rPr>
                <w:rFonts w:ascii="Arial" w:hAnsi="Arial" w:cs="Arial"/>
                <w:sz w:val="16"/>
                <w:szCs w:val="16"/>
              </w:rPr>
            </w:pPr>
            <w:r w:rsidRPr="006F6ABB">
              <w:rPr>
                <w:rFonts w:ascii="Arial" w:hAnsi="Arial" w:cs="Arial"/>
                <w:sz w:val="16"/>
                <w:szCs w:val="16"/>
              </w:rPr>
              <w:t xml:space="preserve">Cegamiento de los evaluadores </w:t>
            </w:r>
          </w:p>
        </w:tc>
        <w:tc>
          <w:tcPr>
            <w:tcW w:w="4016" w:type="dxa"/>
          </w:tcPr>
          <w:p w14:paraId="17C93F31" w14:textId="77777777" w:rsidR="00280125" w:rsidRPr="006F6ABB" w:rsidRDefault="000C7702" w:rsidP="000C7702">
            <w:pPr>
              <w:jc w:val="both"/>
              <w:rPr>
                <w:rFonts w:ascii="Arial" w:hAnsi="Arial" w:cs="Arial"/>
                <w:bCs/>
                <w:sz w:val="16"/>
                <w:szCs w:val="18"/>
              </w:rPr>
            </w:pPr>
            <w:r w:rsidRPr="000C7702">
              <w:rPr>
                <w:rFonts w:ascii="Arial" w:hAnsi="Arial" w:cs="Arial"/>
                <w:bCs/>
                <w:sz w:val="16"/>
                <w:szCs w:val="18"/>
              </w:rPr>
              <w:t>Study staff and participants were masked throughout the study, and study staff did not have access to the randomised treatment assignment.</w:t>
            </w:r>
          </w:p>
        </w:tc>
        <w:tc>
          <w:tcPr>
            <w:tcW w:w="1701" w:type="dxa"/>
          </w:tcPr>
          <w:p w14:paraId="1E89EE21" w14:textId="77777777" w:rsidR="00280125" w:rsidRPr="000C7702" w:rsidRDefault="000C7702">
            <w:pPr>
              <w:autoSpaceDE w:val="0"/>
              <w:autoSpaceDN w:val="0"/>
              <w:adjustRightInd w:val="0"/>
              <w:rPr>
                <w:rFonts w:ascii="Arial" w:hAnsi="Arial" w:cs="Arial"/>
                <w:sz w:val="16"/>
                <w:szCs w:val="16"/>
              </w:rPr>
            </w:pPr>
            <w:r w:rsidRPr="000C7702">
              <w:rPr>
                <w:rFonts w:ascii="Arial" w:hAnsi="Arial" w:cs="Arial"/>
                <w:sz w:val="16"/>
                <w:szCs w:val="16"/>
              </w:rPr>
              <w:t>Doble ciego</w:t>
            </w:r>
          </w:p>
        </w:tc>
        <w:tc>
          <w:tcPr>
            <w:tcW w:w="1560" w:type="dxa"/>
          </w:tcPr>
          <w:p w14:paraId="2C812BBA" w14:textId="77777777" w:rsidR="00280125" w:rsidRPr="000C7702" w:rsidRDefault="000C7702">
            <w:pPr>
              <w:autoSpaceDE w:val="0"/>
              <w:autoSpaceDN w:val="0"/>
              <w:adjustRightInd w:val="0"/>
              <w:rPr>
                <w:rFonts w:ascii="Arial" w:hAnsi="Arial" w:cs="Arial"/>
                <w:sz w:val="16"/>
                <w:szCs w:val="16"/>
              </w:rPr>
            </w:pPr>
            <w:r w:rsidRPr="000C7702">
              <w:rPr>
                <w:rFonts w:ascii="Arial" w:hAnsi="Arial" w:cs="Arial"/>
                <w:sz w:val="16"/>
                <w:szCs w:val="16"/>
              </w:rPr>
              <w:t>Bajo riesgo</w:t>
            </w:r>
          </w:p>
        </w:tc>
      </w:tr>
      <w:tr w:rsidR="00280125" w:rsidRPr="006F6ABB" w14:paraId="5EC1E8CA" w14:textId="77777777">
        <w:tc>
          <w:tcPr>
            <w:tcW w:w="1904" w:type="dxa"/>
            <w:shd w:val="clear" w:color="auto" w:fill="E6E6E6"/>
          </w:tcPr>
          <w:p w14:paraId="62F2BA94" w14:textId="77777777" w:rsidR="00280125" w:rsidRPr="006F6ABB" w:rsidRDefault="00280125">
            <w:pPr>
              <w:autoSpaceDE w:val="0"/>
              <w:autoSpaceDN w:val="0"/>
              <w:adjustRightInd w:val="0"/>
              <w:rPr>
                <w:rFonts w:ascii="Arial" w:hAnsi="Arial" w:cs="Arial"/>
                <w:sz w:val="16"/>
                <w:szCs w:val="16"/>
              </w:rPr>
            </w:pPr>
            <w:r w:rsidRPr="006F6ABB">
              <w:rPr>
                <w:rFonts w:ascii="Arial" w:hAnsi="Arial" w:cs="Arial"/>
                <w:sz w:val="16"/>
                <w:szCs w:val="16"/>
              </w:rPr>
              <w:t xml:space="preserve">Cegamiento de los evaluadores  del resultado </w:t>
            </w:r>
          </w:p>
        </w:tc>
        <w:tc>
          <w:tcPr>
            <w:tcW w:w="4016" w:type="dxa"/>
          </w:tcPr>
          <w:p w14:paraId="14ECB914" w14:textId="77777777" w:rsidR="00280125" w:rsidRPr="006F6ABB" w:rsidRDefault="000C7702">
            <w:pPr>
              <w:autoSpaceDE w:val="0"/>
              <w:autoSpaceDN w:val="0"/>
              <w:adjustRightInd w:val="0"/>
              <w:rPr>
                <w:rFonts w:ascii="Arial" w:hAnsi="Arial" w:cs="Arial"/>
                <w:bCs/>
                <w:sz w:val="16"/>
                <w:szCs w:val="18"/>
              </w:rPr>
            </w:pPr>
            <w:r w:rsidRPr="000C7702">
              <w:rPr>
                <w:rFonts w:ascii="Arial" w:hAnsi="Arial" w:cs="Arial"/>
                <w:bCs/>
                <w:sz w:val="16"/>
                <w:szCs w:val="18"/>
              </w:rPr>
              <w:t xml:space="preserve">Study personnel involved in analyses were masked until the database was </w:t>
            </w:r>
            <w:r>
              <w:rPr>
                <w:rFonts w:ascii="Arial" w:hAnsi="Arial" w:cs="Arial"/>
                <w:bCs/>
                <w:sz w:val="16"/>
                <w:szCs w:val="18"/>
              </w:rPr>
              <w:t>l</w:t>
            </w:r>
            <w:r w:rsidRPr="000C7702">
              <w:rPr>
                <w:rFonts w:ascii="Arial" w:hAnsi="Arial" w:cs="Arial"/>
                <w:bCs/>
                <w:sz w:val="16"/>
                <w:szCs w:val="18"/>
              </w:rPr>
              <w:t>ocked.</w:t>
            </w:r>
          </w:p>
        </w:tc>
        <w:tc>
          <w:tcPr>
            <w:tcW w:w="1701" w:type="dxa"/>
          </w:tcPr>
          <w:p w14:paraId="5884EAAA" w14:textId="77777777" w:rsidR="00280125" w:rsidRPr="000C7702" w:rsidRDefault="000C7702">
            <w:pPr>
              <w:autoSpaceDE w:val="0"/>
              <w:autoSpaceDN w:val="0"/>
              <w:adjustRightInd w:val="0"/>
              <w:rPr>
                <w:rFonts w:ascii="Arial" w:hAnsi="Arial" w:cs="Arial"/>
                <w:sz w:val="16"/>
                <w:szCs w:val="16"/>
              </w:rPr>
            </w:pPr>
            <w:r w:rsidRPr="000C7702">
              <w:rPr>
                <w:rFonts w:ascii="Arial" w:hAnsi="Arial" w:cs="Arial"/>
                <w:sz w:val="16"/>
                <w:szCs w:val="16"/>
              </w:rPr>
              <w:t>Doble ciego</w:t>
            </w:r>
          </w:p>
        </w:tc>
        <w:tc>
          <w:tcPr>
            <w:tcW w:w="1560" w:type="dxa"/>
          </w:tcPr>
          <w:p w14:paraId="7E2B50A6" w14:textId="77777777" w:rsidR="00280125" w:rsidRPr="000C7702" w:rsidRDefault="000C7702">
            <w:pPr>
              <w:autoSpaceDE w:val="0"/>
              <w:autoSpaceDN w:val="0"/>
              <w:adjustRightInd w:val="0"/>
              <w:rPr>
                <w:rFonts w:ascii="Arial" w:hAnsi="Arial" w:cs="Arial"/>
                <w:sz w:val="16"/>
                <w:szCs w:val="16"/>
              </w:rPr>
            </w:pPr>
            <w:r w:rsidRPr="000C7702">
              <w:rPr>
                <w:rFonts w:ascii="Arial" w:hAnsi="Arial" w:cs="Arial"/>
                <w:sz w:val="16"/>
                <w:szCs w:val="16"/>
              </w:rPr>
              <w:t>Bajo riesgo</w:t>
            </w:r>
          </w:p>
        </w:tc>
      </w:tr>
      <w:tr w:rsidR="00280125" w:rsidRPr="006F6ABB" w14:paraId="0753C236" w14:textId="77777777">
        <w:tc>
          <w:tcPr>
            <w:tcW w:w="9181" w:type="dxa"/>
            <w:gridSpan w:val="4"/>
            <w:shd w:val="clear" w:color="auto" w:fill="CCFFCC"/>
          </w:tcPr>
          <w:p w14:paraId="500C6A38"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Sesgo de desgaste</w:t>
            </w:r>
          </w:p>
        </w:tc>
      </w:tr>
      <w:tr w:rsidR="00280125" w:rsidRPr="006F6ABB" w14:paraId="36C24102" w14:textId="77777777">
        <w:tc>
          <w:tcPr>
            <w:tcW w:w="1904" w:type="dxa"/>
            <w:shd w:val="clear" w:color="auto" w:fill="E6E6E6"/>
          </w:tcPr>
          <w:p w14:paraId="334E3941" w14:textId="77777777" w:rsidR="00280125" w:rsidRPr="006F6ABB" w:rsidRDefault="00280125">
            <w:pPr>
              <w:autoSpaceDE w:val="0"/>
              <w:autoSpaceDN w:val="0"/>
              <w:adjustRightInd w:val="0"/>
              <w:rPr>
                <w:rFonts w:ascii="Arial" w:hAnsi="Arial" w:cs="Arial"/>
                <w:sz w:val="16"/>
                <w:szCs w:val="16"/>
              </w:rPr>
            </w:pPr>
            <w:r w:rsidRPr="006F6ABB">
              <w:rPr>
                <w:rFonts w:ascii="Arial" w:hAnsi="Arial" w:cs="Arial"/>
                <w:sz w:val="16"/>
                <w:szCs w:val="16"/>
              </w:rPr>
              <w:t xml:space="preserve">Manejo de los datos de resultado incompletos </w:t>
            </w:r>
          </w:p>
        </w:tc>
        <w:tc>
          <w:tcPr>
            <w:tcW w:w="4016" w:type="dxa"/>
          </w:tcPr>
          <w:p w14:paraId="5AF74FD3" w14:textId="77777777" w:rsidR="00C82985" w:rsidRPr="00C82985" w:rsidRDefault="00C82985" w:rsidP="00C82985">
            <w:pPr>
              <w:autoSpaceDE w:val="0"/>
              <w:autoSpaceDN w:val="0"/>
              <w:adjustRightInd w:val="0"/>
              <w:rPr>
                <w:rFonts w:ascii="Arial" w:hAnsi="Arial" w:cs="Arial"/>
                <w:sz w:val="16"/>
                <w:szCs w:val="16"/>
              </w:rPr>
            </w:pPr>
            <w:r w:rsidRPr="00C82985">
              <w:rPr>
                <w:rFonts w:ascii="Arial" w:hAnsi="Arial" w:cs="Arial"/>
                <w:sz w:val="16"/>
                <w:szCs w:val="16"/>
              </w:rPr>
              <w:t xml:space="preserve">Primary, key secondary, and other secondary efficacy endpoints were to be evaluated in two </w:t>
            </w:r>
          </w:p>
          <w:p w14:paraId="5CBE29FE" w14:textId="77777777" w:rsidR="00280125" w:rsidRPr="006F6ABB" w:rsidRDefault="00C82985" w:rsidP="00C82985">
            <w:pPr>
              <w:autoSpaceDE w:val="0"/>
              <w:autoSpaceDN w:val="0"/>
              <w:adjustRightInd w:val="0"/>
              <w:rPr>
                <w:rFonts w:ascii="Arial" w:hAnsi="Arial" w:cs="Arial"/>
                <w:b/>
                <w:bCs/>
                <w:sz w:val="16"/>
                <w:szCs w:val="16"/>
              </w:rPr>
            </w:pPr>
            <w:r w:rsidRPr="00C82985">
              <w:rPr>
                <w:rFonts w:ascii="Arial" w:hAnsi="Arial" w:cs="Arial"/>
                <w:sz w:val="16"/>
                <w:szCs w:val="16"/>
              </w:rPr>
              <w:t>populations: 1) the full intention to treat (ITT) population and 2) in a subpopulation of subjects in the ITT population with a baseline PP NRS ≥ 7. Primary and key secondary efficacy endpoint analyses during the initial treatment period in these two populations were to be type I error controlled.</w:t>
            </w:r>
          </w:p>
        </w:tc>
        <w:tc>
          <w:tcPr>
            <w:tcW w:w="1701" w:type="dxa"/>
          </w:tcPr>
          <w:p w14:paraId="065DD509" w14:textId="77777777" w:rsidR="00280125" w:rsidRPr="00C82985" w:rsidRDefault="00C82985">
            <w:pPr>
              <w:autoSpaceDE w:val="0"/>
              <w:autoSpaceDN w:val="0"/>
              <w:adjustRightInd w:val="0"/>
              <w:rPr>
                <w:rFonts w:ascii="Arial" w:hAnsi="Arial" w:cs="Arial"/>
                <w:sz w:val="16"/>
                <w:szCs w:val="16"/>
              </w:rPr>
            </w:pPr>
            <w:r w:rsidRPr="00C82985">
              <w:rPr>
                <w:rFonts w:ascii="Arial" w:hAnsi="Arial" w:cs="Arial"/>
                <w:sz w:val="16"/>
                <w:szCs w:val="16"/>
              </w:rPr>
              <w:t xml:space="preserve">Las pérdidas en ambos grupos están justificadas y compensadas. Además, se hace un análisis ITT. </w:t>
            </w:r>
          </w:p>
        </w:tc>
        <w:tc>
          <w:tcPr>
            <w:tcW w:w="1560" w:type="dxa"/>
          </w:tcPr>
          <w:p w14:paraId="58C272FD" w14:textId="77777777" w:rsidR="00280125" w:rsidRPr="00C82985" w:rsidRDefault="00C82985">
            <w:pPr>
              <w:autoSpaceDE w:val="0"/>
              <w:autoSpaceDN w:val="0"/>
              <w:adjustRightInd w:val="0"/>
              <w:rPr>
                <w:rFonts w:ascii="Arial" w:hAnsi="Arial" w:cs="Arial"/>
                <w:sz w:val="16"/>
                <w:szCs w:val="16"/>
              </w:rPr>
            </w:pPr>
            <w:r w:rsidRPr="00C82985">
              <w:rPr>
                <w:rFonts w:ascii="Arial" w:hAnsi="Arial" w:cs="Arial"/>
                <w:sz w:val="16"/>
                <w:szCs w:val="16"/>
              </w:rPr>
              <w:t>Bajo riesgo</w:t>
            </w:r>
          </w:p>
        </w:tc>
      </w:tr>
      <w:tr w:rsidR="00280125" w:rsidRPr="006F6ABB" w14:paraId="47018686" w14:textId="77777777">
        <w:tc>
          <w:tcPr>
            <w:tcW w:w="9181" w:type="dxa"/>
            <w:gridSpan w:val="4"/>
            <w:shd w:val="clear" w:color="auto" w:fill="CCFFCC"/>
          </w:tcPr>
          <w:p w14:paraId="5544AF2F"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Sesgo de notificación</w:t>
            </w:r>
          </w:p>
        </w:tc>
      </w:tr>
      <w:tr w:rsidR="00280125" w:rsidRPr="006F6ABB" w14:paraId="3EB8C765" w14:textId="77777777">
        <w:tc>
          <w:tcPr>
            <w:tcW w:w="1904" w:type="dxa"/>
            <w:shd w:val="clear" w:color="auto" w:fill="E6E6E6"/>
          </w:tcPr>
          <w:p w14:paraId="2092A477" w14:textId="77777777" w:rsidR="00280125" w:rsidRPr="006F6ABB" w:rsidRDefault="00280125">
            <w:pPr>
              <w:autoSpaceDE w:val="0"/>
              <w:autoSpaceDN w:val="0"/>
              <w:adjustRightInd w:val="0"/>
              <w:rPr>
                <w:rFonts w:ascii="Arial" w:hAnsi="Arial" w:cs="Arial"/>
                <w:sz w:val="16"/>
                <w:szCs w:val="16"/>
              </w:rPr>
            </w:pPr>
            <w:r w:rsidRPr="006F6ABB">
              <w:rPr>
                <w:rFonts w:ascii="Arial" w:hAnsi="Arial" w:cs="Arial"/>
                <w:sz w:val="16"/>
                <w:szCs w:val="16"/>
              </w:rPr>
              <w:t xml:space="preserve">Notificación selectiva de resultados </w:t>
            </w:r>
          </w:p>
        </w:tc>
        <w:tc>
          <w:tcPr>
            <w:tcW w:w="4016" w:type="dxa"/>
          </w:tcPr>
          <w:p w14:paraId="34BC1E48" w14:textId="77777777" w:rsidR="00280125" w:rsidRPr="006F6ABB" w:rsidRDefault="00280125">
            <w:pPr>
              <w:autoSpaceDE w:val="0"/>
              <w:autoSpaceDN w:val="0"/>
              <w:adjustRightInd w:val="0"/>
              <w:rPr>
                <w:rFonts w:ascii="Arial" w:hAnsi="Arial" w:cs="Arial"/>
                <w:b/>
                <w:bCs/>
                <w:sz w:val="16"/>
                <w:szCs w:val="16"/>
              </w:rPr>
            </w:pPr>
          </w:p>
        </w:tc>
        <w:tc>
          <w:tcPr>
            <w:tcW w:w="1701" w:type="dxa"/>
          </w:tcPr>
          <w:p w14:paraId="2FE27AB6" w14:textId="77777777" w:rsidR="00280125" w:rsidRPr="006F6ABB" w:rsidRDefault="006875A6">
            <w:pPr>
              <w:autoSpaceDE w:val="0"/>
              <w:autoSpaceDN w:val="0"/>
              <w:adjustRightInd w:val="0"/>
              <w:rPr>
                <w:rFonts w:ascii="Arial" w:hAnsi="Arial" w:cs="Arial"/>
                <w:b/>
                <w:bCs/>
                <w:sz w:val="16"/>
                <w:szCs w:val="16"/>
              </w:rPr>
            </w:pPr>
            <w:r>
              <w:rPr>
                <w:rFonts w:ascii="Arial" w:hAnsi="Arial" w:cs="Arial"/>
                <w:sz w:val="16"/>
                <w:szCs w:val="16"/>
              </w:rPr>
              <w:t>Se evaluaron y publicaron los resultados de las variables preespecificadas en el diseño del estudio</w:t>
            </w:r>
          </w:p>
        </w:tc>
        <w:tc>
          <w:tcPr>
            <w:tcW w:w="1560" w:type="dxa"/>
          </w:tcPr>
          <w:p w14:paraId="1E8A67B2" w14:textId="77777777" w:rsidR="00280125" w:rsidRPr="006875A6" w:rsidRDefault="006875A6">
            <w:pPr>
              <w:autoSpaceDE w:val="0"/>
              <w:autoSpaceDN w:val="0"/>
              <w:adjustRightInd w:val="0"/>
              <w:rPr>
                <w:rFonts w:ascii="Arial" w:hAnsi="Arial" w:cs="Arial"/>
                <w:sz w:val="16"/>
                <w:szCs w:val="16"/>
              </w:rPr>
            </w:pPr>
            <w:r w:rsidRPr="006875A6">
              <w:rPr>
                <w:rFonts w:ascii="Arial" w:hAnsi="Arial" w:cs="Arial"/>
                <w:sz w:val="16"/>
                <w:szCs w:val="16"/>
              </w:rPr>
              <w:t>Bajo riesgo</w:t>
            </w:r>
          </w:p>
        </w:tc>
      </w:tr>
      <w:tr w:rsidR="00280125" w:rsidRPr="006F6ABB" w14:paraId="3D00F19B" w14:textId="77777777">
        <w:tc>
          <w:tcPr>
            <w:tcW w:w="9181" w:type="dxa"/>
            <w:gridSpan w:val="4"/>
            <w:shd w:val="clear" w:color="auto" w:fill="CCFFCC"/>
          </w:tcPr>
          <w:p w14:paraId="51C63C37" w14:textId="77777777" w:rsidR="00280125" w:rsidRPr="006F6ABB" w:rsidRDefault="00280125">
            <w:pPr>
              <w:autoSpaceDE w:val="0"/>
              <w:autoSpaceDN w:val="0"/>
              <w:adjustRightInd w:val="0"/>
              <w:rPr>
                <w:rFonts w:ascii="Arial" w:hAnsi="Arial" w:cs="Arial"/>
                <w:b/>
                <w:bCs/>
                <w:sz w:val="16"/>
                <w:szCs w:val="16"/>
              </w:rPr>
            </w:pPr>
            <w:r w:rsidRPr="006F6ABB">
              <w:rPr>
                <w:rFonts w:ascii="Arial" w:hAnsi="Arial" w:cs="Arial"/>
                <w:b/>
                <w:bCs/>
                <w:sz w:val="16"/>
                <w:szCs w:val="16"/>
              </w:rPr>
              <w:t>Otros sesgos</w:t>
            </w:r>
          </w:p>
        </w:tc>
      </w:tr>
      <w:tr w:rsidR="00280125" w:rsidRPr="006F6ABB" w14:paraId="32B92D34" w14:textId="77777777" w:rsidTr="003F3B19">
        <w:trPr>
          <w:trHeight w:val="240"/>
        </w:trPr>
        <w:tc>
          <w:tcPr>
            <w:tcW w:w="1904" w:type="dxa"/>
            <w:shd w:val="clear" w:color="auto" w:fill="E6E6E6"/>
          </w:tcPr>
          <w:p w14:paraId="6841A92A" w14:textId="77777777" w:rsidR="00280125" w:rsidRPr="006F6ABB" w:rsidRDefault="00280125">
            <w:pPr>
              <w:autoSpaceDE w:val="0"/>
              <w:autoSpaceDN w:val="0"/>
              <w:adjustRightInd w:val="0"/>
              <w:rPr>
                <w:rFonts w:ascii="Arial" w:hAnsi="Arial" w:cs="Arial"/>
                <w:sz w:val="16"/>
                <w:szCs w:val="16"/>
              </w:rPr>
            </w:pPr>
          </w:p>
        </w:tc>
        <w:tc>
          <w:tcPr>
            <w:tcW w:w="4016" w:type="dxa"/>
          </w:tcPr>
          <w:p w14:paraId="3A0392A4" w14:textId="77777777" w:rsidR="00280125" w:rsidRPr="008028CB" w:rsidRDefault="00280125">
            <w:pPr>
              <w:autoSpaceDE w:val="0"/>
              <w:autoSpaceDN w:val="0"/>
              <w:adjustRightInd w:val="0"/>
              <w:rPr>
                <w:rFonts w:ascii="Arial" w:hAnsi="Arial" w:cs="Arial"/>
                <w:sz w:val="16"/>
                <w:szCs w:val="16"/>
              </w:rPr>
            </w:pPr>
          </w:p>
        </w:tc>
        <w:tc>
          <w:tcPr>
            <w:tcW w:w="1701" w:type="dxa"/>
          </w:tcPr>
          <w:p w14:paraId="361D6403" w14:textId="77777777" w:rsidR="00280125" w:rsidRPr="008028CB" w:rsidRDefault="00280125">
            <w:pPr>
              <w:autoSpaceDE w:val="0"/>
              <w:autoSpaceDN w:val="0"/>
              <w:adjustRightInd w:val="0"/>
              <w:rPr>
                <w:rFonts w:ascii="Arial" w:hAnsi="Arial" w:cs="Arial"/>
                <w:sz w:val="16"/>
                <w:szCs w:val="16"/>
              </w:rPr>
            </w:pPr>
          </w:p>
        </w:tc>
        <w:tc>
          <w:tcPr>
            <w:tcW w:w="1560" w:type="dxa"/>
          </w:tcPr>
          <w:p w14:paraId="2092970A" w14:textId="77777777" w:rsidR="00280125" w:rsidRPr="008028CB" w:rsidRDefault="00280125">
            <w:pPr>
              <w:autoSpaceDE w:val="0"/>
              <w:autoSpaceDN w:val="0"/>
              <w:adjustRightInd w:val="0"/>
              <w:rPr>
                <w:rFonts w:ascii="Arial" w:hAnsi="Arial" w:cs="Arial"/>
                <w:sz w:val="16"/>
                <w:szCs w:val="16"/>
              </w:rPr>
            </w:pPr>
          </w:p>
        </w:tc>
      </w:tr>
    </w:tbl>
    <w:p w14:paraId="0508042D" w14:textId="77777777" w:rsidR="00C126E8" w:rsidRDefault="00C126E8">
      <w:pPr>
        <w:rPr>
          <w:vanish/>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851"/>
        <w:gridCol w:w="4819"/>
      </w:tblGrid>
      <w:tr w:rsidR="00274C2C" w:rsidRPr="004124A0" w14:paraId="2E5339B1" w14:textId="77777777">
        <w:trPr>
          <w:cantSplit/>
        </w:trPr>
        <w:tc>
          <w:tcPr>
            <w:tcW w:w="9142" w:type="dxa"/>
            <w:gridSpan w:val="3"/>
            <w:shd w:val="clear" w:color="auto" w:fill="CCFFCC"/>
          </w:tcPr>
          <w:p w14:paraId="1F94F57C" w14:textId="77777777" w:rsidR="00274C2C" w:rsidRPr="004124A0" w:rsidRDefault="00274C2C">
            <w:pPr>
              <w:rPr>
                <w:rFonts w:ascii="Arial" w:hAnsi="Arial" w:cs="Arial"/>
                <w:b/>
                <w:sz w:val="16"/>
                <w:szCs w:val="16"/>
              </w:rPr>
            </w:pPr>
            <w:r w:rsidRPr="004124A0">
              <w:rPr>
                <w:rFonts w:ascii="Arial" w:hAnsi="Arial" w:cs="Arial"/>
                <w:b/>
                <w:sz w:val="16"/>
                <w:szCs w:val="16"/>
              </w:rPr>
              <w:t>5.2.b.2 Tabla 3</w:t>
            </w:r>
          </w:p>
          <w:p w14:paraId="309A664C" w14:textId="77777777" w:rsidR="00274C2C" w:rsidRPr="004124A0" w:rsidRDefault="00274C2C">
            <w:pPr>
              <w:rPr>
                <w:rFonts w:ascii="Arial" w:hAnsi="Arial" w:cs="Arial"/>
                <w:b/>
                <w:bCs/>
                <w:sz w:val="16"/>
                <w:szCs w:val="16"/>
              </w:rPr>
            </w:pPr>
            <w:r w:rsidRPr="004124A0">
              <w:rPr>
                <w:rFonts w:ascii="Arial" w:hAnsi="Arial" w:cs="Arial"/>
                <w:b/>
                <w:bCs/>
                <w:sz w:val="16"/>
                <w:szCs w:val="16"/>
              </w:rPr>
              <w:t xml:space="preserve">CUESTIONARIO SOBRE LA APLICABILIDAD DE UN ENSAYO CLÍNICO </w:t>
            </w:r>
          </w:p>
        </w:tc>
      </w:tr>
      <w:tr w:rsidR="00274C2C" w:rsidRPr="004124A0" w14:paraId="42A8CA22" w14:textId="77777777">
        <w:trPr>
          <w:trHeight w:val="90"/>
        </w:trPr>
        <w:tc>
          <w:tcPr>
            <w:tcW w:w="3472" w:type="dxa"/>
          </w:tcPr>
          <w:p w14:paraId="49D90B19" w14:textId="77777777" w:rsidR="00274C2C" w:rsidRPr="004124A0" w:rsidRDefault="00274C2C">
            <w:pPr>
              <w:rPr>
                <w:rFonts w:ascii="Arial" w:hAnsi="Arial" w:cs="Arial"/>
                <w:sz w:val="16"/>
                <w:szCs w:val="16"/>
              </w:rPr>
            </w:pPr>
          </w:p>
        </w:tc>
        <w:tc>
          <w:tcPr>
            <w:tcW w:w="851" w:type="dxa"/>
          </w:tcPr>
          <w:p w14:paraId="268BA915" w14:textId="77777777" w:rsidR="00274C2C" w:rsidRPr="004124A0" w:rsidRDefault="00274C2C">
            <w:pPr>
              <w:jc w:val="center"/>
              <w:rPr>
                <w:rFonts w:ascii="Arial" w:hAnsi="Arial" w:cs="Arial"/>
                <w:b/>
                <w:sz w:val="16"/>
                <w:szCs w:val="16"/>
              </w:rPr>
            </w:pPr>
            <w:r w:rsidRPr="004124A0">
              <w:rPr>
                <w:rFonts w:ascii="Arial" w:hAnsi="Arial" w:cs="Arial"/>
                <w:b/>
                <w:sz w:val="16"/>
                <w:szCs w:val="16"/>
              </w:rPr>
              <w:t>SI /NO</w:t>
            </w:r>
          </w:p>
        </w:tc>
        <w:tc>
          <w:tcPr>
            <w:tcW w:w="4819" w:type="dxa"/>
          </w:tcPr>
          <w:p w14:paraId="56E24CCA" w14:textId="77777777" w:rsidR="00274C2C" w:rsidRPr="004124A0" w:rsidRDefault="00274C2C">
            <w:pPr>
              <w:jc w:val="center"/>
              <w:rPr>
                <w:rFonts w:ascii="Arial" w:hAnsi="Arial" w:cs="Arial"/>
                <w:b/>
                <w:sz w:val="16"/>
                <w:szCs w:val="16"/>
              </w:rPr>
            </w:pPr>
            <w:r w:rsidRPr="004124A0">
              <w:rPr>
                <w:rFonts w:ascii="Arial" w:hAnsi="Arial" w:cs="Arial"/>
                <w:b/>
                <w:sz w:val="16"/>
                <w:szCs w:val="16"/>
              </w:rPr>
              <w:t>JUSTIFICAR</w:t>
            </w:r>
          </w:p>
        </w:tc>
      </w:tr>
      <w:tr w:rsidR="00274C2C" w:rsidRPr="004124A0" w14:paraId="721081A9" w14:textId="77777777">
        <w:trPr>
          <w:trHeight w:val="604"/>
        </w:trPr>
        <w:tc>
          <w:tcPr>
            <w:tcW w:w="3472" w:type="dxa"/>
          </w:tcPr>
          <w:p w14:paraId="605F51A4" w14:textId="77777777" w:rsidR="00274C2C" w:rsidRPr="004124A0" w:rsidRDefault="00274C2C">
            <w:pPr>
              <w:rPr>
                <w:rFonts w:ascii="Arial" w:hAnsi="Arial" w:cs="Arial"/>
                <w:b/>
                <w:sz w:val="16"/>
                <w:szCs w:val="16"/>
              </w:rPr>
            </w:pPr>
            <w:r w:rsidRPr="004124A0">
              <w:rPr>
                <w:rFonts w:ascii="Arial" w:hAnsi="Arial" w:cs="Arial"/>
                <w:b/>
                <w:sz w:val="16"/>
                <w:szCs w:val="16"/>
              </w:rPr>
              <w:t xml:space="preserve">¿Considera adecuado el comparador? </w:t>
            </w:r>
            <w:r w:rsidRPr="004124A0">
              <w:rPr>
                <w:rFonts w:ascii="Arial" w:hAnsi="Arial" w:cs="Arial"/>
                <w:sz w:val="16"/>
                <w:szCs w:val="16"/>
              </w:rPr>
              <w:t>¿Es el tratamiento control adecuado en nuestro medio?</w:t>
            </w:r>
          </w:p>
        </w:tc>
        <w:tc>
          <w:tcPr>
            <w:tcW w:w="851" w:type="dxa"/>
          </w:tcPr>
          <w:p w14:paraId="43CBF1DF" w14:textId="77777777" w:rsidR="00274C2C" w:rsidRPr="004124A0" w:rsidRDefault="00274C2C">
            <w:pPr>
              <w:rPr>
                <w:rFonts w:ascii="Arial" w:hAnsi="Arial" w:cs="Arial"/>
                <w:sz w:val="16"/>
                <w:szCs w:val="16"/>
              </w:rPr>
            </w:pPr>
            <w:r>
              <w:rPr>
                <w:rFonts w:ascii="Arial" w:hAnsi="Arial" w:cs="Arial"/>
                <w:sz w:val="16"/>
                <w:szCs w:val="16"/>
              </w:rPr>
              <w:t>No</w:t>
            </w:r>
          </w:p>
        </w:tc>
        <w:tc>
          <w:tcPr>
            <w:tcW w:w="4819" w:type="dxa"/>
          </w:tcPr>
          <w:p w14:paraId="020AC411" w14:textId="77777777" w:rsidR="00274C2C" w:rsidRPr="00AE0D41" w:rsidRDefault="00274C2C">
            <w:pPr>
              <w:rPr>
                <w:rFonts w:ascii="Arial" w:hAnsi="Arial" w:cs="Arial"/>
                <w:sz w:val="16"/>
                <w:szCs w:val="16"/>
              </w:rPr>
            </w:pPr>
            <w:r w:rsidRPr="00AE0D41">
              <w:rPr>
                <w:rFonts w:ascii="Arial" w:hAnsi="Arial" w:cs="Arial"/>
                <w:sz w:val="16"/>
                <w:szCs w:val="16"/>
              </w:rPr>
              <w:t xml:space="preserve">No, se debería comparar frente al tratamiento de referencia (dupilumab) en lugar </w:t>
            </w:r>
            <w:r w:rsidRPr="00AE0D41">
              <w:rPr>
                <w:rFonts w:ascii="Arial" w:hAnsi="Arial" w:cs="Arial"/>
                <w:b/>
                <w:bCs/>
                <w:sz w:val="16"/>
                <w:szCs w:val="16"/>
              </w:rPr>
              <w:t>de frente</w:t>
            </w:r>
            <w:r w:rsidRPr="00AE0D41">
              <w:rPr>
                <w:rFonts w:ascii="Arial" w:hAnsi="Arial" w:cs="Arial"/>
                <w:sz w:val="16"/>
                <w:szCs w:val="16"/>
              </w:rPr>
              <w:t xml:space="preserve"> a placebo. </w:t>
            </w:r>
          </w:p>
        </w:tc>
      </w:tr>
      <w:tr w:rsidR="00274C2C" w:rsidRPr="004124A0" w14:paraId="649C1958" w14:textId="77777777">
        <w:trPr>
          <w:trHeight w:val="556"/>
        </w:trPr>
        <w:tc>
          <w:tcPr>
            <w:tcW w:w="3472" w:type="dxa"/>
          </w:tcPr>
          <w:p w14:paraId="7E4B2728" w14:textId="77777777" w:rsidR="00274C2C" w:rsidRPr="004124A0" w:rsidRDefault="00274C2C">
            <w:pPr>
              <w:rPr>
                <w:rFonts w:ascii="Arial" w:hAnsi="Arial" w:cs="Arial"/>
                <w:b/>
                <w:bCs/>
                <w:sz w:val="16"/>
                <w:szCs w:val="16"/>
              </w:rPr>
            </w:pPr>
            <w:r w:rsidRPr="004124A0">
              <w:rPr>
                <w:rFonts w:ascii="Arial" w:hAnsi="Arial" w:cs="Arial"/>
                <w:b/>
                <w:bCs/>
                <w:sz w:val="16"/>
                <w:szCs w:val="16"/>
              </w:rPr>
              <w:t>¿Son importantes clínicamente los resultados?</w:t>
            </w:r>
          </w:p>
        </w:tc>
        <w:tc>
          <w:tcPr>
            <w:tcW w:w="851" w:type="dxa"/>
          </w:tcPr>
          <w:p w14:paraId="242A168E" w14:textId="77777777" w:rsidR="00274C2C" w:rsidRPr="004124A0" w:rsidRDefault="00274C2C">
            <w:pPr>
              <w:rPr>
                <w:rFonts w:ascii="Arial" w:hAnsi="Arial" w:cs="Arial"/>
                <w:sz w:val="16"/>
                <w:szCs w:val="16"/>
              </w:rPr>
            </w:pPr>
          </w:p>
        </w:tc>
        <w:tc>
          <w:tcPr>
            <w:tcW w:w="4819" w:type="dxa"/>
          </w:tcPr>
          <w:p w14:paraId="7DB00426" w14:textId="77777777" w:rsidR="00274C2C" w:rsidRPr="00AE0D41" w:rsidRDefault="002F13CB">
            <w:pPr>
              <w:rPr>
                <w:rFonts w:ascii="Arial" w:hAnsi="Arial" w:cs="Arial"/>
                <w:sz w:val="16"/>
                <w:szCs w:val="16"/>
              </w:rPr>
            </w:pPr>
            <w:r w:rsidRPr="00AE0D41">
              <w:rPr>
                <w:rFonts w:ascii="Arial" w:hAnsi="Arial" w:cs="Arial"/>
                <w:sz w:val="16"/>
                <w:szCs w:val="16"/>
              </w:rPr>
              <w:t xml:space="preserve">No </w:t>
            </w:r>
            <w:r w:rsidR="003F3B19" w:rsidRPr="00AE0D41">
              <w:rPr>
                <w:rFonts w:ascii="Arial" w:hAnsi="Arial" w:cs="Arial"/>
                <w:sz w:val="16"/>
                <w:szCs w:val="16"/>
              </w:rPr>
              <w:t>tiene una eficacia clinicamente relevante con respecto al estándar de referencia, según los datos de las CI ajustadas</w:t>
            </w:r>
          </w:p>
        </w:tc>
      </w:tr>
      <w:tr w:rsidR="00274C2C" w:rsidRPr="004124A0" w14:paraId="2EC49761" w14:textId="77777777">
        <w:trPr>
          <w:trHeight w:val="556"/>
        </w:trPr>
        <w:tc>
          <w:tcPr>
            <w:tcW w:w="3472" w:type="dxa"/>
          </w:tcPr>
          <w:p w14:paraId="53852267" w14:textId="77777777" w:rsidR="00274C2C" w:rsidRPr="004124A0" w:rsidRDefault="00274C2C">
            <w:pPr>
              <w:rPr>
                <w:rFonts w:ascii="Arial" w:hAnsi="Arial" w:cs="Arial"/>
                <w:b/>
                <w:sz w:val="16"/>
                <w:szCs w:val="16"/>
              </w:rPr>
            </w:pPr>
            <w:r w:rsidRPr="004124A0">
              <w:rPr>
                <w:rFonts w:ascii="Arial" w:hAnsi="Arial" w:cs="Arial"/>
                <w:b/>
                <w:sz w:val="16"/>
                <w:szCs w:val="16"/>
              </w:rPr>
              <w:t xml:space="preserve">¿Considera adecuada la variable de medida utilizada? </w:t>
            </w:r>
          </w:p>
        </w:tc>
        <w:tc>
          <w:tcPr>
            <w:tcW w:w="851" w:type="dxa"/>
          </w:tcPr>
          <w:p w14:paraId="3585B6AA" w14:textId="77777777" w:rsidR="00274C2C" w:rsidRPr="004124A0" w:rsidRDefault="00274C2C">
            <w:pPr>
              <w:rPr>
                <w:rFonts w:ascii="Arial" w:hAnsi="Arial" w:cs="Arial"/>
                <w:sz w:val="16"/>
                <w:szCs w:val="16"/>
              </w:rPr>
            </w:pPr>
            <w:r>
              <w:rPr>
                <w:rFonts w:ascii="Arial" w:hAnsi="Arial" w:cs="Arial"/>
                <w:sz w:val="16"/>
                <w:szCs w:val="16"/>
              </w:rPr>
              <w:t>No</w:t>
            </w:r>
          </w:p>
        </w:tc>
        <w:tc>
          <w:tcPr>
            <w:tcW w:w="4819" w:type="dxa"/>
          </w:tcPr>
          <w:p w14:paraId="65BD6B27" w14:textId="77777777" w:rsidR="00274C2C" w:rsidRPr="00AE0D41" w:rsidRDefault="00274C2C">
            <w:pPr>
              <w:rPr>
                <w:rFonts w:ascii="Arial" w:hAnsi="Arial" w:cs="Arial"/>
                <w:sz w:val="16"/>
                <w:szCs w:val="16"/>
              </w:rPr>
            </w:pPr>
            <w:r w:rsidRPr="00AE0D41">
              <w:rPr>
                <w:rFonts w:ascii="Arial" w:hAnsi="Arial" w:cs="Arial"/>
                <w:sz w:val="16"/>
                <w:szCs w:val="16"/>
              </w:rPr>
              <w:t xml:space="preserve">Las escalas de valoración utilizadas en los estudios no se utilizan de forma habitual en la práctica clínica. </w:t>
            </w:r>
          </w:p>
        </w:tc>
      </w:tr>
      <w:tr w:rsidR="00274C2C" w:rsidRPr="004124A0" w14:paraId="69CE01B1" w14:textId="77777777">
        <w:trPr>
          <w:trHeight w:val="634"/>
        </w:trPr>
        <w:tc>
          <w:tcPr>
            <w:tcW w:w="3472" w:type="dxa"/>
          </w:tcPr>
          <w:p w14:paraId="46F02068" w14:textId="77777777" w:rsidR="00274C2C" w:rsidRPr="004124A0" w:rsidRDefault="00274C2C">
            <w:pPr>
              <w:rPr>
                <w:rFonts w:ascii="Arial" w:hAnsi="Arial" w:cs="Arial"/>
                <w:b/>
                <w:sz w:val="16"/>
                <w:szCs w:val="16"/>
              </w:rPr>
            </w:pPr>
            <w:r w:rsidRPr="004124A0">
              <w:rPr>
                <w:rFonts w:ascii="Arial" w:hAnsi="Arial" w:cs="Arial"/>
                <w:b/>
                <w:sz w:val="16"/>
                <w:szCs w:val="16"/>
              </w:rPr>
              <w:t xml:space="preserve">¿Considera adecuados los criterios de inclusión y/o exclusión de los pacientes? </w:t>
            </w:r>
          </w:p>
        </w:tc>
        <w:tc>
          <w:tcPr>
            <w:tcW w:w="851" w:type="dxa"/>
          </w:tcPr>
          <w:p w14:paraId="05180A28" w14:textId="77777777" w:rsidR="00274C2C" w:rsidRPr="004124A0" w:rsidRDefault="00274C2C">
            <w:pPr>
              <w:rPr>
                <w:rFonts w:ascii="Arial" w:hAnsi="Arial" w:cs="Arial"/>
                <w:sz w:val="16"/>
                <w:szCs w:val="16"/>
              </w:rPr>
            </w:pPr>
            <w:r>
              <w:rPr>
                <w:rFonts w:ascii="Arial" w:hAnsi="Arial" w:cs="Arial"/>
                <w:sz w:val="16"/>
                <w:szCs w:val="16"/>
              </w:rPr>
              <w:t>Dudoso</w:t>
            </w:r>
          </w:p>
        </w:tc>
        <w:tc>
          <w:tcPr>
            <w:tcW w:w="4819" w:type="dxa"/>
          </w:tcPr>
          <w:p w14:paraId="064A41E1" w14:textId="77777777" w:rsidR="00274C2C" w:rsidRPr="00AE0D41" w:rsidRDefault="00274C2C">
            <w:pPr>
              <w:rPr>
                <w:rFonts w:ascii="Arial" w:hAnsi="Arial" w:cs="Arial"/>
                <w:sz w:val="16"/>
                <w:szCs w:val="16"/>
              </w:rPr>
            </w:pPr>
            <w:r w:rsidRPr="00AE0D41">
              <w:rPr>
                <w:rFonts w:ascii="Arial" w:hAnsi="Arial" w:cs="Arial"/>
                <w:sz w:val="16"/>
                <w:szCs w:val="16"/>
              </w:rPr>
              <w:t xml:space="preserve">Incluye pacientes mayoritariamente de raza blanca y pocos pacientes de más de 65 años. </w:t>
            </w:r>
          </w:p>
        </w:tc>
      </w:tr>
      <w:tr w:rsidR="00274C2C" w:rsidRPr="004124A0" w14:paraId="708DF37F" w14:textId="77777777">
        <w:trPr>
          <w:trHeight w:val="699"/>
        </w:trPr>
        <w:tc>
          <w:tcPr>
            <w:tcW w:w="3472" w:type="dxa"/>
          </w:tcPr>
          <w:p w14:paraId="1F23E2E8" w14:textId="77777777" w:rsidR="00274C2C" w:rsidRPr="004124A0" w:rsidRDefault="00274C2C">
            <w:pPr>
              <w:rPr>
                <w:rFonts w:ascii="Arial" w:hAnsi="Arial" w:cs="Arial"/>
                <w:b/>
                <w:sz w:val="16"/>
                <w:szCs w:val="16"/>
              </w:rPr>
            </w:pPr>
            <w:r w:rsidRPr="004124A0">
              <w:rPr>
                <w:rFonts w:ascii="Arial" w:hAnsi="Arial" w:cs="Arial"/>
                <w:b/>
                <w:sz w:val="16"/>
                <w:szCs w:val="16"/>
              </w:rPr>
              <w:t>¿Cree que los resultados pueden ser aplicados directamente a la práctica clínica?</w:t>
            </w:r>
            <w:r w:rsidRPr="004124A0">
              <w:rPr>
                <w:rFonts w:ascii="Arial" w:hAnsi="Arial" w:cs="Arial"/>
                <w:sz w:val="16"/>
                <w:szCs w:val="16"/>
              </w:rPr>
              <w:t xml:space="preserve"> </w:t>
            </w:r>
          </w:p>
        </w:tc>
        <w:tc>
          <w:tcPr>
            <w:tcW w:w="851" w:type="dxa"/>
          </w:tcPr>
          <w:p w14:paraId="3EC49E92" w14:textId="77777777" w:rsidR="00274C2C" w:rsidRPr="004124A0" w:rsidRDefault="00274C2C">
            <w:pPr>
              <w:rPr>
                <w:rFonts w:ascii="Arial" w:hAnsi="Arial" w:cs="Arial"/>
                <w:sz w:val="16"/>
                <w:szCs w:val="16"/>
              </w:rPr>
            </w:pPr>
            <w:r>
              <w:rPr>
                <w:rFonts w:ascii="Arial" w:hAnsi="Arial" w:cs="Arial"/>
                <w:sz w:val="16"/>
                <w:szCs w:val="16"/>
              </w:rPr>
              <w:t>No</w:t>
            </w:r>
          </w:p>
        </w:tc>
        <w:tc>
          <w:tcPr>
            <w:tcW w:w="4819" w:type="dxa"/>
          </w:tcPr>
          <w:p w14:paraId="18041B09" w14:textId="77777777" w:rsidR="00274C2C" w:rsidRPr="00AE0D41" w:rsidRDefault="00274C2C">
            <w:pPr>
              <w:rPr>
                <w:rFonts w:ascii="Arial" w:hAnsi="Arial" w:cs="Arial"/>
                <w:sz w:val="16"/>
                <w:szCs w:val="16"/>
              </w:rPr>
            </w:pPr>
            <w:r w:rsidRPr="00AE0D41">
              <w:rPr>
                <w:rFonts w:ascii="Arial" w:hAnsi="Arial" w:cs="Arial"/>
                <w:sz w:val="16"/>
                <w:szCs w:val="16"/>
              </w:rPr>
              <w:t xml:space="preserve">No, ya que requeriría aplicar las mismas escalas de valoración. </w:t>
            </w:r>
          </w:p>
        </w:tc>
      </w:tr>
      <w:tr w:rsidR="00274C2C" w:rsidRPr="004124A0" w14:paraId="7A5FA87E" w14:textId="77777777">
        <w:trPr>
          <w:trHeight w:val="681"/>
        </w:trPr>
        <w:tc>
          <w:tcPr>
            <w:tcW w:w="3472" w:type="dxa"/>
          </w:tcPr>
          <w:p w14:paraId="10C33711" w14:textId="77777777" w:rsidR="00274C2C" w:rsidRPr="004124A0" w:rsidRDefault="00274C2C">
            <w:pPr>
              <w:rPr>
                <w:rFonts w:ascii="Arial" w:hAnsi="Arial" w:cs="Arial"/>
                <w:b/>
                <w:sz w:val="16"/>
                <w:szCs w:val="16"/>
              </w:rPr>
            </w:pPr>
            <w:r w:rsidRPr="004124A0">
              <w:rPr>
                <w:rFonts w:ascii="Arial" w:hAnsi="Arial" w:cs="Arial"/>
                <w:b/>
                <w:sz w:val="16"/>
                <w:szCs w:val="16"/>
              </w:rPr>
              <w:t>Otros sesgos o limitaciones encontradas en el estudio</w:t>
            </w:r>
          </w:p>
        </w:tc>
        <w:tc>
          <w:tcPr>
            <w:tcW w:w="851" w:type="dxa"/>
          </w:tcPr>
          <w:p w14:paraId="2C243841" w14:textId="77777777" w:rsidR="00274C2C" w:rsidRPr="004124A0" w:rsidRDefault="003F3B19">
            <w:pPr>
              <w:rPr>
                <w:rFonts w:ascii="Arial" w:hAnsi="Arial" w:cs="Arial"/>
                <w:bCs/>
                <w:sz w:val="16"/>
                <w:szCs w:val="16"/>
              </w:rPr>
            </w:pPr>
            <w:r>
              <w:rPr>
                <w:rFonts w:ascii="Arial" w:hAnsi="Arial" w:cs="Arial"/>
                <w:bCs/>
                <w:sz w:val="16"/>
                <w:szCs w:val="16"/>
              </w:rPr>
              <w:t>No</w:t>
            </w:r>
          </w:p>
        </w:tc>
        <w:tc>
          <w:tcPr>
            <w:tcW w:w="4819" w:type="dxa"/>
          </w:tcPr>
          <w:p w14:paraId="048EEE7B" w14:textId="77777777" w:rsidR="00274C2C" w:rsidRPr="00274C2C" w:rsidRDefault="00274C2C">
            <w:pPr>
              <w:rPr>
                <w:rFonts w:ascii="Arial" w:hAnsi="Arial" w:cs="Arial"/>
                <w:b/>
                <w:color w:val="FF0000"/>
                <w:sz w:val="16"/>
                <w:szCs w:val="16"/>
              </w:rPr>
            </w:pPr>
          </w:p>
        </w:tc>
      </w:tr>
    </w:tbl>
    <w:p w14:paraId="42CFD260" w14:textId="77777777" w:rsidR="00280125" w:rsidRPr="00280125" w:rsidRDefault="00280125" w:rsidP="00280125">
      <w:pPr>
        <w:rPr>
          <w:b/>
          <w:bCs/>
        </w:rPr>
      </w:pPr>
    </w:p>
    <w:p w14:paraId="39C6763B" w14:textId="77777777" w:rsidR="00280125" w:rsidRDefault="00280125" w:rsidP="00280125"/>
    <w:p w14:paraId="0DB2889B" w14:textId="77777777" w:rsidR="00BC3E8E" w:rsidRPr="006F4C4F" w:rsidRDefault="00BC3E8E" w:rsidP="00280125">
      <w:r w:rsidRPr="00280125">
        <w:br w:type="page"/>
      </w:r>
      <w:r w:rsidRPr="00707E7D">
        <w:t>Formulario de declaración de conflictos de intereses</w:t>
      </w:r>
    </w:p>
    <w:p w14:paraId="152F6D9D" w14:textId="77777777" w:rsidR="00BC3E8E" w:rsidRDefault="00BC3E8E" w:rsidP="00BC3E8E">
      <w:pPr>
        <w:autoSpaceDE w:val="0"/>
        <w:autoSpaceDN w:val="0"/>
        <w:adjustRightInd w:val="0"/>
        <w:spacing w:line="240" w:lineRule="atLeast"/>
        <w:ind w:left="220" w:hanging="220"/>
        <w:rPr>
          <w:rFonts w:ascii="Arial" w:hAnsi="Arial" w:cs="Arial"/>
          <w:color w:val="000000"/>
          <w:sz w:val="20"/>
          <w:szCs w:val="20"/>
        </w:rPr>
      </w:pPr>
    </w:p>
    <w:p w14:paraId="578CE891" w14:textId="77777777" w:rsidR="00BC3E8E" w:rsidRPr="00456E6C" w:rsidRDefault="00BC3E8E" w:rsidP="00BC3E8E">
      <w:pPr>
        <w:pStyle w:val="Pa53"/>
        <w:jc w:val="both"/>
        <w:rPr>
          <w:rFonts w:ascii="Arial" w:eastAsia="Times New Roman" w:hAnsi="Arial" w:cs="Arial"/>
          <w:sz w:val="20"/>
          <w:szCs w:val="20"/>
          <w:lang w:eastAsia="es-ES"/>
        </w:rPr>
      </w:pPr>
      <w:r w:rsidRPr="00456E6C">
        <w:rPr>
          <w:rFonts w:ascii="Arial" w:eastAsia="Times New Roman"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53C2D5EC" w14:textId="77777777" w:rsidR="00BC3E8E" w:rsidRPr="006F6ABB" w:rsidRDefault="00BC3E8E" w:rsidP="00BC3E8E">
      <w:pPr>
        <w:pStyle w:val="Default"/>
        <w:rPr>
          <w:rFonts w:ascii="Arial" w:hAnsi="Arial" w:cs="Arial"/>
          <w:color w:val="000080"/>
          <w:sz w:val="20"/>
          <w:szCs w:val="20"/>
          <w:lang w:eastAsia="es-ES"/>
        </w:rPr>
      </w:pPr>
    </w:p>
    <w:p w14:paraId="74959101" w14:textId="77777777" w:rsidR="00BC3E8E" w:rsidRPr="00AE0D41" w:rsidRDefault="00BC3E8E" w:rsidP="00BC3E8E">
      <w:pPr>
        <w:autoSpaceDE w:val="0"/>
        <w:autoSpaceDN w:val="0"/>
        <w:adjustRightInd w:val="0"/>
        <w:spacing w:line="240" w:lineRule="atLeast"/>
        <w:ind w:left="220" w:hanging="220"/>
        <w:rPr>
          <w:rFonts w:ascii="Arial" w:hAnsi="Arial" w:cs="Arial"/>
          <w:bCs/>
          <w:color w:val="000000"/>
          <w:sz w:val="20"/>
          <w:szCs w:val="20"/>
        </w:rPr>
      </w:pPr>
      <w:r w:rsidRPr="00707E7D">
        <w:rPr>
          <w:rFonts w:ascii="Arial" w:hAnsi="Arial" w:cs="Arial"/>
          <w:b/>
          <w:color w:val="000000"/>
          <w:sz w:val="20"/>
          <w:szCs w:val="20"/>
        </w:rPr>
        <w:t>– Nombre y apellidos:</w:t>
      </w:r>
      <w:r w:rsidR="00AE0D41">
        <w:rPr>
          <w:rFonts w:ascii="Arial" w:hAnsi="Arial" w:cs="Arial"/>
          <w:b/>
          <w:color w:val="000000"/>
          <w:sz w:val="20"/>
          <w:szCs w:val="20"/>
        </w:rPr>
        <w:t xml:space="preserve"> </w:t>
      </w:r>
      <w:r w:rsidR="00AE0D41" w:rsidRPr="00AE0D41">
        <w:rPr>
          <w:rFonts w:ascii="Arial" w:hAnsi="Arial" w:cs="Arial"/>
          <w:bCs/>
          <w:color w:val="000000"/>
          <w:sz w:val="20"/>
          <w:szCs w:val="20"/>
        </w:rPr>
        <w:t>Cristina González Romero</w:t>
      </w:r>
    </w:p>
    <w:p w14:paraId="28E8BE23" w14:textId="77777777" w:rsidR="00BC3E8E" w:rsidRPr="00707E7D" w:rsidRDefault="00BC3E8E" w:rsidP="00BC3E8E">
      <w:pPr>
        <w:autoSpaceDE w:val="0"/>
        <w:autoSpaceDN w:val="0"/>
        <w:adjustRightInd w:val="0"/>
        <w:spacing w:line="240" w:lineRule="atLeast"/>
        <w:ind w:left="220" w:hanging="220"/>
        <w:rPr>
          <w:rFonts w:ascii="Arial" w:hAnsi="Arial" w:cs="Arial"/>
          <w:b/>
          <w:color w:val="000000"/>
          <w:sz w:val="20"/>
          <w:szCs w:val="20"/>
        </w:rPr>
      </w:pPr>
    </w:p>
    <w:p w14:paraId="03D3186A" w14:textId="77777777" w:rsidR="00BC3E8E" w:rsidRPr="006F4C4F" w:rsidRDefault="00BC3E8E" w:rsidP="00BC3E8E">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Institución en la que trabaja:</w:t>
      </w:r>
      <w:r w:rsidR="00AE0D41">
        <w:rPr>
          <w:rFonts w:ascii="Arial" w:hAnsi="Arial" w:cs="Arial"/>
          <w:b/>
          <w:color w:val="000000"/>
          <w:sz w:val="20"/>
          <w:szCs w:val="20"/>
        </w:rPr>
        <w:t xml:space="preserve"> </w:t>
      </w:r>
      <w:r w:rsidR="00AE0D41" w:rsidRPr="00AE0D41">
        <w:rPr>
          <w:rFonts w:ascii="Arial" w:hAnsi="Arial" w:cs="Arial"/>
          <w:bCs/>
          <w:color w:val="000000"/>
          <w:sz w:val="20"/>
          <w:szCs w:val="20"/>
        </w:rPr>
        <w:t>Complejo Hospitalario Universitario de Albacete</w:t>
      </w:r>
    </w:p>
    <w:p w14:paraId="545C49DD" w14:textId="77777777" w:rsidR="00BC3E8E" w:rsidRPr="00707E7D" w:rsidRDefault="00BC3E8E" w:rsidP="00BC3E8E">
      <w:pPr>
        <w:autoSpaceDE w:val="0"/>
        <w:autoSpaceDN w:val="0"/>
        <w:adjustRightInd w:val="0"/>
        <w:spacing w:line="240" w:lineRule="atLeast"/>
        <w:ind w:left="220" w:hanging="220"/>
        <w:rPr>
          <w:rFonts w:ascii="Arial" w:hAnsi="Arial" w:cs="Arial"/>
          <w:b/>
          <w:color w:val="000000"/>
          <w:sz w:val="20"/>
          <w:szCs w:val="20"/>
        </w:rPr>
      </w:pPr>
    </w:p>
    <w:p w14:paraId="738A7554" w14:textId="77777777" w:rsidR="00BC3E8E" w:rsidRPr="006F4C4F" w:rsidRDefault="00BC3E8E" w:rsidP="00BC3E8E">
      <w:pPr>
        <w:autoSpaceDE w:val="0"/>
        <w:autoSpaceDN w:val="0"/>
        <w:adjustRightInd w:val="0"/>
        <w:spacing w:line="240" w:lineRule="atLeast"/>
        <w:ind w:left="220" w:hanging="220"/>
        <w:rPr>
          <w:rFonts w:ascii="Arial" w:hAnsi="Arial" w:cs="Arial"/>
          <w:color w:val="000000"/>
          <w:sz w:val="20"/>
          <w:szCs w:val="20"/>
        </w:rPr>
      </w:pPr>
      <w:r w:rsidRPr="00707E7D">
        <w:rPr>
          <w:rFonts w:ascii="Arial" w:hAnsi="Arial" w:cs="Arial"/>
          <w:b/>
          <w:color w:val="000000"/>
          <w:sz w:val="20"/>
          <w:szCs w:val="20"/>
        </w:rPr>
        <w:t xml:space="preserve">– Institución que le vincula al informe. </w:t>
      </w:r>
      <w:r w:rsidR="00AE0D41">
        <w:rPr>
          <w:rFonts w:ascii="Arial" w:hAnsi="Arial" w:cs="Arial"/>
          <w:color w:val="000000"/>
          <w:sz w:val="20"/>
          <w:szCs w:val="20"/>
        </w:rPr>
        <w:t>Sociedad Española de Farmacia Hospitalaria (SEFH). Grupo de trabajo GENESIS.</w:t>
      </w:r>
    </w:p>
    <w:p w14:paraId="21C413C0" w14:textId="77777777" w:rsidR="00BC3E8E" w:rsidRPr="00707E7D" w:rsidRDefault="00BC3E8E" w:rsidP="00BC3E8E">
      <w:pPr>
        <w:autoSpaceDE w:val="0"/>
        <w:autoSpaceDN w:val="0"/>
        <w:adjustRightInd w:val="0"/>
        <w:spacing w:after="40" w:line="240" w:lineRule="atLeast"/>
        <w:rPr>
          <w:rFonts w:ascii="Arial" w:hAnsi="Arial" w:cs="Arial"/>
          <w:color w:val="000000"/>
          <w:sz w:val="20"/>
          <w:szCs w:val="20"/>
        </w:rPr>
      </w:pPr>
    </w:p>
    <w:p w14:paraId="7A366684" w14:textId="77777777" w:rsidR="00BC3E8E" w:rsidRPr="006F4C4F" w:rsidRDefault="00BC3E8E" w:rsidP="00BC3E8E">
      <w:pPr>
        <w:autoSpaceDE w:val="0"/>
        <w:autoSpaceDN w:val="0"/>
        <w:adjustRightInd w:val="0"/>
        <w:spacing w:after="40" w:line="240" w:lineRule="atLeast"/>
        <w:rPr>
          <w:rFonts w:ascii="Arial" w:hAnsi="Arial" w:cs="Arial"/>
          <w:color w:val="000000"/>
          <w:sz w:val="20"/>
          <w:szCs w:val="20"/>
        </w:rPr>
      </w:pPr>
      <w:r>
        <w:rPr>
          <w:rFonts w:ascii="Arial" w:hAnsi="Arial" w:cs="Arial"/>
          <w:color w:val="000000"/>
          <w:sz w:val="20"/>
          <w:szCs w:val="20"/>
        </w:rPr>
        <w:t xml:space="preserve">Participación en el informe de evaluación </w:t>
      </w:r>
      <w:r w:rsidRPr="00707E7D">
        <w:rPr>
          <w:rFonts w:ascii="Arial" w:hAnsi="Arial" w:cs="Arial"/>
          <w:color w:val="000000"/>
          <w:sz w:val="20"/>
          <w:szCs w:val="20"/>
        </w:rPr>
        <w:t>como:</w:t>
      </w:r>
    </w:p>
    <w:p w14:paraId="1407D7E2" w14:textId="77777777" w:rsidR="00BC3E8E" w:rsidRPr="006A0347" w:rsidRDefault="00BC3E8E" w:rsidP="00BC3E8E">
      <w:pPr>
        <w:autoSpaceDE w:val="0"/>
        <w:autoSpaceDN w:val="0"/>
        <w:adjustRightInd w:val="0"/>
        <w:spacing w:line="240" w:lineRule="atLeast"/>
        <w:ind w:left="560"/>
        <w:rPr>
          <w:rFonts w:ascii="Arial" w:hAnsi="Arial" w:cs="Arial"/>
          <w:color w:val="000000"/>
          <w:sz w:val="20"/>
          <w:szCs w:val="20"/>
          <w:lang w:val="pt-BR"/>
        </w:rPr>
      </w:pPr>
      <w:r w:rsidRPr="00AE0D41">
        <w:rPr>
          <w:rFonts w:ascii="Arial" w:hAnsi="Arial" w:cs="Arial"/>
          <w:color w:val="000000"/>
          <w:sz w:val="20"/>
          <w:szCs w:val="20"/>
          <w:highlight w:val="lightGray"/>
          <w:lang w:val="pt-BR"/>
        </w:rPr>
        <w:t>1-Autor/a</w:t>
      </w:r>
    </w:p>
    <w:p w14:paraId="0BF1AB62" w14:textId="77777777" w:rsidR="00BC3E8E" w:rsidRPr="006A0347" w:rsidRDefault="00BC3E8E" w:rsidP="00BC3E8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2-Tutor/a</w:t>
      </w:r>
    </w:p>
    <w:p w14:paraId="51487D82" w14:textId="77777777" w:rsidR="00BC3E8E" w:rsidRPr="006A0347" w:rsidRDefault="00BC3E8E" w:rsidP="00BC3E8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3-Revisor/a externo/a</w:t>
      </w:r>
    </w:p>
    <w:p w14:paraId="6503B2D3" w14:textId="77777777" w:rsidR="00BC3E8E" w:rsidRPr="006A0347" w:rsidRDefault="00BC3E8E" w:rsidP="00BC3E8E">
      <w:pPr>
        <w:autoSpaceDE w:val="0"/>
        <w:autoSpaceDN w:val="0"/>
        <w:adjustRightInd w:val="0"/>
        <w:spacing w:line="240" w:lineRule="atLeast"/>
        <w:jc w:val="both"/>
        <w:rPr>
          <w:rFonts w:ascii="Arial" w:hAnsi="Arial" w:cs="Arial"/>
          <w:color w:val="000000"/>
          <w:sz w:val="20"/>
          <w:szCs w:val="20"/>
          <w:lang w:val="pt-BR"/>
        </w:rPr>
      </w:pPr>
    </w:p>
    <w:p w14:paraId="59F0373F" w14:textId="77777777" w:rsidR="00BC3E8E" w:rsidRPr="00707E7D" w:rsidRDefault="00BC3E8E" w:rsidP="00AE0D41">
      <w:pPr>
        <w:autoSpaceDE w:val="0"/>
        <w:autoSpaceDN w:val="0"/>
        <w:adjustRightInd w:val="0"/>
        <w:spacing w:line="240" w:lineRule="atLeast"/>
        <w:jc w:val="both"/>
        <w:rPr>
          <w:rFonts w:ascii="Arial" w:hAnsi="Arial" w:cs="Arial"/>
          <w:color w:val="000000"/>
          <w:sz w:val="20"/>
          <w:szCs w:val="20"/>
        </w:rPr>
      </w:pPr>
      <w:r w:rsidRPr="00707E7D">
        <w:rPr>
          <w:rFonts w:ascii="Arial" w:hAnsi="Arial" w:cs="Arial"/>
          <w:color w:val="000000"/>
          <w:sz w:val="20"/>
          <w:szCs w:val="20"/>
        </w:rPr>
        <w:t xml:space="preserve">Tras haber y leído y comprendido la información remitida sobre la declaración de conflictos para el presente </w:t>
      </w:r>
      <w:r>
        <w:rPr>
          <w:rFonts w:ascii="Arial" w:hAnsi="Arial" w:cs="Arial"/>
          <w:color w:val="000000"/>
          <w:sz w:val="20"/>
          <w:szCs w:val="20"/>
        </w:rPr>
        <w:t>informe</w:t>
      </w:r>
      <w:r w:rsidRPr="00707E7D">
        <w:rPr>
          <w:rFonts w:ascii="Arial" w:hAnsi="Arial" w:cs="Arial"/>
          <w:color w:val="000000"/>
          <w:sz w:val="20"/>
          <w:szCs w:val="20"/>
        </w:rPr>
        <w:t>, formulo la siguiente declaración:</w:t>
      </w:r>
    </w:p>
    <w:p w14:paraId="6F84499F" w14:textId="77777777" w:rsidR="00BC3E8E" w:rsidRPr="00707E7D" w:rsidRDefault="00BC3E8E" w:rsidP="00BC3E8E">
      <w:pPr>
        <w:autoSpaceDE w:val="0"/>
        <w:autoSpaceDN w:val="0"/>
        <w:adjustRightInd w:val="0"/>
        <w:spacing w:line="240" w:lineRule="atLeast"/>
        <w:rPr>
          <w:rFonts w:ascii="Arial" w:hAnsi="Arial" w:cs="Arial"/>
          <w:b/>
          <w:color w:val="000000"/>
          <w:sz w:val="20"/>
          <w:szCs w:val="20"/>
        </w:rPr>
      </w:pPr>
      <w:r w:rsidRPr="00707E7D">
        <w:rPr>
          <w:rFonts w:ascii="Arial" w:hAnsi="Arial" w:cs="Arial"/>
          <w:b/>
          <w:color w:val="000000"/>
          <w:sz w:val="20"/>
          <w:szCs w:val="20"/>
        </w:rPr>
        <w:t>A- Intereses personales</w:t>
      </w:r>
      <w:r>
        <w:rPr>
          <w:rFonts w:ascii="Arial" w:hAnsi="Arial" w:cs="Arial"/>
          <w:b/>
          <w:color w:val="000000"/>
          <w:sz w:val="20"/>
          <w:szCs w:val="20"/>
        </w:rPr>
        <w:t xml:space="preserve"> </w:t>
      </w:r>
      <w:r>
        <w:rPr>
          <w:rStyle w:val="A6"/>
          <w:rFonts w:ascii="Arial" w:hAnsi="Arial" w:cs="Arial"/>
          <w:b/>
          <w:sz w:val="20"/>
          <w:szCs w:val="20"/>
        </w:rPr>
        <w:t>(</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sidRPr="008B1148">
        <w:rPr>
          <w:rStyle w:val="A6"/>
          <w:rFonts w:ascii="Arial" w:hAnsi="Arial" w:cs="Arial"/>
          <w:b/>
          <w:sz w:val="20"/>
          <w:szCs w:val="20"/>
          <w:highlight w:val="black"/>
        </w:rPr>
        <w:sym w:font="Wingdings" w:char="F070"/>
      </w:r>
      <w:r w:rsidRPr="00707E7D">
        <w:rPr>
          <w:rStyle w:val="A6"/>
          <w:rFonts w:ascii="Arial" w:hAnsi="Arial" w:cs="Arial"/>
          <w:b/>
          <w:sz w:val="20"/>
          <w:szCs w:val="20"/>
        </w:rPr>
        <w:t xml:space="preserve">NO </w:t>
      </w:r>
    </w:p>
    <w:p w14:paraId="41093B84" w14:textId="77777777" w:rsidR="00BC3E8E" w:rsidRPr="00707E7D" w:rsidRDefault="00BC3E8E" w:rsidP="00BC3E8E">
      <w:pPr>
        <w:autoSpaceDE w:val="0"/>
        <w:autoSpaceDN w:val="0"/>
        <w:adjustRightInd w:val="0"/>
        <w:spacing w:line="240" w:lineRule="atLeast"/>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276"/>
        <w:gridCol w:w="1275"/>
        <w:gridCol w:w="457"/>
        <w:gridCol w:w="376"/>
      </w:tblGrid>
      <w:tr w:rsidR="00BC3E8E" w:rsidRPr="003D6FCD" w14:paraId="077FAE2F" w14:textId="77777777" w:rsidTr="00BC3E8E">
        <w:tc>
          <w:tcPr>
            <w:tcW w:w="5495" w:type="dxa"/>
          </w:tcPr>
          <w:p w14:paraId="1A3D2061"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6" w:type="dxa"/>
          </w:tcPr>
          <w:p w14:paraId="360FF285"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14:paraId="1CD7A485"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14:paraId="17CF51BE"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BC3E8E" w:rsidRPr="003D6FCD" w14:paraId="667732AE" w14:textId="77777777" w:rsidTr="00BC3E8E">
        <w:tc>
          <w:tcPr>
            <w:tcW w:w="5495" w:type="dxa"/>
          </w:tcPr>
          <w:p w14:paraId="4849F17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14:paraId="57C1BC32"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3E5DB31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2BAB520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7609B62E" w14:textId="77777777" w:rsidTr="00BC3E8E">
        <w:tc>
          <w:tcPr>
            <w:tcW w:w="5495" w:type="dxa"/>
          </w:tcPr>
          <w:p w14:paraId="05E03061"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14:paraId="04ACB3B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70760E1F"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7C08BB63"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27BC5DFD" w14:textId="77777777" w:rsidTr="00BC3E8E">
        <w:tc>
          <w:tcPr>
            <w:tcW w:w="5495" w:type="dxa"/>
          </w:tcPr>
          <w:p w14:paraId="6D9EEE3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14:paraId="05264074"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27834EB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736FEBF7"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4AD9E3F5" w14:textId="77777777" w:rsidTr="00BC3E8E">
        <w:tc>
          <w:tcPr>
            <w:tcW w:w="5495" w:type="dxa"/>
          </w:tcPr>
          <w:p w14:paraId="006E851C"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14:paraId="2AF5409D"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1DBC9EC8"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6824122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6A993953" w14:textId="77777777" w:rsidTr="00BC3E8E">
        <w:tc>
          <w:tcPr>
            <w:tcW w:w="5495" w:type="dxa"/>
          </w:tcPr>
          <w:p w14:paraId="240B188E"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14:paraId="58B9BE4D"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68C66B15"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1F07000A"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60E88729" w14:textId="77777777" w:rsidTr="00BC3E8E">
        <w:tc>
          <w:tcPr>
            <w:tcW w:w="5495" w:type="dxa"/>
          </w:tcPr>
          <w:p w14:paraId="1339201D"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14:paraId="1191AEC9"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1CEB1BFB"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029D2030"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07C6DF15" w14:textId="77777777" w:rsidTr="00BC3E8E">
        <w:tc>
          <w:tcPr>
            <w:tcW w:w="5495" w:type="dxa"/>
          </w:tcPr>
          <w:p w14:paraId="539612CD"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14:paraId="3F5C2A53"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4DD0828D"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532D313D"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14:paraId="40CE58D2" w14:textId="77777777" w:rsidTr="00BC3E8E">
        <w:tc>
          <w:tcPr>
            <w:tcW w:w="5495" w:type="dxa"/>
          </w:tcPr>
          <w:p w14:paraId="7368EE02"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14:paraId="1B7FCA93"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14:paraId="108B2905"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14:paraId="45B16076" w14:textId="77777777"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6F4C4F" w14:paraId="70EDB32A" w14:textId="77777777" w:rsidTr="00BC3E8E">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376" w:type="dxa"/>
          <w:trHeight w:val="226"/>
        </w:trPr>
        <w:tc>
          <w:tcPr>
            <w:tcW w:w="8503" w:type="dxa"/>
            <w:gridSpan w:val="4"/>
          </w:tcPr>
          <w:p w14:paraId="473254D8" w14:textId="77777777" w:rsidR="00BC3E8E" w:rsidRPr="006F4C4F" w:rsidRDefault="00BC3E8E" w:rsidP="00BC3E8E">
            <w:pPr>
              <w:autoSpaceDE w:val="0"/>
              <w:autoSpaceDN w:val="0"/>
              <w:adjustRightInd w:val="0"/>
              <w:spacing w:line="240" w:lineRule="atLeast"/>
              <w:jc w:val="both"/>
              <w:rPr>
                <w:rFonts w:ascii="Arial" w:hAnsi="Arial" w:cs="Arial"/>
                <w:color w:val="FF0000"/>
                <w:sz w:val="18"/>
                <w:szCs w:val="18"/>
              </w:rPr>
            </w:pPr>
          </w:p>
        </w:tc>
      </w:tr>
    </w:tbl>
    <w:p w14:paraId="69FF4426" w14:textId="77777777" w:rsidR="0082659E" w:rsidRDefault="00BC3E8E" w:rsidP="00BC3E8E">
      <w:pPr>
        <w:autoSpaceDE w:val="0"/>
        <w:autoSpaceDN w:val="0"/>
        <w:adjustRightInd w:val="0"/>
        <w:spacing w:line="240" w:lineRule="atLeast"/>
        <w:rPr>
          <w:rStyle w:val="A6"/>
          <w:rFonts w:ascii="Arial" w:hAnsi="Arial" w:cs="Arial"/>
          <w:b/>
          <w:sz w:val="20"/>
          <w:szCs w:val="20"/>
        </w:rPr>
      </w:pPr>
      <w:r w:rsidRPr="00707E7D">
        <w:rPr>
          <w:rStyle w:val="A6"/>
          <w:rFonts w:ascii="Arial" w:hAnsi="Arial" w:cs="Arial"/>
          <w:b/>
          <w:sz w:val="20"/>
          <w:szCs w:val="20"/>
        </w:rPr>
        <w:t>B- Intereses no personales</w:t>
      </w:r>
      <w:r>
        <w:rPr>
          <w:rStyle w:val="A6"/>
          <w:rFonts w:ascii="Arial" w:hAnsi="Arial" w:cs="Arial"/>
          <w:b/>
          <w:sz w:val="20"/>
          <w:szCs w:val="20"/>
        </w:rPr>
        <w:t xml:space="preserve"> (</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sidRPr="008B1148">
        <w:rPr>
          <w:rStyle w:val="A6"/>
          <w:rFonts w:ascii="Arial" w:hAnsi="Arial" w:cs="Arial"/>
          <w:b/>
          <w:sz w:val="20"/>
          <w:szCs w:val="20"/>
          <w:highlight w:val="black"/>
        </w:rPr>
        <w:sym w:font="Wingdings" w:char="F070"/>
      </w:r>
      <w:r w:rsidRPr="00707E7D">
        <w:rPr>
          <w:rStyle w:val="A6"/>
          <w:rFonts w:ascii="Arial" w:hAnsi="Arial" w:cs="Arial"/>
          <w:b/>
          <w:sz w:val="20"/>
          <w:szCs w:val="20"/>
        </w:rPr>
        <w:t>NO</w:t>
      </w:r>
    </w:p>
    <w:p w14:paraId="00E6433F" w14:textId="77777777" w:rsidR="00BC3E8E" w:rsidRPr="00707E7D" w:rsidRDefault="00BC3E8E" w:rsidP="00AE0D41">
      <w:pPr>
        <w:tabs>
          <w:tab w:val="left" w:pos="825"/>
        </w:tabs>
        <w:autoSpaceDE w:val="0"/>
        <w:autoSpaceDN w:val="0"/>
        <w:adjustRightInd w:val="0"/>
        <w:spacing w:line="240" w:lineRule="atLeast"/>
        <w:rPr>
          <w:rFonts w:ascii="Arial" w:hAnsi="Arial" w:cs="Arial"/>
          <w:b/>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8955"/>
      </w:tblGrid>
      <w:tr w:rsidR="00BC3E8E" w:rsidRPr="00707E7D" w14:paraId="07F9D143" w14:textId="77777777" w:rsidTr="00AE0D41">
        <w:trPr>
          <w:trHeight w:val="226"/>
        </w:trPr>
        <w:tc>
          <w:tcPr>
            <w:tcW w:w="0" w:type="auto"/>
          </w:tcPr>
          <w:tbl>
            <w:tblPr>
              <w:tblpPr w:leftFromText="141" w:rightFromText="141" w:vertAnchor="text" w:horzAnchor="margin" w:tblpY="-325"/>
              <w:tblOverlap w:val="neve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276"/>
              <w:gridCol w:w="1275"/>
              <w:gridCol w:w="833"/>
            </w:tblGrid>
            <w:tr w:rsidR="00AE0D41" w:rsidRPr="003D6FCD" w14:paraId="22CBA68D" w14:textId="77777777" w:rsidTr="00AE0D41">
              <w:tc>
                <w:tcPr>
                  <w:tcW w:w="5495" w:type="dxa"/>
                </w:tcPr>
                <w:p w14:paraId="1CAE6868"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1276" w:type="dxa"/>
                </w:tcPr>
                <w:p w14:paraId="69E8312D"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14:paraId="0BB37710"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Pr>
                <w:p w14:paraId="7EEB4539"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AE0D41" w:rsidRPr="003D6FCD" w14:paraId="6B125BCB" w14:textId="77777777" w:rsidTr="00AE0D41">
              <w:tc>
                <w:tcPr>
                  <w:tcW w:w="5495" w:type="dxa"/>
                </w:tcPr>
                <w:p w14:paraId="79C13906"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Pr>
                <w:p w14:paraId="04B5982A"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1275" w:type="dxa"/>
                </w:tcPr>
                <w:p w14:paraId="459B35D6"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833" w:type="dxa"/>
                </w:tcPr>
                <w:p w14:paraId="6E6D1D85"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r>
            <w:tr w:rsidR="00AE0D41" w:rsidRPr="003D6FCD" w14:paraId="74C0BB52" w14:textId="77777777" w:rsidTr="00AE0D41">
              <w:tc>
                <w:tcPr>
                  <w:tcW w:w="5495" w:type="dxa"/>
                </w:tcPr>
                <w:p w14:paraId="3A586AEA"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Pr>
                <w:p w14:paraId="6D0A69B3"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1275" w:type="dxa"/>
                </w:tcPr>
                <w:p w14:paraId="4385D7F0"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833" w:type="dxa"/>
                </w:tcPr>
                <w:p w14:paraId="00B9D8D9"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r>
            <w:tr w:rsidR="00AE0D41" w:rsidRPr="003D6FCD" w14:paraId="6BD82CD1" w14:textId="77777777" w:rsidTr="00AE0D41">
              <w:tc>
                <w:tcPr>
                  <w:tcW w:w="5495" w:type="dxa"/>
                </w:tcPr>
                <w:p w14:paraId="20DF255D"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Pr>
                <w:p w14:paraId="2BA92772"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1275" w:type="dxa"/>
                </w:tcPr>
                <w:p w14:paraId="135AFEE8"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833" w:type="dxa"/>
                </w:tcPr>
                <w:p w14:paraId="24F1D07E"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r>
            <w:tr w:rsidR="00AE0D41" w:rsidRPr="003D6FCD" w14:paraId="14F62703" w14:textId="77777777" w:rsidTr="00AE0D41">
              <w:tc>
                <w:tcPr>
                  <w:tcW w:w="5495" w:type="dxa"/>
                </w:tcPr>
                <w:p w14:paraId="5F3C2CDC"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Pr>
                <w:p w14:paraId="2291D328"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1275" w:type="dxa"/>
                </w:tcPr>
                <w:p w14:paraId="4F5E7A33"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833" w:type="dxa"/>
                </w:tcPr>
                <w:p w14:paraId="7682DA1B"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r>
            <w:tr w:rsidR="00AE0D41" w:rsidRPr="003D6FCD" w14:paraId="31455582" w14:textId="77777777" w:rsidTr="00AE0D41">
              <w:tc>
                <w:tcPr>
                  <w:tcW w:w="5495" w:type="dxa"/>
                </w:tcPr>
                <w:p w14:paraId="42435277"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Pr>
                <w:p w14:paraId="2BBF77CC"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1275" w:type="dxa"/>
                </w:tcPr>
                <w:p w14:paraId="6B639B68"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c>
                <w:tcPr>
                  <w:tcW w:w="833" w:type="dxa"/>
                </w:tcPr>
                <w:p w14:paraId="674DDDDD" w14:textId="77777777" w:rsidR="00AE0D41" w:rsidRPr="003D6FCD" w:rsidRDefault="00AE0D41" w:rsidP="00AE0D41">
                  <w:pPr>
                    <w:autoSpaceDE w:val="0"/>
                    <w:autoSpaceDN w:val="0"/>
                    <w:adjustRightInd w:val="0"/>
                    <w:spacing w:line="240" w:lineRule="atLeast"/>
                    <w:rPr>
                      <w:rFonts w:ascii="Arial" w:hAnsi="Arial" w:cs="Arial"/>
                      <w:color w:val="000000"/>
                      <w:sz w:val="18"/>
                      <w:szCs w:val="18"/>
                    </w:rPr>
                  </w:pPr>
                </w:p>
              </w:tc>
            </w:tr>
          </w:tbl>
          <w:p w14:paraId="4BEE171F" w14:textId="77777777" w:rsidR="00BC3E8E" w:rsidRPr="00707E7D" w:rsidRDefault="00BC3E8E" w:rsidP="00BC3E8E">
            <w:pPr>
              <w:pStyle w:val="Pa1"/>
              <w:rPr>
                <w:rFonts w:ascii="Arial" w:hAnsi="Arial" w:cs="Arial"/>
                <w:color w:val="000000"/>
                <w:sz w:val="20"/>
                <w:szCs w:val="20"/>
              </w:rPr>
            </w:pPr>
          </w:p>
        </w:tc>
      </w:tr>
    </w:tbl>
    <w:p w14:paraId="15DDB861" w14:textId="77777777" w:rsidR="00BC3E8E" w:rsidRDefault="00BC3E8E" w:rsidP="00BC3E8E">
      <w:pPr>
        <w:rPr>
          <w:rFonts w:ascii="Arial" w:hAnsi="Arial" w:cs="Arial"/>
          <w:b/>
          <w:color w:val="000000"/>
          <w:sz w:val="20"/>
          <w:szCs w:val="20"/>
        </w:rPr>
      </w:pPr>
    </w:p>
    <w:p w14:paraId="75F72E30" w14:textId="77777777" w:rsidR="00BC3E8E" w:rsidRDefault="00BC3E8E" w:rsidP="00BC3E8E">
      <w:pPr>
        <w:rPr>
          <w:rFonts w:ascii="Arial" w:hAnsi="Arial" w:cs="Arial"/>
          <w:b/>
          <w:sz w:val="20"/>
          <w:szCs w:val="20"/>
        </w:rPr>
      </w:pPr>
      <w:r w:rsidRPr="00707E7D">
        <w:rPr>
          <w:rFonts w:ascii="Arial" w:hAnsi="Arial" w:cs="Arial"/>
          <w:b/>
          <w:color w:val="000000"/>
          <w:sz w:val="20"/>
          <w:szCs w:val="20"/>
        </w:rPr>
        <w:t>C-Otros posibles conflictos de intereses no señalados en apartados anteriores (especificar)</w:t>
      </w:r>
      <w:r w:rsidRPr="00707E7D">
        <w:rPr>
          <w:rFonts w:ascii="Arial" w:hAnsi="Arial" w:cs="Arial"/>
          <w:b/>
          <w:sz w:val="20"/>
          <w:szCs w:val="20"/>
        </w:rPr>
        <w:t xml:space="preserve"> </w:t>
      </w:r>
    </w:p>
    <w:p w14:paraId="26B3D62F" w14:textId="77777777" w:rsidR="001A58D1" w:rsidRDefault="00BC3E8E" w:rsidP="0082659E">
      <w:pPr>
        <w:snapToGrid w:val="0"/>
        <w:rPr>
          <w:rFonts w:ascii="Arial" w:hAnsi="Arial" w:cs="Arial"/>
          <w:b/>
          <w:sz w:val="20"/>
          <w:szCs w:val="20"/>
        </w:rPr>
      </w:pPr>
      <w:r>
        <w:rPr>
          <w:rFonts w:ascii="Arial" w:hAnsi="Arial" w:cs="Arial"/>
          <w:b/>
          <w:sz w:val="20"/>
          <w:szCs w:val="20"/>
        </w:rPr>
        <w:t>FECHA</w:t>
      </w:r>
      <w:r>
        <w:rPr>
          <w:rFonts w:ascii="Arial" w:hAnsi="Arial" w:cs="Arial"/>
          <w:b/>
          <w:sz w:val="20"/>
          <w:szCs w:val="20"/>
        </w:rPr>
        <w:tab/>
      </w:r>
      <w:r w:rsidR="00AE0D41">
        <w:rPr>
          <w:rFonts w:ascii="Arial" w:hAnsi="Arial" w:cs="Arial"/>
          <w:b/>
          <w:sz w:val="20"/>
          <w:szCs w:val="20"/>
        </w:rPr>
        <w:t>: 30/11/2025</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FIRMA</w:t>
      </w:r>
      <w:r w:rsidR="00924589">
        <w:rPr>
          <w:rFonts w:ascii="Arial" w:hAnsi="Arial" w:cs="Arial"/>
          <w:b/>
          <w:sz w:val="20"/>
          <w:szCs w:val="20"/>
        </w:rPr>
        <w:pict w14:anchorId="25A1F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sin firmar" style="width:192.75pt;height:95.25pt">
            <v:imagedata r:id="rId28" o:title=""/>
            <o:lock v:ext="edit" ungrouping="t" rotation="t" cropping="t" verticies="t" text="t" grouping="t"/>
            <o:signatureline v:ext="edit" id="{E8EA5057-B131-4712-854A-6CCB1C5C6F2F}" provid="{00000000-0000-0000-0000-000000000000}" o:suggestedsigner="Cristina González Romero" o:suggestedsigner2="Farmacéutica Interna Residente" showsigndate="f" issignatureline="t"/>
          </v:shape>
        </w:pict>
      </w:r>
    </w:p>
    <w:p w14:paraId="5C2C8E88" w14:textId="77777777" w:rsidR="00C1567E" w:rsidRDefault="00C1567E" w:rsidP="0082659E">
      <w:pPr>
        <w:snapToGrid w:val="0"/>
        <w:rPr>
          <w:rFonts w:ascii="Arial" w:hAnsi="Arial" w:cs="Arial"/>
          <w:b/>
          <w:sz w:val="20"/>
          <w:szCs w:val="20"/>
        </w:rPr>
      </w:pPr>
    </w:p>
    <w:p w14:paraId="3464DFDB" w14:textId="77777777" w:rsidR="00C1567E" w:rsidRDefault="00C1567E">
      <w:pPr>
        <w:rPr>
          <w:rFonts w:ascii="Arial" w:hAnsi="Arial" w:cs="Arial"/>
          <w:b/>
          <w:sz w:val="20"/>
          <w:szCs w:val="20"/>
        </w:rPr>
      </w:pPr>
      <w:r>
        <w:rPr>
          <w:rFonts w:ascii="Arial" w:hAnsi="Arial" w:cs="Arial"/>
          <w:b/>
          <w:sz w:val="20"/>
          <w:szCs w:val="20"/>
        </w:rPr>
        <w:br w:type="page"/>
      </w:r>
    </w:p>
    <w:p w14:paraId="1CECB658" w14:textId="77777777" w:rsidR="00C1567E" w:rsidRPr="006F4C4F" w:rsidRDefault="00C1567E" w:rsidP="00C1567E">
      <w:r w:rsidRPr="00707E7D">
        <w:t>Formulario de declaración de conflictos de intereses</w:t>
      </w:r>
    </w:p>
    <w:p w14:paraId="401C0305" w14:textId="77777777" w:rsidR="00C1567E" w:rsidRDefault="00C1567E" w:rsidP="00C1567E">
      <w:pPr>
        <w:autoSpaceDE w:val="0"/>
        <w:autoSpaceDN w:val="0"/>
        <w:adjustRightInd w:val="0"/>
        <w:spacing w:line="240" w:lineRule="atLeast"/>
        <w:ind w:left="220" w:hanging="220"/>
        <w:rPr>
          <w:rFonts w:ascii="Arial" w:hAnsi="Arial" w:cs="Arial"/>
          <w:color w:val="000000"/>
          <w:sz w:val="20"/>
          <w:szCs w:val="20"/>
        </w:rPr>
      </w:pPr>
    </w:p>
    <w:p w14:paraId="0DACA160" w14:textId="77777777" w:rsidR="00C1567E" w:rsidRPr="00456E6C" w:rsidRDefault="00C1567E" w:rsidP="00C1567E">
      <w:pPr>
        <w:pStyle w:val="Pa53"/>
        <w:jc w:val="both"/>
        <w:rPr>
          <w:rFonts w:ascii="Arial" w:eastAsia="Times New Roman" w:hAnsi="Arial" w:cs="Arial"/>
          <w:sz w:val="20"/>
          <w:szCs w:val="20"/>
          <w:lang w:eastAsia="es-ES"/>
        </w:rPr>
      </w:pPr>
      <w:r w:rsidRPr="00456E6C">
        <w:rPr>
          <w:rFonts w:ascii="Arial" w:eastAsia="Times New Roman"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32B78916" w14:textId="77777777" w:rsidR="00C1567E" w:rsidRPr="006F6ABB" w:rsidRDefault="00C1567E" w:rsidP="00C1567E">
      <w:pPr>
        <w:pStyle w:val="Default"/>
        <w:rPr>
          <w:rFonts w:ascii="Arial" w:hAnsi="Arial" w:cs="Arial"/>
          <w:color w:val="000080"/>
          <w:sz w:val="20"/>
          <w:szCs w:val="20"/>
          <w:lang w:eastAsia="es-ES"/>
        </w:rPr>
      </w:pPr>
    </w:p>
    <w:p w14:paraId="4612E716" w14:textId="77777777" w:rsidR="00C1567E" w:rsidRPr="00AE0D41" w:rsidRDefault="00C1567E" w:rsidP="00C1567E">
      <w:pPr>
        <w:autoSpaceDE w:val="0"/>
        <w:autoSpaceDN w:val="0"/>
        <w:adjustRightInd w:val="0"/>
        <w:spacing w:line="240" w:lineRule="atLeast"/>
        <w:ind w:left="220" w:hanging="220"/>
        <w:rPr>
          <w:rFonts w:ascii="Arial" w:hAnsi="Arial" w:cs="Arial"/>
          <w:bCs/>
          <w:color w:val="000000"/>
          <w:sz w:val="20"/>
          <w:szCs w:val="20"/>
        </w:rPr>
      </w:pPr>
      <w:r w:rsidRPr="00707E7D">
        <w:rPr>
          <w:rFonts w:ascii="Arial" w:hAnsi="Arial" w:cs="Arial"/>
          <w:b/>
          <w:color w:val="000000"/>
          <w:sz w:val="20"/>
          <w:szCs w:val="20"/>
        </w:rPr>
        <w:t>– Nombre y apellidos:</w:t>
      </w:r>
      <w:r>
        <w:rPr>
          <w:rFonts w:ascii="Arial" w:hAnsi="Arial" w:cs="Arial"/>
          <w:b/>
          <w:color w:val="000000"/>
          <w:sz w:val="20"/>
          <w:szCs w:val="20"/>
        </w:rPr>
        <w:t xml:space="preserve"> </w:t>
      </w:r>
      <w:r>
        <w:rPr>
          <w:rFonts w:ascii="Arial" w:hAnsi="Arial" w:cs="Arial"/>
          <w:bCs/>
          <w:color w:val="000000"/>
          <w:sz w:val="20"/>
          <w:szCs w:val="20"/>
        </w:rPr>
        <w:t>Emilio Jesús Alegre del Rey</w:t>
      </w:r>
    </w:p>
    <w:p w14:paraId="5E380584" w14:textId="77777777" w:rsidR="00C1567E" w:rsidRPr="00707E7D" w:rsidRDefault="00C1567E" w:rsidP="00C1567E">
      <w:pPr>
        <w:autoSpaceDE w:val="0"/>
        <w:autoSpaceDN w:val="0"/>
        <w:adjustRightInd w:val="0"/>
        <w:spacing w:line="240" w:lineRule="atLeast"/>
        <w:ind w:left="220" w:hanging="220"/>
        <w:rPr>
          <w:rFonts w:ascii="Arial" w:hAnsi="Arial" w:cs="Arial"/>
          <w:b/>
          <w:color w:val="000000"/>
          <w:sz w:val="20"/>
          <w:szCs w:val="20"/>
        </w:rPr>
      </w:pPr>
    </w:p>
    <w:p w14:paraId="26388095" w14:textId="77777777" w:rsidR="00C1567E" w:rsidRPr="006F4C4F" w:rsidRDefault="00C1567E" w:rsidP="00C1567E">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Institución en la que trabaja:</w:t>
      </w:r>
      <w:r>
        <w:rPr>
          <w:rFonts w:ascii="Arial" w:hAnsi="Arial" w:cs="Arial"/>
          <w:b/>
          <w:color w:val="000000"/>
          <w:sz w:val="20"/>
          <w:szCs w:val="20"/>
        </w:rPr>
        <w:t xml:space="preserve"> </w:t>
      </w:r>
      <w:r w:rsidRPr="00C1567E">
        <w:rPr>
          <w:rFonts w:ascii="Arial" w:hAnsi="Arial" w:cs="Arial"/>
          <w:color w:val="000000"/>
          <w:sz w:val="20"/>
          <w:szCs w:val="20"/>
        </w:rPr>
        <w:t>Hospital</w:t>
      </w:r>
      <w:r w:rsidRPr="00C1567E">
        <w:rPr>
          <w:rFonts w:ascii="Arial" w:hAnsi="Arial" w:cs="Arial"/>
          <w:bCs/>
          <w:color w:val="000000"/>
          <w:sz w:val="20"/>
          <w:szCs w:val="20"/>
        </w:rPr>
        <w:t xml:space="preserve"> U</w:t>
      </w:r>
      <w:r w:rsidRPr="00AE0D41">
        <w:rPr>
          <w:rFonts w:ascii="Arial" w:hAnsi="Arial" w:cs="Arial"/>
          <w:bCs/>
          <w:color w:val="000000"/>
          <w:sz w:val="20"/>
          <w:szCs w:val="20"/>
        </w:rPr>
        <w:t xml:space="preserve">niversitario </w:t>
      </w:r>
      <w:r>
        <w:rPr>
          <w:rFonts w:ascii="Arial" w:hAnsi="Arial" w:cs="Arial"/>
          <w:bCs/>
          <w:color w:val="000000"/>
          <w:sz w:val="20"/>
          <w:szCs w:val="20"/>
        </w:rPr>
        <w:t>Puerto Real</w:t>
      </w:r>
    </w:p>
    <w:p w14:paraId="60A98F9F" w14:textId="77777777" w:rsidR="00C1567E" w:rsidRPr="00707E7D" w:rsidRDefault="00C1567E" w:rsidP="00C1567E">
      <w:pPr>
        <w:autoSpaceDE w:val="0"/>
        <w:autoSpaceDN w:val="0"/>
        <w:adjustRightInd w:val="0"/>
        <w:spacing w:line="240" w:lineRule="atLeast"/>
        <w:ind w:left="220" w:hanging="220"/>
        <w:rPr>
          <w:rFonts w:ascii="Arial" w:hAnsi="Arial" w:cs="Arial"/>
          <w:b/>
          <w:color w:val="000000"/>
          <w:sz w:val="20"/>
          <w:szCs w:val="20"/>
        </w:rPr>
      </w:pPr>
    </w:p>
    <w:p w14:paraId="63F7A924" w14:textId="77777777" w:rsidR="00C1567E" w:rsidRPr="006F4C4F" w:rsidRDefault="00C1567E" w:rsidP="00C1567E">
      <w:pPr>
        <w:autoSpaceDE w:val="0"/>
        <w:autoSpaceDN w:val="0"/>
        <w:adjustRightInd w:val="0"/>
        <w:spacing w:line="240" w:lineRule="atLeast"/>
        <w:ind w:left="220" w:hanging="220"/>
        <w:rPr>
          <w:rFonts w:ascii="Arial" w:hAnsi="Arial" w:cs="Arial"/>
          <w:color w:val="000000"/>
          <w:sz w:val="20"/>
          <w:szCs w:val="20"/>
        </w:rPr>
      </w:pPr>
      <w:r w:rsidRPr="00707E7D">
        <w:rPr>
          <w:rFonts w:ascii="Arial" w:hAnsi="Arial" w:cs="Arial"/>
          <w:b/>
          <w:color w:val="000000"/>
          <w:sz w:val="20"/>
          <w:szCs w:val="20"/>
        </w:rPr>
        <w:t xml:space="preserve">– Institución que le vincula al informe. </w:t>
      </w:r>
      <w:r>
        <w:rPr>
          <w:rFonts w:ascii="Arial" w:hAnsi="Arial" w:cs="Arial"/>
          <w:color w:val="000000"/>
          <w:sz w:val="20"/>
          <w:szCs w:val="20"/>
        </w:rPr>
        <w:t>Sociedad Española de Farmacia Hospitalaria (SEFH). Grupo de trabajo GENESIS.</w:t>
      </w:r>
    </w:p>
    <w:p w14:paraId="2F20B6E0" w14:textId="77777777" w:rsidR="00C1567E" w:rsidRPr="00707E7D" w:rsidRDefault="00C1567E" w:rsidP="00C1567E">
      <w:pPr>
        <w:autoSpaceDE w:val="0"/>
        <w:autoSpaceDN w:val="0"/>
        <w:adjustRightInd w:val="0"/>
        <w:spacing w:after="40" w:line="240" w:lineRule="atLeast"/>
        <w:rPr>
          <w:rFonts w:ascii="Arial" w:hAnsi="Arial" w:cs="Arial"/>
          <w:color w:val="000000"/>
          <w:sz w:val="20"/>
          <w:szCs w:val="20"/>
        </w:rPr>
      </w:pPr>
    </w:p>
    <w:p w14:paraId="15147F54" w14:textId="77777777" w:rsidR="00C1567E" w:rsidRPr="006F4C4F" w:rsidRDefault="00C1567E" w:rsidP="00C1567E">
      <w:pPr>
        <w:autoSpaceDE w:val="0"/>
        <w:autoSpaceDN w:val="0"/>
        <w:adjustRightInd w:val="0"/>
        <w:spacing w:after="40" w:line="240" w:lineRule="atLeast"/>
        <w:rPr>
          <w:rFonts w:ascii="Arial" w:hAnsi="Arial" w:cs="Arial"/>
          <w:color w:val="000000"/>
          <w:sz w:val="20"/>
          <w:szCs w:val="20"/>
        </w:rPr>
      </w:pPr>
      <w:r>
        <w:rPr>
          <w:rFonts w:ascii="Arial" w:hAnsi="Arial" w:cs="Arial"/>
          <w:color w:val="000000"/>
          <w:sz w:val="20"/>
          <w:szCs w:val="20"/>
        </w:rPr>
        <w:t xml:space="preserve">Participación en el informe de evaluación </w:t>
      </w:r>
      <w:r w:rsidRPr="00707E7D">
        <w:rPr>
          <w:rFonts w:ascii="Arial" w:hAnsi="Arial" w:cs="Arial"/>
          <w:color w:val="000000"/>
          <w:sz w:val="20"/>
          <w:szCs w:val="20"/>
        </w:rPr>
        <w:t>como:</w:t>
      </w:r>
    </w:p>
    <w:p w14:paraId="4E6565B9" w14:textId="77777777" w:rsidR="00C1567E" w:rsidRPr="006A0347" w:rsidRDefault="00C1567E" w:rsidP="00C1567E">
      <w:pPr>
        <w:autoSpaceDE w:val="0"/>
        <w:autoSpaceDN w:val="0"/>
        <w:adjustRightInd w:val="0"/>
        <w:spacing w:line="240" w:lineRule="atLeast"/>
        <w:ind w:left="560"/>
        <w:rPr>
          <w:rFonts w:ascii="Arial" w:hAnsi="Arial" w:cs="Arial"/>
          <w:color w:val="000000"/>
          <w:sz w:val="20"/>
          <w:szCs w:val="20"/>
          <w:lang w:val="pt-BR"/>
        </w:rPr>
      </w:pPr>
      <w:r w:rsidRPr="00AE0D41">
        <w:rPr>
          <w:rFonts w:ascii="Arial" w:hAnsi="Arial" w:cs="Arial"/>
          <w:color w:val="000000"/>
          <w:sz w:val="20"/>
          <w:szCs w:val="20"/>
          <w:highlight w:val="lightGray"/>
          <w:lang w:val="pt-BR"/>
        </w:rPr>
        <w:t>1-Autor/a</w:t>
      </w:r>
    </w:p>
    <w:p w14:paraId="22FC4A7E" w14:textId="77777777" w:rsidR="00C1567E" w:rsidRPr="006A0347" w:rsidRDefault="00C1567E" w:rsidP="00C1567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2-Tutor/a</w:t>
      </w:r>
    </w:p>
    <w:p w14:paraId="43C286E9" w14:textId="77777777" w:rsidR="00C1567E" w:rsidRPr="006A0347" w:rsidRDefault="00C1567E" w:rsidP="00C1567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3-Revisor/a externo/a</w:t>
      </w:r>
    </w:p>
    <w:p w14:paraId="18BE68E5" w14:textId="77777777" w:rsidR="00C1567E" w:rsidRPr="006A0347" w:rsidRDefault="00C1567E" w:rsidP="00C1567E">
      <w:pPr>
        <w:autoSpaceDE w:val="0"/>
        <w:autoSpaceDN w:val="0"/>
        <w:adjustRightInd w:val="0"/>
        <w:spacing w:line="240" w:lineRule="atLeast"/>
        <w:jc w:val="both"/>
        <w:rPr>
          <w:rFonts w:ascii="Arial" w:hAnsi="Arial" w:cs="Arial"/>
          <w:color w:val="000000"/>
          <w:sz w:val="20"/>
          <w:szCs w:val="20"/>
          <w:lang w:val="pt-BR"/>
        </w:rPr>
      </w:pPr>
    </w:p>
    <w:p w14:paraId="5BCAE145" w14:textId="77777777" w:rsidR="00C1567E" w:rsidRPr="00707E7D" w:rsidRDefault="00C1567E" w:rsidP="00C1567E">
      <w:pPr>
        <w:autoSpaceDE w:val="0"/>
        <w:autoSpaceDN w:val="0"/>
        <w:adjustRightInd w:val="0"/>
        <w:spacing w:line="240" w:lineRule="atLeast"/>
        <w:jc w:val="both"/>
        <w:rPr>
          <w:rFonts w:ascii="Arial" w:hAnsi="Arial" w:cs="Arial"/>
          <w:color w:val="000000"/>
          <w:sz w:val="20"/>
          <w:szCs w:val="20"/>
        </w:rPr>
      </w:pPr>
      <w:r w:rsidRPr="00707E7D">
        <w:rPr>
          <w:rFonts w:ascii="Arial" w:hAnsi="Arial" w:cs="Arial"/>
          <w:color w:val="000000"/>
          <w:sz w:val="20"/>
          <w:szCs w:val="20"/>
        </w:rPr>
        <w:t xml:space="preserve">Tras haber y leído y comprendido la información remitida sobre la declaración de conflictos para el presente </w:t>
      </w:r>
      <w:r>
        <w:rPr>
          <w:rFonts w:ascii="Arial" w:hAnsi="Arial" w:cs="Arial"/>
          <w:color w:val="000000"/>
          <w:sz w:val="20"/>
          <w:szCs w:val="20"/>
        </w:rPr>
        <w:t>informe</w:t>
      </w:r>
      <w:r w:rsidRPr="00707E7D">
        <w:rPr>
          <w:rFonts w:ascii="Arial" w:hAnsi="Arial" w:cs="Arial"/>
          <w:color w:val="000000"/>
          <w:sz w:val="20"/>
          <w:szCs w:val="20"/>
        </w:rPr>
        <w:t>, formulo la siguiente declaración:</w:t>
      </w:r>
    </w:p>
    <w:p w14:paraId="11310A3B" w14:textId="77777777" w:rsidR="00C1567E" w:rsidRPr="00707E7D" w:rsidRDefault="00C1567E" w:rsidP="00C1567E">
      <w:pPr>
        <w:autoSpaceDE w:val="0"/>
        <w:autoSpaceDN w:val="0"/>
        <w:adjustRightInd w:val="0"/>
        <w:spacing w:line="240" w:lineRule="atLeast"/>
        <w:rPr>
          <w:rFonts w:ascii="Arial" w:hAnsi="Arial" w:cs="Arial"/>
          <w:b/>
          <w:color w:val="000000"/>
          <w:sz w:val="20"/>
          <w:szCs w:val="20"/>
        </w:rPr>
      </w:pPr>
      <w:r w:rsidRPr="00707E7D">
        <w:rPr>
          <w:rFonts w:ascii="Arial" w:hAnsi="Arial" w:cs="Arial"/>
          <w:b/>
          <w:color w:val="000000"/>
          <w:sz w:val="20"/>
          <w:szCs w:val="20"/>
        </w:rPr>
        <w:t>A- Intereses personales</w:t>
      </w:r>
      <w:r>
        <w:rPr>
          <w:rFonts w:ascii="Arial" w:hAnsi="Arial" w:cs="Arial"/>
          <w:b/>
          <w:color w:val="000000"/>
          <w:sz w:val="20"/>
          <w:szCs w:val="20"/>
        </w:rPr>
        <w:t xml:space="preserve"> </w:t>
      </w:r>
      <w:r>
        <w:rPr>
          <w:rStyle w:val="A6"/>
          <w:rFonts w:ascii="Arial" w:hAnsi="Arial" w:cs="Arial"/>
          <w:b/>
          <w:sz w:val="20"/>
          <w:szCs w:val="20"/>
        </w:rPr>
        <w:t>(</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t xml:space="preserve">X </w:t>
      </w:r>
      <w:r w:rsidRPr="00707E7D">
        <w:rPr>
          <w:rStyle w:val="A6"/>
          <w:rFonts w:ascii="Arial" w:hAnsi="Arial" w:cs="Arial"/>
          <w:b/>
          <w:sz w:val="20"/>
          <w:szCs w:val="20"/>
        </w:rPr>
        <w:t xml:space="preserve">NO </w:t>
      </w:r>
    </w:p>
    <w:p w14:paraId="21623E12" w14:textId="77777777" w:rsidR="00C1567E" w:rsidRPr="00707E7D" w:rsidRDefault="00C1567E" w:rsidP="00C1567E">
      <w:pPr>
        <w:autoSpaceDE w:val="0"/>
        <w:autoSpaceDN w:val="0"/>
        <w:adjustRightInd w:val="0"/>
        <w:spacing w:line="240" w:lineRule="atLeast"/>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276"/>
        <w:gridCol w:w="1275"/>
        <w:gridCol w:w="457"/>
        <w:gridCol w:w="376"/>
      </w:tblGrid>
      <w:tr w:rsidR="00C1567E" w:rsidRPr="003D6FCD" w14:paraId="51127E49" w14:textId="77777777" w:rsidTr="0003324B">
        <w:tc>
          <w:tcPr>
            <w:tcW w:w="5495" w:type="dxa"/>
          </w:tcPr>
          <w:p w14:paraId="50F3FAB3"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6" w:type="dxa"/>
          </w:tcPr>
          <w:p w14:paraId="3AE58DC7"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14:paraId="137CE296"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14:paraId="390D5F6C"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C1567E" w:rsidRPr="003D6FCD" w14:paraId="08CF7FD0" w14:textId="77777777" w:rsidTr="0003324B">
        <w:tc>
          <w:tcPr>
            <w:tcW w:w="5495" w:type="dxa"/>
          </w:tcPr>
          <w:p w14:paraId="4D839E5F"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14:paraId="4D5F72E9"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61C82AA9"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gridSpan w:val="2"/>
          </w:tcPr>
          <w:p w14:paraId="57198350"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4B94CE80" w14:textId="77777777" w:rsidTr="0003324B">
        <w:tc>
          <w:tcPr>
            <w:tcW w:w="5495" w:type="dxa"/>
          </w:tcPr>
          <w:p w14:paraId="1B6709AF"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14:paraId="5AEB3E1D"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0DBAB994"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gridSpan w:val="2"/>
          </w:tcPr>
          <w:p w14:paraId="4F6E0A7A"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5A21BC0D" w14:textId="77777777" w:rsidTr="0003324B">
        <w:tc>
          <w:tcPr>
            <w:tcW w:w="5495" w:type="dxa"/>
          </w:tcPr>
          <w:p w14:paraId="26C2D8B9"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14:paraId="1C00EAFB"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6A435461"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gridSpan w:val="2"/>
          </w:tcPr>
          <w:p w14:paraId="34090C18"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7BE0A57F" w14:textId="77777777" w:rsidTr="0003324B">
        <w:tc>
          <w:tcPr>
            <w:tcW w:w="5495" w:type="dxa"/>
          </w:tcPr>
          <w:p w14:paraId="5B381590"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14:paraId="11A02329"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47719A4F"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gridSpan w:val="2"/>
          </w:tcPr>
          <w:p w14:paraId="6C39AE4D"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6F26514D" w14:textId="77777777" w:rsidTr="0003324B">
        <w:tc>
          <w:tcPr>
            <w:tcW w:w="5495" w:type="dxa"/>
          </w:tcPr>
          <w:p w14:paraId="7439FE22"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14:paraId="6FD74813"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30F4E622"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gridSpan w:val="2"/>
          </w:tcPr>
          <w:p w14:paraId="3E2D691D"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4A367DBC" w14:textId="77777777" w:rsidTr="0003324B">
        <w:tc>
          <w:tcPr>
            <w:tcW w:w="5495" w:type="dxa"/>
          </w:tcPr>
          <w:p w14:paraId="2C09FA06"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14:paraId="15C9862F"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6F2D6FEB"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gridSpan w:val="2"/>
          </w:tcPr>
          <w:p w14:paraId="3D2B8913"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52D1407E" w14:textId="77777777" w:rsidTr="0003324B">
        <w:tc>
          <w:tcPr>
            <w:tcW w:w="5495" w:type="dxa"/>
          </w:tcPr>
          <w:p w14:paraId="27827B5A"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14:paraId="53C2EE4E"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783D1287"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gridSpan w:val="2"/>
          </w:tcPr>
          <w:p w14:paraId="59FCD055"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73E5D529" w14:textId="77777777" w:rsidTr="0003324B">
        <w:tc>
          <w:tcPr>
            <w:tcW w:w="5495" w:type="dxa"/>
          </w:tcPr>
          <w:p w14:paraId="40A40607"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14:paraId="6F8815BA"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52B682F2"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gridSpan w:val="2"/>
          </w:tcPr>
          <w:p w14:paraId="3ECA59DA"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6F4C4F" w14:paraId="611B801F" w14:textId="77777777" w:rsidTr="0003324B">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376" w:type="dxa"/>
          <w:trHeight w:val="226"/>
        </w:trPr>
        <w:tc>
          <w:tcPr>
            <w:tcW w:w="8503" w:type="dxa"/>
            <w:gridSpan w:val="4"/>
          </w:tcPr>
          <w:p w14:paraId="532F8559" w14:textId="77777777" w:rsidR="00C1567E" w:rsidRPr="006F4C4F" w:rsidRDefault="00C1567E" w:rsidP="0003324B">
            <w:pPr>
              <w:autoSpaceDE w:val="0"/>
              <w:autoSpaceDN w:val="0"/>
              <w:adjustRightInd w:val="0"/>
              <w:spacing w:line="240" w:lineRule="atLeast"/>
              <w:jc w:val="both"/>
              <w:rPr>
                <w:rFonts w:ascii="Arial" w:hAnsi="Arial" w:cs="Arial"/>
                <w:color w:val="FF0000"/>
                <w:sz w:val="18"/>
                <w:szCs w:val="18"/>
              </w:rPr>
            </w:pPr>
          </w:p>
        </w:tc>
      </w:tr>
    </w:tbl>
    <w:p w14:paraId="770F0877" w14:textId="77777777" w:rsidR="00C1567E" w:rsidRDefault="00C1567E" w:rsidP="00C1567E">
      <w:pPr>
        <w:autoSpaceDE w:val="0"/>
        <w:autoSpaceDN w:val="0"/>
        <w:adjustRightInd w:val="0"/>
        <w:spacing w:line="240" w:lineRule="atLeast"/>
        <w:rPr>
          <w:rStyle w:val="A6"/>
          <w:rFonts w:ascii="Arial" w:hAnsi="Arial" w:cs="Arial"/>
          <w:b/>
          <w:sz w:val="20"/>
          <w:szCs w:val="20"/>
        </w:rPr>
      </w:pPr>
      <w:r w:rsidRPr="00707E7D">
        <w:rPr>
          <w:rStyle w:val="A6"/>
          <w:rFonts w:ascii="Arial" w:hAnsi="Arial" w:cs="Arial"/>
          <w:b/>
          <w:sz w:val="20"/>
          <w:szCs w:val="20"/>
        </w:rPr>
        <w:t>B- Intereses no personales</w:t>
      </w:r>
      <w:r>
        <w:rPr>
          <w:rStyle w:val="A6"/>
          <w:rFonts w:ascii="Arial" w:hAnsi="Arial" w:cs="Arial"/>
          <w:b/>
          <w:sz w:val="20"/>
          <w:szCs w:val="20"/>
        </w:rPr>
        <w:t xml:space="preserve"> (</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t xml:space="preserve">X </w:t>
      </w:r>
      <w:r w:rsidRPr="00707E7D">
        <w:rPr>
          <w:rStyle w:val="A6"/>
          <w:rFonts w:ascii="Arial" w:hAnsi="Arial" w:cs="Arial"/>
          <w:b/>
          <w:sz w:val="20"/>
          <w:szCs w:val="20"/>
        </w:rPr>
        <w:t>NO</w:t>
      </w:r>
    </w:p>
    <w:p w14:paraId="16C4A9F4" w14:textId="77777777" w:rsidR="00C1567E" w:rsidRPr="00707E7D" w:rsidRDefault="00C1567E" w:rsidP="00C1567E">
      <w:pPr>
        <w:tabs>
          <w:tab w:val="left" w:pos="825"/>
        </w:tabs>
        <w:autoSpaceDE w:val="0"/>
        <w:autoSpaceDN w:val="0"/>
        <w:adjustRightInd w:val="0"/>
        <w:spacing w:line="240" w:lineRule="atLeast"/>
        <w:rPr>
          <w:rFonts w:ascii="Arial" w:hAnsi="Arial" w:cs="Arial"/>
          <w:b/>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8955"/>
      </w:tblGrid>
      <w:tr w:rsidR="00C1567E" w:rsidRPr="00707E7D" w14:paraId="3BF35AE9" w14:textId="77777777" w:rsidTr="0003324B">
        <w:trPr>
          <w:trHeight w:val="226"/>
        </w:trPr>
        <w:tc>
          <w:tcPr>
            <w:tcW w:w="0" w:type="auto"/>
          </w:tcPr>
          <w:tbl>
            <w:tblPr>
              <w:tblpPr w:leftFromText="141" w:rightFromText="141" w:vertAnchor="text" w:horzAnchor="margin" w:tblpY="-325"/>
              <w:tblOverlap w:val="neve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276"/>
              <w:gridCol w:w="1275"/>
              <w:gridCol w:w="833"/>
            </w:tblGrid>
            <w:tr w:rsidR="00C1567E" w:rsidRPr="003D6FCD" w14:paraId="5BD69C54" w14:textId="77777777" w:rsidTr="0003324B">
              <w:tc>
                <w:tcPr>
                  <w:tcW w:w="5495" w:type="dxa"/>
                </w:tcPr>
                <w:p w14:paraId="11B8BEB3"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6" w:type="dxa"/>
                </w:tcPr>
                <w:p w14:paraId="77789052"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14:paraId="67459BF0"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Pr>
                <w:p w14:paraId="747C33A8"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C1567E" w:rsidRPr="003D6FCD" w14:paraId="14D78166" w14:textId="77777777" w:rsidTr="0003324B">
              <w:tc>
                <w:tcPr>
                  <w:tcW w:w="5495" w:type="dxa"/>
                </w:tcPr>
                <w:p w14:paraId="53383CB9"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Pr>
                <w:p w14:paraId="2F7E68DD"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1F89B018"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tcPr>
                <w:p w14:paraId="003538FA"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5766EFD7" w14:textId="77777777" w:rsidTr="0003324B">
              <w:tc>
                <w:tcPr>
                  <w:tcW w:w="5495" w:type="dxa"/>
                </w:tcPr>
                <w:p w14:paraId="2A8BF0D6"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Pr>
                <w:p w14:paraId="55A30E39"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6B6593DF"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tcPr>
                <w:p w14:paraId="32E6B2D2"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46C6BEE6" w14:textId="77777777" w:rsidTr="0003324B">
              <w:tc>
                <w:tcPr>
                  <w:tcW w:w="5495" w:type="dxa"/>
                </w:tcPr>
                <w:p w14:paraId="230BE4DF"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Pr>
                <w:p w14:paraId="1A5809B8"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3E798EFE"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tcPr>
                <w:p w14:paraId="586F741F"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24E7025E" w14:textId="77777777" w:rsidTr="0003324B">
              <w:tc>
                <w:tcPr>
                  <w:tcW w:w="5495" w:type="dxa"/>
                </w:tcPr>
                <w:p w14:paraId="51965E23"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Pr>
                <w:p w14:paraId="10A643BA"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5580F655"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tcPr>
                <w:p w14:paraId="4F770AD2"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r w:rsidR="00C1567E" w:rsidRPr="003D6FCD" w14:paraId="2DCD9B86" w14:textId="77777777" w:rsidTr="0003324B">
              <w:tc>
                <w:tcPr>
                  <w:tcW w:w="5495" w:type="dxa"/>
                </w:tcPr>
                <w:p w14:paraId="4D528F16"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Pr>
                <w:p w14:paraId="73482F02"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1275" w:type="dxa"/>
                </w:tcPr>
                <w:p w14:paraId="33404EC5"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c>
                <w:tcPr>
                  <w:tcW w:w="833" w:type="dxa"/>
                </w:tcPr>
                <w:p w14:paraId="451ABCE6" w14:textId="77777777" w:rsidR="00C1567E" w:rsidRPr="003D6FCD" w:rsidRDefault="00C1567E" w:rsidP="0003324B">
                  <w:pPr>
                    <w:autoSpaceDE w:val="0"/>
                    <w:autoSpaceDN w:val="0"/>
                    <w:adjustRightInd w:val="0"/>
                    <w:spacing w:line="240" w:lineRule="atLeast"/>
                    <w:rPr>
                      <w:rFonts w:ascii="Arial" w:hAnsi="Arial" w:cs="Arial"/>
                      <w:color w:val="000000"/>
                      <w:sz w:val="18"/>
                      <w:szCs w:val="18"/>
                    </w:rPr>
                  </w:pPr>
                </w:p>
              </w:tc>
            </w:tr>
          </w:tbl>
          <w:p w14:paraId="43D42099" w14:textId="77777777" w:rsidR="00C1567E" w:rsidRPr="00707E7D" w:rsidRDefault="00C1567E" w:rsidP="0003324B">
            <w:pPr>
              <w:pStyle w:val="Pa1"/>
              <w:rPr>
                <w:rFonts w:ascii="Arial" w:hAnsi="Arial" w:cs="Arial"/>
                <w:color w:val="000000"/>
                <w:sz w:val="20"/>
                <w:szCs w:val="20"/>
              </w:rPr>
            </w:pPr>
          </w:p>
        </w:tc>
      </w:tr>
    </w:tbl>
    <w:p w14:paraId="01F36182" w14:textId="77777777" w:rsidR="00C1567E" w:rsidRDefault="00C1567E" w:rsidP="00C1567E">
      <w:pPr>
        <w:rPr>
          <w:rFonts w:ascii="Arial" w:hAnsi="Arial" w:cs="Arial"/>
          <w:b/>
          <w:color w:val="000000"/>
          <w:sz w:val="20"/>
          <w:szCs w:val="20"/>
        </w:rPr>
      </w:pPr>
    </w:p>
    <w:p w14:paraId="70F068ED" w14:textId="77777777" w:rsidR="00C1567E" w:rsidRDefault="00C1567E" w:rsidP="00C1567E">
      <w:pPr>
        <w:rPr>
          <w:rFonts w:ascii="Arial" w:hAnsi="Arial" w:cs="Arial"/>
          <w:b/>
          <w:sz w:val="20"/>
          <w:szCs w:val="20"/>
        </w:rPr>
      </w:pPr>
      <w:r w:rsidRPr="00707E7D">
        <w:rPr>
          <w:rFonts w:ascii="Arial" w:hAnsi="Arial" w:cs="Arial"/>
          <w:b/>
          <w:color w:val="000000"/>
          <w:sz w:val="20"/>
          <w:szCs w:val="20"/>
        </w:rPr>
        <w:t>C-Otros posibles conflictos de intereses no señalados en apartados anteriores (especificar)</w:t>
      </w:r>
      <w:r w:rsidRPr="00707E7D">
        <w:rPr>
          <w:rFonts w:ascii="Arial" w:hAnsi="Arial" w:cs="Arial"/>
          <w:b/>
          <w:sz w:val="20"/>
          <w:szCs w:val="20"/>
        </w:rPr>
        <w:t xml:space="preserve"> </w:t>
      </w:r>
    </w:p>
    <w:p w14:paraId="51F64ED9" w14:textId="77777777" w:rsidR="00C1567E" w:rsidRDefault="00C1567E" w:rsidP="00C1567E">
      <w:pPr>
        <w:snapToGrid w:val="0"/>
        <w:rPr>
          <w:rFonts w:ascii="Arial" w:hAnsi="Arial" w:cs="Arial"/>
          <w:b/>
          <w:sz w:val="20"/>
          <w:szCs w:val="20"/>
        </w:rPr>
      </w:pPr>
    </w:p>
    <w:p w14:paraId="713BCA3F" w14:textId="77777777" w:rsidR="00C1567E" w:rsidRPr="0082659E" w:rsidRDefault="00C1567E" w:rsidP="00C1567E">
      <w:pPr>
        <w:snapToGrid w:val="0"/>
        <w:rPr>
          <w:rFonts w:ascii="Arial" w:hAnsi="Arial" w:cs="Arial"/>
          <w:bCs/>
          <w:color w:val="000080"/>
          <w:sz w:val="20"/>
          <w:szCs w:val="20"/>
          <w:lang w:eastAsia="en-US"/>
        </w:rPr>
      </w:pPr>
      <w:r>
        <w:rPr>
          <w:rFonts w:ascii="Arial" w:hAnsi="Arial" w:cs="Arial"/>
          <w:b/>
          <w:sz w:val="20"/>
          <w:szCs w:val="20"/>
        </w:rPr>
        <w:t>FECHA</w:t>
      </w:r>
      <w:r>
        <w:rPr>
          <w:rFonts w:ascii="Arial" w:hAnsi="Arial" w:cs="Arial"/>
          <w:b/>
          <w:sz w:val="20"/>
          <w:szCs w:val="20"/>
        </w:rPr>
        <w:tab/>
        <w:t>: 1/3/2026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Emilio Jesús Alegre del Rey</w:t>
      </w:r>
    </w:p>
    <w:p w14:paraId="1DCAD6EA" w14:textId="77777777" w:rsidR="00C1567E" w:rsidRPr="0082659E" w:rsidRDefault="00C1567E" w:rsidP="0082659E">
      <w:pPr>
        <w:snapToGrid w:val="0"/>
        <w:rPr>
          <w:rFonts w:ascii="Arial" w:hAnsi="Arial" w:cs="Arial"/>
          <w:bCs/>
          <w:color w:val="000080"/>
          <w:sz w:val="20"/>
          <w:szCs w:val="20"/>
          <w:lang w:eastAsia="en-US"/>
        </w:rPr>
      </w:pPr>
    </w:p>
    <w:sectPr w:rsidR="00C1567E" w:rsidRPr="0082659E" w:rsidSect="00FB3B9C">
      <w:pgSz w:w="11906" w:h="16838"/>
      <w:pgMar w:top="1417" w:right="1466" w:bottom="1417" w:left="1701"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C3613" w14:textId="77777777" w:rsidR="00B06AF2" w:rsidRDefault="00B06AF2">
      <w:r>
        <w:separator/>
      </w:r>
    </w:p>
  </w:endnote>
  <w:endnote w:type="continuationSeparator" w:id="0">
    <w:p w14:paraId="1F0FC898" w14:textId="77777777" w:rsidR="00B06AF2" w:rsidRDefault="00B06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e Sans UI">
    <w:altName w:val="Arial Unicode MS"/>
    <w:charset w:val="00"/>
    <w:family w:val="auto"/>
    <w:pitch w:val="variable"/>
    <w:sig w:usb0="00000003" w:usb1="00000000" w:usb2="00000000" w:usb3="00000000" w:csb0="00000001" w:csb1="00000000"/>
  </w:font>
  <w:font w:name="ZYYKLI+TimesTen-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BIQZG+HelveticaNeue-Light">
    <w:altName w:val="Helvetica Neue"/>
    <w:panose1 w:val="00000000000000000000"/>
    <w:charset w:val="00"/>
    <w:family w:val="swiss"/>
    <w:notTrueType/>
    <w:pitch w:val="default"/>
    <w:sig w:usb0="00000003" w:usb1="00000000" w:usb2="00000000" w:usb3="00000000" w:csb0="00000001" w:csb1="00000000"/>
  </w:font>
  <w:font w:name="GNQAFU+HelveticaNeue-Black">
    <w:altName w:val="Helvetica Neue"/>
    <w:panose1 w:val="00000000000000000000"/>
    <w:charset w:val="00"/>
    <w:family w:val="swiss"/>
    <w:notTrueType/>
    <w:pitch w:val="default"/>
    <w:sig w:usb0="00000003" w:usb1="00000000" w:usb2="00000000" w:usb3="00000000" w:csb0="00000001" w:csb1="00000000"/>
  </w:font>
  <w:font w:name="DZMIPA+HelveticaNeue-Medium">
    <w:altName w:val="Helvetica Neu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72EB9" w14:textId="34E241C8" w:rsidR="00267651" w:rsidRPr="00EE44B8" w:rsidRDefault="00646A51">
    <w:pPr>
      <w:pStyle w:val="Piedepgina"/>
      <w:framePr w:w="700" w:h="548" w:hRule="exact" w:wrap="auto" w:vAnchor="text" w:hAnchor="page" w:x="5662" w:y="-89"/>
      <w:rPr>
        <w:rStyle w:val="Nmerodepgina"/>
      </w:rPr>
    </w:pPr>
    <w:r w:rsidRPr="00EE44B8">
      <w:rPr>
        <w:rStyle w:val="Nmerodepgina"/>
      </w:rPr>
      <w:fldChar w:fldCharType="begin"/>
    </w:r>
    <w:r w:rsidR="00267651" w:rsidRPr="00EE44B8">
      <w:rPr>
        <w:rStyle w:val="Nmerodepgina"/>
      </w:rPr>
      <w:instrText xml:space="preserve">PAGE  </w:instrText>
    </w:r>
    <w:r w:rsidRPr="00EE44B8">
      <w:rPr>
        <w:rStyle w:val="Nmerodepgina"/>
      </w:rPr>
      <w:fldChar w:fldCharType="separate"/>
    </w:r>
    <w:r w:rsidR="00924589">
      <w:rPr>
        <w:rStyle w:val="Nmerodepgina"/>
        <w:noProof/>
      </w:rPr>
      <w:t>1</w:t>
    </w:r>
    <w:r w:rsidRPr="00EE44B8">
      <w:rPr>
        <w:rStyle w:val="Nmerodepgina"/>
      </w:rPr>
      <w:fldChar w:fldCharType="end"/>
    </w:r>
  </w:p>
  <w:p w14:paraId="56B81472" w14:textId="77777777" w:rsidR="00267651" w:rsidRDefault="0026765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5262C" w14:textId="77777777" w:rsidR="00B06AF2" w:rsidRDefault="00B06AF2">
      <w:r>
        <w:separator/>
      </w:r>
    </w:p>
  </w:footnote>
  <w:footnote w:type="continuationSeparator" w:id="0">
    <w:p w14:paraId="1828E56F" w14:textId="77777777" w:rsidR="00B06AF2" w:rsidRDefault="00B06A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0" w:type="dxa"/>
      <w:tblLayout w:type="fixed"/>
      <w:tblCellMar>
        <w:left w:w="70" w:type="dxa"/>
        <w:right w:w="70" w:type="dxa"/>
      </w:tblCellMar>
      <w:tblLook w:val="0000" w:firstRow="0" w:lastRow="0" w:firstColumn="0" w:lastColumn="0" w:noHBand="0" w:noVBand="0"/>
    </w:tblPr>
    <w:tblGrid>
      <w:gridCol w:w="6300"/>
      <w:gridCol w:w="1080"/>
      <w:gridCol w:w="1440"/>
    </w:tblGrid>
    <w:tr w:rsidR="00267651" w:rsidRPr="00CA38BF" w14:paraId="7B376F74" w14:textId="77777777">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14:paraId="54FA4996" w14:textId="77777777" w:rsidR="00267651" w:rsidRPr="00AA1167" w:rsidRDefault="00267651">
          <w:pPr>
            <w:pStyle w:val="Encabezado"/>
            <w:rPr>
              <w:rFonts w:ascii="Arial" w:hAnsi="Arial" w:cs="Arial"/>
              <w:color w:val="FFFFFF"/>
              <w:sz w:val="20"/>
              <w:szCs w:val="20"/>
            </w:rPr>
          </w:pPr>
          <w:r w:rsidRPr="00AA1167">
            <w:rPr>
              <w:rFonts w:ascii="Arial" w:hAnsi="Arial" w:cs="Arial"/>
              <w:color w:val="FFFFFF"/>
              <w:sz w:val="20"/>
              <w:szCs w:val="20"/>
            </w:rPr>
            <w:t>GENESIS-SEFH</w:t>
          </w:r>
        </w:p>
        <w:p w14:paraId="20E5F402" w14:textId="77777777" w:rsidR="00267651" w:rsidRPr="00AA1167" w:rsidRDefault="00267651">
          <w:pPr>
            <w:pStyle w:val="Encabezado"/>
            <w:jc w:val="right"/>
            <w:rPr>
              <w:rFonts w:ascii="Arial" w:hAnsi="Arial" w:cs="Arial"/>
              <w:color w:val="FFFFFF"/>
              <w:sz w:val="20"/>
              <w:szCs w:val="20"/>
            </w:rPr>
          </w:pPr>
          <w:r w:rsidRPr="00AA1167">
            <w:rPr>
              <w:rFonts w:ascii="Arial" w:hAnsi="Arial" w:cs="Arial"/>
              <w:color w:val="FFFFFF"/>
              <w:sz w:val="20"/>
              <w:szCs w:val="20"/>
            </w:rPr>
            <w:t xml:space="preserve">Programa MADRE versión 4.0  </w:t>
          </w:r>
        </w:p>
        <w:p w14:paraId="30CEB583" w14:textId="77777777" w:rsidR="00267651" w:rsidRPr="00AA1167" w:rsidRDefault="00267651">
          <w:pPr>
            <w:pStyle w:val="Encabezado"/>
            <w:jc w:val="right"/>
            <w:rPr>
              <w:rFonts w:ascii="Arial" w:hAnsi="Arial" w:cs="Arial"/>
              <w:b/>
              <w:color w:val="FFFFFF"/>
              <w:sz w:val="22"/>
              <w:szCs w:val="20"/>
            </w:rPr>
          </w:pPr>
          <w:r w:rsidRPr="00AA1167">
            <w:rPr>
              <w:rFonts w:ascii="Arial" w:hAnsi="Arial" w:cs="Arial"/>
              <w:color w:val="FFFFFF"/>
              <w:sz w:val="20"/>
              <w:szCs w:val="20"/>
            </w:rPr>
            <w:t>Informe Base</w:t>
          </w:r>
          <w:r w:rsidRPr="00AA1167">
            <w:rPr>
              <w:rFonts w:ascii="Arial" w:hAnsi="Arial" w:cs="Arial"/>
              <w:b/>
              <w:color w:val="FFFFFF"/>
              <w:sz w:val="22"/>
              <w:szCs w:val="20"/>
            </w:rPr>
            <w:t xml:space="preserve">  </w:t>
          </w:r>
        </w:p>
      </w:tc>
      <w:tc>
        <w:tcPr>
          <w:tcW w:w="1080" w:type="dxa"/>
          <w:tcBorders>
            <w:top w:val="single" w:sz="4" w:space="0" w:color="auto"/>
            <w:left w:val="nil"/>
          </w:tcBorders>
          <w:shd w:val="clear" w:color="auto" w:fill="000080"/>
        </w:tcPr>
        <w:p w14:paraId="051632B1" w14:textId="77777777" w:rsidR="00267651" w:rsidRPr="00AA1167" w:rsidRDefault="00267651">
          <w:pPr>
            <w:pStyle w:val="Encabezado"/>
            <w:rPr>
              <w:rFonts w:ascii="Arial" w:hAnsi="Arial" w:cs="Arial"/>
              <w:bCs/>
              <w:color w:val="FFFFFF"/>
              <w:sz w:val="18"/>
              <w:szCs w:val="18"/>
            </w:rPr>
          </w:pPr>
          <w:r w:rsidRPr="00AA1167">
            <w:rPr>
              <w:rFonts w:ascii="Arial" w:hAnsi="Arial" w:cs="Arial"/>
              <w:bCs/>
              <w:color w:val="FFFFFF"/>
              <w:sz w:val="18"/>
              <w:szCs w:val="18"/>
            </w:rPr>
            <w:t>Versión:</w:t>
          </w:r>
        </w:p>
      </w:tc>
      <w:tc>
        <w:tcPr>
          <w:tcW w:w="1440" w:type="dxa"/>
          <w:tcBorders>
            <w:top w:val="single" w:sz="4" w:space="0" w:color="auto"/>
            <w:right w:val="single" w:sz="4" w:space="0" w:color="auto"/>
          </w:tcBorders>
          <w:shd w:val="clear" w:color="auto" w:fill="000080"/>
          <w:vAlign w:val="bottom"/>
        </w:tcPr>
        <w:p w14:paraId="3FA36A72" w14:textId="77777777" w:rsidR="00267651" w:rsidRPr="00AA1167" w:rsidRDefault="00267651">
          <w:pPr>
            <w:pStyle w:val="Encabezado"/>
            <w:tabs>
              <w:tab w:val="left" w:pos="1206"/>
            </w:tabs>
            <w:ind w:right="71"/>
            <w:jc w:val="right"/>
            <w:rPr>
              <w:rFonts w:ascii="Arial" w:hAnsi="Arial" w:cs="Arial"/>
              <w:bCs/>
              <w:color w:val="FFFFFF"/>
              <w:sz w:val="18"/>
              <w:szCs w:val="18"/>
            </w:rPr>
          </w:pPr>
          <w:r w:rsidRPr="00AA1167">
            <w:rPr>
              <w:rFonts w:ascii="Arial" w:hAnsi="Arial" w:cs="Arial"/>
              <w:bCs/>
              <w:color w:val="FFFFFF"/>
              <w:sz w:val="18"/>
              <w:szCs w:val="18"/>
            </w:rPr>
            <w:t>4.0</w:t>
          </w:r>
        </w:p>
      </w:tc>
    </w:tr>
    <w:tr w:rsidR="00267651" w:rsidRPr="00CA38BF" w14:paraId="25418ED7" w14:textId="77777777">
      <w:trPr>
        <w:cantSplit/>
        <w:trHeight w:val="240"/>
      </w:trPr>
      <w:tc>
        <w:tcPr>
          <w:tcW w:w="6300" w:type="dxa"/>
          <w:vMerge/>
          <w:tcBorders>
            <w:left w:val="single" w:sz="4" w:space="0" w:color="auto"/>
            <w:right w:val="single" w:sz="4" w:space="0" w:color="auto"/>
          </w:tcBorders>
          <w:shd w:val="clear" w:color="auto" w:fill="000080"/>
          <w:vAlign w:val="center"/>
        </w:tcPr>
        <w:p w14:paraId="18BB9F64" w14:textId="77777777" w:rsidR="00267651" w:rsidRPr="00AA1167" w:rsidRDefault="00267651">
          <w:pPr>
            <w:pStyle w:val="Encabezado"/>
            <w:spacing w:line="360" w:lineRule="auto"/>
            <w:jc w:val="center"/>
            <w:rPr>
              <w:rFonts w:ascii="Arial" w:hAnsi="Arial" w:cs="Arial"/>
              <w:b/>
              <w:color w:val="FFFFFF"/>
              <w:szCs w:val="20"/>
            </w:rPr>
          </w:pPr>
        </w:p>
      </w:tc>
      <w:tc>
        <w:tcPr>
          <w:tcW w:w="1080" w:type="dxa"/>
          <w:tcBorders>
            <w:left w:val="nil"/>
          </w:tcBorders>
          <w:shd w:val="clear" w:color="auto" w:fill="000080"/>
        </w:tcPr>
        <w:p w14:paraId="70DE88AE" w14:textId="77777777" w:rsidR="00267651" w:rsidRPr="00AA1167" w:rsidRDefault="00267651">
          <w:pPr>
            <w:pStyle w:val="Encabezado"/>
            <w:rPr>
              <w:rFonts w:ascii="Arial" w:hAnsi="Arial" w:cs="Arial"/>
              <w:bCs/>
              <w:color w:val="FFFFFF"/>
              <w:sz w:val="18"/>
              <w:szCs w:val="18"/>
            </w:rPr>
          </w:pPr>
          <w:r w:rsidRPr="00AA1167">
            <w:rPr>
              <w:rFonts w:ascii="Arial" w:hAnsi="Arial" w:cs="Arial"/>
              <w:bCs/>
              <w:color w:val="FFFFFF"/>
              <w:sz w:val="18"/>
              <w:szCs w:val="18"/>
            </w:rPr>
            <w:t>Fecha:</w:t>
          </w:r>
        </w:p>
      </w:tc>
      <w:tc>
        <w:tcPr>
          <w:tcW w:w="1440" w:type="dxa"/>
          <w:tcBorders>
            <w:right w:val="single" w:sz="4" w:space="0" w:color="auto"/>
          </w:tcBorders>
          <w:shd w:val="clear" w:color="auto" w:fill="000080"/>
          <w:vAlign w:val="bottom"/>
        </w:tcPr>
        <w:p w14:paraId="242E74BF" w14:textId="77777777" w:rsidR="00267651" w:rsidRPr="00AA1167" w:rsidRDefault="00267651">
          <w:pPr>
            <w:pStyle w:val="Encabezado"/>
            <w:tabs>
              <w:tab w:val="left" w:pos="1206"/>
            </w:tabs>
            <w:ind w:right="71"/>
            <w:jc w:val="right"/>
            <w:rPr>
              <w:rFonts w:ascii="Arial" w:hAnsi="Arial" w:cs="Arial"/>
              <w:bCs/>
              <w:color w:val="FFFFFF"/>
              <w:sz w:val="18"/>
              <w:szCs w:val="18"/>
            </w:rPr>
          </w:pPr>
          <w:r w:rsidRPr="00AA1167">
            <w:rPr>
              <w:rFonts w:ascii="Arial" w:hAnsi="Arial" w:cs="Arial"/>
              <w:bCs/>
              <w:color w:val="FFFFFF"/>
              <w:sz w:val="18"/>
              <w:szCs w:val="18"/>
            </w:rPr>
            <w:t>10-12-2012</w:t>
          </w:r>
        </w:p>
      </w:tc>
    </w:tr>
    <w:tr w:rsidR="00267651" w:rsidRPr="00CA38BF" w14:paraId="2CC67A34" w14:textId="77777777">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14:paraId="5F11A492" w14:textId="77777777" w:rsidR="00267651" w:rsidRPr="00AA1167" w:rsidRDefault="00267651">
          <w:pPr>
            <w:pStyle w:val="Encabezado"/>
            <w:spacing w:line="360" w:lineRule="auto"/>
            <w:jc w:val="center"/>
            <w:rPr>
              <w:rFonts w:ascii="Arial" w:hAnsi="Arial" w:cs="Arial"/>
              <w:b/>
              <w:color w:val="FFFFFF"/>
              <w:szCs w:val="20"/>
            </w:rPr>
          </w:pPr>
        </w:p>
      </w:tc>
      <w:tc>
        <w:tcPr>
          <w:tcW w:w="1080" w:type="dxa"/>
          <w:tcBorders>
            <w:left w:val="nil"/>
            <w:bottom w:val="single" w:sz="4" w:space="0" w:color="auto"/>
          </w:tcBorders>
          <w:shd w:val="clear" w:color="auto" w:fill="000080"/>
        </w:tcPr>
        <w:p w14:paraId="42E36668" w14:textId="77777777" w:rsidR="00267651" w:rsidRPr="00AA1167" w:rsidRDefault="00267651">
          <w:pPr>
            <w:pStyle w:val="Encabezado"/>
            <w:rPr>
              <w:rFonts w:ascii="Arial" w:hAnsi="Arial" w:cs="Arial"/>
              <w:bCs/>
              <w:color w:val="FFFFFF"/>
              <w:sz w:val="18"/>
              <w:szCs w:val="18"/>
            </w:rPr>
          </w:pPr>
          <w:r w:rsidRPr="00AA1167">
            <w:rPr>
              <w:rFonts w:ascii="Arial" w:hAnsi="Arial" w:cs="Arial"/>
              <w:bCs/>
              <w:color w:val="FFFFFF"/>
              <w:sz w:val="18"/>
              <w:szCs w:val="18"/>
            </w:rPr>
            <w:t>Página:</w:t>
          </w:r>
        </w:p>
      </w:tc>
      <w:tc>
        <w:tcPr>
          <w:tcW w:w="1440" w:type="dxa"/>
          <w:tcBorders>
            <w:bottom w:val="single" w:sz="4" w:space="0" w:color="auto"/>
            <w:right w:val="single" w:sz="4" w:space="0" w:color="auto"/>
          </w:tcBorders>
          <w:shd w:val="clear" w:color="auto" w:fill="000080"/>
          <w:vAlign w:val="bottom"/>
        </w:tcPr>
        <w:p w14:paraId="28DC76CE" w14:textId="49FA3CBE" w:rsidR="00267651" w:rsidRPr="00AA1167" w:rsidRDefault="00646A51" w:rsidP="00C8252E">
          <w:pPr>
            <w:pStyle w:val="Encabezado"/>
            <w:tabs>
              <w:tab w:val="left" w:pos="1206"/>
            </w:tabs>
            <w:ind w:right="71"/>
            <w:jc w:val="right"/>
            <w:rPr>
              <w:rFonts w:ascii="Arial" w:hAnsi="Arial" w:cs="Arial"/>
              <w:bCs/>
              <w:color w:val="FFFFFF"/>
              <w:sz w:val="18"/>
              <w:szCs w:val="18"/>
            </w:rPr>
          </w:pPr>
          <w:r w:rsidRPr="00AA1167">
            <w:rPr>
              <w:rStyle w:val="Nmerodepgina"/>
              <w:rFonts w:ascii="Arial" w:hAnsi="Arial" w:cs="Arial"/>
              <w:bCs/>
              <w:color w:val="FFFFFF"/>
              <w:sz w:val="18"/>
              <w:szCs w:val="18"/>
            </w:rPr>
            <w:fldChar w:fldCharType="begin"/>
          </w:r>
          <w:r w:rsidR="00267651" w:rsidRPr="00AA1167">
            <w:rPr>
              <w:rStyle w:val="Nmerodepgina"/>
              <w:rFonts w:ascii="Arial" w:hAnsi="Arial" w:cs="Arial"/>
              <w:bCs/>
              <w:color w:val="FFFFFF"/>
              <w:sz w:val="18"/>
              <w:szCs w:val="18"/>
            </w:rPr>
            <w:instrText xml:space="preserve"> PAGE </w:instrText>
          </w:r>
          <w:r w:rsidRPr="00AA1167">
            <w:rPr>
              <w:rStyle w:val="Nmerodepgina"/>
              <w:rFonts w:ascii="Arial" w:hAnsi="Arial" w:cs="Arial"/>
              <w:bCs/>
              <w:color w:val="FFFFFF"/>
              <w:sz w:val="18"/>
              <w:szCs w:val="18"/>
            </w:rPr>
            <w:fldChar w:fldCharType="separate"/>
          </w:r>
          <w:r w:rsidR="00924589">
            <w:rPr>
              <w:rStyle w:val="Nmerodepgina"/>
              <w:rFonts w:ascii="Arial" w:hAnsi="Arial" w:cs="Arial"/>
              <w:bCs/>
              <w:noProof/>
              <w:color w:val="FFFFFF"/>
              <w:sz w:val="18"/>
              <w:szCs w:val="18"/>
            </w:rPr>
            <w:t>1</w:t>
          </w:r>
          <w:r w:rsidRPr="00AA1167">
            <w:rPr>
              <w:rStyle w:val="Nmerodepgina"/>
              <w:rFonts w:ascii="Arial" w:hAnsi="Arial" w:cs="Arial"/>
              <w:bCs/>
              <w:color w:val="FFFFFF"/>
              <w:sz w:val="18"/>
              <w:szCs w:val="18"/>
            </w:rPr>
            <w:fldChar w:fldCharType="end"/>
          </w:r>
        </w:p>
      </w:tc>
    </w:tr>
  </w:tbl>
  <w:p w14:paraId="554AEDAA" w14:textId="77777777" w:rsidR="00267651" w:rsidRPr="00CA38BF" w:rsidRDefault="00267651">
    <w:pPr>
      <w:pStyle w:val="Encabezado"/>
      <w:rPr>
        <w:color w:va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 w15:restartNumberingAfterBreak="0">
    <w:nsid w:val="00000008"/>
    <w:multiLevelType w:val="multilevel"/>
    <w:tmpl w:val="00000008"/>
    <w:name w:val="WWNum8"/>
    <w:lvl w:ilvl="0">
      <w:start w:val="1"/>
      <w:numFmt w:val="bullet"/>
      <w:lvlText w:val="­"/>
      <w:lvlJc w:val="left"/>
      <w:pPr>
        <w:tabs>
          <w:tab w:val="num" w:pos="0"/>
        </w:tabs>
        <w:ind w:left="765" w:hanging="360"/>
      </w:pPr>
      <w:rPr>
        <w:rFonts w:ascii="Verdana" w:hAnsi="Verdana" w:cs="Verdana"/>
        <w:sz w:val="20"/>
      </w:rPr>
    </w:lvl>
    <w:lvl w:ilvl="1">
      <w:start w:val="1"/>
      <w:numFmt w:val="bullet"/>
      <w:lvlText w:val="o"/>
      <w:lvlJc w:val="left"/>
      <w:pPr>
        <w:tabs>
          <w:tab w:val="num" w:pos="0"/>
        </w:tabs>
        <w:ind w:left="1485" w:hanging="360"/>
      </w:pPr>
      <w:rPr>
        <w:rFonts w:ascii="Courier New" w:hAnsi="Courier New" w:cs="Courier New"/>
        <w:sz w:val="20"/>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2" w15:restartNumberingAfterBreak="0">
    <w:nsid w:val="0000000D"/>
    <w:multiLevelType w:val="multilevel"/>
    <w:tmpl w:val="0000000D"/>
    <w:name w:val="WWNum13"/>
    <w:lvl w:ilvl="0">
      <w:start w:val="1"/>
      <w:numFmt w:val="bullet"/>
      <w:lvlText w:val=""/>
      <w:lvlJc w:val="left"/>
      <w:pPr>
        <w:tabs>
          <w:tab w:val="num" w:pos="0"/>
        </w:tabs>
        <w:ind w:left="360" w:hanging="360"/>
      </w:pPr>
      <w:rPr>
        <w:rFonts w:ascii="Symbol" w:hAnsi="Symbol" w:cs="Symbol"/>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E"/>
    <w:multiLevelType w:val="multilevel"/>
    <w:tmpl w:val="0000000E"/>
    <w:name w:val="WWNum14"/>
    <w:lvl w:ilvl="0">
      <w:start w:val="1"/>
      <w:numFmt w:val="bullet"/>
      <w:lvlText w:val="o"/>
      <w:lvlJc w:val="left"/>
      <w:pPr>
        <w:tabs>
          <w:tab w:val="num" w:pos="0"/>
        </w:tabs>
        <w:ind w:left="1080" w:hanging="360"/>
      </w:pPr>
      <w:rPr>
        <w:rFonts w:ascii="Courier New" w:hAnsi="Courier New" w:cs="Courier New"/>
        <w:sz w:val="20"/>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 w15:restartNumberingAfterBreak="0">
    <w:nsid w:val="0000000F"/>
    <w:multiLevelType w:val="multilevel"/>
    <w:tmpl w:val="0000000F"/>
    <w:name w:val="WWNum15"/>
    <w:lvl w:ilvl="0">
      <w:start w:val="1"/>
      <w:numFmt w:val="bullet"/>
      <w:lvlText w:val=""/>
      <w:lvlJc w:val="left"/>
      <w:pPr>
        <w:tabs>
          <w:tab w:val="num" w:pos="0"/>
        </w:tabs>
        <w:ind w:left="360" w:hanging="360"/>
      </w:pPr>
      <w:rPr>
        <w:rFonts w:ascii="Symbol" w:hAnsi="Symbol" w:cs="Symbol"/>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5" w15:restartNumberingAfterBreak="0">
    <w:nsid w:val="056D43CA"/>
    <w:multiLevelType w:val="multilevel"/>
    <w:tmpl w:val="CAAE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92CD1"/>
    <w:multiLevelType w:val="hybridMultilevel"/>
    <w:tmpl w:val="220C9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2C4E22"/>
    <w:multiLevelType w:val="hybridMultilevel"/>
    <w:tmpl w:val="50F64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5866EB"/>
    <w:multiLevelType w:val="multilevel"/>
    <w:tmpl w:val="3DCA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E095E"/>
    <w:multiLevelType w:val="hybridMultilevel"/>
    <w:tmpl w:val="8086F7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0895196"/>
    <w:multiLevelType w:val="hybridMultilevel"/>
    <w:tmpl w:val="C04A79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7A71ED"/>
    <w:multiLevelType w:val="hybridMultilevel"/>
    <w:tmpl w:val="B3881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F10441A"/>
    <w:multiLevelType w:val="multilevel"/>
    <w:tmpl w:val="B0C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5C386A"/>
    <w:multiLevelType w:val="hybridMultilevel"/>
    <w:tmpl w:val="14E618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CA42426"/>
    <w:multiLevelType w:val="multilevel"/>
    <w:tmpl w:val="E9A4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5D04E5"/>
    <w:multiLevelType w:val="hybridMultilevel"/>
    <w:tmpl w:val="DC180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02B7C72"/>
    <w:multiLevelType w:val="hybridMultilevel"/>
    <w:tmpl w:val="E16C7F8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43526F5F"/>
    <w:multiLevelType w:val="hybridMultilevel"/>
    <w:tmpl w:val="DBF25F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6B671CB"/>
    <w:multiLevelType w:val="hybridMultilevel"/>
    <w:tmpl w:val="7A580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D002C36"/>
    <w:multiLevelType w:val="multilevel"/>
    <w:tmpl w:val="976A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0A1EC7"/>
    <w:multiLevelType w:val="hybridMultilevel"/>
    <w:tmpl w:val="F57C1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B2974E7"/>
    <w:multiLevelType w:val="hybridMultilevel"/>
    <w:tmpl w:val="5204F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EB349B"/>
    <w:multiLevelType w:val="hybridMultilevel"/>
    <w:tmpl w:val="BA922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6FC3068"/>
    <w:multiLevelType w:val="hybridMultilevel"/>
    <w:tmpl w:val="883E4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A993B52"/>
    <w:multiLevelType w:val="multilevel"/>
    <w:tmpl w:val="01D6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1402C7"/>
    <w:multiLevelType w:val="multilevel"/>
    <w:tmpl w:val="8074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D86634"/>
    <w:multiLevelType w:val="hybridMultilevel"/>
    <w:tmpl w:val="71227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21"/>
  </w:num>
  <w:num w:numId="5">
    <w:abstractNumId w:val="18"/>
  </w:num>
  <w:num w:numId="6">
    <w:abstractNumId w:val="26"/>
  </w:num>
  <w:num w:numId="7">
    <w:abstractNumId w:val="20"/>
  </w:num>
  <w:num w:numId="8">
    <w:abstractNumId w:val="7"/>
  </w:num>
  <w:num w:numId="9">
    <w:abstractNumId w:val="23"/>
  </w:num>
  <w:num w:numId="10">
    <w:abstractNumId w:val="15"/>
  </w:num>
  <w:num w:numId="11">
    <w:abstractNumId w:val="11"/>
  </w:num>
  <w:num w:numId="12">
    <w:abstractNumId w:val="19"/>
  </w:num>
  <w:num w:numId="13">
    <w:abstractNumId w:val="9"/>
  </w:num>
  <w:num w:numId="14">
    <w:abstractNumId w:val="13"/>
  </w:num>
  <w:num w:numId="15">
    <w:abstractNumId w:val="17"/>
  </w:num>
  <w:num w:numId="16">
    <w:abstractNumId w:val="22"/>
  </w:num>
  <w:num w:numId="17">
    <w:abstractNumId w:val="24"/>
  </w:num>
  <w:num w:numId="18">
    <w:abstractNumId w:val="12"/>
  </w:num>
  <w:num w:numId="19">
    <w:abstractNumId w:val="5"/>
  </w:num>
  <w:num w:numId="20">
    <w:abstractNumId w:val="8"/>
  </w:num>
  <w:num w:numId="21">
    <w:abstractNumId w:val="1"/>
  </w:num>
  <w:num w:numId="22">
    <w:abstractNumId w:val="2"/>
  </w:num>
  <w:num w:numId="23">
    <w:abstractNumId w:val="3"/>
  </w:num>
  <w:num w:numId="24">
    <w:abstractNumId w:val="4"/>
  </w:num>
  <w:num w:numId="25">
    <w:abstractNumId w:val="14"/>
  </w:num>
  <w:num w:numId="26">
    <w:abstractNumId w:val="25"/>
  </w:num>
  <w:num w:numId="2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951CE"/>
    <w:rsid w:val="0000172B"/>
    <w:rsid w:val="000105AD"/>
    <w:rsid w:val="00011677"/>
    <w:rsid w:val="0001254F"/>
    <w:rsid w:val="0001363A"/>
    <w:rsid w:val="000164CD"/>
    <w:rsid w:val="000171EE"/>
    <w:rsid w:val="00024E8F"/>
    <w:rsid w:val="0002530D"/>
    <w:rsid w:val="0002576C"/>
    <w:rsid w:val="0003121A"/>
    <w:rsid w:val="00032C99"/>
    <w:rsid w:val="00034D6E"/>
    <w:rsid w:val="00036479"/>
    <w:rsid w:val="00043852"/>
    <w:rsid w:val="000447FB"/>
    <w:rsid w:val="000504B0"/>
    <w:rsid w:val="00050BA5"/>
    <w:rsid w:val="000538C6"/>
    <w:rsid w:val="00055DAD"/>
    <w:rsid w:val="00062AE5"/>
    <w:rsid w:val="00064525"/>
    <w:rsid w:val="00064990"/>
    <w:rsid w:val="000649E4"/>
    <w:rsid w:val="000650C8"/>
    <w:rsid w:val="000675D5"/>
    <w:rsid w:val="000710C0"/>
    <w:rsid w:val="00071F94"/>
    <w:rsid w:val="00072C2E"/>
    <w:rsid w:val="000731C6"/>
    <w:rsid w:val="000816DF"/>
    <w:rsid w:val="00081E1F"/>
    <w:rsid w:val="00083EA9"/>
    <w:rsid w:val="00086ACD"/>
    <w:rsid w:val="000929E9"/>
    <w:rsid w:val="00095C04"/>
    <w:rsid w:val="000A513E"/>
    <w:rsid w:val="000B3AEA"/>
    <w:rsid w:val="000C11C6"/>
    <w:rsid w:val="000C1BEF"/>
    <w:rsid w:val="000C4E0A"/>
    <w:rsid w:val="000C59F7"/>
    <w:rsid w:val="000C7702"/>
    <w:rsid w:val="000D2465"/>
    <w:rsid w:val="000D6D4B"/>
    <w:rsid w:val="000E19BB"/>
    <w:rsid w:val="000E1E58"/>
    <w:rsid w:val="000E2AEF"/>
    <w:rsid w:val="000E2F26"/>
    <w:rsid w:val="000E42F3"/>
    <w:rsid w:val="000E5558"/>
    <w:rsid w:val="000E55DD"/>
    <w:rsid w:val="000E5CC9"/>
    <w:rsid w:val="000F05C0"/>
    <w:rsid w:val="000F0CEA"/>
    <w:rsid w:val="000F2490"/>
    <w:rsid w:val="000F24DB"/>
    <w:rsid w:val="000F3529"/>
    <w:rsid w:val="000F3C61"/>
    <w:rsid w:val="000F72E1"/>
    <w:rsid w:val="00100874"/>
    <w:rsid w:val="00103D28"/>
    <w:rsid w:val="00114C50"/>
    <w:rsid w:val="00115E3B"/>
    <w:rsid w:val="00116D51"/>
    <w:rsid w:val="0012064F"/>
    <w:rsid w:val="00123AFB"/>
    <w:rsid w:val="00125C41"/>
    <w:rsid w:val="00132596"/>
    <w:rsid w:val="001353F0"/>
    <w:rsid w:val="00137696"/>
    <w:rsid w:val="00142983"/>
    <w:rsid w:val="0014589F"/>
    <w:rsid w:val="00145B9D"/>
    <w:rsid w:val="0015122B"/>
    <w:rsid w:val="00156E91"/>
    <w:rsid w:val="00171D1D"/>
    <w:rsid w:val="00174E39"/>
    <w:rsid w:val="001751E3"/>
    <w:rsid w:val="001761B2"/>
    <w:rsid w:val="00180202"/>
    <w:rsid w:val="0018106C"/>
    <w:rsid w:val="0019708E"/>
    <w:rsid w:val="001A087F"/>
    <w:rsid w:val="001A091B"/>
    <w:rsid w:val="001A4D92"/>
    <w:rsid w:val="001A55AD"/>
    <w:rsid w:val="001A58D1"/>
    <w:rsid w:val="001A64E5"/>
    <w:rsid w:val="001A686D"/>
    <w:rsid w:val="001B0EA9"/>
    <w:rsid w:val="001B4D98"/>
    <w:rsid w:val="001B5417"/>
    <w:rsid w:val="001B54A8"/>
    <w:rsid w:val="001B6160"/>
    <w:rsid w:val="001B73C0"/>
    <w:rsid w:val="001C0A48"/>
    <w:rsid w:val="001C4D59"/>
    <w:rsid w:val="001D256D"/>
    <w:rsid w:val="001D4ED8"/>
    <w:rsid w:val="001D5724"/>
    <w:rsid w:val="001E556C"/>
    <w:rsid w:val="001F4DCE"/>
    <w:rsid w:val="001F7F82"/>
    <w:rsid w:val="002035D2"/>
    <w:rsid w:val="00206ECD"/>
    <w:rsid w:val="002077A1"/>
    <w:rsid w:val="002078B3"/>
    <w:rsid w:val="00207A16"/>
    <w:rsid w:val="002104AE"/>
    <w:rsid w:val="00210F12"/>
    <w:rsid w:val="00211061"/>
    <w:rsid w:val="002136E0"/>
    <w:rsid w:val="00216A11"/>
    <w:rsid w:val="002179C2"/>
    <w:rsid w:val="002269D0"/>
    <w:rsid w:val="0023608B"/>
    <w:rsid w:val="00237DEA"/>
    <w:rsid w:val="00241686"/>
    <w:rsid w:val="00242C7C"/>
    <w:rsid w:val="00250032"/>
    <w:rsid w:val="00251FEE"/>
    <w:rsid w:val="00252DED"/>
    <w:rsid w:val="00262026"/>
    <w:rsid w:val="00262437"/>
    <w:rsid w:val="00266A59"/>
    <w:rsid w:val="00267651"/>
    <w:rsid w:val="00270C65"/>
    <w:rsid w:val="00274A6A"/>
    <w:rsid w:val="00274C2C"/>
    <w:rsid w:val="0027520B"/>
    <w:rsid w:val="00275870"/>
    <w:rsid w:val="00276944"/>
    <w:rsid w:val="00280125"/>
    <w:rsid w:val="00282C19"/>
    <w:rsid w:val="00285A73"/>
    <w:rsid w:val="00286636"/>
    <w:rsid w:val="00287CD7"/>
    <w:rsid w:val="00290575"/>
    <w:rsid w:val="002951CE"/>
    <w:rsid w:val="00295E23"/>
    <w:rsid w:val="002A02B8"/>
    <w:rsid w:val="002A26DC"/>
    <w:rsid w:val="002A2886"/>
    <w:rsid w:val="002A3632"/>
    <w:rsid w:val="002A40D0"/>
    <w:rsid w:val="002C1237"/>
    <w:rsid w:val="002C3AC8"/>
    <w:rsid w:val="002C5A05"/>
    <w:rsid w:val="002C777D"/>
    <w:rsid w:val="002D1477"/>
    <w:rsid w:val="002D2209"/>
    <w:rsid w:val="002D48B8"/>
    <w:rsid w:val="002D5E72"/>
    <w:rsid w:val="002D7BD0"/>
    <w:rsid w:val="002E04F1"/>
    <w:rsid w:val="002E1D01"/>
    <w:rsid w:val="002E4525"/>
    <w:rsid w:val="002F0E8F"/>
    <w:rsid w:val="002F13CB"/>
    <w:rsid w:val="002F3307"/>
    <w:rsid w:val="002F4972"/>
    <w:rsid w:val="002F61A9"/>
    <w:rsid w:val="002F63B7"/>
    <w:rsid w:val="002F64ED"/>
    <w:rsid w:val="002F7160"/>
    <w:rsid w:val="00303AFE"/>
    <w:rsid w:val="00305B03"/>
    <w:rsid w:val="00306A2D"/>
    <w:rsid w:val="0030703A"/>
    <w:rsid w:val="003132E6"/>
    <w:rsid w:val="0031446F"/>
    <w:rsid w:val="00315796"/>
    <w:rsid w:val="00316779"/>
    <w:rsid w:val="003179AC"/>
    <w:rsid w:val="0032019C"/>
    <w:rsid w:val="00322419"/>
    <w:rsid w:val="00323F50"/>
    <w:rsid w:val="0032592E"/>
    <w:rsid w:val="00325F55"/>
    <w:rsid w:val="003267AD"/>
    <w:rsid w:val="00330EA1"/>
    <w:rsid w:val="00331661"/>
    <w:rsid w:val="00331798"/>
    <w:rsid w:val="0033284C"/>
    <w:rsid w:val="003400D3"/>
    <w:rsid w:val="00343359"/>
    <w:rsid w:val="003441A6"/>
    <w:rsid w:val="003443A6"/>
    <w:rsid w:val="00344D6F"/>
    <w:rsid w:val="00351370"/>
    <w:rsid w:val="00360B99"/>
    <w:rsid w:val="00364834"/>
    <w:rsid w:val="003752E2"/>
    <w:rsid w:val="00377AA0"/>
    <w:rsid w:val="003836F3"/>
    <w:rsid w:val="003837F7"/>
    <w:rsid w:val="00383A25"/>
    <w:rsid w:val="00384203"/>
    <w:rsid w:val="003853FF"/>
    <w:rsid w:val="00391A86"/>
    <w:rsid w:val="003947BF"/>
    <w:rsid w:val="00394B3D"/>
    <w:rsid w:val="00395963"/>
    <w:rsid w:val="00395A69"/>
    <w:rsid w:val="00397423"/>
    <w:rsid w:val="003A2C87"/>
    <w:rsid w:val="003A4FF7"/>
    <w:rsid w:val="003A69B6"/>
    <w:rsid w:val="003B2606"/>
    <w:rsid w:val="003B32FD"/>
    <w:rsid w:val="003B52CF"/>
    <w:rsid w:val="003B5EA7"/>
    <w:rsid w:val="003B70FB"/>
    <w:rsid w:val="003C4DB7"/>
    <w:rsid w:val="003C4E47"/>
    <w:rsid w:val="003C58E7"/>
    <w:rsid w:val="003C5C6F"/>
    <w:rsid w:val="003C7B55"/>
    <w:rsid w:val="003D1200"/>
    <w:rsid w:val="003D6F6A"/>
    <w:rsid w:val="003D6FCD"/>
    <w:rsid w:val="003E6CA5"/>
    <w:rsid w:val="003E74E4"/>
    <w:rsid w:val="003F026E"/>
    <w:rsid w:val="003F1D05"/>
    <w:rsid w:val="003F3B19"/>
    <w:rsid w:val="003F55C0"/>
    <w:rsid w:val="003F6473"/>
    <w:rsid w:val="00402679"/>
    <w:rsid w:val="00403E3F"/>
    <w:rsid w:val="00406E5B"/>
    <w:rsid w:val="00407DEE"/>
    <w:rsid w:val="004114EB"/>
    <w:rsid w:val="004124A0"/>
    <w:rsid w:val="00412973"/>
    <w:rsid w:val="00413DAA"/>
    <w:rsid w:val="00415AF5"/>
    <w:rsid w:val="004230A4"/>
    <w:rsid w:val="00423908"/>
    <w:rsid w:val="0042493D"/>
    <w:rsid w:val="00434C20"/>
    <w:rsid w:val="00435F7E"/>
    <w:rsid w:val="00440B26"/>
    <w:rsid w:val="00445372"/>
    <w:rsid w:val="00450B54"/>
    <w:rsid w:val="00455830"/>
    <w:rsid w:val="004620D7"/>
    <w:rsid w:val="00465709"/>
    <w:rsid w:val="004677DB"/>
    <w:rsid w:val="00471438"/>
    <w:rsid w:val="0047722D"/>
    <w:rsid w:val="00480595"/>
    <w:rsid w:val="00480AE5"/>
    <w:rsid w:val="0048121B"/>
    <w:rsid w:val="0048196F"/>
    <w:rsid w:val="0048500F"/>
    <w:rsid w:val="00485EE2"/>
    <w:rsid w:val="0048622F"/>
    <w:rsid w:val="004923FC"/>
    <w:rsid w:val="004935C9"/>
    <w:rsid w:val="00494B9B"/>
    <w:rsid w:val="00494C98"/>
    <w:rsid w:val="00495F7C"/>
    <w:rsid w:val="004A19C9"/>
    <w:rsid w:val="004A62C9"/>
    <w:rsid w:val="004A7D71"/>
    <w:rsid w:val="004B1636"/>
    <w:rsid w:val="004B1BD3"/>
    <w:rsid w:val="004B21FD"/>
    <w:rsid w:val="004C299A"/>
    <w:rsid w:val="004C34BF"/>
    <w:rsid w:val="004C72D4"/>
    <w:rsid w:val="004D01E0"/>
    <w:rsid w:val="004D1E1A"/>
    <w:rsid w:val="004D2960"/>
    <w:rsid w:val="004E1156"/>
    <w:rsid w:val="004E35F2"/>
    <w:rsid w:val="004E52B4"/>
    <w:rsid w:val="004F05D9"/>
    <w:rsid w:val="004F2656"/>
    <w:rsid w:val="004F307D"/>
    <w:rsid w:val="00506282"/>
    <w:rsid w:val="005077DB"/>
    <w:rsid w:val="00510C57"/>
    <w:rsid w:val="00511A83"/>
    <w:rsid w:val="00512C98"/>
    <w:rsid w:val="00514DDC"/>
    <w:rsid w:val="005150C9"/>
    <w:rsid w:val="005161B7"/>
    <w:rsid w:val="0051654D"/>
    <w:rsid w:val="00520218"/>
    <w:rsid w:val="00522403"/>
    <w:rsid w:val="00522E61"/>
    <w:rsid w:val="00524A74"/>
    <w:rsid w:val="00524D02"/>
    <w:rsid w:val="00530604"/>
    <w:rsid w:val="0053248A"/>
    <w:rsid w:val="00535B6C"/>
    <w:rsid w:val="0053682D"/>
    <w:rsid w:val="00540E4E"/>
    <w:rsid w:val="00541241"/>
    <w:rsid w:val="00547734"/>
    <w:rsid w:val="00550FAA"/>
    <w:rsid w:val="005532AD"/>
    <w:rsid w:val="00556448"/>
    <w:rsid w:val="0055730A"/>
    <w:rsid w:val="00561699"/>
    <w:rsid w:val="00566465"/>
    <w:rsid w:val="005673D0"/>
    <w:rsid w:val="00570BA0"/>
    <w:rsid w:val="0057192E"/>
    <w:rsid w:val="00571E19"/>
    <w:rsid w:val="00581AE4"/>
    <w:rsid w:val="00583742"/>
    <w:rsid w:val="005859BF"/>
    <w:rsid w:val="00590BD5"/>
    <w:rsid w:val="00594A78"/>
    <w:rsid w:val="005A0341"/>
    <w:rsid w:val="005B1322"/>
    <w:rsid w:val="005B45B8"/>
    <w:rsid w:val="005B6F77"/>
    <w:rsid w:val="005C2663"/>
    <w:rsid w:val="005C2833"/>
    <w:rsid w:val="005C5447"/>
    <w:rsid w:val="005D1809"/>
    <w:rsid w:val="005D4EF7"/>
    <w:rsid w:val="005D7469"/>
    <w:rsid w:val="005F08D3"/>
    <w:rsid w:val="005F3776"/>
    <w:rsid w:val="005F44C8"/>
    <w:rsid w:val="005F54ED"/>
    <w:rsid w:val="0060011B"/>
    <w:rsid w:val="00604893"/>
    <w:rsid w:val="0061038D"/>
    <w:rsid w:val="00612D8E"/>
    <w:rsid w:val="006143C3"/>
    <w:rsid w:val="00614F01"/>
    <w:rsid w:val="00616A31"/>
    <w:rsid w:val="0061794F"/>
    <w:rsid w:val="00624546"/>
    <w:rsid w:val="00625E4B"/>
    <w:rsid w:val="00626E97"/>
    <w:rsid w:val="00635D28"/>
    <w:rsid w:val="00636029"/>
    <w:rsid w:val="00642851"/>
    <w:rsid w:val="006438E2"/>
    <w:rsid w:val="00644031"/>
    <w:rsid w:val="006455E6"/>
    <w:rsid w:val="00646A51"/>
    <w:rsid w:val="00652A73"/>
    <w:rsid w:val="00655179"/>
    <w:rsid w:val="00656D2F"/>
    <w:rsid w:val="00657B03"/>
    <w:rsid w:val="00664829"/>
    <w:rsid w:val="00664C79"/>
    <w:rsid w:val="00665283"/>
    <w:rsid w:val="00666DDC"/>
    <w:rsid w:val="00667714"/>
    <w:rsid w:val="0067539B"/>
    <w:rsid w:val="00680F31"/>
    <w:rsid w:val="0068318C"/>
    <w:rsid w:val="006842A0"/>
    <w:rsid w:val="006875A6"/>
    <w:rsid w:val="00687E7A"/>
    <w:rsid w:val="00691073"/>
    <w:rsid w:val="00691ED5"/>
    <w:rsid w:val="0069230D"/>
    <w:rsid w:val="00693B24"/>
    <w:rsid w:val="00693F7E"/>
    <w:rsid w:val="006958B7"/>
    <w:rsid w:val="00695FF6"/>
    <w:rsid w:val="006A33B3"/>
    <w:rsid w:val="006A3B4B"/>
    <w:rsid w:val="006A526C"/>
    <w:rsid w:val="006A5533"/>
    <w:rsid w:val="006A58BC"/>
    <w:rsid w:val="006A5EC0"/>
    <w:rsid w:val="006B4601"/>
    <w:rsid w:val="006B4888"/>
    <w:rsid w:val="006B7B3B"/>
    <w:rsid w:val="006C53CB"/>
    <w:rsid w:val="006D5B9C"/>
    <w:rsid w:val="006D759D"/>
    <w:rsid w:val="006E1092"/>
    <w:rsid w:val="006E1A59"/>
    <w:rsid w:val="006E2975"/>
    <w:rsid w:val="006E3F25"/>
    <w:rsid w:val="006E4B26"/>
    <w:rsid w:val="006E4DEB"/>
    <w:rsid w:val="006E68B7"/>
    <w:rsid w:val="006E6B8F"/>
    <w:rsid w:val="006F23FA"/>
    <w:rsid w:val="006F377A"/>
    <w:rsid w:val="006F4D6A"/>
    <w:rsid w:val="006F6ABB"/>
    <w:rsid w:val="006F7062"/>
    <w:rsid w:val="006F7419"/>
    <w:rsid w:val="006F7686"/>
    <w:rsid w:val="007004D7"/>
    <w:rsid w:val="00703B09"/>
    <w:rsid w:val="00712E2A"/>
    <w:rsid w:val="007210B4"/>
    <w:rsid w:val="00724222"/>
    <w:rsid w:val="00724CFA"/>
    <w:rsid w:val="00731896"/>
    <w:rsid w:val="007340E6"/>
    <w:rsid w:val="00734590"/>
    <w:rsid w:val="007351E0"/>
    <w:rsid w:val="00736CD4"/>
    <w:rsid w:val="00736E34"/>
    <w:rsid w:val="0074103D"/>
    <w:rsid w:val="0074124E"/>
    <w:rsid w:val="00742FA7"/>
    <w:rsid w:val="00744C1E"/>
    <w:rsid w:val="00751106"/>
    <w:rsid w:val="007536AE"/>
    <w:rsid w:val="00755FC3"/>
    <w:rsid w:val="0075635A"/>
    <w:rsid w:val="0076012A"/>
    <w:rsid w:val="00761F65"/>
    <w:rsid w:val="007637AC"/>
    <w:rsid w:val="00763B77"/>
    <w:rsid w:val="00764C0B"/>
    <w:rsid w:val="0076548F"/>
    <w:rsid w:val="00770CE9"/>
    <w:rsid w:val="007802B2"/>
    <w:rsid w:val="007868E3"/>
    <w:rsid w:val="00786EFD"/>
    <w:rsid w:val="00787C17"/>
    <w:rsid w:val="007919E4"/>
    <w:rsid w:val="0079559E"/>
    <w:rsid w:val="00795FC0"/>
    <w:rsid w:val="0079730D"/>
    <w:rsid w:val="00797BD5"/>
    <w:rsid w:val="007A1526"/>
    <w:rsid w:val="007A1F3D"/>
    <w:rsid w:val="007A54F3"/>
    <w:rsid w:val="007A6026"/>
    <w:rsid w:val="007A794A"/>
    <w:rsid w:val="007B2110"/>
    <w:rsid w:val="007B59A0"/>
    <w:rsid w:val="007B6226"/>
    <w:rsid w:val="007C05B5"/>
    <w:rsid w:val="007C097B"/>
    <w:rsid w:val="007C1E5B"/>
    <w:rsid w:val="007C3E5F"/>
    <w:rsid w:val="007C3F13"/>
    <w:rsid w:val="007D0036"/>
    <w:rsid w:val="007D0665"/>
    <w:rsid w:val="007D43ED"/>
    <w:rsid w:val="007D540B"/>
    <w:rsid w:val="007E34E7"/>
    <w:rsid w:val="007E78CA"/>
    <w:rsid w:val="007F0FDE"/>
    <w:rsid w:val="007F4DF6"/>
    <w:rsid w:val="007F72F7"/>
    <w:rsid w:val="007F7FCC"/>
    <w:rsid w:val="008028CB"/>
    <w:rsid w:val="00802B13"/>
    <w:rsid w:val="00810283"/>
    <w:rsid w:val="00810D9E"/>
    <w:rsid w:val="00813662"/>
    <w:rsid w:val="00815962"/>
    <w:rsid w:val="00820ED3"/>
    <w:rsid w:val="00822B0C"/>
    <w:rsid w:val="00823EF1"/>
    <w:rsid w:val="00824A1E"/>
    <w:rsid w:val="0082659E"/>
    <w:rsid w:val="0082762C"/>
    <w:rsid w:val="00827C5C"/>
    <w:rsid w:val="00831CF3"/>
    <w:rsid w:val="00836BC8"/>
    <w:rsid w:val="0083766D"/>
    <w:rsid w:val="00842DBE"/>
    <w:rsid w:val="00843563"/>
    <w:rsid w:val="00843C26"/>
    <w:rsid w:val="00850189"/>
    <w:rsid w:val="00850809"/>
    <w:rsid w:val="0085482A"/>
    <w:rsid w:val="0086482F"/>
    <w:rsid w:val="00870234"/>
    <w:rsid w:val="008702CD"/>
    <w:rsid w:val="0087111E"/>
    <w:rsid w:val="008712E1"/>
    <w:rsid w:val="0087183F"/>
    <w:rsid w:val="00872C35"/>
    <w:rsid w:val="00872E93"/>
    <w:rsid w:val="00872F81"/>
    <w:rsid w:val="00873477"/>
    <w:rsid w:val="008752E4"/>
    <w:rsid w:val="00881C87"/>
    <w:rsid w:val="00884A10"/>
    <w:rsid w:val="0089567E"/>
    <w:rsid w:val="008962F8"/>
    <w:rsid w:val="008A02BE"/>
    <w:rsid w:val="008B1148"/>
    <w:rsid w:val="008B2181"/>
    <w:rsid w:val="008B665D"/>
    <w:rsid w:val="008B7C5C"/>
    <w:rsid w:val="008C5E90"/>
    <w:rsid w:val="008E12EB"/>
    <w:rsid w:val="008E1E41"/>
    <w:rsid w:val="008E24F0"/>
    <w:rsid w:val="008E26F6"/>
    <w:rsid w:val="008E3273"/>
    <w:rsid w:val="008F107F"/>
    <w:rsid w:val="008F1642"/>
    <w:rsid w:val="008F2D44"/>
    <w:rsid w:val="0090151F"/>
    <w:rsid w:val="0090215A"/>
    <w:rsid w:val="0090219F"/>
    <w:rsid w:val="00902360"/>
    <w:rsid w:val="009106A1"/>
    <w:rsid w:val="00911185"/>
    <w:rsid w:val="00911A50"/>
    <w:rsid w:val="009134CE"/>
    <w:rsid w:val="009155D8"/>
    <w:rsid w:val="0091752B"/>
    <w:rsid w:val="00921905"/>
    <w:rsid w:val="00924589"/>
    <w:rsid w:val="00925171"/>
    <w:rsid w:val="00945310"/>
    <w:rsid w:val="0094676A"/>
    <w:rsid w:val="009505B0"/>
    <w:rsid w:val="00953850"/>
    <w:rsid w:val="00953891"/>
    <w:rsid w:val="00955E21"/>
    <w:rsid w:val="00960171"/>
    <w:rsid w:val="0096062E"/>
    <w:rsid w:val="0096264B"/>
    <w:rsid w:val="009626FB"/>
    <w:rsid w:val="00963D72"/>
    <w:rsid w:val="00964241"/>
    <w:rsid w:val="009670BD"/>
    <w:rsid w:val="00967350"/>
    <w:rsid w:val="009675EA"/>
    <w:rsid w:val="009752AE"/>
    <w:rsid w:val="009772ED"/>
    <w:rsid w:val="00977465"/>
    <w:rsid w:val="00977637"/>
    <w:rsid w:val="009838F9"/>
    <w:rsid w:val="009839BE"/>
    <w:rsid w:val="00991C46"/>
    <w:rsid w:val="00994A56"/>
    <w:rsid w:val="00994CB6"/>
    <w:rsid w:val="009965DA"/>
    <w:rsid w:val="009972AB"/>
    <w:rsid w:val="009977A1"/>
    <w:rsid w:val="009A05C3"/>
    <w:rsid w:val="009A1052"/>
    <w:rsid w:val="009A328E"/>
    <w:rsid w:val="009A42AB"/>
    <w:rsid w:val="009A48CA"/>
    <w:rsid w:val="009B15B0"/>
    <w:rsid w:val="009B3B97"/>
    <w:rsid w:val="009C088C"/>
    <w:rsid w:val="009C09B1"/>
    <w:rsid w:val="009C5C4A"/>
    <w:rsid w:val="009C6314"/>
    <w:rsid w:val="009D0ECA"/>
    <w:rsid w:val="009D4E99"/>
    <w:rsid w:val="009D7668"/>
    <w:rsid w:val="009E1137"/>
    <w:rsid w:val="009E4D63"/>
    <w:rsid w:val="009F2977"/>
    <w:rsid w:val="009F40F6"/>
    <w:rsid w:val="00A0211B"/>
    <w:rsid w:val="00A048FB"/>
    <w:rsid w:val="00A10048"/>
    <w:rsid w:val="00A21704"/>
    <w:rsid w:val="00A21923"/>
    <w:rsid w:val="00A24290"/>
    <w:rsid w:val="00A25F2B"/>
    <w:rsid w:val="00A26F15"/>
    <w:rsid w:val="00A26F8F"/>
    <w:rsid w:val="00A2769A"/>
    <w:rsid w:val="00A31B53"/>
    <w:rsid w:val="00A33872"/>
    <w:rsid w:val="00A34217"/>
    <w:rsid w:val="00A34799"/>
    <w:rsid w:val="00A35B0B"/>
    <w:rsid w:val="00A3793E"/>
    <w:rsid w:val="00A445CA"/>
    <w:rsid w:val="00A50136"/>
    <w:rsid w:val="00A5136A"/>
    <w:rsid w:val="00A53892"/>
    <w:rsid w:val="00A5572B"/>
    <w:rsid w:val="00A55858"/>
    <w:rsid w:val="00A5650A"/>
    <w:rsid w:val="00A61474"/>
    <w:rsid w:val="00A641AF"/>
    <w:rsid w:val="00A6527B"/>
    <w:rsid w:val="00A7119D"/>
    <w:rsid w:val="00A75AFF"/>
    <w:rsid w:val="00A764D8"/>
    <w:rsid w:val="00A92DBA"/>
    <w:rsid w:val="00A9314D"/>
    <w:rsid w:val="00A94FEB"/>
    <w:rsid w:val="00AA1167"/>
    <w:rsid w:val="00AA4174"/>
    <w:rsid w:val="00AA6BC8"/>
    <w:rsid w:val="00AB01A7"/>
    <w:rsid w:val="00AB2E8A"/>
    <w:rsid w:val="00AC17B9"/>
    <w:rsid w:val="00AC3463"/>
    <w:rsid w:val="00AD0C32"/>
    <w:rsid w:val="00AD3D31"/>
    <w:rsid w:val="00AD51E1"/>
    <w:rsid w:val="00AE03F5"/>
    <w:rsid w:val="00AE0D41"/>
    <w:rsid w:val="00AF4BEA"/>
    <w:rsid w:val="00AF5BF0"/>
    <w:rsid w:val="00B0076E"/>
    <w:rsid w:val="00B01055"/>
    <w:rsid w:val="00B06AF2"/>
    <w:rsid w:val="00B07CEA"/>
    <w:rsid w:val="00B10513"/>
    <w:rsid w:val="00B12ED7"/>
    <w:rsid w:val="00B14CDA"/>
    <w:rsid w:val="00B17FD2"/>
    <w:rsid w:val="00B20726"/>
    <w:rsid w:val="00B22729"/>
    <w:rsid w:val="00B23A9B"/>
    <w:rsid w:val="00B24A66"/>
    <w:rsid w:val="00B25B3B"/>
    <w:rsid w:val="00B35A86"/>
    <w:rsid w:val="00B41EE5"/>
    <w:rsid w:val="00B5014D"/>
    <w:rsid w:val="00B50ACF"/>
    <w:rsid w:val="00B524A0"/>
    <w:rsid w:val="00B52C6B"/>
    <w:rsid w:val="00B536FB"/>
    <w:rsid w:val="00B53FD3"/>
    <w:rsid w:val="00B5560A"/>
    <w:rsid w:val="00B60C4D"/>
    <w:rsid w:val="00B677F0"/>
    <w:rsid w:val="00B70C03"/>
    <w:rsid w:val="00B7120A"/>
    <w:rsid w:val="00B715B0"/>
    <w:rsid w:val="00B756A2"/>
    <w:rsid w:val="00B80865"/>
    <w:rsid w:val="00B80D68"/>
    <w:rsid w:val="00B83F84"/>
    <w:rsid w:val="00B8529F"/>
    <w:rsid w:val="00B856E2"/>
    <w:rsid w:val="00B871EE"/>
    <w:rsid w:val="00BA0D01"/>
    <w:rsid w:val="00BA360A"/>
    <w:rsid w:val="00BA3B05"/>
    <w:rsid w:val="00BA4134"/>
    <w:rsid w:val="00BA413B"/>
    <w:rsid w:val="00BA4DA3"/>
    <w:rsid w:val="00BA67BB"/>
    <w:rsid w:val="00BA6B74"/>
    <w:rsid w:val="00BB0A3B"/>
    <w:rsid w:val="00BB4D6A"/>
    <w:rsid w:val="00BB4F9A"/>
    <w:rsid w:val="00BB55B2"/>
    <w:rsid w:val="00BC16D4"/>
    <w:rsid w:val="00BC1B2B"/>
    <w:rsid w:val="00BC3E8E"/>
    <w:rsid w:val="00BC60F2"/>
    <w:rsid w:val="00BD16B7"/>
    <w:rsid w:val="00BD3A56"/>
    <w:rsid w:val="00BD3FF1"/>
    <w:rsid w:val="00BD5ED6"/>
    <w:rsid w:val="00BD7B33"/>
    <w:rsid w:val="00BE04CF"/>
    <w:rsid w:val="00BE39DC"/>
    <w:rsid w:val="00BE3C83"/>
    <w:rsid w:val="00BE3FD6"/>
    <w:rsid w:val="00BE43FE"/>
    <w:rsid w:val="00BE5DBB"/>
    <w:rsid w:val="00BE5FC4"/>
    <w:rsid w:val="00BE764D"/>
    <w:rsid w:val="00BF10EA"/>
    <w:rsid w:val="00C057AB"/>
    <w:rsid w:val="00C05F67"/>
    <w:rsid w:val="00C11F33"/>
    <w:rsid w:val="00C125EF"/>
    <w:rsid w:val="00C126E8"/>
    <w:rsid w:val="00C1567E"/>
    <w:rsid w:val="00C20D6E"/>
    <w:rsid w:val="00C2117F"/>
    <w:rsid w:val="00C24A37"/>
    <w:rsid w:val="00C25C19"/>
    <w:rsid w:val="00C26104"/>
    <w:rsid w:val="00C268FB"/>
    <w:rsid w:val="00C26A5D"/>
    <w:rsid w:val="00C26BD0"/>
    <w:rsid w:val="00C30455"/>
    <w:rsid w:val="00C3159D"/>
    <w:rsid w:val="00C33309"/>
    <w:rsid w:val="00C34472"/>
    <w:rsid w:val="00C37AF8"/>
    <w:rsid w:val="00C40CD5"/>
    <w:rsid w:val="00C427B0"/>
    <w:rsid w:val="00C43A26"/>
    <w:rsid w:val="00C43B24"/>
    <w:rsid w:val="00C50164"/>
    <w:rsid w:val="00C502FC"/>
    <w:rsid w:val="00C56E4F"/>
    <w:rsid w:val="00C57929"/>
    <w:rsid w:val="00C60AA5"/>
    <w:rsid w:val="00C6533E"/>
    <w:rsid w:val="00C66B4B"/>
    <w:rsid w:val="00C676CC"/>
    <w:rsid w:val="00C727E7"/>
    <w:rsid w:val="00C74B89"/>
    <w:rsid w:val="00C761C1"/>
    <w:rsid w:val="00C80ACF"/>
    <w:rsid w:val="00C8252E"/>
    <w:rsid w:val="00C82985"/>
    <w:rsid w:val="00C92D8C"/>
    <w:rsid w:val="00C963C4"/>
    <w:rsid w:val="00C97C89"/>
    <w:rsid w:val="00CA2870"/>
    <w:rsid w:val="00CA38BF"/>
    <w:rsid w:val="00CA4D96"/>
    <w:rsid w:val="00CA5C50"/>
    <w:rsid w:val="00CA7727"/>
    <w:rsid w:val="00CB0A53"/>
    <w:rsid w:val="00CB1B19"/>
    <w:rsid w:val="00CB3A83"/>
    <w:rsid w:val="00CC110F"/>
    <w:rsid w:val="00CC213E"/>
    <w:rsid w:val="00CC3BBC"/>
    <w:rsid w:val="00CC448C"/>
    <w:rsid w:val="00CC7C15"/>
    <w:rsid w:val="00CD54C1"/>
    <w:rsid w:val="00CE13D7"/>
    <w:rsid w:val="00CE1E67"/>
    <w:rsid w:val="00CE34AC"/>
    <w:rsid w:val="00CE5E88"/>
    <w:rsid w:val="00CF70A6"/>
    <w:rsid w:val="00D00DA4"/>
    <w:rsid w:val="00D041F6"/>
    <w:rsid w:val="00D06FDD"/>
    <w:rsid w:val="00D15CEF"/>
    <w:rsid w:val="00D16B5A"/>
    <w:rsid w:val="00D2116C"/>
    <w:rsid w:val="00D31278"/>
    <w:rsid w:val="00D31A57"/>
    <w:rsid w:val="00D31F50"/>
    <w:rsid w:val="00D3204F"/>
    <w:rsid w:val="00D36392"/>
    <w:rsid w:val="00D422EA"/>
    <w:rsid w:val="00D47EE1"/>
    <w:rsid w:val="00D532D4"/>
    <w:rsid w:val="00D53D8C"/>
    <w:rsid w:val="00D543B5"/>
    <w:rsid w:val="00D60F19"/>
    <w:rsid w:val="00D63E38"/>
    <w:rsid w:val="00D6480C"/>
    <w:rsid w:val="00D678E5"/>
    <w:rsid w:val="00D67FB1"/>
    <w:rsid w:val="00D72AC0"/>
    <w:rsid w:val="00D75AA4"/>
    <w:rsid w:val="00D77F91"/>
    <w:rsid w:val="00D828F1"/>
    <w:rsid w:val="00D85BAB"/>
    <w:rsid w:val="00D93FB7"/>
    <w:rsid w:val="00D9452F"/>
    <w:rsid w:val="00D9581E"/>
    <w:rsid w:val="00DA2901"/>
    <w:rsid w:val="00DA38F3"/>
    <w:rsid w:val="00DA4C64"/>
    <w:rsid w:val="00DA730B"/>
    <w:rsid w:val="00DB2899"/>
    <w:rsid w:val="00DB4689"/>
    <w:rsid w:val="00DB7027"/>
    <w:rsid w:val="00DC1837"/>
    <w:rsid w:val="00DC274C"/>
    <w:rsid w:val="00DC4CF0"/>
    <w:rsid w:val="00DC5D7D"/>
    <w:rsid w:val="00DC71AC"/>
    <w:rsid w:val="00DD2D4B"/>
    <w:rsid w:val="00DE47D6"/>
    <w:rsid w:val="00DE67A2"/>
    <w:rsid w:val="00DF1A97"/>
    <w:rsid w:val="00DF2703"/>
    <w:rsid w:val="00DF2E2D"/>
    <w:rsid w:val="00DF5D96"/>
    <w:rsid w:val="00DF629F"/>
    <w:rsid w:val="00DF6811"/>
    <w:rsid w:val="00E00FE6"/>
    <w:rsid w:val="00E032D0"/>
    <w:rsid w:val="00E03E3A"/>
    <w:rsid w:val="00E044D1"/>
    <w:rsid w:val="00E045E0"/>
    <w:rsid w:val="00E04BCE"/>
    <w:rsid w:val="00E04CC9"/>
    <w:rsid w:val="00E06DE5"/>
    <w:rsid w:val="00E0729C"/>
    <w:rsid w:val="00E129BA"/>
    <w:rsid w:val="00E134B9"/>
    <w:rsid w:val="00E1460C"/>
    <w:rsid w:val="00E14F7D"/>
    <w:rsid w:val="00E15C4D"/>
    <w:rsid w:val="00E161D1"/>
    <w:rsid w:val="00E20295"/>
    <w:rsid w:val="00E20FCD"/>
    <w:rsid w:val="00E21C0F"/>
    <w:rsid w:val="00E22D56"/>
    <w:rsid w:val="00E236B4"/>
    <w:rsid w:val="00E31199"/>
    <w:rsid w:val="00E3472F"/>
    <w:rsid w:val="00E3550A"/>
    <w:rsid w:val="00E36385"/>
    <w:rsid w:val="00E372E4"/>
    <w:rsid w:val="00E409E4"/>
    <w:rsid w:val="00E417FD"/>
    <w:rsid w:val="00E458AF"/>
    <w:rsid w:val="00E51DF0"/>
    <w:rsid w:val="00E565CF"/>
    <w:rsid w:val="00E61890"/>
    <w:rsid w:val="00E658DB"/>
    <w:rsid w:val="00E6745B"/>
    <w:rsid w:val="00E711A4"/>
    <w:rsid w:val="00E71C86"/>
    <w:rsid w:val="00E740D6"/>
    <w:rsid w:val="00E77706"/>
    <w:rsid w:val="00E816E0"/>
    <w:rsid w:val="00E86E94"/>
    <w:rsid w:val="00E9253D"/>
    <w:rsid w:val="00E95FB5"/>
    <w:rsid w:val="00E96731"/>
    <w:rsid w:val="00EA07AC"/>
    <w:rsid w:val="00EA57F5"/>
    <w:rsid w:val="00EA6F3B"/>
    <w:rsid w:val="00EB3025"/>
    <w:rsid w:val="00EB45D1"/>
    <w:rsid w:val="00EB55B5"/>
    <w:rsid w:val="00EB6837"/>
    <w:rsid w:val="00EB736B"/>
    <w:rsid w:val="00EC02ED"/>
    <w:rsid w:val="00EC55F4"/>
    <w:rsid w:val="00EC69B7"/>
    <w:rsid w:val="00ED5956"/>
    <w:rsid w:val="00ED5CDB"/>
    <w:rsid w:val="00ED735F"/>
    <w:rsid w:val="00EE0064"/>
    <w:rsid w:val="00EE2676"/>
    <w:rsid w:val="00EE2E78"/>
    <w:rsid w:val="00EE3EB9"/>
    <w:rsid w:val="00EE44B8"/>
    <w:rsid w:val="00EE5A2A"/>
    <w:rsid w:val="00EF46B1"/>
    <w:rsid w:val="00EF7E74"/>
    <w:rsid w:val="00F00C5B"/>
    <w:rsid w:val="00F05EB1"/>
    <w:rsid w:val="00F112F1"/>
    <w:rsid w:val="00F1201F"/>
    <w:rsid w:val="00F14564"/>
    <w:rsid w:val="00F160F0"/>
    <w:rsid w:val="00F215A3"/>
    <w:rsid w:val="00F22023"/>
    <w:rsid w:val="00F249CD"/>
    <w:rsid w:val="00F25B0D"/>
    <w:rsid w:val="00F26D88"/>
    <w:rsid w:val="00F273B2"/>
    <w:rsid w:val="00F27F0A"/>
    <w:rsid w:val="00F304AE"/>
    <w:rsid w:val="00F3150A"/>
    <w:rsid w:val="00F3218F"/>
    <w:rsid w:val="00F34BED"/>
    <w:rsid w:val="00F34E2F"/>
    <w:rsid w:val="00F4098F"/>
    <w:rsid w:val="00F44582"/>
    <w:rsid w:val="00F4481F"/>
    <w:rsid w:val="00F47721"/>
    <w:rsid w:val="00F52A3A"/>
    <w:rsid w:val="00F55793"/>
    <w:rsid w:val="00F56413"/>
    <w:rsid w:val="00F615CB"/>
    <w:rsid w:val="00F62568"/>
    <w:rsid w:val="00F62F95"/>
    <w:rsid w:val="00F67032"/>
    <w:rsid w:val="00F67D3D"/>
    <w:rsid w:val="00F70239"/>
    <w:rsid w:val="00F70FF1"/>
    <w:rsid w:val="00F71AA5"/>
    <w:rsid w:val="00F7588A"/>
    <w:rsid w:val="00F80D13"/>
    <w:rsid w:val="00F83E21"/>
    <w:rsid w:val="00F91E56"/>
    <w:rsid w:val="00F91F86"/>
    <w:rsid w:val="00F92E23"/>
    <w:rsid w:val="00F96AB7"/>
    <w:rsid w:val="00F973B4"/>
    <w:rsid w:val="00F978E8"/>
    <w:rsid w:val="00FB0364"/>
    <w:rsid w:val="00FB3B9C"/>
    <w:rsid w:val="00FB5FAB"/>
    <w:rsid w:val="00FC2ECF"/>
    <w:rsid w:val="00FD31FD"/>
    <w:rsid w:val="00FD3B18"/>
    <w:rsid w:val="00FD653C"/>
    <w:rsid w:val="00FE022B"/>
    <w:rsid w:val="00FE0F77"/>
    <w:rsid w:val="00FE18E3"/>
    <w:rsid w:val="00FF7E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234755C"/>
  <w15:docId w15:val="{F09D799A-CA71-4381-ACD6-BD1A9FA23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B0D"/>
    <w:rPr>
      <w:sz w:val="24"/>
      <w:szCs w:val="24"/>
    </w:rPr>
  </w:style>
  <w:style w:type="paragraph" w:styleId="Ttulo1">
    <w:name w:val="heading 1"/>
    <w:basedOn w:val="Normal"/>
    <w:next w:val="Normal"/>
    <w:link w:val="Ttulo1Car"/>
    <w:qFormat/>
    <w:rsid w:val="00A10048"/>
    <w:pPr>
      <w:keepNext/>
      <w:autoSpaceDE w:val="0"/>
      <w:autoSpaceDN w:val="0"/>
      <w:adjustRightInd w:val="0"/>
      <w:outlineLvl w:val="0"/>
    </w:pPr>
    <w:rPr>
      <w:rFonts w:ascii="Cambria" w:hAnsi="Cambria"/>
      <w:b/>
      <w:bCs/>
      <w:kern w:val="32"/>
      <w:sz w:val="32"/>
      <w:szCs w:val="32"/>
    </w:rPr>
  </w:style>
  <w:style w:type="paragraph" w:styleId="Ttulo2">
    <w:name w:val="heading 2"/>
    <w:basedOn w:val="Normal"/>
    <w:next w:val="Normal"/>
    <w:link w:val="Ttulo2Car"/>
    <w:qFormat/>
    <w:rsid w:val="00A10048"/>
    <w:pPr>
      <w:keepNext/>
      <w:shd w:val="clear" w:color="auto" w:fill="FFFFFF"/>
      <w:jc w:val="both"/>
      <w:outlineLvl w:val="1"/>
    </w:pPr>
    <w:rPr>
      <w:rFonts w:ascii="Cambria" w:hAnsi="Cambria"/>
      <w:b/>
      <w:bCs/>
      <w:i/>
      <w:iCs/>
      <w:sz w:val="28"/>
      <w:szCs w:val="28"/>
    </w:rPr>
  </w:style>
  <w:style w:type="paragraph" w:styleId="Ttulo3">
    <w:name w:val="heading 3"/>
    <w:basedOn w:val="Normal"/>
    <w:next w:val="Normal"/>
    <w:link w:val="Ttulo3Car"/>
    <w:qFormat/>
    <w:rsid w:val="00A10048"/>
    <w:pPr>
      <w:keepNext/>
      <w:jc w:val="center"/>
      <w:outlineLvl w:val="2"/>
    </w:pPr>
    <w:rPr>
      <w:rFonts w:ascii="Cambria" w:hAnsi="Cambria"/>
      <w:b/>
      <w:bCs/>
      <w:sz w:val="26"/>
      <w:szCs w:val="26"/>
    </w:rPr>
  </w:style>
  <w:style w:type="paragraph" w:styleId="Ttulo4">
    <w:name w:val="heading 4"/>
    <w:basedOn w:val="Normal"/>
    <w:next w:val="Normal"/>
    <w:link w:val="Ttulo4Car"/>
    <w:qFormat/>
    <w:rsid w:val="00A10048"/>
    <w:pPr>
      <w:keepNext/>
      <w:jc w:val="both"/>
      <w:outlineLvl w:val="3"/>
    </w:pPr>
    <w:rPr>
      <w:rFonts w:ascii="Calibri" w:hAnsi="Calibri"/>
      <w:b/>
      <w:bCs/>
      <w:sz w:val="28"/>
      <w:szCs w:val="28"/>
    </w:rPr>
  </w:style>
  <w:style w:type="paragraph" w:styleId="Ttulo5">
    <w:name w:val="heading 5"/>
    <w:basedOn w:val="Normal"/>
    <w:next w:val="Normal"/>
    <w:link w:val="Ttulo5Car"/>
    <w:qFormat/>
    <w:rsid w:val="00A10048"/>
    <w:pPr>
      <w:keepNext/>
      <w:shd w:val="clear" w:color="auto" w:fill="FFCC99"/>
      <w:outlineLvl w:val="4"/>
    </w:pPr>
    <w:rPr>
      <w:rFonts w:ascii="Calibri" w:hAnsi="Calibri"/>
      <w:b/>
      <w:bCs/>
      <w:i/>
      <w:iCs/>
      <w:sz w:val="26"/>
      <w:szCs w:val="26"/>
    </w:rPr>
  </w:style>
  <w:style w:type="paragraph" w:styleId="Ttulo6">
    <w:name w:val="heading 6"/>
    <w:basedOn w:val="Normal"/>
    <w:next w:val="Normal"/>
    <w:link w:val="Ttulo6Car"/>
    <w:qFormat/>
    <w:rsid w:val="00A10048"/>
    <w:pPr>
      <w:keepNext/>
      <w:autoSpaceDE w:val="0"/>
      <w:autoSpaceDN w:val="0"/>
      <w:adjustRightInd w:val="0"/>
      <w:outlineLvl w:val="5"/>
    </w:pPr>
    <w:rPr>
      <w:rFonts w:ascii="Calibri" w:hAnsi="Calibri"/>
      <w:b/>
      <w:bCs/>
      <w:sz w:val="22"/>
      <w:szCs w:val="22"/>
    </w:rPr>
  </w:style>
  <w:style w:type="paragraph" w:styleId="Ttulo7">
    <w:name w:val="heading 7"/>
    <w:basedOn w:val="Normal"/>
    <w:next w:val="Normal"/>
    <w:link w:val="Ttulo7Car"/>
    <w:qFormat/>
    <w:rsid w:val="00A10048"/>
    <w:pPr>
      <w:keepNext/>
      <w:tabs>
        <w:tab w:val="left" w:pos="1673"/>
      </w:tabs>
      <w:jc w:val="center"/>
      <w:outlineLvl w:val="6"/>
    </w:pPr>
    <w:rPr>
      <w:rFonts w:ascii="Calibri" w:hAnsi="Calibri"/>
    </w:rPr>
  </w:style>
  <w:style w:type="paragraph" w:styleId="Ttulo8">
    <w:name w:val="heading 8"/>
    <w:basedOn w:val="Normal"/>
    <w:next w:val="Normal"/>
    <w:link w:val="Ttulo8Car"/>
    <w:qFormat/>
    <w:rsid w:val="00A10048"/>
    <w:pPr>
      <w:keepNext/>
      <w:jc w:val="both"/>
      <w:outlineLvl w:val="7"/>
    </w:pPr>
    <w:rPr>
      <w:rFonts w:ascii="Calibri" w:hAnsi="Calibri"/>
      <w:i/>
      <w:iCs/>
    </w:rPr>
  </w:style>
  <w:style w:type="paragraph" w:styleId="Ttulo9">
    <w:name w:val="heading 9"/>
    <w:basedOn w:val="Normal"/>
    <w:next w:val="Normal"/>
    <w:link w:val="Ttulo9Car"/>
    <w:qFormat/>
    <w:rsid w:val="00A10048"/>
    <w:pPr>
      <w:keepNext/>
      <w:jc w:val="both"/>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2951CE"/>
    <w:rPr>
      <w:rFonts w:ascii="Cambria" w:hAnsi="Cambria" w:cs="Times New Roman"/>
      <w:b/>
      <w:bCs/>
      <w:kern w:val="32"/>
      <w:sz w:val="32"/>
      <w:szCs w:val="32"/>
    </w:rPr>
  </w:style>
  <w:style w:type="character" w:customStyle="1" w:styleId="Ttulo2Car">
    <w:name w:val="Título 2 Car"/>
    <w:link w:val="Ttulo2"/>
    <w:semiHidden/>
    <w:locked/>
    <w:rsid w:val="002951CE"/>
    <w:rPr>
      <w:rFonts w:ascii="Cambria" w:hAnsi="Cambria" w:cs="Times New Roman"/>
      <w:b/>
      <w:bCs/>
      <w:i/>
      <w:iCs/>
      <w:sz w:val="28"/>
      <w:szCs w:val="28"/>
    </w:rPr>
  </w:style>
  <w:style w:type="character" w:customStyle="1" w:styleId="Ttulo3Car">
    <w:name w:val="Título 3 Car"/>
    <w:link w:val="Ttulo3"/>
    <w:semiHidden/>
    <w:locked/>
    <w:rsid w:val="002951CE"/>
    <w:rPr>
      <w:rFonts w:ascii="Cambria" w:hAnsi="Cambria" w:cs="Times New Roman"/>
      <w:b/>
      <w:bCs/>
      <w:sz w:val="26"/>
      <w:szCs w:val="26"/>
    </w:rPr>
  </w:style>
  <w:style w:type="character" w:customStyle="1" w:styleId="Ttulo4Car">
    <w:name w:val="Título 4 Car"/>
    <w:link w:val="Ttulo4"/>
    <w:semiHidden/>
    <w:locked/>
    <w:rsid w:val="002951CE"/>
    <w:rPr>
      <w:rFonts w:ascii="Calibri" w:hAnsi="Calibri" w:cs="Times New Roman"/>
      <w:b/>
      <w:bCs/>
      <w:sz w:val="28"/>
      <w:szCs w:val="28"/>
    </w:rPr>
  </w:style>
  <w:style w:type="character" w:customStyle="1" w:styleId="Ttulo5Car">
    <w:name w:val="Título 5 Car"/>
    <w:link w:val="Ttulo5"/>
    <w:semiHidden/>
    <w:locked/>
    <w:rsid w:val="002951CE"/>
    <w:rPr>
      <w:rFonts w:ascii="Calibri" w:hAnsi="Calibri" w:cs="Times New Roman"/>
      <w:b/>
      <w:bCs/>
      <w:i/>
      <w:iCs/>
      <w:sz w:val="26"/>
      <w:szCs w:val="26"/>
    </w:rPr>
  </w:style>
  <w:style w:type="character" w:customStyle="1" w:styleId="Ttulo6Car">
    <w:name w:val="Título 6 Car"/>
    <w:link w:val="Ttulo6"/>
    <w:semiHidden/>
    <w:locked/>
    <w:rsid w:val="002951CE"/>
    <w:rPr>
      <w:rFonts w:ascii="Calibri" w:hAnsi="Calibri" w:cs="Times New Roman"/>
      <w:b/>
      <w:bCs/>
      <w:sz w:val="22"/>
      <w:szCs w:val="22"/>
    </w:rPr>
  </w:style>
  <w:style w:type="character" w:customStyle="1" w:styleId="Ttulo7Car">
    <w:name w:val="Título 7 Car"/>
    <w:link w:val="Ttulo7"/>
    <w:semiHidden/>
    <w:locked/>
    <w:rsid w:val="002951CE"/>
    <w:rPr>
      <w:rFonts w:ascii="Calibri" w:hAnsi="Calibri" w:cs="Times New Roman"/>
      <w:sz w:val="24"/>
      <w:szCs w:val="24"/>
    </w:rPr>
  </w:style>
  <w:style w:type="character" w:customStyle="1" w:styleId="Ttulo8Car">
    <w:name w:val="Título 8 Car"/>
    <w:link w:val="Ttulo8"/>
    <w:semiHidden/>
    <w:locked/>
    <w:rsid w:val="002951CE"/>
    <w:rPr>
      <w:rFonts w:ascii="Calibri" w:hAnsi="Calibri" w:cs="Times New Roman"/>
      <w:i/>
      <w:iCs/>
      <w:sz w:val="24"/>
      <w:szCs w:val="24"/>
    </w:rPr>
  </w:style>
  <w:style w:type="character" w:customStyle="1" w:styleId="Ttulo9Car">
    <w:name w:val="Título 9 Car"/>
    <w:link w:val="Ttulo9"/>
    <w:semiHidden/>
    <w:locked/>
    <w:rsid w:val="002951CE"/>
    <w:rPr>
      <w:rFonts w:ascii="Cambria" w:hAnsi="Cambria" w:cs="Times New Roman"/>
      <w:sz w:val="22"/>
      <w:szCs w:val="22"/>
    </w:rPr>
  </w:style>
  <w:style w:type="paragraph" w:styleId="Textodeglobo">
    <w:name w:val="Balloon Text"/>
    <w:basedOn w:val="Normal"/>
    <w:link w:val="TextodegloboCar"/>
    <w:autoRedefine/>
    <w:semiHidden/>
    <w:rsid w:val="00F25B0D"/>
    <w:rPr>
      <w:sz w:val="16"/>
      <w:szCs w:val="20"/>
    </w:rPr>
  </w:style>
  <w:style w:type="character" w:customStyle="1" w:styleId="TextodegloboCar">
    <w:name w:val="Texto de globo Car"/>
    <w:link w:val="Textodeglobo"/>
    <w:semiHidden/>
    <w:locked/>
    <w:rsid w:val="00F25B0D"/>
    <w:rPr>
      <w:sz w:val="16"/>
    </w:rPr>
  </w:style>
  <w:style w:type="character" w:styleId="Hipervnculo">
    <w:name w:val="Hyperlink"/>
    <w:uiPriority w:val="99"/>
    <w:rsid w:val="00A10048"/>
    <w:rPr>
      <w:rFonts w:cs="Times New Roman"/>
      <w:color w:val="0000FF"/>
      <w:u w:val="single"/>
    </w:rPr>
  </w:style>
  <w:style w:type="paragraph" w:styleId="Ttulo">
    <w:name w:val="Title"/>
    <w:basedOn w:val="Normal"/>
    <w:link w:val="TtuloCar"/>
    <w:qFormat/>
    <w:rsid w:val="00A10048"/>
    <w:pPr>
      <w:autoSpaceDE w:val="0"/>
      <w:autoSpaceDN w:val="0"/>
      <w:adjustRightInd w:val="0"/>
      <w:jc w:val="center"/>
    </w:pPr>
    <w:rPr>
      <w:rFonts w:ascii="Cambria" w:hAnsi="Cambria"/>
      <w:b/>
      <w:bCs/>
      <w:kern w:val="28"/>
      <w:sz w:val="32"/>
      <w:szCs w:val="32"/>
    </w:rPr>
  </w:style>
  <w:style w:type="character" w:customStyle="1" w:styleId="TtuloCar">
    <w:name w:val="Título Car"/>
    <w:link w:val="Ttulo"/>
    <w:locked/>
    <w:rsid w:val="002951CE"/>
    <w:rPr>
      <w:rFonts w:ascii="Cambria" w:hAnsi="Cambria" w:cs="Times New Roman"/>
      <w:b/>
      <w:bCs/>
      <w:kern w:val="28"/>
      <w:sz w:val="32"/>
      <w:szCs w:val="32"/>
    </w:rPr>
  </w:style>
  <w:style w:type="paragraph" w:styleId="Sangradetextonormal">
    <w:name w:val="Body Text Indent"/>
    <w:basedOn w:val="Normal"/>
    <w:link w:val="SangradetextonormalCar"/>
    <w:semiHidden/>
    <w:rsid w:val="00A10048"/>
    <w:pPr>
      <w:shd w:val="clear" w:color="auto" w:fill="FFFFFF"/>
      <w:ind w:left="708"/>
      <w:jc w:val="both"/>
    </w:pPr>
  </w:style>
  <w:style w:type="character" w:customStyle="1" w:styleId="SangradetextonormalCar">
    <w:name w:val="Sangría de texto normal Car"/>
    <w:link w:val="Sangradetextonormal"/>
    <w:semiHidden/>
    <w:locked/>
    <w:rsid w:val="002951CE"/>
    <w:rPr>
      <w:rFonts w:cs="Times New Roman"/>
      <w:sz w:val="24"/>
      <w:szCs w:val="24"/>
    </w:rPr>
  </w:style>
  <w:style w:type="paragraph" w:styleId="Textoindependiente">
    <w:name w:val="Body Text"/>
    <w:basedOn w:val="Normal"/>
    <w:link w:val="TextoindependienteCar"/>
    <w:semiHidden/>
    <w:rsid w:val="00A10048"/>
  </w:style>
  <w:style w:type="character" w:customStyle="1" w:styleId="TextoindependienteCar">
    <w:name w:val="Texto independiente Car"/>
    <w:link w:val="Textoindependiente"/>
    <w:semiHidden/>
    <w:locked/>
    <w:rsid w:val="002951CE"/>
    <w:rPr>
      <w:rFonts w:cs="Times New Roman"/>
      <w:sz w:val="24"/>
      <w:szCs w:val="24"/>
    </w:rPr>
  </w:style>
  <w:style w:type="paragraph" w:styleId="Encabezado">
    <w:name w:val="header"/>
    <w:basedOn w:val="Normal"/>
    <w:link w:val="EncabezadoCar"/>
    <w:rsid w:val="00A10048"/>
    <w:pPr>
      <w:tabs>
        <w:tab w:val="center" w:pos="4252"/>
        <w:tab w:val="right" w:pos="8504"/>
      </w:tabs>
    </w:pPr>
  </w:style>
  <w:style w:type="character" w:customStyle="1" w:styleId="EncabezadoCar">
    <w:name w:val="Encabezado Car"/>
    <w:link w:val="Encabezado"/>
    <w:semiHidden/>
    <w:locked/>
    <w:rsid w:val="002951CE"/>
    <w:rPr>
      <w:rFonts w:cs="Times New Roman"/>
      <w:sz w:val="24"/>
      <w:szCs w:val="24"/>
    </w:rPr>
  </w:style>
  <w:style w:type="paragraph" w:styleId="Piedepgina">
    <w:name w:val="footer"/>
    <w:basedOn w:val="Normal"/>
    <w:link w:val="PiedepginaCar"/>
    <w:semiHidden/>
    <w:rsid w:val="00A10048"/>
    <w:pPr>
      <w:tabs>
        <w:tab w:val="center" w:pos="4252"/>
        <w:tab w:val="right" w:pos="8504"/>
      </w:tabs>
    </w:pPr>
  </w:style>
  <w:style w:type="character" w:customStyle="1" w:styleId="PiedepginaCar">
    <w:name w:val="Pie de página Car"/>
    <w:link w:val="Piedepgina"/>
    <w:semiHidden/>
    <w:locked/>
    <w:rsid w:val="002951CE"/>
    <w:rPr>
      <w:rFonts w:cs="Times New Roman"/>
      <w:sz w:val="24"/>
      <w:szCs w:val="24"/>
    </w:rPr>
  </w:style>
  <w:style w:type="character" w:styleId="Nmerodepgina">
    <w:name w:val="page number"/>
    <w:semiHidden/>
    <w:rsid w:val="00A10048"/>
    <w:rPr>
      <w:rFonts w:cs="Times New Roman"/>
    </w:rPr>
  </w:style>
  <w:style w:type="paragraph" w:styleId="Textoindependiente2">
    <w:name w:val="Body Text 2"/>
    <w:basedOn w:val="Normal"/>
    <w:link w:val="Textoindependiente2Car"/>
    <w:semiHidden/>
    <w:rsid w:val="00A10048"/>
    <w:pPr>
      <w:autoSpaceDE w:val="0"/>
      <w:autoSpaceDN w:val="0"/>
      <w:adjustRightInd w:val="0"/>
      <w:jc w:val="center"/>
    </w:pPr>
  </w:style>
  <w:style w:type="character" w:customStyle="1" w:styleId="Textoindependiente2Car">
    <w:name w:val="Texto independiente 2 Car"/>
    <w:link w:val="Textoindependiente2"/>
    <w:semiHidden/>
    <w:locked/>
    <w:rsid w:val="002951CE"/>
    <w:rPr>
      <w:rFonts w:cs="Times New Roman"/>
      <w:sz w:val="24"/>
      <w:szCs w:val="24"/>
    </w:rPr>
  </w:style>
  <w:style w:type="paragraph" w:customStyle="1" w:styleId="Authors">
    <w:name w:val="Authors"/>
    <w:basedOn w:val="Normal"/>
    <w:rsid w:val="00A10048"/>
    <w:pPr>
      <w:keepNext/>
      <w:spacing w:before="240"/>
    </w:pPr>
    <w:rPr>
      <w:rFonts w:ascii="Arial" w:hAnsi="Arial"/>
      <w:color w:val="000000"/>
      <w:sz w:val="22"/>
      <w:szCs w:val="20"/>
      <w:lang w:val="en-US" w:eastAsia="en-US"/>
    </w:rPr>
  </w:style>
  <w:style w:type="paragraph" w:customStyle="1" w:styleId="Encabezadobase">
    <w:name w:val="Encabezado base"/>
    <w:basedOn w:val="Normal"/>
    <w:rsid w:val="00A10048"/>
    <w:pPr>
      <w:keepLines/>
      <w:tabs>
        <w:tab w:val="center" w:pos="4320"/>
        <w:tab w:val="right" w:pos="8640"/>
      </w:tabs>
      <w:spacing w:after="240"/>
      <w:ind w:firstLine="709"/>
      <w:jc w:val="both"/>
    </w:pPr>
    <w:rPr>
      <w:rFonts w:ascii="Arial" w:hAnsi="Arial"/>
      <w:spacing w:val="-4"/>
      <w:szCs w:val="20"/>
      <w:lang w:val="es-ES_tradnl"/>
    </w:rPr>
  </w:style>
  <w:style w:type="character" w:styleId="Hipervnculovisitado">
    <w:name w:val="FollowedHyperlink"/>
    <w:semiHidden/>
    <w:rsid w:val="00A10048"/>
    <w:rPr>
      <w:rFonts w:cs="Times New Roman"/>
      <w:color w:val="800080"/>
      <w:u w:val="single"/>
    </w:rPr>
  </w:style>
  <w:style w:type="paragraph" w:styleId="NormalWeb">
    <w:name w:val="Normal (Web)"/>
    <w:basedOn w:val="Normal"/>
    <w:uiPriority w:val="99"/>
    <w:semiHidden/>
    <w:rsid w:val="00A10048"/>
    <w:pPr>
      <w:spacing w:before="100" w:beforeAutospacing="1" w:after="100" w:afterAutospacing="1"/>
    </w:pPr>
  </w:style>
  <w:style w:type="paragraph" w:styleId="Textoindependiente3">
    <w:name w:val="Body Text 3"/>
    <w:basedOn w:val="Normal"/>
    <w:link w:val="Textoindependiente3Car"/>
    <w:semiHidden/>
    <w:rsid w:val="00A10048"/>
    <w:rPr>
      <w:sz w:val="16"/>
      <w:szCs w:val="16"/>
    </w:rPr>
  </w:style>
  <w:style w:type="character" w:customStyle="1" w:styleId="Textoindependiente3Car">
    <w:name w:val="Texto independiente 3 Car"/>
    <w:link w:val="Textoindependiente3"/>
    <w:semiHidden/>
    <w:locked/>
    <w:rsid w:val="002951CE"/>
    <w:rPr>
      <w:rFonts w:cs="Times New Roman"/>
      <w:sz w:val="16"/>
      <w:szCs w:val="16"/>
    </w:rPr>
  </w:style>
  <w:style w:type="character" w:customStyle="1" w:styleId="t101">
    <w:name w:val="t101"/>
    <w:rsid w:val="00A10048"/>
    <w:rPr>
      <w:rFonts w:ascii="Arial" w:hAnsi="Arial" w:cs="Arial"/>
      <w:sz w:val="24"/>
      <w:szCs w:val="24"/>
    </w:rPr>
  </w:style>
  <w:style w:type="character" w:styleId="Textoennegrita">
    <w:name w:val="Strong"/>
    <w:uiPriority w:val="22"/>
    <w:qFormat/>
    <w:rsid w:val="00A10048"/>
    <w:rPr>
      <w:rFonts w:cs="Times New Roman"/>
      <w:b/>
      <w:bCs/>
    </w:rPr>
  </w:style>
  <w:style w:type="character" w:customStyle="1" w:styleId="para1">
    <w:name w:val="para1"/>
    <w:rsid w:val="00A10048"/>
    <w:rPr>
      <w:rFonts w:ascii="Arial" w:hAnsi="Arial" w:cs="Arial"/>
      <w:sz w:val="19"/>
      <w:szCs w:val="19"/>
    </w:rPr>
  </w:style>
  <w:style w:type="paragraph" w:styleId="z-Principiodelformulario">
    <w:name w:val="HTML Top of Form"/>
    <w:basedOn w:val="Normal"/>
    <w:next w:val="Normal"/>
    <w:link w:val="z-PrincipiodelformularioCar"/>
    <w:hidden/>
    <w:rsid w:val="00A10048"/>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semiHidden/>
    <w:locked/>
    <w:rsid w:val="002951CE"/>
    <w:rPr>
      <w:rFonts w:ascii="Arial" w:hAnsi="Arial" w:cs="Arial"/>
      <w:vanish/>
      <w:sz w:val="16"/>
      <w:szCs w:val="16"/>
    </w:rPr>
  </w:style>
  <w:style w:type="paragraph" w:styleId="Sangra3detindependiente">
    <w:name w:val="Body Text Indent 3"/>
    <w:basedOn w:val="Normal"/>
    <w:link w:val="Sangra3detindependienteCar"/>
    <w:semiHidden/>
    <w:rsid w:val="00A10048"/>
    <w:pPr>
      <w:ind w:left="708"/>
      <w:jc w:val="both"/>
    </w:pPr>
    <w:rPr>
      <w:sz w:val="16"/>
      <w:szCs w:val="16"/>
    </w:rPr>
  </w:style>
  <w:style w:type="character" w:customStyle="1" w:styleId="Sangra3detindependienteCar">
    <w:name w:val="Sangría 3 de t. independiente Car"/>
    <w:link w:val="Sangra3detindependiente"/>
    <w:semiHidden/>
    <w:locked/>
    <w:rsid w:val="002951CE"/>
    <w:rPr>
      <w:rFonts w:cs="Times New Roman"/>
      <w:sz w:val="16"/>
      <w:szCs w:val="16"/>
    </w:rPr>
  </w:style>
  <w:style w:type="paragraph" w:styleId="Textosinformato">
    <w:name w:val="Plain Text"/>
    <w:basedOn w:val="Normal"/>
    <w:link w:val="TextosinformatoCar"/>
    <w:semiHidden/>
    <w:rsid w:val="00A10048"/>
    <w:rPr>
      <w:rFonts w:ascii="Courier New" w:hAnsi="Courier New"/>
      <w:sz w:val="20"/>
      <w:szCs w:val="20"/>
    </w:rPr>
  </w:style>
  <w:style w:type="character" w:customStyle="1" w:styleId="TextosinformatoCar">
    <w:name w:val="Texto sin formato Car"/>
    <w:link w:val="Textosinformato"/>
    <w:semiHidden/>
    <w:locked/>
    <w:rsid w:val="002951CE"/>
    <w:rPr>
      <w:rFonts w:ascii="Courier New" w:hAnsi="Courier New" w:cs="Courier New"/>
    </w:rPr>
  </w:style>
  <w:style w:type="paragraph" w:customStyle="1" w:styleId="Textoindependiente31">
    <w:name w:val="Texto independiente 31"/>
    <w:basedOn w:val="Normal"/>
    <w:rsid w:val="00D828F1"/>
    <w:pPr>
      <w:widowControl w:val="0"/>
      <w:suppressAutoHyphens/>
    </w:pPr>
    <w:rPr>
      <w:rFonts w:eastAsia="Andale Sans UI"/>
      <w:color w:val="0000FF"/>
      <w:kern w:val="1"/>
      <w:sz w:val="48"/>
    </w:rPr>
  </w:style>
  <w:style w:type="table" w:styleId="Tablaconcuadrcula">
    <w:name w:val="Table Grid"/>
    <w:basedOn w:val="Tablanormal"/>
    <w:rsid w:val="00F52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3F6473"/>
    <w:rPr>
      <w:rFonts w:ascii="Arial" w:hAnsi="Arial"/>
      <w:snapToGrid w:val="0"/>
      <w:sz w:val="20"/>
      <w:szCs w:val="20"/>
      <w:lang w:val="es-ES_tradnl"/>
    </w:rPr>
  </w:style>
  <w:style w:type="paragraph" w:styleId="Textocomentario">
    <w:name w:val="annotation text"/>
    <w:basedOn w:val="Normal"/>
    <w:semiHidden/>
    <w:rsid w:val="003F6473"/>
    <w:rPr>
      <w:sz w:val="20"/>
      <w:szCs w:val="20"/>
    </w:rPr>
  </w:style>
  <w:style w:type="paragraph" w:customStyle="1" w:styleId="Default">
    <w:name w:val="Default"/>
    <w:rsid w:val="003F6473"/>
    <w:pPr>
      <w:autoSpaceDE w:val="0"/>
      <w:autoSpaceDN w:val="0"/>
      <w:adjustRightInd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rsid w:val="003F6473"/>
    <w:pPr>
      <w:spacing w:line="240" w:lineRule="atLeast"/>
    </w:pPr>
    <w:rPr>
      <w:rFonts w:cs="Times New Roman"/>
      <w:color w:val="auto"/>
    </w:rPr>
  </w:style>
  <w:style w:type="paragraph" w:customStyle="1" w:styleId="Pa50">
    <w:name w:val="Pa50"/>
    <w:basedOn w:val="Default"/>
    <w:next w:val="Default"/>
    <w:rsid w:val="003F6473"/>
    <w:pPr>
      <w:spacing w:line="240" w:lineRule="atLeast"/>
    </w:pPr>
    <w:rPr>
      <w:rFonts w:cs="Times New Roman"/>
      <w:color w:val="auto"/>
    </w:rPr>
  </w:style>
  <w:style w:type="paragraph" w:customStyle="1" w:styleId="Pa51">
    <w:name w:val="Pa51"/>
    <w:basedOn w:val="Default"/>
    <w:next w:val="Default"/>
    <w:rsid w:val="003F6473"/>
    <w:pPr>
      <w:spacing w:line="240" w:lineRule="atLeast"/>
    </w:pPr>
    <w:rPr>
      <w:rFonts w:cs="Times New Roman"/>
      <w:color w:val="auto"/>
    </w:rPr>
  </w:style>
  <w:style w:type="paragraph" w:customStyle="1" w:styleId="Pa53">
    <w:name w:val="Pa53"/>
    <w:basedOn w:val="Default"/>
    <w:next w:val="Default"/>
    <w:rsid w:val="003F6473"/>
    <w:pPr>
      <w:spacing w:line="240" w:lineRule="atLeast"/>
    </w:pPr>
    <w:rPr>
      <w:rFonts w:cs="Times New Roman"/>
      <w:color w:val="auto"/>
    </w:rPr>
  </w:style>
  <w:style w:type="paragraph" w:customStyle="1" w:styleId="Pa14">
    <w:name w:val="Pa14"/>
    <w:basedOn w:val="Default"/>
    <w:next w:val="Default"/>
    <w:rsid w:val="003F6473"/>
    <w:pPr>
      <w:spacing w:line="240" w:lineRule="atLeast"/>
    </w:pPr>
    <w:rPr>
      <w:rFonts w:cs="Times New Roman"/>
      <w:color w:val="auto"/>
    </w:rPr>
  </w:style>
  <w:style w:type="character" w:styleId="nfasis">
    <w:name w:val="Emphasis"/>
    <w:qFormat/>
    <w:rsid w:val="003F6473"/>
    <w:rPr>
      <w:i/>
      <w:iCs/>
    </w:rPr>
  </w:style>
  <w:style w:type="paragraph" w:styleId="Citadestacada">
    <w:name w:val="Intense Quote"/>
    <w:basedOn w:val="Normal"/>
    <w:next w:val="Normal"/>
    <w:link w:val="CitadestacadaCar"/>
    <w:qFormat/>
    <w:rsid w:val="003F6473"/>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rsid w:val="003F6473"/>
    <w:rPr>
      <w:b/>
      <w:bCs/>
      <w:i/>
      <w:iCs/>
      <w:color w:val="4F81BD"/>
      <w:sz w:val="24"/>
      <w:szCs w:val="24"/>
      <w:lang w:val="es-ES" w:eastAsia="es-ES" w:bidi="ar-SA"/>
    </w:rPr>
  </w:style>
  <w:style w:type="character" w:customStyle="1" w:styleId="st1">
    <w:name w:val="st1"/>
    <w:basedOn w:val="Fuentedeprrafopredeter"/>
    <w:rsid w:val="003F6473"/>
  </w:style>
  <w:style w:type="paragraph" w:styleId="HTMLconformatoprevio">
    <w:name w:val="HTML Preformatted"/>
    <w:basedOn w:val="Normal"/>
    <w:semiHidden/>
    <w:unhideWhenUsed/>
    <w:rsid w:val="003F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rsid w:val="00137696"/>
    <w:pPr>
      <w:autoSpaceDE w:val="0"/>
      <w:autoSpaceDN w:val="0"/>
      <w:adjustRightInd w:val="0"/>
      <w:spacing w:line="240" w:lineRule="atLeast"/>
    </w:pPr>
    <w:rPr>
      <w:rFonts w:ascii="NBIQZG+HelveticaNeue-Light" w:hAnsi="NBIQZG+HelveticaNeue-Light"/>
    </w:rPr>
  </w:style>
  <w:style w:type="character" w:customStyle="1" w:styleId="A6">
    <w:name w:val="A6"/>
    <w:uiPriority w:val="99"/>
    <w:rsid w:val="00137696"/>
    <w:rPr>
      <w:rFonts w:cs="NBIQZG+HelveticaNeue-Light"/>
      <w:color w:val="000000"/>
      <w:sz w:val="18"/>
      <w:szCs w:val="18"/>
    </w:rPr>
  </w:style>
  <w:style w:type="paragraph" w:styleId="Sangra2detindependiente">
    <w:name w:val="Body Text Indent 2"/>
    <w:basedOn w:val="Normal"/>
    <w:rsid w:val="00137696"/>
    <w:pPr>
      <w:spacing w:after="120" w:line="480" w:lineRule="auto"/>
      <w:ind w:left="283"/>
    </w:pPr>
    <w:rPr>
      <w:sz w:val="20"/>
      <w:szCs w:val="20"/>
    </w:rPr>
  </w:style>
  <w:style w:type="paragraph" w:styleId="Textonotaalfinal">
    <w:name w:val="endnote text"/>
    <w:basedOn w:val="Normal"/>
    <w:semiHidden/>
    <w:rsid w:val="00137696"/>
    <w:rPr>
      <w:sz w:val="20"/>
      <w:szCs w:val="20"/>
    </w:rPr>
  </w:style>
  <w:style w:type="character" w:styleId="Refdenotaalfinal">
    <w:name w:val="endnote reference"/>
    <w:semiHidden/>
    <w:rsid w:val="00137696"/>
    <w:rPr>
      <w:vertAlign w:val="superscript"/>
    </w:rPr>
  </w:style>
  <w:style w:type="character" w:customStyle="1" w:styleId="sel1348427992542">
    <w:name w:val="sel_1348427992542"/>
    <w:basedOn w:val="Fuentedeprrafopredeter"/>
    <w:rsid w:val="00137696"/>
  </w:style>
  <w:style w:type="character" w:styleId="Refdecomentario">
    <w:name w:val="annotation reference"/>
    <w:rsid w:val="00290575"/>
    <w:rPr>
      <w:sz w:val="16"/>
      <w:szCs w:val="16"/>
    </w:rPr>
  </w:style>
  <w:style w:type="paragraph" w:styleId="Asuntodelcomentario">
    <w:name w:val="annotation subject"/>
    <w:basedOn w:val="Textocomentario"/>
    <w:next w:val="Textocomentario"/>
    <w:rsid w:val="00290575"/>
    <w:rPr>
      <w:b/>
      <w:bCs/>
    </w:rPr>
  </w:style>
  <w:style w:type="character" w:customStyle="1" w:styleId="HeaderChar">
    <w:name w:val="Header Char"/>
    <w:semiHidden/>
    <w:rsid w:val="00F112F1"/>
    <w:rPr>
      <w:rFonts w:cs="Times New Roman"/>
      <w:sz w:val="24"/>
      <w:szCs w:val="24"/>
    </w:rPr>
  </w:style>
  <w:style w:type="character" w:styleId="CitaHTML">
    <w:name w:val="HTML Cite"/>
    <w:rsid w:val="00657B03"/>
    <w:rPr>
      <w:i w:val="0"/>
      <w:iCs w:val="0"/>
      <w:color w:val="009933"/>
    </w:rPr>
  </w:style>
  <w:style w:type="character" w:customStyle="1" w:styleId="yiv1702884738149114909-15062012">
    <w:name w:val="yiv1702884738149114909-15062012"/>
    <w:basedOn w:val="Fuentedeprrafopredeter"/>
    <w:rsid w:val="00657B03"/>
  </w:style>
  <w:style w:type="paragraph" w:customStyle="1" w:styleId="yiv1702884738msonormal">
    <w:name w:val="yiv1702884738msonormal"/>
    <w:basedOn w:val="Normal"/>
    <w:rsid w:val="00657B03"/>
    <w:pPr>
      <w:spacing w:before="100" w:beforeAutospacing="1" w:after="100" w:afterAutospacing="1"/>
    </w:pPr>
  </w:style>
  <w:style w:type="paragraph" w:styleId="Prrafodelista">
    <w:name w:val="List Paragraph"/>
    <w:basedOn w:val="Normal"/>
    <w:qFormat/>
    <w:rsid w:val="00455830"/>
    <w:pPr>
      <w:ind w:left="708"/>
    </w:pPr>
  </w:style>
  <w:style w:type="character" w:customStyle="1" w:styleId="highlight">
    <w:name w:val="highlight"/>
    <w:basedOn w:val="Fuentedeprrafopredeter"/>
    <w:rsid w:val="002F4972"/>
  </w:style>
  <w:style w:type="paragraph" w:styleId="TDC1">
    <w:name w:val="toc 1"/>
    <w:basedOn w:val="Normal"/>
    <w:next w:val="Normal"/>
    <w:autoRedefine/>
    <w:uiPriority w:val="39"/>
    <w:rsid w:val="005B6F77"/>
  </w:style>
  <w:style w:type="paragraph" w:styleId="TDC2">
    <w:name w:val="toc 2"/>
    <w:basedOn w:val="Normal"/>
    <w:next w:val="Normal"/>
    <w:autoRedefine/>
    <w:uiPriority w:val="39"/>
    <w:rsid w:val="005B6F77"/>
    <w:pPr>
      <w:ind w:left="240"/>
    </w:pPr>
  </w:style>
  <w:style w:type="paragraph" w:styleId="TDC3">
    <w:name w:val="toc 3"/>
    <w:basedOn w:val="Normal"/>
    <w:next w:val="Normal"/>
    <w:autoRedefine/>
    <w:uiPriority w:val="39"/>
    <w:rsid w:val="005B6F77"/>
    <w:pPr>
      <w:ind w:left="480"/>
    </w:pPr>
  </w:style>
  <w:style w:type="paragraph" w:customStyle="1" w:styleId="Pa7">
    <w:name w:val="Pa7"/>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24">
    <w:name w:val="Pa2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4">
    <w:name w:val="Pa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1">
    <w:name w:val="Pa1"/>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character" w:customStyle="1" w:styleId="CarCar22">
    <w:name w:val="Car Car22"/>
    <w:locked/>
    <w:rsid w:val="00BC3E8E"/>
    <w:rPr>
      <w:rFonts w:ascii="Cambria" w:hAnsi="Cambria" w:cs="Times New Roman"/>
      <w:b/>
      <w:bCs/>
      <w:kern w:val="32"/>
      <w:sz w:val="32"/>
      <w:szCs w:val="32"/>
    </w:rPr>
  </w:style>
  <w:style w:type="character" w:customStyle="1" w:styleId="A2">
    <w:name w:val="A2"/>
    <w:rsid w:val="00BC3E8E"/>
    <w:rPr>
      <w:rFonts w:ascii="DZMIPA+HelveticaNeue-Medium" w:hAnsi="DZMIPA+HelveticaNeue-Medium" w:cs="DZMIPA+HelveticaNeue-Medium"/>
      <w:color w:val="000000"/>
      <w:sz w:val="16"/>
      <w:szCs w:val="16"/>
    </w:rPr>
  </w:style>
  <w:style w:type="character" w:customStyle="1" w:styleId="longtext">
    <w:name w:val="long_text"/>
    <w:basedOn w:val="Fuentedeprrafopredeter"/>
    <w:rsid w:val="00BC3E8E"/>
  </w:style>
  <w:style w:type="character" w:customStyle="1" w:styleId="hps">
    <w:name w:val="hps"/>
    <w:basedOn w:val="Fuentedeprrafopredeter"/>
    <w:rsid w:val="00BC3E8E"/>
  </w:style>
  <w:style w:type="character" w:customStyle="1" w:styleId="hpsatn">
    <w:name w:val="hps atn"/>
    <w:basedOn w:val="Fuentedeprrafopredeter"/>
    <w:rsid w:val="00BC3E8E"/>
  </w:style>
  <w:style w:type="character" w:styleId="Refdenotaalpie">
    <w:name w:val="footnote reference"/>
    <w:unhideWhenUsed/>
    <w:rsid w:val="00BC3E8E"/>
    <w:rPr>
      <w:vertAlign w:val="superscript"/>
    </w:rPr>
  </w:style>
  <w:style w:type="paragraph" w:styleId="Bibliografa">
    <w:name w:val="Bibliography"/>
    <w:basedOn w:val="Normal"/>
    <w:next w:val="Normal"/>
    <w:uiPriority w:val="37"/>
    <w:unhideWhenUsed/>
    <w:rsid w:val="009C09B1"/>
    <w:pPr>
      <w:tabs>
        <w:tab w:val="left" w:pos="264"/>
      </w:tabs>
      <w:spacing w:after="240"/>
      <w:ind w:left="264" w:hanging="264"/>
    </w:pPr>
  </w:style>
  <w:style w:type="paragraph" w:customStyle="1" w:styleId="Textoindependiente32">
    <w:name w:val="Texto independiente 32"/>
    <w:basedOn w:val="Normal"/>
    <w:rsid w:val="00D9452F"/>
    <w:pPr>
      <w:suppressAutoHyphens/>
    </w:pPr>
    <w:rPr>
      <w:rFonts w:ascii="Arial" w:hAnsi="Arial" w:cs="Arial"/>
      <w:color w:val="00000A"/>
      <w:kern w:val="1"/>
      <w:sz w:val="36"/>
      <w:szCs w:val="36"/>
      <w:lang w:eastAsia="zh-CN"/>
    </w:rPr>
  </w:style>
  <w:style w:type="character" w:customStyle="1" w:styleId="Mencinsinresolver1">
    <w:name w:val="Mención sin resolver1"/>
    <w:uiPriority w:val="99"/>
    <w:semiHidden/>
    <w:unhideWhenUsed/>
    <w:rsid w:val="007B2110"/>
    <w:rPr>
      <w:color w:val="605E5C"/>
      <w:shd w:val="clear" w:color="auto" w:fill="E1DFDD"/>
    </w:rPr>
  </w:style>
  <w:style w:type="paragraph" w:styleId="Revisin">
    <w:name w:val="Revision"/>
    <w:hidden/>
    <w:uiPriority w:val="99"/>
    <w:semiHidden/>
    <w:rsid w:val="00494C98"/>
    <w:rPr>
      <w:sz w:val="24"/>
      <w:szCs w:val="24"/>
    </w:rPr>
  </w:style>
  <w:style w:type="paragraph" w:customStyle="1" w:styleId="Prrafodelista1">
    <w:name w:val="Párrafo de lista1"/>
    <w:basedOn w:val="Normal"/>
    <w:rsid w:val="001F7F82"/>
    <w:pPr>
      <w:suppressAutoHyphens/>
      <w:ind w:left="708"/>
    </w:pPr>
    <w:rPr>
      <w:color w:val="00000A"/>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24405">
      <w:bodyDiv w:val="1"/>
      <w:marLeft w:val="0"/>
      <w:marRight w:val="0"/>
      <w:marTop w:val="0"/>
      <w:marBottom w:val="0"/>
      <w:divBdr>
        <w:top w:val="none" w:sz="0" w:space="0" w:color="auto"/>
        <w:left w:val="none" w:sz="0" w:space="0" w:color="auto"/>
        <w:bottom w:val="none" w:sz="0" w:space="0" w:color="auto"/>
        <w:right w:val="none" w:sz="0" w:space="0" w:color="auto"/>
      </w:divBdr>
      <w:divsChild>
        <w:div w:id="1695882539">
          <w:marLeft w:val="0"/>
          <w:marRight w:val="0"/>
          <w:marTop w:val="0"/>
          <w:marBottom w:val="0"/>
          <w:divBdr>
            <w:top w:val="none" w:sz="0" w:space="0" w:color="auto"/>
            <w:left w:val="none" w:sz="0" w:space="0" w:color="auto"/>
            <w:bottom w:val="none" w:sz="0" w:space="0" w:color="auto"/>
            <w:right w:val="none" w:sz="0" w:space="0" w:color="auto"/>
          </w:divBdr>
          <w:divsChild>
            <w:div w:id="1765879717">
              <w:marLeft w:val="0"/>
              <w:marRight w:val="0"/>
              <w:marTop w:val="0"/>
              <w:marBottom w:val="0"/>
              <w:divBdr>
                <w:top w:val="none" w:sz="0" w:space="0" w:color="auto"/>
                <w:left w:val="none" w:sz="0" w:space="0" w:color="auto"/>
                <w:bottom w:val="none" w:sz="0" w:space="0" w:color="auto"/>
                <w:right w:val="none" w:sz="0" w:space="0" w:color="auto"/>
              </w:divBdr>
              <w:divsChild>
                <w:div w:id="88502656">
                  <w:marLeft w:val="0"/>
                  <w:marRight w:val="0"/>
                  <w:marTop w:val="0"/>
                  <w:marBottom w:val="0"/>
                  <w:divBdr>
                    <w:top w:val="none" w:sz="0" w:space="0" w:color="auto"/>
                    <w:left w:val="none" w:sz="0" w:space="0" w:color="auto"/>
                    <w:bottom w:val="none" w:sz="0" w:space="0" w:color="auto"/>
                    <w:right w:val="none" w:sz="0" w:space="0" w:color="auto"/>
                  </w:divBdr>
                  <w:divsChild>
                    <w:div w:id="412316276">
                      <w:marLeft w:val="0"/>
                      <w:marRight w:val="0"/>
                      <w:marTop w:val="0"/>
                      <w:marBottom w:val="0"/>
                      <w:divBdr>
                        <w:top w:val="none" w:sz="0" w:space="0" w:color="auto"/>
                        <w:left w:val="none" w:sz="0" w:space="0" w:color="auto"/>
                        <w:bottom w:val="none" w:sz="0" w:space="0" w:color="auto"/>
                        <w:right w:val="none" w:sz="0" w:space="0" w:color="auto"/>
                      </w:divBdr>
                      <w:divsChild>
                        <w:div w:id="1428423387">
                          <w:marLeft w:val="0"/>
                          <w:marRight w:val="0"/>
                          <w:marTop w:val="0"/>
                          <w:marBottom w:val="0"/>
                          <w:divBdr>
                            <w:top w:val="none" w:sz="0" w:space="0" w:color="auto"/>
                            <w:left w:val="none" w:sz="0" w:space="0" w:color="auto"/>
                            <w:bottom w:val="none" w:sz="0" w:space="0" w:color="auto"/>
                            <w:right w:val="none" w:sz="0" w:space="0" w:color="auto"/>
                          </w:divBdr>
                          <w:divsChild>
                            <w:div w:id="1811357637">
                              <w:marLeft w:val="0"/>
                              <w:marRight w:val="0"/>
                              <w:marTop w:val="0"/>
                              <w:marBottom w:val="0"/>
                              <w:divBdr>
                                <w:top w:val="none" w:sz="0" w:space="0" w:color="auto"/>
                                <w:left w:val="none" w:sz="0" w:space="0" w:color="auto"/>
                                <w:bottom w:val="none" w:sz="0" w:space="0" w:color="auto"/>
                                <w:right w:val="none" w:sz="0" w:space="0" w:color="auto"/>
                              </w:divBdr>
                              <w:divsChild>
                                <w:div w:id="890458768">
                                  <w:marLeft w:val="0"/>
                                  <w:marRight w:val="0"/>
                                  <w:marTop w:val="0"/>
                                  <w:marBottom w:val="0"/>
                                  <w:divBdr>
                                    <w:top w:val="none" w:sz="0" w:space="0" w:color="auto"/>
                                    <w:left w:val="none" w:sz="0" w:space="0" w:color="auto"/>
                                    <w:bottom w:val="none" w:sz="0" w:space="0" w:color="auto"/>
                                    <w:right w:val="none" w:sz="0" w:space="0" w:color="auto"/>
                                  </w:divBdr>
                                  <w:divsChild>
                                    <w:div w:id="18331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956298">
      <w:bodyDiv w:val="1"/>
      <w:marLeft w:val="0"/>
      <w:marRight w:val="0"/>
      <w:marTop w:val="0"/>
      <w:marBottom w:val="0"/>
      <w:divBdr>
        <w:top w:val="none" w:sz="0" w:space="0" w:color="auto"/>
        <w:left w:val="none" w:sz="0" w:space="0" w:color="auto"/>
        <w:bottom w:val="none" w:sz="0" w:space="0" w:color="auto"/>
        <w:right w:val="none" w:sz="0" w:space="0" w:color="auto"/>
      </w:divBdr>
      <w:divsChild>
        <w:div w:id="225607379">
          <w:marLeft w:val="0"/>
          <w:marRight w:val="0"/>
          <w:marTop w:val="0"/>
          <w:marBottom w:val="0"/>
          <w:divBdr>
            <w:top w:val="none" w:sz="0" w:space="0" w:color="auto"/>
            <w:left w:val="none" w:sz="0" w:space="0" w:color="auto"/>
            <w:bottom w:val="none" w:sz="0" w:space="0" w:color="auto"/>
            <w:right w:val="none" w:sz="0" w:space="0" w:color="auto"/>
          </w:divBdr>
        </w:div>
      </w:divsChild>
    </w:div>
    <w:div w:id="1166365402">
      <w:bodyDiv w:val="1"/>
      <w:marLeft w:val="0"/>
      <w:marRight w:val="0"/>
      <w:marTop w:val="0"/>
      <w:marBottom w:val="0"/>
      <w:divBdr>
        <w:top w:val="none" w:sz="0" w:space="0" w:color="auto"/>
        <w:left w:val="none" w:sz="0" w:space="0" w:color="auto"/>
        <w:bottom w:val="none" w:sz="0" w:space="0" w:color="auto"/>
        <w:right w:val="none" w:sz="0" w:space="0" w:color="auto"/>
      </w:divBdr>
    </w:div>
    <w:div w:id="1315918137">
      <w:bodyDiv w:val="1"/>
      <w:marLeft w:val="0"/>
      <w:marRight w:val="0"/>
      <w:marTop w:val="0"/>
      <w:marBottom w:val="0"/>
      <w:divBdr>
        <w:top w:val="none" w:sz="0" w:space="0" w:color="auto"/>
        <w:left w:val="none" w:sz="0" w:space="0" w:color="auto"/>
        <w:bottom w:val="none" w:sz="0" w:space="0" w:color="auto"/>
        <w:right w:val="none" w:sz="0" w:space="0" w:color="auto"/>
      </w:divBdr>
      <w:divsChild>
        <w:div w:id="1922369285">
          <w:marLeft w:val="0"/>
          <w:marRight w:val="0"/>
          <w:marTop w:val="0"/>
          <w:marBottom w:val="0"/>
          <w:divBdr>
            <w:top w:val="none" w:sz="0" w:space="0" w:color="auto"/>
            <w:left w:val="none" w:sz="0" w:space="0" w:color="auto"/>
            <w:bottom w:val="none" w:sz="0" w:space="0" w:color="auto"/>
            <w:right w:val="none" w:sz="0" w:space="0" w:color="auto"/>
          </w:divBdr>
          <w:divsChild>
            <w:div w:id="476650327">
              <w:marLeft w:val="0"/>
              <w:marRight w:val="0"/>
              <w:marTop w:val="0"/>
              <w:marBottom w:val="0"/>
              <w:divBdr>
                <w:top w:val="none" w:sz="0" w:space="0" w:color="auto"/>
                <w:left w:val="none" w:sz="0" w:space="0" w:color="auto"/>
                <w:bottom w:val="none" w:sz="0" w:space="0" w:color="auto"/>
                <w:right w:val="none" w:sz="0" w:space="0" w:color="auto"/>
              </w:divBdr>
            </w:div>
            <w:div w:id="850296807">
              <w:marLeft w:val="0"/>
              <w:marRight w:val="0"/>
              <w:marTop w:val="0"/>
              <w:marBottom w:val="0"/>
              <w:divBdr>
                <w:top w:val="none" w:sz="0" w:space="0" w:color="auto"/>
                <w:left w:val="none" w:sz="0" w:space="0" w:color="auto"/>
                <w:bottom w:val="none" w:sz="0" w:space="0" w:color="auto"/>
                <w:right w:val="none" w:sz="0" w:space="0" w:color="auto"/>
              </w:divBdr>
            </w:div>
            <w:div w:id="950237117">
              <w:marLeft w:val="0"/>
              <w:marRight w:val="0"/>
              <w:marTop w:val="0"/>
              <w:marBottom w:val="0"/>
              <w:divBdr>
                <w:top w:val="none" w:sz="0" w:space="0" w:color="auto"/>
                <w:left w:val="none" w:sz="0" w:space="0" w:color="auto"/>
                <w:bottom w:val="none" w:sz="0" w:space="0" w:color="auto"/>
                <w:right w:val="none" w:sz="0" w:space="0" w:color="auto"/>
              </w:divBdr>
            </w:div>
            <w:div w:id="1666013163">
              <w:marLeft w:val="0"/>
              <w:marRight w:val="0"/>
              <w:marTop w:val="0"/>
              <w:marBottom w:val="0"/>
              <w:divBdr>
                <w:top w:val="none" w:sz="0" w:space="0" w:color="auto"/>
                <w:left w:val="none" w:sz="0" w:space="0" w:color="auto"/>
                <w:bottom w:val="none" w:sz="0" w:space="0" w:color="auto"/>
                <w:right w:val="none" w:sz="0" w:space="0" w:color="auto"/>
              </w:divBdr>
            </w:div>
            <w:div w:id="1673265795">
              <w:marLeft w:val="0"/>
              <w:marRight w:val="0"/>
              <w:marTop w:val="0"/>
              <w:marBottom w:val="0"/>
              <w:divBdr>
                <w:top w:val="none" w:sz="0" w:space="0" w:color="auto"/>
                <w:left w:val="none" w:sz="0" w:space="0" w:color="auto"/>
                <w:bottom w:val="none" w:sz="0" w:space="0" w:color="auto"/>
                <w:right w:val="none" w:sz="0" w:space="0" w:color="auto"/>
              </w:divBdr>
            </w:div>
            <w:div w:id="1925645934">
              <w:marLeft w:val="0"/>
              <w:marRight w:val="0"/>
              <w:marTop w:val="0"/>
              <w:marBottom w:val="0"/>
              <w:divBdr>
                <w:top w:val="none" w:sz="0" w:space="0" w:color="auto"/>
                <w:left w:val="none" w:sz="0" w:space="0" w:color="auto"/>
                <w:bottom w:val="none" w:sz="0" w:space="0" w:color="auto"/>
                <w:right w:val="none" w:sz="0" w:space="0" w:color="auto"/>
              </w:divBdr>
            </w:div>
            <w:div w:id="20999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041">
      <w:bodyDiv w:val="1"/>
      <w:marLeft w:val="0"/>
      <w:marRight w:val="0"/>
      <w:marTop w:val="0"/>
      <w:marBottom w:val="0"/>
      <w:divBdr>
        <w:top w:val="none" w:sz="0" w:space="0" w:color="auto"/>
        <w:left w:val="none" w:sz="0" w:space="0" w:color="auto"/>
        <w:bottom w:val="none" w:sz="0" w:space="0" w:color="auto"/>
        <w:right w:val="none" w:sz="0" w:space="0" w:color="auto"/>
      </w:divBdr>
    </w:div>
    <w:div w:id="1329136018">
      <w:bodyDiv w:val="1"/>
      <w:marLeft w:val="0"/>
      <w:marRight w:val="0"/>
      <w:marTop w:val="0"/>
      <w:marBottom w:val="0"/>
      <w:divBdr>
        <w:top w:val="none" w:sz="0" w:space="0" w:color="auto"/>
        <w:left w:val="none" w:sz="0" w:space="0" w:color="auto"/>
        <w:bottom w:val="none" w:sz="0" w:space="0" w:color="auto"/>
        <w:right w:val="none" w:sz="0" w:space="0" w:color="auto"/>
      </w:divBdr>
      <w:divsChild>
        <w:div w:id="1383285733">
          <w:marLeft w:val="0"/>
          <w:marRight w:val="0"/>
          <w:marTop w:val="0"/>
          <w:marBottom w:val="0"/>
          <w:divBdr>
            <w:top w:val="none" w:sz="0" w:space="0" w:color="auto"/>
            <w:left w:val="none" w:sz="0" w:space="0" w:color="auto"/>
            <w:bottom w:val="none" w:sz="0" w:space="0" w:color="auto"/>
            <w:right w:val="none" w:sz="0" w:space="0" w:color="auto"/>
          </w:divBdr>
        </w:div>
      </w:divsChild>
    </w:div>
    <w:div w:id="1415278525">
      <w:bodyDiv w:val="1"/>
      <w:marLeft w:val="0"/>
      <w:marRight w:val="0"/>
      <w:marTop w:val="0"/>
      <w:marBottom w:val="0"/>
      <w:divBdr>
        <w:top w:val="none" w:sz="0" w:space="0" w:color="auto"/>
        <w:left w:val="none" w:sz="0" w:space="0" w:color="auto"/>
        <w:bottom w:val="none" w:sz="0" w:space="0" w:color="auto"/>
        <w:right w:val="none" w:sz="0" w:space="0" w:color="auto"/>
      </w:divBdr>
      <w:divsChild>
        <w:div w:id="927076719">
          <w:marLeft w:val="0"/>
          <w:marRight w:val="0"/>
          <w:marTop w:val="0"/>
          <w:marBottom w:val="0"/>
          <w:divBdr>
            <w:top w:val="none" w:sz="0" w:space="0" w:color="auto"/>
            <w:left w:val="none" w:sz="0" w:space="0" w:color="auto"/>
            <w:bottom w:val="none" w:sz="0" w:space="0" w:color="auto"/>
            <w:right w:val="none" w:sz="0" w:space="0" w:color="auto"/>
          </w:divBdr>
          <w:divsChild>
            <w:div w:id="472411378">
              <w:marLeft w:val="0"/>
              <w:marRight w:val="0"/>
              <w:marTop w:val="0"/>
              <w:marBottom w:val="0"/>
              <w:divBdr>
                <w:top w:val="none" w:sz="0" w:space="0" w:color="auto"/>
                <w:left w:val="none" w:sz="0" w:space="0" w:color="auto"/>
                <w:bottom w:val="none" w:sz="0" w:space="0" w:color="auto"/>
                <w:right w:val="none" w:sz="0" w:space="0" w:color="auto"/>
              </w:divBdr>
              <w:divsChild>
                <w:div w:id="318769206">
                  <w:marLeft w:val="0"/>
                  <w:marRight w:val="0"/>
                  <w:marTop w:val="0"/>
                  <w:marBottom w:val="0"/>
                  <w:divBdr>
                    <w:top w:val="none" w:sz="0" w:space="0" w:color="auto"/>
                    <w:left w:val="none" w:sz="0" w:space="0" w:color="auto"/>
                    <w:bottom w:val="none" w:sz="0" w:space="0" w:color="auto"/>
                    <w:right w:val="none" w:sz="0" w:space="0" w:color="auto"/>
                  </w:divBdr>
                  <w:divsChild>
                    <w:div w:id="2052462681">
                      <w:marLeft w:val="0"/>
                      <w:marRight w:val="0"/>
                      <w:marTop w:val="0"/>
                      <w:marBottom w:val="0"/>
                      <w:divBdr>
                        <w:top w:val="none" w:sz="0" w:space="0" w:color="auto"/>
                        <w:left w:val="none" w:sz="0" w:space="0" w:color="auto"/>
                        <w:bottom w:val="none" w:sz="0" w:space="0" w:color="auto"/>
                        <w:right w:val="none" w:sz="0" w:space="0" w:color="auto"/>
                      </w:divBdr>
                      <w:divsChild>
                        <w:div w:id="1498573311">
                          <w:marLeft w:val="0"/>
                          <w:marRight w:val="0"/>
                          <w:marTop w:val="0"/>
                          <w:marBottom w:val="0"/>
                          <w:divBdr>
                            <w:top w:val="none" w:sz="0" w:space="0" w:color="auto"/>
                            <w:left w:val="none" w:sz="0" w:space="0" w:color="auto"/>
                            <w:bottom w:val="none" w:sz="0" w:space="0" w:color="auto"/>
                            <w:right w:val="none" w:sz="0" w:space="0" w:color="auto"/>
                          </w:divBdr>
                          <w:divsChild>
                            <w:div w:id="1128358231">
                              <w:marLeft w:val="0"/>
                              <w:marRight w:val="0"/>
                              <w:marTop w:val="0"/>
                              <w:marBottom w:val="0"/>
                              <w:divBdr>
                                <w:top w:val="none" w:sz="0" w:space="0" w:color="auto"/>
                                <w:left w:val="none" w:sz="0" w:space="0" w:color="auto"/>
                                <w:bottom w:val="none" w:sz="0" w:space="0" w:color="auto"/>
                                <w:right w:val="none" w:sz="0" w:space="0" w:color="auto"/>
                              </w:divBdr>
                              <w:divsChild>
                                <w:div w:id="1778021623">
                                  <w:marLeft w:val="0"/>
                                  <w:marRight w:val="0"/>
                                  <w:marTop w:val="0"/>
                                  <w:marBottom w:val="0"/>
                                  <w:divBdr>
                                    <w:top w:val="none" w:sz="0" w:space="0" w:color="auto"/>
                                    <w:left w:val="none" w:sz="0" w:space="0" w:color="auto"/>
                                    <w:bottom w:val="none" w:sz="0" w:space="0" w:color="auto"/>
                                    <w:right w:val="none" w:sz="0" w:space="0" w:color="auto"/>
                                  </w:divBdr>
                                  <w:divsChild>
                                    <w:div w:id="430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415397">
      <w:bodyDiv w:val="1"/>
      <w:marLeft w:val="0"/>
      <w:marRight w:val="0"/>
      <w:marTop w:val="0"/>
      <w:marBottom w:val="0"/>
      <w:divBdr>
        <w:top w:val="none" w:sz="0" w:space="0" w:color="auto"/>
        <w:left w:val="none" w:sz="0" w:space="0" w:color="auto"/>
        <w:bottom w:val="none" w:sz="0" w:space="0" w:color="auto"/>
        <w:right w:val="none" w:sz="0" w:space="0" w:color="auto"/>
      </w:divBdr>
      <w:divsChild>
        <w:div w:id="888420134">
          <w:marLeft w:val="0"/>
          <w:marRight w:val="0"/>
          <w:marTop w:val="0"/>
          <w:marBottom w:val="0"/>
          <w:divBdr>
            <w:top w:val="none" w:sz="0" w:space="0" w:color="auto"/>
            <w:left w:val="none" w:sz="0" w:space="0" w:color="auto"/>
            <w:bottom w:val="none" w:sz="0" w:space="0" w:color="auto"/>
            <w:right w:val="none" w:sz="0" w:space="0" w:color="auto"/>
          </w:divBdr>
          <w:divsChild>
            <w:div w:id="521669167">
              <w:marLeft w:val="0"/>
              <w:marRight w:val="0"/>
              <w:marTop w:val="0"/>
              <w:marBottom w:val="0"/>
              <w:divBdr>
                <w:top w:val="none" w:sz="0" w:space="0" w:color="auto"/>
                <w:left w:val="none" w:sz="0" w:space="0" w:color="auto"/>
                <w:bottom w:val="none" w:sz="0" w:space="0" w:color="auto"/>
                <w:right w:val="none" w:sz="0" w:space="0" w:color="auto"/>
              </w:divBdr>
              <w:divsChild>
                <w:div w:id="117116523">
                  <w:marLeft w:val="0"/>
                  <w:marRight w:val="0"/>
                  <w:marTop w:val="0"/>
                  <w:marBottom w:val="0"/>
                  <w:divBdr>
                    <w:top w:val="none" w:sz="0" w:space="0" w:color="auto"/>
                    <w:left w:val="none" w:sz="0" w:space="0" w:color="auto"/>
                    <w:bottom w:val="none" w:sz="0" w:space="0" w:color="auto"/>
                    <w:right w:val="none" w:sz="0" w:space="0" w:color="auto"/>
                  </w:divBdr>
                  <w:divsChild>
                    <w:div w:id="89813587">
                      <w:marLeft w:val="0"/>
                      <w:marRight w:val="0"/>
                      <w:marTop w:val="0"/>
                      <w:marBottom w:val="0"/>
                      <w:divBdr>
                        <w:top w:val="none" w:sz="0" w:space="0" w:color="auto"/>
                        <w:left w:val="none" w:sz="0" w:space="0" w:color="auto"/>
                        <w:bottom w:val="none" w:sz="0" w:space="0" w:color="auto"/>
                        <w:right w:val="none" w:sz="0" w:space="0" w:color="auto"/>
                      </w:divBdr>
                      <w:divsChild>
                        <w:div w:id="346906077">
                          <w:marLeft w:val="0"/>
                          <w:marRight w:val="0"/>
                          <w:marTop w:val="0"/>
                          <w:marBottom w:val="0"/>
                          <w:divBdr>
                            <w:top w:val="none" w:sz="0" w:space="0" w:color="auto"/>
                            <w:left w:val="none" w:sz="0" w:space="0" w:color="auto"/>
                            <w:bottom w:val="none" w:sz="0" w:space="0" w:color="auto"/>
                            <w:right w:val="none" w:sz="0" w:space="0" w:color="auto"/>
                          </w:divBdr>
                          <w:divsChild>
                            <w:div w:id="1858230849">
                              <w:marLeft w:val="0"/>
                              <w:marRight w:val="0"/>
                              <w:marTop w:val="0"/>
                              <w:marBottom w:val="0"/>
                              <w:divBdr>
                                <w:top w:val="none" w:sz="0" w:space="0" w:color="auto"/>
                                <w:left w:val="none" w:sz="0" w:space="0" w:color="auto"/>
                                <w:bottom w:val="none" w:sz="0" w:space="0" w:color="auto"/>
                                <w:right w:val="none" w:sz="0" w:space="0" w:color="auto"/>
                              </w:divBdr>
                              <w:divsChild>
                                <w:div w:id="5734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246138">
      <w:bodyDiv w:val="1"/>
      <w:marLeft w:val="0"/>
      <w:marRight w:val="0"/>
      <w:marTop w:val="0"/>
      <w:marBottom w:val="0"/>
      <w:divBdr>
        <w:top w:val="none" w:sz="0" w:space="0" w:color="auto"/>
        <w:left w:val="none" w:sz="0" w:space="0" w:color="auto"/>
        <w:bottom w:val="none" w:sz="0" w:space="0" w:color="auto"/>
        <w:right w:val="none" w:sz="0" w:space="0" w:color="auto"/>
      </w:divBdr>
      <w:divsChild>
        <w:div w:id="10423649">
          <w:marLeft w:val="0"/>
          <w:marRight w:val="0"/>
          <w:marTop w:val="0"/>
          <w:marBottom w:val="0"/>
          <w:divBdr>
            <w:top w:val="none" w:sz="0" w:space="0" w:color="auto"/>
            <w:left w:val="none" w:sz="0" w:space="0" w:color="auto"/>
            <w:bottom w:val="none" w:sz="0" w:space="0" w:color="auto"/>
            <w:right w:val="none" w:sz="0" w:space="0" w:color="auto"/>
          </w:divBdr>
          <w:divsChild>
            <w:div w:id="540481140">
              <w:marLeft w:val="0"/>
              <w:marRight w:val="0"/>
              <w:marTop w:val="0"/>
              <w:marBottom w:val="0"/>
              <w:divBdr>
                <w:top w:val="none" w:sz="0" w:space="0" w:color="auto"/>
                <w:left w:val="none" w:sz="0" w:space="0" w:color="auto"/>
                <w:bottom w:val="none" w:sz="0" w:space="0" w:color="auto"/>
                <w:right w:val="none" w:sz="0" w:space="0" w:color="auto"/>
              </w:divBdr>
            </w:div>
            <w:div w:id="13737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uposdetrabajo.sefh.es/genesis/genesis/Enlaces/InformesHosp_abc.htm" TargetMode="External"/><Relationship Id="rId13" Type="http://schemas.openxmlformats.org/officeDocument/2006/relationships/hyperlink" Target="http://gruposdetrabajo.sefh.es/genesis/genesis/Enlaces/Calculadoras.ht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gruposdetrabajo.sefh.es/genesis/genesis/Enlaces/Calculadoras.htm"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gruposdetrabajo.sefh.es/genesis/genesis/Enlaces/Calculadoras.htm"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gruposdetrabajo.sefh.es/genesis/"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C009D-F527-45B1-9EF5-66B20EA4E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56659</Words>
  <Characters>311628</Characters>
  <Application>Microsoft Office Word</Application>
  <DocSecurity>0</DocSecurity>
  <Lines>2596</Lines>
  <Paragraphs>735</Paragraphs>
  <ScaleCrop>false</ScaleCrop>
  <HeadingPairs>
    <vt:vector size="2" baseType="variant">
      <vt:variant>
        <vt:lpstr>Título</vt:lpstr>
      </vt:variant>
      <vt:variant>
        <vt:i4>1</vt:i4>
      </vt:variant>
    </vt:vector>
  </HeadingPairs>
  <TitlesOfParts>
    <vt:vector size="1" baseType="lpstr">
      <vt:lpstr/>
    </vt:vector>
  </TitlesOfParts>
  <Company>FPL</Company>
  <LinksUpToDate>false</LinksUpToDate>
  <CharactersWithSpaces>367552</CharactersWithSpaces>
  <SharedDoc>false</SharedDoc>
  <HLinks>
    <vt:vector size="354" baseType="variant">
      <vt:variant>
        <vt:i4>3604520</vt:i4>
      </vt:variant>
      <vt:variant>
        <vt:i4>429</vt:i4>
      </vt:variant>
      <vt:variant>
        <vt:i4>0</vt:i4>
      </vt:variant>
      <vt:variant>
        <vt:i4>5</vt:i4>
      </vt:variant>
      <vt:variant>
        <vt:lpwstr>http://gruposdetrabajo.sefh.es/genesis/genesis/Enlaces/Calculadoras.htm</vt:lpwstr>
      </vt:variant>
      <vt:variant>
        <vt:lpwstr/>
      </vt:variant>
      <vt:variant>
        <vt:i4>3604520</vt:i4>
      </vt:variant>
      <vt:variant>
        <vt:i4>417</vt:i4>
      </vt:variant>
      <vt:variant>
        <vt:i4>0</vt:i4>
      </vt:variant>
      <vt:variant>
        <vt:i4>5</vt:i4>
      </vt:variant>
      <vt:variant>
        <vt:lpwstr>http://gruposdetrabajo.sefh.es/genesis/genesis/Enlaces/Calculadoras.htm</vt:lpwstr>
      </vt:variant>
      <vt:variant>
        <vt:lpwstr/>
      </vt:variant>
      <vt:variant>
        <vt:i4>3604520</vt:i4>
      </vt:variant>
      <vt:variant>
        <vt:i4>414</vt:i4>
      </vt:variant>
      <vt:variant>
        <vt:i4>0</vt:i4>
      </vt:variant>
      <vt:variant>
        <vt:i4>5</vt:i4>
      </vt:variant>
      <vt:variant>
        <vt:lpwstr>http://gruposdetrabajo.sefh.es/genesis/genesis/Enlaces/Calculadoras.htm</vt:lpwstr>
      </vt:variant>
      <vt:variant>
        <vt:lpwstr/>
      </vt:variant>
      <vt:variant>
        <vt:i4>6815847</vt:i4>
      </vt:variant>
      <vt:variant>
        <vt:i4>330</vt:i4>
      </vt:variant>
      <vt:variant>
        <vt:i4>0</vt:i4>
      </vt:variant>
      <vt:variant>
        <vt:i4>5</vt:i4>
      </vt:variant>
      <vt:variant>
        <vt:lpwstr>http://gruposdetrabajo.sefh.es/genesis/</vt:lpwstr>
      </vt:variant>
      <vt:variant>
        <vt:lpwstr/>
      </vt:variant>
      <vt:variant>
        <vt:i4>1835041</vt:i4>
      </vt:variant>
      <vt:variant>
        <vt:i4>327</vt:i4>
      </vt:variant>
      <vt:variant>
        <vt:i4>0</vt:i4>
      </vt:variant>
      <vt:variant>
        <vt:i4>5</vt:i4>
      </vt:variant>
      <vt:variant>
        <vt:lpwstr>http://gruposdetrabajo.sefh.es/genesis/genesis/Enlaces/InformesHosp_abc.htm</vt:lpwstr>
      </vt:variant>
      <vt:variant>
        <vt:lpwstr/>
      </vt:variant>
      <vt:variant>
        <vt:i4>1310780</vt:i4>
      </vt:variant>
      <vt:variant>
        <vt:i4>320</vt:i4>
      </vt:variant>
      <vt:variant>
        <vt:i4>0</vt:i4>
      </vt:variant>
      <vt:variant>
        <vt:i4>5</vt:i4>
      </vt:variant>
      <vt:variant>
        <vt:lpwstr/>
      </vt:variant>
      <vt:variant>
        <vt:lpwstr>_Toc216191125</vt:lpwstr>
      </vt:variant>
      <vt:variant>
        <vt:i4>1310780</vt:i4>
      </vt:variant>
      <vt:variant>
        <vt:i4>314</vt:i4>
      </vt:variant>
      <vt:variant>
        <vt:i4>0</vt:i4>
      </vt:variant>
      <vt:variant>
        <vt:i4>5</vt:i4>
      </vt:variant>
      <vt:variant>
        <vt:lpwstr/>
      </vt:variant>
      <vt:variant>
        <vt:lpwstr>_Toc216191120</vt:lpwstr>
      </vt:variant>
      <vt:variant>
        <vt:i4>1507388</vt:i4>
      </vt:variant>
      <vt:variant>
        <vt:i4>308</vt:i4>
      </vt:variant>
      <vt:variant>
        <vt:i4>0</vt:i4>
      </vt:variant>
      <vt:variant>
        <vt:i4>5</vt:i4>
      </vt:variant>
      <vt:variant>
        <vt:lpwstr/>
      </vt:variant>
      <vt:variant>
        <vt:lpwstr>_Toc216191119</vt:lpwstr>
      </vt:variant>
      <vt:variant>
        <vt:i4>1507388</vt:i4>
      </vt:variant>
      <vt:variant>
        <vt:i4>302</vt:i4>
      </vt:variant>
      <vt:variant>
        <vt:i4>0</vt:i4>
      </vt:variant>
      <vt:variant>
        <vt:i4>5</vt:i4>
      </vt:variant>
      <vt:variant>
        <vt:lpwstr/>
      </vt:variant>
      <vt:variant>
        <vt:lpwstr>_Toc216191118</vt:lpwstr>
      </vt:variant>
      <vt:variant>
        <vt:i4>1507388</vt:i4>
      </vt:variant>
      <vt:variant>
        <vt:i4>296</vt:i4>
      </vt:variant>
      <vt:variant>
        <vt:i4>0</vt:i4>
      </vt:variant>
      <vt:variant>
        <vt:i4>5</vt:i4>
      </vt:variant>
      <vt:variant>
        <vt:lpwstr/>
      </vt:variant>
      <vt:variant>
        <vt:lpwstr>_Toc216191117</vt:lpwstr>
      </vt:variant>
      <vt:variant>
        <vt:i4>1507388</vt:i4>
      </vt:variant>
      <vt:variant>
        <vt:i4>290</vt:i4>
      </vt:variant>
      <vt:variant>
        <vt:i4>0</vt:i4>
      </vt:variant>
      <vt:variant>
        <vt:i4>5</vt:i4>
      </vt:variant>
      <vt:variant>
        <vt:lpwstr/>
      </vt:variant>
      <vt:variant>
        <vt:lpwstr>_Toc216191116</vt:lpwstr>
      </vt:variant>
      <vt:variant>
        <vt:i4>1507388</vt:i4>
      </vt:variant>
      <vt:variant>
        <vt:i4>284</vt:i4>
      </vt:variant>
      <vt:variant>
        <vt:i4>0</vt:i4>
      </vt:variant>
      <vt:variant>
        <vt:i4>5</vt:i4>
      </vt:variant>
      <vt:variant>
        <vt:lpwstr/>
      </vt:variant>
      <vt:variant>
        <vt:lpwstr>_Toc216191115</vt:lpwstr>
      </vt:variant>
      <vt:variant>
        <vt:i4>1507388</vt:i4>
      </vt:variant>
      <vt:variant>
        <vt:i4>278</vt:i4>
      </vt:variant>
      <vt:variant>
        <vt:i4>0</vt:i4>
      </vt:variant>
      <vt:variant>
        <vt:i4>5</vt:i4>
      </vt:variant>
      <vt:variant>
        <vt:lpwstr/>
      </vt:variant>
      <vt:variant>
        <vt:lpwstr>_Toc216191114</vt:lpwstr>
      </vt:variant>
      <vt:variant>
        <vt:i4>1507388</vt:i4>
      </vt:variant>
      <vt:variant>
        <vt:i4>272</vt:i4>
      </vt:variant>
      <vt:variant>
        <vt:i4>0</vt:i4>
      </vt:variant>
      <vt:variant>
        <vt:i4>5</vt:i4>
      </vt:variant>
      <vt:variant>
        <vt:lpwstr/>
      </vt:variant>
      <vt:variant>
        <vt:lpwstr>_Toc216191113</vt:lpwstr>
      </vt:variant>
      <vt:variant>
        <vt:i4>1507388</vt:i4>
      </vt:variant>
      <vt:variant>
        <vt:i4>266</vt:i4>
      </vt:variant>
      <vt:variant>
        <vt:i4>0</vt:i4>
      </vt:variant>
      <vt:variant>
        <vt:i4>5</vt:i4>
      </vt:variant>
      <vt:variant>
        <vt:lpwstr/>
      </vt:variant>
      <vt:variant>
        <vt:lpwstr>_Toc216191112</vt:lpwstr>
      </vt:variant>
      <vt:variant>
        <vt:i4>1507388</vt:i4>
      </vt:variant>
      <vt:variant>
        <vt:i4>260</vt:i4>
      </vt:variant>
      <vt:variant>
        <vt:i4>0</vt:i4>
      </vt:variant>
      <vt:variant>
        <vt:i4>5</vt:i4>
      </vt:variant>
      <vt:variant>
        <vt:lpwstr/>
      </vt:variant>
      <vt:variant>
        <vt:lpwstr>_Toc216191111</vt:lpwstr>
      </vt:variant>
      <vt:variant>
        <vt:i4>1507388</vt:i4>
      </vt:variant>
      <vt:variant>
        <vt:i4>254</vt:i4>
      </vt:variant>
      <vt:variant>
        <vt:i4>0</vt:i4>
      </vt:variant>
      <vt:variant>
        <vt:i4>5</vt:i4>
      </vt:variant>
      <vt:variant>
        <vt:lpwstr/>
      </vt:variant>
      <vt:variant>
        <vt:lpwstr>_Toc216191110</vt:lpwstr>
      </vt:variant>
      <vt:variant>
        <vt:i4>1441852</vt:i4>
      </vt:variant>
      <vt:variant>
        <vt:i4>248</vt:i4>
      </vt:variant>
      <vt:variant>
        <vt:i4>0</vt:i4>
      </vt:variant>
      <vt:variant>
        <vt:i4>5</vt:i4>
      </vt:variant>
      <vt:variant>
        <vt:lpwstr/>
      </vt:variant>
      <vt:variant>
        <vt:lpwstr>_Toc216191109</vt:lpwstr>
      </vt:variant>
      <vt:variant>
        <vt:i4>1441852</vt:i4>
      </vt:variant>
      <vt:variant>
        <vt:i4>242</vt:i4>
      </vt:variant>
      <vt:variant>
        <vt:i4>0</vt:i4>
      </vt:variant>
      <vt:variant>
        <vt:i4>5</vt:i4>
      </vt:variant>
      <vt:variant>
        <vt:lpwstr/>
      </vt:variant>
      <vt:variant>
        <vt:lpwstr>_Toc216191108</vt:lpwstr>
      </vt:variant>
      <vt:variant>
        <vt:i4>1441852</vt:i4>
      </vt:variant>
      <vt:variant>
        <vt:i4>236</vt:i4>
      </vt:variant>
      <vt:variant>
        <vt:i4>0</vt:i4>
      </vt:variant>
      <vt:variant>
        <vt:i4>5</vt:i4>
      </vt:variant>
      <vt:variant>
        <vt:lpwstr/>
      </vt:variant>
      <vt:variant>
        <vt:lpwstr>_Toc216191107</vt:lpwstr>
      </vt:variant>
      <vt:variant>
        <vt:i4>1441852</vt:i4>
      </vt:variant>
      <vt:variant>
        <vt:i4>230</vt:i4>
      </vt:variant>
      <vt:variant>
        <vt:i4>0</vt:i4>
      </vt:variant>
      <vt:variant>
        <vt:i4>5</vt:i4>
      </vt:variant>
      <vt:variant>
        <vt:lpwstr/>
      </vt:variant>
      <vt:variant>
        <vt:lpwstr>_Toc216191106</vt:lpwstr>
      </vt:variant>
      <vt:variant>
        <vt:i4>1441852</vt:i4>
      </vt:variant>
      <vt:variant>
        <vt:i4>224</vt:i4>
      </vt:variant>
      <vt:variant>
        <vt:i4>0</vt:i4>
      </vt:variant>
      <vt:variant>
        <vt:i4>5</vt:i4>
      </vt:variant>
      <vt:variant>
        <vt:lpwstr/>
      </vt:variant>
      <vt:variant>
        <vt:lpwstr>_Toc216191105</vt:lpwstr>
      </vt:variant>
      <vt:variant>
        <vt:i4>1441852</vt:i4>
      </vt:variant>
      <vt:variant>
        <vt:i4>218</vt:i4>
      </vt:variant>
      <vt:variant>
        <vt:i4>0</vt:i4>
      </vt:variant>
      <vt:variant>
        <vt:i4>5</vt:i4>
      </vt:variant>
      <vt:variant>
        <vt:lpwstr/>
      </vt:variant>
      <vt:variant>
        <vt:lpwstr>_Toc216191104</vt:lpwstr>
      </vt:variant>
      <vt:variant>
        <vt:i4>1441852</vt:i4>
      </vt:variant>
      <vt:variant>
        <vt:i4>212</vt:i4>
      </vt:variant>
      <vt:variant>
        <vt:i4>0</vt:i4>
      </vt:variant>
      <vt:variant>
        <vt:i4>5</vt:i4>
      </vt:variant>
      <vt:variant>
        <vt:lpwstr/>
      </vt:variant>
      <vt:variant>
        <vt:lpwstr>_Toc216191103</vt:lpwstr>
      </vt:variant>
      <vt:variant>
        <vt:i4>1441852</vt:i4>
      </vt:variant>
      <vt:variant>
        <vt:i4>206</vt:i4>
      </vt:variant>
      <vt:variant>
        <vt:i4>0</vt:i4>
      </vt:variant>
      <vt:variant>
        <vt:i4>5</vt:i4>
      </vt:variant>
      <vt:variant>
        <vt:lpwstr/>
      </vt:variant>
      <vt:variant>
        <vt:lpwstr>_Toc216191102</vt:lpwstr>
      </vt:variant>
      <vt:variant>
        <vt:i4>1441852</vt:i4>
      </vt:variant>
      <vt:variant>
        <vt:i4>200</vt:i4>
      </vt:variant>
      <vt:variant>
        <vt:i4>0</vt:i4>
      </vt:variant>
      <vt:variant>
        <vt:i4>5</vt:i4>
      </vt:variant>
      <vt:variant>
        <vt:lpwstr/>
      </vt:variant>
      <vt:variant>
        <vt:lpwstr>_Toc216191101</vt:lpwstr>
      </vt:variant>
      <vt:variant>
        <vt:i4>1441852</vt:i4>
      </vt:variant>
      <vt:variant>
        <vt:i4>194</vt:i4>
      </vt:variant>
      <vt:variant>
        <vt:i4>0</vt:i4>
      </vt:variant>
      <vt:variant>
        <vt:i4>5</vt:i4>
      </vt:variant>
      <vt:variant>
        <vt:lpwstr/>
      </vt:variant>
      <vt:variant>
        <vt:lpwstr>_Toc216191100</vt:lpwstr>
      </vt:variant>
      <vt:variant>
        <vt:i4>2031677</vt:i4>
      </vt:variant>
      <vt:variant>
        <vt:i4>188</vt:i4>
      </vt:variant>
      <vt:variant>
        <vt:i4>0</vt:i4>
      </vt:variant>
      <vt:variant>
        <vt:i4>5</vt:i4>
      </vt:variant>
      <vt:variant>
        <vt:lpwstr/>
      </vt:variant>
      <vt:variant>
        <vt:lpwstr>_Toc216191099</vt:lpwstr>
      </vt:variant>
      <vt:variant>
        <vt:i4>2031677</vt:i4>
      </vt:variant>
      <vt:variant>
        <vt:i4>182</vt:i4>
      </vt:variant>
      <vt:variant>
        <vt:i4>0</vt:i4>
      </vt:variant>
      <vt:variant>
        <vt:i4>5</vt:i4>
      </vt:variant>
      <vt:variant>
        <vt:lpwstr/>
      </vt:variant>
      <vt:variant>
        <vt:lpwstr>_Toc216191098</vt:lpwstr>
      </vt:variant>
      <vt:variant>
        <vt:i4>2031677</vt:i4>
      </vt:variant>
      <vt:variant>
        <vt:i4>176</vt:i4>
      </vt:variant>
      <vt:variant>
        <vt:i4>0</vt:i4>
      </vt:variant>
      <vt:variant>
        <vt:i4>5</vt:i4>
      </vt:variant>
      <vt:variant>
        <vt:lpwstr/>
      </vt:variant>
      <vt:variant>
        <vt:lpwstr>_Toc216191097</vt:lpwstr>
      </vt:variant>
      <vt:variant>
        <vt:i4>2031677</vt:i4>
      </vt:variant>
      <vt:variant>
        <vt:i4>170</vt:i4>
      </vt:variant>
      <vt:variant>
        <vt:i4>0</vt:i4>
      </vt:variant>
      <vt:variant>
        <vt:i4>5</vt:i4>
      </vt:variant>
      <vt:variant>
        <vt:lpwstr/>
      </vt:variant>
      <vt:variant>
        <vt:lpwstr>_Toc216191096</vt:lpwstr>
      </vt:variant>
      <vt:variant>
        <vt:i4>2031677</vt:i4>
      </vt:variant>
      <vt:variant>
        <vt:i4>164</vt:i4>
      </vt:variant>
      <vt:variant>
        <vt:i4>0</vt:i4>
      </vt:variant>
      <vt:variant>
        <vt:i4>5</vt:i4>
      </vt:variant>
      <vt:variant>
        <vt:lpwstr/>
      </vt:variant>
      <vt:variant>
        <vt:lpwstr>_Toc216191095</vt:lpwstr>
      </vt:variant>
      <vt:variant>
        <vt:i4>2031677</vt:i4>
      </vt:variant>
      <vt:variant>
        <vt:i4>158</vt:i4>
      </vt:variant>
      <vt:variant>
        <vt:i4>0</vt:i4>
      </vt:variant>
      <vt:variant>
        <vt:i4>5</vt:i4>
      </vt:variant>
      <vt:variant>
        <vt:lpwstr/>
      </vt:variant>
      <vt:variant>
        <vt:lpwstr>_Toc216191094</vt:lpwstr>
      </vt:variant>
      <vt:variant>
        <vt:i4>2031677</vt:i4>
      </vt:variant>
      <vt:variant>
        <vt:i4>152</vt:i4>
      </vt:variant>
      <vt:variant>
        <vt:i4>0</vt:i4>
      </vt:variant>
      <vt:variant>
        <vt:i4>5</vt:i4>
      </vt:variant>
      <vt:variant>
        <vt:lpwstr/>
      </vt:variant>
      <vt:variant>
        <vt:lpwstr>_Toc216191093</vt:lpwstr>
      </vt:variant>
      <vt:variant>
        <vt:i4>2031677</vt:i4>
      </vt:variant>
      <vt:variant>
        <vt:i4>146</vt:i4>
      </vt:variant>
      <vt:variant>
        <vt:i4>0</vt:i4>
      </vt:variant>
      <vt:variant>
        <vt:i4>5</vt:i4>
      </vt:variant>
      <vt:variant>
        <vt:lpwstr/>
      </vt:variant>
      <vt:variant>
        <vt:lpwstr>_Toc216191092</vt:lpwstr>
      </vt:variant>
      <vt:variant>
        <vt:i4>2031677</vt:i4>
      </vt:variant>
      <vt:variant>
        <vt:i4>140</vt:i4>
      </vt:variant>
      <vt:variant>
        <vt:i4>0</vt:i4>
      </vt:variant>
      <vt:variant>
        <vt:i4>5</vt:i4>
      </vt:variant>
      <vt:variant>
        <vt:lpwstr/>
      </vt:variant>
      <vt:variant>
        <vt:lpwstr>_Toc216191091</vt:lpwstr>
      </vt:variant>
      <vt:variant>
        <vt:i4>2031677</vt:i4>
      </vt:variant>
      <vt:variant>
        <vt:i4>134</vt:i4>
      </vt:variant>
      <vt:variant>
        <vt:i4>0</vt:i4>
      </vt:variant>
      <vt:variant>
        <vt:i4>5</vt:i4>
      </vt:variant>
      <vt:variant>
        <vt:lpwstr/>
      </vt:variant>
      <vt:variant>
        <vt:lpwstr>_Toc216191090</vt:lpwstr>
      </vt:variant>
      <vt:variant>
        <vt:i4>1966141</vt:i4>
      </vt:variant>
      <vt:variant>
        <vt:i4>128</vt:i4>
      </vt:variant>
      <vt:variant>
        <vt:i4>0</vt:i4>
      </vt:variant>
      <vt:variant>
        <vt:i4>5</vt:i4>
      </vt:variant>
      <vt:variant>
        <vt:lpwstr/>
      </vt:variant>
      <vt:variant>
        <vt:lpwstr>_Toc216191089</vt:lpwstr>
      </vt:variant>
      <vt:variant>
        <vt:i4>1966141</vt:i4>
      </vt:variant>
      <vt:variant>
        <vt:i4>122</vt:i4>
      </vt:variant>
      <vt:variant>
        <vt:i4>0</vt:i4>
      </vt:variant>
      <vt:variant>
        <vt:i4>5</vt:i4>
      </vt:variant>
      <vt:variant>
        <vt:lpwstr/>
      </vt:variant>
      <vt:variant>
        <vt:lpwstr>_Toc216191088</vt:lpwstr>
      </vt:variant>
      <vt:variant>
        <vt:i4>1966141</vt:i4>
      </vt:variant>
      <vt:variant>
        <vt:i4>116</vt:i4>
      </vt:variant>
      <vt:variant>
        <vt:i4>0</vt:i4>
      </vt:variant>
      <vt:variant>
        <vt:i4>5</vt:i4>
      </vt:variant>
      <vt:variant>
        <vt:lpwstr/>
      </vt:variant>
      <vt:variant>
        <vt:lpwstr>_Toc216191087</vt:lpwstr>
      </vt:variant>
      <vt:variant>
        <vt:i4>1966141</vt:i4>
      </vt:variant>
      <vt:variant>
        <vt:i4>110</vt:i4>
      </vt:variant>
      <vt:variant>
        <vt:i4>0</vt:i4>
      </vt:variant>
      <vt:variant>
        <vt:i4>5</vt:i4>
      </vt:variant>
      <vt:variant>
        <vt:lpwstr/>
      </vt:variant>
      <vt:variant>
        <vt:lpwstr>_Toc216191086</vt:lpwstr>
      </vt:variant>
      <vt:variant>
        <vt:i4>1966141</vt:i4>
      </vt:variant>
      <vt:variant>
        <vt:i4>104</vt:i4>
      </vt:variant>
      <vt:variant>
        <vt:i4>0</vt:i4>
      </vt:variant>
      <vt:variant>
        <vt:i4>5</vt:i4>
      </vt:variant>
      <vt:variant>
        <vt:lpwstr/>
      </vt:variant>
      <vt:variant>
        <vt:lpwstr>_Toc216191085</vt:lpwstr>
      </vt:variant>
      <vt:variant>
        <vt:i4>1966141</vt:i4>
      </vt:variant>
      <vt:variant>
        <vt:i4>98</vt:i4>
      </vt:variant>
      <vt:variant>
        <vt:i4>0</vt:i4>
      </vt:variant>
      <vt:variant>
        <vt:i4>5</vt:i4>
      </vt:variant>
      <vt:variant>
        <vt:lpwstr/>
      </vt:variant>
      <vt:variant>
        <vt:lpwstr>_Toc216191084</vt:lpwstr>
      </vt:variant>
      <vt:variant>
        <vt:i4>1966141</vt:i4>
      </vt:variant>
      <vt:variant>
        <vt:i4>92</vt:i4>
      </vt:variant>
      <vt:variant>
        <vt:i4>0</vt:i4>
      </vt:variant>
      <vt:variant>
        <vt:i4>5</vt:i4>
      </vt:variant>
      <vt:variant>
        <vt:lpwstr/>
      </vt:variant>
      <vt:variant>
        <vt:lpwstr>_Toc216191083</vt:lpwstr>
      </vt:variant>
      <vt:variant>
        <vt:i4>1966141</vt:i4>
      </vt:variant>
      <vt:variant>
        <vt:i4>86</vt:i4>
      </vt:variant>
      <vt:variant>
        <vt:i4>0</vt:i4>
      </vt:variant>
      <vt:variant>
        <vt:i4>5</vt:i4>
      </vt:variant>
      <vt:variant>
        <vt:lpwstr/>
      </vt:variant>
      <vt:variant>
        <vt:lpwstr>_Toc216191082</vt:lpwstr>
      </vt:variant>
      <vt:variant>
        <vt:i4>1966141</vt:i4>
      </vt:variant>
      <vt:variant>
        <vt:i4>80</vt:i4>
      </vt:variant>
      <vt:variant>
        <vt:i4>0</vt:i4>
      </vt:variant>
      <vt:variant>
        <vt:i4>5</vt:i4>
      </vt:variant>
      <vt:variant>
        <vt:lpwstr/>
      </vt:variant>
      <vt:variant>
        <vt:lpwstr>_Toc216191081</vt:lpwstr>
      </vt:variant>
      <vt:variant>
        <vt:i4>1966141</vt:i4>
      </vt:variant>
      <vt:variant>
        <vt:i4>74</vt:i4>
      </vt:variant>
      <vt:variant>
        <vt:i4>0</vt:i4>
      </vt:variant>
      <vt:variant>
        <vt:i4>5</vt:i4>
      </vt:variant>
      <vt:variant>
        <vt:lpwstr/>
      </vt:variant>
      <vt:variant>
        <vt:lpwstr>_Toc216191080</vt:lpwstr>
      </vt:variant>
      <vt:variant>
        <vt:i4>1114173</vt:i4>
      </vt:variant>
      <vt:variant>
        <vt:i4>68</vt:i4>
      </vt:variant>
      <vt:variant>
        <vt:i4>0</vt:i4>
      </vt:variant>
      <vt:variant>
        <vt:i4>5</vt:i4>
      </vt:variant>
      <vt:variant>
        <vt:lpwstr/>
      </vt:variant>
      <vt:variant>
        <vt:lpwstr>_Toc216191079</vt:lpwstr>
      </vt:variant>
      <vt:variant>
        <vt:i4>1114173</vt:i4>
      </vt:variant>
      <vt:variant>
        <vt:i4>62</vt:i4>
      </vt:variant>
      <vt:variant>
        <vt:i4>0</vt:i4>
      </vt:variant>
      <vt:variant>
        <vt:i4>5</vt:i4>
      </vt:variant>
      <vt:variant>
        <vt:lpwstr/>
      </vt:variant>
      <vt:variant>
        <vt:lpwstr>_Toc216191078</vt:lpwstr>
      </vt:variant>
      <vt:variant>
        <vt:i4>1114173</vt:i4>
      </vt:variant>
      <vt:variant>
        <vt:i4>56</vt:i4>
      </vt:variant>
      <vt:variant>
        <vt:i4>0</vt:i4>
      </vt:variant>
      <vt:variant>
        <vt:i4>5</vt:i4>
      </vt:variant>
      <vt:variant>
        <vt:lpwstr/>
      </vt:variant>
      <vt:variant>
        <vt:lpwstr>_Toc216191077</vt:lpwstr>
      </vt:variant>
      <vt:variant>
        <vt:i4>1114173</vt:i4>
      </vt:variant>
      <vt:variant>
        <vt:i4>50</vt:i4>
      </vt:variant>
      <vt:variant>
        <vt:i4>0</vt:i4>
      </vt:variant>
      <vt:variant>
        <vt:i4>5</vt:i4>
      </vt:variant>
      <vt:variant>
        <vt:lpwstr/>
      </vt:variant>
      <vt:variant>
        <vt:lpwstr>_Toc216191076</vt:lpwstr>
      </vt:variant>
      <vt:variant>
        <vt:i4>1114173</vt:i4>
      </vt:variant>
      <vt:variant>
        <vt:i4>44</vt:i4>
      </vt:variant>
      <vt:variant>
        <vt:i4>0</vt:i4>
      </vt:variant>
      <vt:variant>
        <vt:i4>5</vt:i4>
      </vt:variant>
      <vt:variant>
        <vt:lpwstr/>
      </vt:variant>
      <vt:variant>
        <vt:lpwstr>_Toc216191075</vt:lpwstr>
      </vt:variant>
      <vt:variant>
        <vt:i4>1114173</vt:i4>
      </vt:variant>
      <vt:variant>
        <vt:i4>38</vt:i4>
      </vt:variant>
      <vt:variant>
        <vt:i4>0</vt:i4>
      </vt:variant>
      <vt:variant>
        <vt:i4>5</vt:i4>
      </vt:variant>
      <vt:variant>
        <vt:lpwstr/>
      </vt:variant>
      <vt:variant>
        <vt:lpwstr>_Toc216191074</vt:lpwstr>
      </vt:variant>
      <vt:variant>
        <vt:i4>1114173</vt:i4>
      </vt:variant>
      <vt:variant>
        <vt:i4>32</vt:i4>
      </vt:variant>
      <vt:variant>
        <vt:i4>0</vt:i4>
      </vt:variant>
      <vt:variant>
        <vt:i4>5</vt:i4>
      </vt:variant>
      <vt:variant>
        <vt:lpwstr/>
      </vt:variant>
      <vt:variant>
        <vt:lpwstr>_Toc216191073</vt:lpwstr>
      </vt:variant>
      <vt:variant>
        <vt:i4>1114173</vt:i4>
      </vt:variant>
      <vt:variant>
        <vt:i4>26</vt:i4>
      </vt:variant>
      <vt:variant>
        <vt:i4>0</vt:i4>
      </vt:variant>
      <vt:variant>
        <vt:i4>5</vt:i4>
      </vt:variant>
      <vt:variant>
        <vt:lpwstr/>
      </vt:variant>
      <vt:variant>
        <vt:lpwstr>_Toc216191072</vt:lpwstr>
      </vt:variant>
      <vt:variant>
        <vt:i4>1114173</vt:i4>
      </vt:variant>
      <vt:variant>
        <vt:i4>20</vt:i4>
      </vt:variant>
      <vt:variant>
        <vt:i4>0</vt:i4>
      </vt:variant>
      <vt:variant>
        <vt:i4>5</vt:i4>
      </vt:variant>
      <vt:variant>
        <vt:lpwstr/>
      </vt:variant>
      <vt:variant>
        <vt:lpwstr>_Toc216191071</vt:lpwstr>
      </vt:variant>
      <vt:variant>
        <vt:i4>1114173</vt:i4>
      </vt:variant>
      <vt:variant>
        <vt:i4>14</vt:i4>
      </vt:variant>
      <vt:variant>
        <vt:i4>0</vt:i4>
      </vt:variant>
      <vt:variant>
        <vt:i4>5</vt:i4>
      </vt:variant>
      <vt:variant>
        <vt:lpwstr/>
      </vt:variant>
      <vt:variant>
        <vt:lpwstr>_Toc216191070</vt:lpwstr>
      </vt:variant>
      <vt:variant>
        <vt:i4>1048637</vt:i4>
      </vt:variant>
      <vt:variant>
        <vt:i4>8</vt:i4>
      </vt:variant>
      <vt:variant>
        <vt:i4>0</vt:i4>
      </vt:variant>
      <vt:variant>
        <vt:i4>5</vt:i4>
      </vt:variant>
      <vt:variant>
        <vt:lpwstr/>
      </vt:variant>
      <vt:variant>
        <vt:lpwstr>_Toc216191069</vt:lpwstr>
      </vt:variant>
      <vt:variant>
        <vt:i4>1048637</vt:i4>
      </vt:variant>
      <vt:variant>
        <vt:i4>2</vt:i4>
      </vt:variant>
      <vt:variant>
        <vt:i4>0</vt:i4>
      </vt:variant>
      <vt:variant>
        <vt:i4>5</vt:i4>
      </vt:variant>
      <vt:variant>
        <vt:lpwstr/>
      </vt:variant>
      <vt:variant>
        <vt:lpwstr>_Toc216191068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luciavelascoroces@outlook.es</cp:lastModifiedBy>
  <cp:revision>3</cp:revision>
  <cp:lastPrinted>2013-02-18T16:10:00Z</cp:lastPrinted>
  <dcterms:created xsi:type="dcterms:W3CDTF">2026-04-11T15:06:00Z</dcterms:created>
  <dcterms:modified xsi:type="dcterms:W3CDTF">2026-04-11T15:06:00Z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-866188089</vt:i4>
  </property>
  <property fmtid="{D5CDD505-2E9C-101B-9397-08002B2CF9AE}" pid="3" name="_EmailSubject">
    <vt:lpwstr>Programa MADRE. Borrador nueva versión</vt:lpwstr>
  </property>
  <property fmtid="{D5CDD505-2E9C-101B-9397-08002B2CF9AE}" pid="4" name="_AuthorEmail">
    <vt:lpwstr>fpuigventos@hsd.es</vt:lpwstr>
  </property>
  <property fmtid="{D5CDD505-2E9C-101B-9397-08002B2CF9AE}" pid="5" name="_AuthorEmailDisplayName">
    <vt:lpwstr>Francesc Puigventos</vt:lpwstr>
  </property>
  <property fmtid="{D5CDD505-2E9C-101B-9397-08002B2CF9AE}" pid="6" name="_ReviewingToolsShownOnce">
    <vt:lpwstr/>
  </property>
  <property fmtid="{D5CDD505-2E9C-101B-9397-08002B2CF9AE}" pid="7" name="ZOTERO_PREF_1">
    <vt:lpwstr>&lt;data data-version="3" zotero-version="7.0.32"&gt;&lt;session id="u3uNW8Cr"/&gt;&lt;style id="http://www.zotero.org/styles/nlm-citation-sequence" locale="es-ES" hasBibliography="1" bibliographyStyleHasBeenSet="1"/&gt;&lt;prefs&gt;&lt;pref name="fieldType" value="Field"/&gt;&lt;pref na</vt:lpwstr>
  </property>
  <property fmtid="{D5CDD505-2E9C-101B-9397-08002B2CF9AE}" pid="8" name="ZOTERO_PREF_2">
    <vt:lpwstr>me="automaticJournalAbbreviations" value="true"/&gt;&lt;/prefs&gt;&lt;/data&gt;</vt:lpwstr>
  </property>
</Properties>
</file>